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3AFC531">
      <w:pPr>
        <w:pBdr/>
        <w:spacing/>
        <w:ind/>
        <w:jc w:val="right"/>
        <w:rPr>
          <w:b/>
          <w:bCs/>
        </w:rPr>
      </w:pPr>
      <w:r>
        <w:rPr>
          <w:b/>
          <w:highlight w:val="none"/>
        </w:rPr>
      </w:r>
      <w:r>
        <w:rPr>
          <w:b/>
          <w:highlight w:val="none"/>
        </w:rPr>
        <w:t xml:space="preserve">Приложение № 1 к извещению</w:t>
      </w:r>
      <w:r>
        <w:rPr>
          <w:b/>
          <w:bCs/>
        </w:rPr>
      </w:r>
      <w:r>
        <w:rPr>
          <w:b/>
          <w:bCs/>
        </w:rPr>
      </w:r>
    </w:p>
    <w:p w14:paraId="51623F46"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07D83DAA"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14C1799F" w14:textId="77777777">
      <w:pPr>
        <w:pBdr/>
        <w:spacing/>
        <w:ind/>
        <w:jc w:val="center"/>
        <w:rPr>
          <w:b/>
          <w:bCs/>
          <w:highlight w:val="none"/>
        </w:rPr>
      </w:pPr>
      <w:r>
        <w:rPr>
          <w:b/>
        </w:rPr>
        <w:t xml:space="preserve">ОПИСАНИЕ ОБЪЕКТА ЗАКУПКИ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5D637EEF" w14:textId="77777777">
      <w:pPr>
        <w:pBdr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4D097D2D" w14:textId="77777777">
      <w:pPr>
        <w:pStyle w:val="961"/>
        <w:pBdr/>
        <w:tabs>
          <w:tab w:val="left" w:leader="none" w:pos="851"/>
        </w:tabs>
        <w:spacing/>
        <w:ind w:left="360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 w14:paraId="001405D6" w14:textId="5C1124EE">
      <w:pPr>
        <w:pStyle w:val="961"/>
        <w:numPr>
          <w:ilvl w:val="0"/>
          <w:numId w:val="3"/>
        </w:numPr>
        <w:pBdr/>
        <w:tabs>
          <w:tab w:val="left" w:leader="none" w:pos="851"/>
        </w:tabs>
        <w:spacing/>
        <w:ind/>
        <w:jc w:val="both"/>
        <w:rPr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Объект закупки: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казание услуг по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передаче прав на использование программного обеспечения ViPNet PKI Client 2.x, ПМДЗ ViPNet SafeBoot 3, ViPNet Endpoint Protection (Standalone Agent) и предоставлению сертификата активации сервиса совместной технической поддержки компонентов сети ViPNet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 w14:paraId="3926B9DF">
      <w:pPr>
        <w:pStyle w:val="961"/>
        <w:numPr>
          <w:ilvl w:val="0"/>
          <w:numId w:val="3"/>
        </w:numPr>
        <w:pBdr/>
        <w:tabs>
          <w:tab w:val="left" w:leader="none" w:pos="851"/>
        </w:tabs>
        <w:spacing/>
        <w:ind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Цель закупки: </w:t>
      </w:r>
      <w:r>
        <w:rPr>
          <w:bCs/>
          <w:sz w:val="24"/>
          <w:szCs w:val="24"/>
          <w:lang w:eastAsia="ru-RU"/>
        </w:rPr>
        <w:t xml:space="preserve">Приобретение программного</w:t>
      </w:r>
      <w:r>
        <w:rPr>
          <w:bCs/>
          <w:sz w:val="24"/>
          <w:szCs w:val="24"/>
          <w:lang w:eastAsia="ru-RU"/>
        </w:rPr>
        <w:t xml:space="preserve"> обеспечения для модернизации криптографической сети защиты информации</w:t>
      </w:r>
      <w:r>
        <w:rPr>
          <w:bCs/>
          <w:sz w:val="24"/>
          <w:szCs w:val="24"/>
          <w:lang w:eastAsia="ru-RU"/>
        </w:rPr>
        <w:t xml:space="preserve"> и продление технической поддержки для средств защиты информации</w:t>
      </w:r>
      <w:r>
        <w:rPr>
          <w:bCs/>
          <w:sz w:val="24"/>
          <w:szCs w:val="24"/>
          <w:lang w:eastAsia="ru-RU"/>
        </w:rPr>
        <w:t xml:space="preserve"> Территориального фонда обязательного медицинского страхования Еврейской автономной области</w:t>
      </w:r>
      <w:r>
        <w:rPr>
          <w:bCs/>
          <w:sz w:val="24"/>
          <w:szCs w:val="24"/>
          <w:lang w:eastAsia="ru-RU"/>
        </w:rPr>
        <w:t xml:space="preserve">.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 w14:paraId="1B309818" w14:textId="77777777">
      <w:pPr>
        <w:pStyle w:val="961"/>
        <w:pBdr/>
        <w:tabs>
          <w:tab w:val="left" w:leader="none" w:pos="851"/>
        </w:tabs>
        <w:spacing/>
        <w:ind w:left="360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 w14:paraId="324790C9" w14:textId="0D5A1535">
      <w:pPr>
        <w:pStyle w:val="961"/>
        <w:numPr>
          <w:ilvl w:val="0"/>
          <w:numId w:val="3"/>
        </w:numPr>
        <w:pBdr/>
        <w:tabs>
          <w:tab w:val="left" w:leader="none" w:pos="851"/>
        </w:tabs>
        <w:spacing/>
        <w:ind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Срок поставки: </w:t>
      </w:r>
      <w:r>
        <w:rPr>
          <w:bCs/>
          <w:sz w:val="24"/>
          <w:szCs w:val="24"/>
          <w:lang w:eastAsia="ru-RU"/>
        </w:rPr>
        <w:t xml:space="preserve">30 (тридцать) календарных дней с даты заключения контракта</w:t>
      </w:r>
      <w:r>
        <w:rPr>
          <w:bCs/>
          <w:sz w:val="24"/>
          <w:szCs w:val="24"/>
          <w:lang w:eastAsia="ru-RU"/>
        </w:rPr>
        <w:t xml:space="preserve">;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 w14:paraId="1822E83A" w14:textId="6FCDA463">
      <w:pPr>
        <w:pBdr/>
        <w:tabs>
          <w:tab w:val="left" w:leader="none" w:pos="851"/>
        </w:tabs>
        <w:spacing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 w14:paraId="0E33CAD2" w14:textId="77777777">
      <w:pPr>
        <w:pStyle w:val="961"/>
        <w:numPr>
          <w:ilvl w:val="0"/>
          <w:numId w:val="3"/>
        </w:numPr>
        <w:pBdr/>
        <w:tabs>
          <w:tab w:val="left" w:leader="none" w:pos="851"/>
        </w:tabs>
        <w:spacing/>
        <w:ind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Спецификация</w:t>
      </w:r>
      <w:r>
        <w:rPr>
          <w:b/>
          <w:bCs/>
          <w:sz w:val="24"/>
          <w:szCs w:val="24"/>
          <w:lang w:eastAsia="ru-RU"/>
        </w:rPr>
        <w:t xml:space="preserve">: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 w14:paraId="73F8944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left="858"/>
        <w:jc w:val="right"/>
        <w:rPr>
          <w:color w:val="000000"/>
        </w:rPr>
      </w:pPr>
      <w:r/>
      <w:bookmarkStart w:id="0" w:name="_30j0zll"/>
      <w:r/>
      <w:bookmarkEnd w:id="0"/>
      <w:r>
        <w:rPr>
          <w:color w:val="000000"/>
        </w:rPr>
        <w:t xml:space="preserve">Таблица 1. Спецификация</w:t>
      </w:r>
      <w:r>
        <w:rPr>
          <w:color w:val="000000"/>
        </w:rPr>
      </w:r>
      <w:r>
        <w:rPr>
          <w:color w:val="000000"/>
        </w:rPr>
      </w:r>
    </w:p>
    <w:tbl>
      <w:tblPr>
        <w:jc w:val="center"/>
        <w:tblW w:w="10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6946"/>
        <w:gridCol w:w="1415"/>
        <w:gridCol w:w="1025"/>
      </w:tblGrid>
      <w:tr>
        <w:trPr>
          <w:jc w:val="center"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</w:tcPr>
          <w:p w14:paraId="225D7EA0" w14:textId="77777777">
            <w:pPr>
              <w:pBdr/>
              <w:shd w:val="clear" w:color="auto" w:fill="ffffff"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</w:tcPr>
          <w:p w14:paraId="77CF8C53" w14:textId="77777777">
            <w:pPr>
              <w:pBdr/>
              <w:shd w:val="clear" w:color="auto" w:fill="ffffff"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5" w:type="dxa"/>
            <w:vAlign w:val="center"/>
          </w:tcPr>
          <w:p w14:paraId="704741F0" w14:textId="77777777"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Кол-во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vAlign w:val="center"/>
          </w:tcPr>
          <w:p w14:paraId="78B982B4" w14:textId="77777777"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Ед. изм.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</w:tcPr>
          <w:p w14:paraId="0A5D15F5" w14:textId="77777777">
            <w:pPr>
              <w:numPr>
                <w:ilvl w:val="0"/>
                <w:numId w:val="4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firstLine="0" w:left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</w:tcPr>
          <w:p w14:paraId="30200629" w14:textId="77777777">
            <w:pPr>
              <w:pBdr/>
              <w:shd w:val="clear" w:color="auto" w:fill="ffffff"/>
              <w:spacing/>
              <w:ind/>
              <w:jc w:val="both"/>
              <w:rPr/>
            </w:pPr>
            <w:r>
              <w:t xml:space="preserve">Передача права на использование ПО ViPNet PKI Client 2.x Базовая лицензия</w:t>
            </w:r>
            <w:r>
              <w:t xml:space="preserve">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5" w:type="dxa"/>
            <w:vAlign w:val="center"/>
          </w:tcPr>
          <w:p w14:paraId="57992889" w14:textId="7777777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vAlign w:val="center"/>
          </w:tcPr>
          <w:p w14:paraId="29B50136" w14:textId="77777777">
            <w:pPr>
              <w:pBdr/>
              <w:spacing/>
              <w:ind/>
              <w:jc w:val="center"/>
              <w:rPr/>
            </w:pPr>
            <w:r>
              <w:t xml:space="preserve">ед.</w:t>
            </w:r>
            <w:r/>
          </w:p>
        </w:tc>
      </w:tr>
      <w:tr>
        <w:trPr>
          <w:jc w:val="center"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</w:tcPr>
          <w:p w14:paraId="2D606FEB" w14:textId="77777777">
            <w:pPr>
              <w:numPr>
                <w:ilvl w:val="0"/>
                <w:numId w:val="4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firstLine="0" w:left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</w:tcPr>
          <w:p w14:paraId="67B25B84" w14:textId="77777777">
            <w:pPr>
              <w:pBdr/>
              <w:shd w:val="clear" w:color="auto" w:fill="ffffff"/>
              <w:spacing/>
              <w:ind/>
              <w:jc w:val="both"/>
              <w:rPr/>
            </w:pPr>
            <w:r>
              <w:t xml:space="preserve">Передача права на использование ПК </w:t>
            </w:r>
            <w:r>
              <w:t xml:space="preserve">ПМДЗ</w:t>
            </w:r>
            <w:r>
              <w:t xml:space="preserve"> </w:t>
            </w:r>
            <w:r>
              <w:t xml:space="preserve">ViPNet</w:t>
            </w:r>
            <w:r>
              <w:t xml:space="preserve"> </w:t>
            </w:r>
            <w:r>
              <w:t xml:space="preserve">SafeBoot</w:t>
            </w:r>
            <w:r>
              <w:t xml:space="preserve"> 3 (исполнение 2)</w:t>
            </w:r>
            <w:r>
              <w:t xml:space="preserve"> 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5" w:type="dxa"/>
            <w:vAlign w:val="center"/>
          </w:tcPr>
          <w:p w14:paraId="406DCC4B" w14:textId="77777777"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vAlign w:val="center"/>
          </w:tcPr>
          <w:p w14:paraId="4F431DF4" w14:textId="77777777">
            <w:pPr>
              <w:pBdr/>
              <w:spacing/>
              <w:ind/>
              <w:jc w:val="center"/>
              <w:rPr/>
            </w:pPr>
            <w:r>
              <w:t xml:space="preserve">ед.</w:t>
            </w:r>
            <w:r/>
          </w:p>
        </w:tc>
      </w:tr>
      <w:tr>
        <w:trPr>
          <w:jc w:val="center"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</w:tcPr>
          <w:p w14:paraId="402841FB" w14:textId="77777777">
            <w:pPr>
              <w:numPr>
                <w:ilvl w:val="0"/>
                <w:numId w:val="4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firstLine="0" w:left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</w:tcPr>
          <w:p w14:paraId="637811D9" w14:textId="77777777">
            <w:pPr>
              <w:pBdr/>
              <w:shd w:val="clear" w:color="auto" w:fill="ffffff"/>
              <w:spacing/>
              <w:ind/>
              <w:jc w:val="both"/>
              <w:rPr/>
            </w:pPr>
            <w:r>
              <w:t xml:space="preserve">Передача права на использование ПО </w:t>
            </w:r>
            <w:r>
              <w:t xml:space="preserve">ViPNet</w:t>
            </w:r>
            <w:r>
              <w:t xml:space="preserve"> </w:t>
            </w:r>
            <w:r>
              <w:t xml:space="preserve">Endpoint</w:t>
            </w:r>
            <w:r>
              <w:t xml:space="preserve"> </w:t>
            </w:r>
            <w:r>
              <w:t xml:space="preserve">Protection</w:t>
            </w:r>
            <w:r>
              <w:t xml:space="preserve"> (</w:t>
            </w:r>
            <w:r>
              <w:t xml:space="preserve">Standalone</w:t>
            </w:r>
            <w:r>
              <w:t xml:space="preserve"> </w:t>
            </w:r>
            <w:r>
              <w:t xml:space="preserve">Agent</w:t>
            </w:r>
            <w:r>
              <w:t xml:space="preserve">)</w:t>
            </w:r>
            <w:r>
              <w:rPr>
                <w:lang w:val="en-US"/>
              </w:rPr>
              <w:t xml:space="preserve"> 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5" w:type="dxa"/>
            <w:vAlign w:val="center"/>
          </w:tcPr>
          <w:p w14:paraId="10519F9B" w14:textId="77777777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vAlign w:val="center"/>
          </w:tcPr>
          <w:p w14:paraId="2664B4C2" w14:textId="77777777">
            <w:pPr>
              <w:pBdr/>
              <w:spacing/>
              <w:ind/>
              <w:jc w:val="center"/>
              <w:rPr/>
            </w:pPr>
            <w:r>
              <w:t xml:space="preserve">ед.</w:t>
            </w:r>
            <w:r/>
          </w:p>
        </w:tc>
      </w:tr>
    </w:tbl>
    <w:p w14:paraId="10385B82" w14:textId="3A025B36">
      <w:pPr>
        <w:pBdr/>
        <w:spacing/>
        <w:ind/>
        <w:jc w:val="both"/>
        <w:rPr>
          <w:bCs/>
          <w:i/>
          <w:highlight w:val="none"/>
        </w:rPr>
      </w:pPr>
      <w:r>
        <w:t xml:space="preserve">* </w:t>
      </w:r>
      <w:r>
        <w:rPr>
          <w:i/>
        </w:rPr>
        <w:t xml:space="preserve">приобретение эквивалента невозможно в соответствии с пп.1 п.1 ст.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нужд». Закупка осуществляется в целях</w:t>
      </w:r>
      <w:r>
        <w:rPr>
          <w:i/>
        </w:rPr>
        <w:t xml:space="preserve"> </w:t>
      </w:r>
      <w:r>
        <w:rPr>
          <w:i/>
        </w:rPr>
        <w:t xml:space="preserve">продления технической поддержки и </w:t>
      </w:r>
      <w:r>
        <w:rPr>
          <w:i/>
        </w:rPr>
        <w:t xml:space="preserve">модернизации,</w:t>
      </w:r>
      <w:r>
        <w:rPr>
          <w:i/>
        </w:rPr>
        <w:t xml:space="preserve"> расширения </w:t>
      </w:r>
      <w:r>
        <w:rPr>
          <w:i/>
        </w:rPr>
        <w:t xml:space="preserve">функциональности</w:t>
      </w:r>
      <w:r>
        <w:rPr>
          <w:i/>
        </w:rPr>
        <w:t xml:space="preserve"> </w:t>
      </w:r>
      <w:r>
        <w:rPr>
          <w:i/>
        </w:rPr>
        <w:t xml:space="preserve">существующей распределенной системы обнаружения вторжений</w:t>
      </w:r>
      <w:r>
        <w:rPr>
          <w:i/>
        </w:rPr>
        <w:t xml:space="preserve">, </w:t>
      </w:r>
      <w:r>
        <w:rPr>
          <w:i/>
        </w:rPr>
        <w:t xml:space="preserve">построенной на технологиях </w:t>
      </w:r>
      <w:r>
        <w:rPr>
          <w:i/>
          <w:lang w:val="en-US"/>
        </w:rPr>
        <w:t xml:space="preserve">Vi</w:t>
      </w:r>
      <w:r>
        <w:rPr>
          <w:i/>
          <w:lang w:val="en-US"/>
        </w:rPr>
        <w:t xml:space="preserve">P</w:t>
      </w:r>
      <w:r>
        <w:rPr>
          <w:i/>
          <w:lang w:val="en-US"/>
        </w:rPr>
        <w:t xml:space="preserve">NeT</w:t>
      </w:r>
      <w:r>
        <w:rPr>
          <w:i/>
        </w:rPr>
        <w:t xml:space="preserve">.</w:t>
      </w:r>
      <w:r>
        <w:rPr>
          <w:i/>
        </w:rPr>
      </w:r>
      <w:r>
        <w:rPr>
          <w:bCs/>
          <w:i/>
          <w:highlight w:val="none"/>
        </w:rPr>
      </w:r>
    </w:p>
    <w:p w14:paraId="15463AF6">
      <w:pPr>
        <w:pBdr/>
        <w:spacing/>
        <w:ind/>
        <w:jc w:val="both"/>
        <w:rPr>
          <w:bCs/>
          <w:i/>
        </w:rPr>
      </w:pPr>
      <w:r>
        <w:rPr>
          <w:i/>
          <w:highlight w:val="none"/>
        </w:rPr>
      </w:r>
      <w:r>
        <w:rPr>
          <w:i/>
          <w:highlight w:val="none"/>
        </w:rPr>
      </w:r>
      <w:r>
        <w:rPr>
          <w:bCs/>
          <w:i/>
        </w:rPr>
      </w:r>
    </w:p>
    <w:tbl>
      <w:tblPr>
        <w:tblStyle w:val="960"/>
        <w:tblInd w:w="108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93"/>
        <w:gridCol w:w="1950"/>
        <w:gridCol w:w="1984"/>
        <w:gridCol w:w="1843"/>
        <w:gridCol w:w="1559"/>
        <w:gridCol w:w="850"/>
        <w:gridCol w:w="137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3" w:type="dxa"/>
          </w:tcPr>
          <w:p w14:paraId="0DC79CEF"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950" w:type="dxa"/>
          </w:tcPr>
          <w:p w14:paraId="0814800C"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услуги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  <w:p w14:paraId="6D80C8CC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  <w:p w14:paraId="3BC739BC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/>
            <w:tcW w:w="5386" w:type="dxa"/>
          </w:tcPr>
          <w:p w14:paraId="064AF61E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Функциональные, технические, качественные, эксплуатационные характеристики, а также показатели, позволяющие определить соответствие услуги установленным требованиям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6389467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376" w:type="dxa"/>
          </w:tcPr>
          <w:p w14:paraId="21BB950A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985"/>
        </w:trPr>
        <w:tc>
          <w:tcPr>
            <w:tcBorders>
              <w:top w:val="single" w:color="000000" w:sz="4" w:space="0"/>
              <w:left w:val="single" w:color="000000" w:sz="4" w:space="0"/>
            </w:tcBorders>
            <w:tcW w:w="393" w:type="dxa"/>
            <w:vMerge w:val="restart"/>
          </w:tcPr>
          <w:p w14:paraId="4BBA99E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950" w:type="dxa"/>
            <w:vMerge w:val="restart"/>
          </w:tcPr>
          <w:p w14:paraId="2F11B1DA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Программное обеспечение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7B29C4BB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54F9D801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ViPNet PKI Client 2.x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084F3E4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7B94D04E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68009437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КТРУ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74BBAECE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58.29.11.000-0000000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Borders/>
            <w:tcW w:w="1984" w:type="dxa"/>
          </w:tcPr>
          <w:p w14:paraId="2AB8A318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Показатель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14B32FD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559" w:type="dxa"/>
          </w:tcPr>
          <w:p w14:paraId="4BB80E9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Единица измерения показателя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304026D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3C99D13A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5061C2B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1CF649E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376" w:type="dxa"/>
            <w:vMerge w:val="restart"/>
          </w:tcPr>
          <w:p w14:paraId="3AAF4E8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Условная единица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7A83E34E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49A1F913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52AD0AC3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6BB48A20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41D12516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47BD5CA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Класс программ для электронных вычислительных машин и баз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1A8D24F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03.10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Средства криптографической защиты информации и электронной подписи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559" w:type="dxa"/>
          </w:tcPr>
          <w:p w14:paraId="689B873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18A3F078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75B8A275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28E80611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60D9A313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191257F8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Способ предоставления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843" w:type="dxa"/>
          </w:tcPr>
          <w:p w14:paraId="195D128C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Экземпляр на материальном носителе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559" w:type="dxa"/>
          </w:tcPr>
          <w:p w14:paraId="426350D7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6E48D0BD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103559D6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93" w:type="dxa"/>
            <w:vMerge w:val="continue"/>
          </w:tcPr>
          <w:p w14:paraId="45C60CCB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2A33F59E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2E84074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Вид лицензии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843" w:type="dxa"/>
          </w:tcPr>
          <w:p w14:paraId="4BE887EC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Простая (неисключи-тельная)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559" w:type="dxa"/>
          </w:tcPr>
          <w:p w14:paraId="34301786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391E5681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51BE7751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</w:tcBorders>
            <w:tcW w:w="393" w:type="dxa"/>
            <w:vMerge w:val="restart"/>
          </w:tcPr>
          <w:p w14:paraId="3D43C71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950" w:type="dxa"/>
            <w:vMerge w:val="restart"/>
          </w:tcPr>
          <w:p w14:paraId="3449D80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Программное обеспечение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0A138561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0150AC7E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ПК ПМДЗ ViPNet SafeBoot 3 (исполнение 2) *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148D7D3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14C6690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3865757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КТРУ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213CF41B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58.29.11.000-00000003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984" w:type="dxa"/>
          </w:tcPr>
          <w:p w14:paraId="2C46B9CD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Показатель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149EB143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559" w:type="dxa"/>
          </w:tcPr>
          <w:p w14:paraId="53C89A0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Единица измерения показателя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57E933F8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728F8CBA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6076FB8A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10D1240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376" w:type="dxa"/>
            <w:vMerge w:val="restart"/>
          </w:tcPr>
          <w:p w14:paraId="3F4CE7B5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Условная единица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673D115A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20F0A9F1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312246ED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5DE86A30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1602AF20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222FC12B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Класс программ для электронных вычислительных машин и баз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10E88D7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03.01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Средства защиты от несанкционированного доступа к информации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 w14:paraId="217A3E7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Встроенные системные программы: BIOS, UEFI и иные встроенные системные программы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59A5FBD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Встроенные прикладные программы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559" w:type="dxa"/>
          </w:tcPr>
          <w:p w14:paraId="042F9403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1D8731D8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2936A1F3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6E9D3502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73D5F6D1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65AE2EF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 предоставления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416E1847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Экземпляр на материальном носителе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559" w:type="dxa"/>
          </w:tcPr>
          <w:p w14:paraId="6A86BA46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6F62DE86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7BEBCF72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93" w:type="dxa"/>
            <w:vMerge w:val="continue"/>
          </w:tcPr>
          <w:p w14:paraId="218D35E9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14A711BC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039BD57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 лицензии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3947ACED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Простая (неисключи-тельная)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559" w:type="dxa"/>
          </w:tcPr>
          <w:p w14:paraId="4284DB6D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39A919AA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0D63E24C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</w:tcBorders>
            <w:tcW w:w="393" w:type="dxa"/>
            <w:vMerge w:val="restart"/>
          </w:tcPr>
          <w:p w14:paraId="5F27373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950" w:type="dxa"/>
            <w:vMerge w:val="restart"/>
          </w:tcPr>
          <w:p w14:paraId="03EA764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Программное обеспечение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50F89B5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 w14:paraId="6694756B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ViPNet Endpoint Protection (Standalone Agent) *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49F09BFF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1EEBF063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КТРУ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r>
          </w:p>
          <w:p w14:paraId="44075426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58.29.11.000-00000003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Borders/>
            <w:tcW w:w="1984" w:type="dxa"/>
          </w:tcPr>
          <w:p w14:paraId="33E49C0B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Показатель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65BCF3E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559" w:type="dxa"/>
          </w:tcPr>
          <w:p w14:paraId="2FA0702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Единица измерения показателя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5A8DD8B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1CAE07D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367AEDE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218D9516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376" w:type="dxa"/>
            <w:vMerge w:val="restart"/>
          </w:tcPr>
          <w:p w14:paraId="75FB43AD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Условная единица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7530100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41ACCA82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42CDEDEC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1DB3F117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32D549CA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84" w:type="dxa"/>
          </w:tcPr>
          <w:p w14:paraId="41A53E54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Класс программ для электронных вычислительных машин и баз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843" w:type="dxa"/>
          </w:tcPr>
          <w:p w14:paraId="24F8A4BE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03.14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Средства обнаружения и/или предотвращения вторжений (атак)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 w14:paraId="654639F7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 w14:paraId="7562E46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Средства управления событиями информационной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6B48FEF6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6A9D94E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Межсетевые экраны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437E8185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 w14:paraId="0D0C2FD8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Средства обнаружения угроз и расследования сетевых инцидентов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1559" w:type="dxa"/>
          </w:tcPr>
          <w:p w14:paraId="1ECAC41D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23559489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274E2445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998"/>
        </w:trPr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6F702BE6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019B04D4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>
              <w:bottom w:val="single" w:color="000000" w:sz="4" w:space="0"/>
            </w:tcBorders>
            <w:tcW w:w="1984" w:type="dxa"/>
          </w:tcPr>
          <w:p w14:paraId="4FB5ECC8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 предоставления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843" w:type="dxa"/>
          </w:tcPr>
          <w:p w14:paraId="471958DC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Экземпляр на материальном носителе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bottom w:val="single" w:color="000000" w:sz="4" w:space="0"/>
            </w:tcBorders>
            <w:tcW w:w="1559" w:type="dxa"/>
          </w:tcPr>
          <w:p w14:paraId="772145F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428C8B10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7A904527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598"/>
        </w:trPr>
        <w:tc>
          <w:tcPr>
            <w:tcBorders>
              <w:left w:val="single" w:color="000000" w:sz="4" w:space="0"/>
            </w:tcBorders>
            <w:tcW w:w="393" w:type="dxa"/>
            <w:vMerge w:val="continue"/>
          </w:tcPr>
          <w:p w14:paraId="6EA1BA2D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950" w:type="dxa"/>
            <w:vMerge w:val="continue"/>
          </w:tcPr>
          <w:p w14:paraId="578C44C4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84" w:type="dxa"/>
          </w:tcPr>
          <w:p w14:paraId="1239F969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 лицензии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3" w:type="dxa"/>
          </w:tcPr>
          <w:p w14:paraId="3B0A5348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Простая (неисключи-тельная)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559" w:type="dxa"/>
          </w:tcPr>
          <w:p w14:paraId="67978C00">
            <w:pPr>
              <w:widowControl w:val="false"/>
              <w:pBdr/>
              <w:tabs>
                <w:tab w:val="left" w:leader="none" w:pos="0"/>
                <w:tab w:val="left" w:leader="none" w:pos="993"/>
              </w:tabs>
              <w:spacing w:line="232" w:lineRule="auto"/>
              <w: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continue"/>
          </w:tcPr>
          <w:p w14:paraId="03618D64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376" w:type="dxa"/>
            <w:vMerge w:val="continue"/>
          </w:tcPr>
          <w:p w14:paraId="5B9BCC92">
            <w:pPr>
              <w:pBdr/>
              <w:spacing/>
              <w:ind/>
              <w:rPr/>
            </w:pPr>
            <w:r/>
            <w:r/>
            <w:r/>
          </w:p>
        </w:tc>
      </w:tr>
    </w:tbl>
    <w:p w14:paraId="5D1B372F" w14:textId="77777777">
      <w:pPr>
        <w:pBdr/>
        <w:spacing/>
        <w:ind/>
        <w:jc w:val="both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 w14:paraId="7820DF50" w14:textId="77777777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Требования к совместимости</w:t>
      </w:r>
      <w:r>
        <w:rPr>
          <w:b/>
          <w:color w:val="000000"/>
        </w:rPr>
      </w:r>
      <w:r>
        <w:rPr>
          <w:b/>
          <w:color w:val="000000"/>
        </w:rPr>
      </w:r>
    </w:p>
    <w:p w14:paraId="2023E6B7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1C56CEA1" w14:textId="382142C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360"/>
        <w:jc w:val="both"/>
        <w:rPr/>
      </w:pPr>
      <w:r>
        <w:rPr>
          <w:color w:val="000000"/>
        </w:rPr>
        <w:t xml:space="preserve">Приобретаемые </w:t>
      </w:r>
      <w:r>
        <w:t xml:space="preserve">п</w:t>
      </w:r>
      <w:r>
        <w:t xml:space="preserve">рограммное</w:t>
      </w:r>
      <w:r>
        <w:t xml:space="preserve"> </w:t>
      </w:r>
      <w:r>
        <w:t xml:space="preserve">обеспечение</w:t>
      </w:r>
      <w:r>
        <w:t xml:space="preserve"> </w:t>
      </w:r>
      <w:r>
        <w:rPr>
          <w:lang w:val="en-US"/>
        </w:rPr>
        <w:t xml:space="preserve">ViPNet</w:t>
      </w:r>
      <w:r>
        <w:t xml:space="preserve"> </w:t>
      </w:r>
      <w:r>
        <w:rPr>
          <w:lang w:val="en-US"/>
        </w:rPr>
        <w:t xml:space="preserve">PKI</w:t>
      </w:r>
      <w:r>
        <w:t xml:space="preserve"> </w:t>
      </w:r>
      <w:r>
        <w:rPr>
          <w:lang w:val="en-US"/>
        </w:rPr>
        <w:t xml:space="preserve">Client</w:t>
      </w:r>
      <w:r>
        <w:t xml:space="preserve">, </w:t>
      </w:r>
      <w:r>
        <w:rPr>
          <w:lang w:val="en-US"/>
        </w:rPr>
        <w:t xml:space="preserve">V</w:t>
      </w:r>
      <w:r>
        <w:rPr>
          <w:lang w:val="en-US"/>
        </w:rPr>
        <w:t xml:space="preserve">iPNet</w:t>
      </w:r>
      <w:r>
        <w:t xml:space="preserve"> </w:t>
      </w:r>
      <w:r>
        <w:rPr>
          <w:lang w:val="en-US"/>
        </w:rPr>
        <w:t xml:space="preserve">Endpoint</w:t>
      </w:r>
      <w:r>
        <w:t xml:space="preserve"> </w:t>
      </w:r>
      <w:r>
        <w:rPr>
          <w:lang w:val="en-US"/>
        </w:rPr>
        <w:t xml:space="preserve">Protection</w:t>
      </w:r>
      <w:r>
        <w:t xml:space="preserve"> (</w:t>
      </w:r>
      <w:r>
        <w:rPr>
          <w:lang w:val="en-US"/>
        </w:rPr>
        <w:t xml:space="preserve">Standalone</w:t>
      </w:r>
      <w:r>
        <w:t xml:space="preserve"> </w:t>
      </w:r>
      <w:r>
        <w:rPr>
          <w:lang w:val="en-US"/>
        </w:rPr>
        <w:t xml:space="preserve">Agent</w:t>
      </w:r>
      <w:r>
        <w:t xml:space="preserve">) </w:t>
      </w:r>
      <w:r>
        <w:t xml:space="preserve">и</w:t>
      </w:r>
      <w:r>
        <w:t xml:space="preserve"> </w:t>
      </w:r>
      <w:r>
        <w:t xml:space="preserve">ПМДЗ</w:t>
      </w:r>
      <w:r>
        <w:t xml:space="preserve"> </w:t>
      </w:r>
      <w:r>
        <w:rPr>
          <w:lang w:val="en-US"/>
        </w:rPr>
        <w:t xml:space="preserve">ViPNet</w:t>
      </w:r>
      <w:r>
        <w:t xml:space="preserve"> </w:t>
      </w:r>
      <w:r>
        <w:rPr>
          <w:lang w:val="en-US"/>
        </w:rPr>
        <w:t xml:space="preserve">SafeBoot</w:t>
      </w:r>
      <w:r>
        <w:t xml:space="preserve"> </w:t>
      </w:r>
      <w:r>
        <w:t xml:space="preserve">должны</w:t>
      </w:r>
      <w:r>
        <w:t xml:space="preserve"> быть совместимы между собой и необходимо для</w:t>
      </w:r>
      <w:r>
        <w:t xml:space="preserve"> перевода криптографической сети</w:t>
      </w:r>
      <w:r>
        <w:t xml:space="preserve"> </w:t>
      </w:r>
      <w:r>
        <w:rPr>
          <w:lang w:val="en-US"/>
        </w:rPr>
        <w:t xml:space="preserve">ViPNet</w:t>
      </w:r>
      <w:r>
        <w:t xml:space="preserve"> №</w:t>
      </w:r>
      <w:r>
        <w:t xml:space="preserve">719</w:t>
      </w:r>
      <w:r>
        <w:t xml:space="preserve"> под новое управляющее обеспечение </w:t>
      </w:r>
      <w:r>
        <w:rPr>
          <w:lang w:val="en-US"/>
        </w:rPr>
        <w:t xml:space="preserve">ViPNet</w:t>
      </w:r>
      <w:r>
        <w:t xml:space="preserve"> </w:t>
      </w:r>
      <w:r>
        <w:rPr>
          <w:lang w:val="en-US"/>
        </w:rPr>
        <w:t xml:space="preserve">Prime</w:t>
      </w:r>
      <w:r>
        <w:t xml:space="preserve">. </w:t>
      </w:r>
      <w:r/>
    </w:p>
    <w:p w14:paraId="6DAD990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left="360"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58A7B200" w14:textId="0E10804D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Требование поставляемому модулю доверенной загрузки</w:t>
      </w:r>
      <w:r>
        <w:rPr>
          <w:b/>
          <w:color w:val="000000"/>
        </w:rPr>
      </w:r>
      <w:r>
        <w:rPr>
          <w:b/>
          <w:color w:val="000000"/>
        </w:rPr>
      </w:r>
    </w:p>
    <w:p w14:paraId="567DBF7F" w14:textId="0168D2B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D695947" w14:textId="464DF575">
      <w:pPr>
        <w:pBdr/>
        <w:tabs>
          <w:tab w:val="left" w:leader="none" w:pos="851"/>
        </w:tabs>
        <w:spacing/>
        <w:ind w:firstLine="567"/>
        <w:contextualSpacing w:val="true"/>
        <w:jc w:val="both"/>
        <w:rPr>
          <w:bCs/>
        </w:rPr>
      </w:pPr>
      <w:r>
        <w:rPr>
          <w:bCs/>
        </w:rPr>
        <w:t xml:space="preserve">Поставляемый программный модуль доверенной загрузки </w:t>
      </w:r>
      <w:r>
        <w:rPr>
          <w:bCs/>
        </w:rPr>
        <w:t xml:space="preserve">ViPNet</w:t>
      </w:r>
      <w:r>
        <w:rPr>
          <w:bCs/>
        </w:rPr>
        <w:t xml:space="preserve"> </w:t>
      </w:r>
      <w:r>
        <w:rPr>
          <w:bCs/>
        </w:rPr>
        <w:t xml:space="preserve">SafeBoot</w:t>
      </w:r>
      <w:r>
        <w:rPr>
          <w:bCs/>
        </w:rPr>
        <w:t xml:space="preserve"> 3 должен иметь сертификат соответствия, подтверждающим соответствие требованиям по безопасности информации, установленным в документах «Требования по безопасности информации, устанавливающие уровни доверия к средствам технической</w:t>
      </w:r>
      <w:r>
        <w:rPr>
          <w:bCs/>
        </w:rPr>
        <w:t xml:space="preserve"> защиты информации и средствам обеспечения безопасности информационных технологий» — по 2 уровню доверия, «Требования к средствам доверенной загрузки», «Профиль защиты средства доверенной загрузки уровня базовой системы ввода-вывода второго класса защиты. </w:t>
      </w:r>
      <w:r>
        <w:rPr>
          <w:bCs/>
        </w:rPr>
        <w:t xml:space="preserve">ИТ.СД</w:t>
      </w:r>
      <w:r>
        <w:rPr>
          <w:bCs/>
        </w:rPr>
        <w:t xml:space="preserve">3.УБ2.П</w:t>
      </w:r>
      <w:r>
        <w:rPr>
          <w:bCs/>
        </w:rPr>
        <w:t xml:space="preserve">3</w:t>
      </w:r>
      <w:r>
        <w:rPr>
          <w:bCs/>
        </w:rPr>
        <w:t xml:space="preserve">» при выполнении указаний по эксплуатации, приведенных в формуляре </w:t>
      </w:r>
      <w:r>
        <w:rPr>
          <w:bCs/>
        </w:rPr>
        <w:t xml:space="preserve">ФРКЕ.00180</w:t>
      </w:r>
      <w:r>
        <w:rPr>
          <w:bCs/>
        </w:rPr>
        <w:t xml:space="preserve">-02 30 01 </w:t>
      </w:r>
      <w:r>
        <w:rPr>
          <w:bCs/>
        </w:rPr>
        <w:t xml:space="preserve">ФО</w:t>
      </w:r>
      <w:r>
        <w:rPr>
          <w:bCs/>
        </w:rPr>
        <w:t xml:space="preserve">.</w:t>
      </w:r>
      <w:r>
        <w:rPr>
          <w:bCs/>
        </w:rPr>
        <w:t xml:space="preserve"> В поставку должны входить не менее 4 </w:t>
      </w:r>
      <w:r>
        <w:rPr>
          <w:bCs/>
          <w:lang w:val="en-US"/>
        </w:rPr>
        <w:t xml:space="preserve">USB</w:t>
      </w:r>
      <w:r>
        <w:rPr>
          <w:bCs/>
        </w:rPr>
        <w:t xml:space="preserve">-</w:t>
      </w:r>
      <w:r>
        <w:rPr>
          <w:bCs/>
        </w:rPr>
        <w:t xml:space="preserve">токенов</w:t>
      </w:r>
      <w:r>
        <w:rPr>
          <w:bCs/>
        </w:rPr>
        <w:t xml:space="preserve">, имеющих сертификат ФСБ.</w:t>
      </w:r>
      <w:r>
        <w:rPr>
          <w:bCs/>
        </w:rPr>
      </w:r>
      <w:r>
        <w:rPr>
          <w:bCs/>
        </w:rPr>
      </w:r>
    </w:p>
    <w:p w14:paraId="4459D18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37D56F0D" w14:textId="3779D9DD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Требования к сертификату технической поддержки</w:t>
      </w:r>
      <w:r>
        <w:rPr>
          <w:b/>
          <w:color w:val="000000"/>
        </w:rPr>
      </w:r>
      <w:r>
        <w:rPr>
          <w:b/>
          <w:color w:val="000000"/>
        </w:rPr>
      </w:r>
    </w:p>
    <w:p w14:paraId="12120BC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595ACB20" w14:textId="18D3F62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360"/>
        <w:jc w:val="both"/>
        <w:rPr>
          <w:color w:val="000000"/>
        </w:rPr>
      </w:pPr>
      <w:r>
        <w:rPr>
          <w:color w:val="000000"/>
        </w:rPr>
        <w:t xml:space="preserve">В состав сертификата технической поддержки входят следующие продукты:</w:t>
      </w:r>
      <w:r>
        <w:rPr>
          <w:color w:val="000000"/>
        </w:rPr>
      </w:r>
      <w:r>
        <w:rPr>
          <w:color w:val="000000"/>
        </w:rPr>
      </w:r>
    </w:p>
    <w:p w14:paraId="169688D7" w14:textId="1D01B06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360"/>
        <w:jc w:val="right"/>
        <w:rPr>
          <w:color w:val="000000"/>
        </w:rPr>
      </w:pPr>
      <w:r>
        <w:rPr>
          <w:color w:val="000000"/>
        </w:rPr>
        <w:t xml:space="preserve">Таблица 2. Состав сертификата</w:t>
      </w:r>
      <w:r>
        <w:rPr>
          <w:color w:val="000000"/>
        </w:rPr>
      </w:r>
      <w:r>
        <w:rPr>
          <w:color w:val="000000"/>
        </w:rPr>
      </w:r>
    </w:p>
    <w:tbl>
      <w:tblPr>
        <w:tblStyle w:val="960"/>
        <w:tblW w:w="0" w:type="auto"/>
        <w:tblBorders/>
        <w:tblLook w:val="04A0" w:firstRow="1" w:lastRow="0" w:firstColumn="1" w:lastColumn="0" w:noHBand="0" w:noVBand="1"/>
      </w:tblPr>
      <w:tblGrid>
        <w:gridCol w:w="8642"/>
        <w:gridCol w:w="1553"/>
      </w:tblGrid>
      <w:tr>
        <w:trPr/>
        <w:tc>
          <w:tcPr>
            <w:tcBorders/>
            <w:tcW w:w="8642" w:type="dxa"/>
          </w:tcPr>
          <w:p w14:paraId="0B2F71CE" w14:textId="77777777">
            <w:pPr>
              <w:pBdr/>
              <w:spacing/>
              <w:ind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/>
            <w:tcW w:w="1553" w:type="dxa"/>
          </w:tcPr>
          <w:p w14:paraId="362DA3E2" w14:textId="77777777">
            <w:pPr>
              <w:pBdr/>
              <w:spacing/>
              <w:ind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642" w:type="dxa"/>
          </w:tcPr>
          <w:p w14:paraId="088D758B" w14:textId="77777777">
            <w:pPr>
              <w:pBdr/>
              <w:spacing/>
              <w:ind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ViPNet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Endpoint Protection (Standalone Agent)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/>
            <w:tcW w:w="1553" w:type="dxa"/>
          </w:tcPr>
          <w:p w14:paraId="35E310FD" w14:textId="77777777">
            <w:pPr>
              <w:pBdr/>
              <w:spacing/>
              <w:in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642" w:type="dxa"/>
          </w:tcPr>
          <w:p w14:paraId="68EBAFAD" w14:textId="77777777">
            <w:pPr>
              <w:pBdr/>
              <w:spacing/>
              <w:ind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ПО ViPNet PKI Client 2.x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/>
            <w:tcW w:w="1553" w:type="dxa"/>
          </w:tcPr>
          <w:p w14:paraId="34BF7629" w14:textId="77777777">
            <w:pPr>
              <w:pBdr/>
              <w:spacing/>
              <w:in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642" w:type="dxa"/>
          </w:tcPr>
          <w:p w14:paraId="3970177D" w14:textId="77777777">
            <w:pPr>
              <w:pBdr/>
              <w:spacing/>
              <w:in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ПМДЗ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ViPNet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SafeBoot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(исполнение 2)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1553" w:type="dxa"/>
          </w:tcPr>
          <w:p w14:paraId="1C41FBA4" w14:textId="77777777">
            <w:pPr>
              <w:pBdr/>
              <w:spacing/>
              <w:in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 w14:paraId="0949288F" w14:textId="049EE8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77A1CB20" w14:textId="6518E37C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Требования к сервису технической поддержки</w:t>
      </w:r>
      <w:r>
        <w:rPr>
          <w:b/>
          <w:color w:val="000000"/>
        </w:rPr>
        <w:t xml:space="preserve"> сертификата </w:t>
      </w:r>
      <w:r>
        <w:rPr>
          <w:b/>
          <w:color w:val="000000"/>
          <w:lang w:val="en-US"/>
        </w:rPr>
        <w:t xml:space="preserve">ViPNet</w:t>
      </w:r>
      <w:r>
        <w:rPr>
          <w:b/>
          <w:color w:val="000000"/>
        </w:rPr>
      </w:r>
      <w:r>
        <w:rPr>
          <w:b/>
          <w:color w:val="000000"/>
        </w:rPr>
      </w:r>
    </w:p>
    <w:p w14:paraId="2DDCFB3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left="360"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119DA607" w14:textId="34297251">
      <w:pPr>
        <w:pBdr/>
        <w:spacing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Техническая поддержка оказывается в соответствии с условиями предоставления услуги «Техническая поддержка» производителя по уровню «</w:t>
      </w:r>
      <w:r>
        <w:rPr>
          <w:rFonts w:eastAsia="Calibri"/>
        </w:rPr>
        <w:t xml:space="preserve">Расширенный</w:t>
      </w:r>
      <w:r>
        <w:rPr>
          <w:rFonts w:eastAsia="Calibri"/>
        </w:rPr>
        <w:t xml:space="preserve">». </w:t>
      </w:r>
      <w:r>
        <w:rPr>
          <w:rFonts w:eastAsia="Calibri"/>
        </w:rPr>
      </w:r>
      <w:r>
        <w:rPr>
          <w:rFonts w:eastAsia="Calibri"/>
        </w:rPr>
      </w:r>
    </w:p>
    <w:p w14:paraId="67F70D7E" w14:textId="77777777">
      <w:pPr>
        <w:pBdr/>
        <w:spacing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Оказание услуг технической поддержки на первой линии (п</w:t>
      </w:r>
      <w:r>
        <w:rPr>
          <w:rFonts w:eastAsia="Calibri"/>
        </w:rPr>
        <w:t xml:space="preserve">риём, обработка и первоначальный анализ запросов Заказчика) производится Исполнителем (авторизованным партнёром производителя «ИнфоТеКС»). Полные условия предоставления технической поддержки опубликованы на официальном сайте производителя www.infotecs.ru. </w:t>
      </w:r>
      <w:r>
        <w:rPr>
          <w:rFonts w:eastAsia="Calibri"/>
        </w:rPr>
      </w:r>
      <w:r>
        <w:rPr>
          <w:rFonts w:eastAsia="Calibri"/>
        </w:rPr>
      </w:r>
    </w:p>
    <w:p w14:paraId="0BCD8866" w14:textId="77777777">
      <w:pPr>
        <w:pBdr/>
        <w:spacing/>
        <w:ind/>
        <w:jc w:val="both"/>
        <w:rPr>
          <w:rFonts w:eastAsia="Calibri"/>
          <w:bCs/>
        </w:rPr>
      </w:pPr>
      <w:r>
        <w:rPr>
          <w:rFonts w:eastAsia="Calibri"/>
        </w:rPr>
        <w:t xml:space="preserve">Техническая поддержка должна включать в себя следующий набор услуг:</w:t>
      </w:r>
      <w:r>
        <w:rPr>
          <w:rFonts w:eastAsia="Calibri"/>
          <w:bCs/>
        </w:rPr>
      </w:r>
      <w:r>
        <w:rPr>
          <w:rFonts w:eastAsia="Calibri"/>
          <w:bCs/>
        </w:rPr>
      </w:r>
    </w:p>
    <w:p w14:paraId="467577A7" w14:textId="2BD58060">
      <w:pPr>
        <w:numPr>
          <w:ilvl w:val="0"/>
          <w:numId w:val="18"/>
        </w:numPr>
        <w:pBdr/>
        <w:shd w:val="clear" w:color="auto" w:fill="ffffff"/>
        <w:tabs>
          <w:tab w:val="left" w:leader="none" w:pos="993"/>
        </w:tabs>
        <w:spacing/>
        <w:ind w:right="0" w:firstLine="709" w:left="0"/>
        <w:contextualSpacing w:val="true"/>
        <w:jc w:val="both"/>
        <w:rPr/>
      </w:pPr>
      <w:r>
        <w:t xml:space="preserve">Приём обращений и консультирование по электронной почте в рабочие дни с </w:t>
      </w:r>
      <w:r>
        <w:t xml:space="preserve">9</w:t>
      </w:r>
      <w:r>
        <w:t xml:space="preserve">:00 до </w:t>
      </w:r>
      <w:r>
        <w:t xml:space="preserve">18</w:t>
      </w:r>
      <w:r>
        <w:t xml:space="preserve">:00 по времени Заказчика;</w:t>
      </w:r>
      <w:r/>
    </w:p>
    <w:p w14:paraId="237C2540" w14:textId="2517DF5A">
      <w:pPr>
        <w:numPr>
          <w:ilvl w:val="0"/>
          <w:numId w:val="18"/>
        </w:numPr>
        <w:pBdr/>
        <w:shd w:val="clear" w:color="auto" w:fill="ffffff"/>
        <w:tabs>
          <w:tab w:val="left" w:leader="none" w:pos="993"/>
        </w:tabs>
        <w:spacing/>
        <w:ind w:right="0" w:firstLine="709" w:left="0"/>
        <w:contextualSpacing w:val="true"/>
        <w:jc w:val="both"/>
        <w:rPr/>
      </w:pPr>
      <w:r>
        <w:t xml:space="preserve">Приём обращений и консультирование по телефону горячей линии в рабочие дни с </w:t>
      </w:r>
      <w:r>
        <w:t xml:space="preserve">9</w:t>
      </w:r>
      <w:r>
        <w:t xml:space="preserve">:00 до </w:t>
      </w:r>
      <w:r>
        <w:t xml:space="preserve">18</w:t>
      </w:r>
      <w:r>
        <w:t xml:space="preserve">:00 по времени Заказчика;</w:t>
      </w:r>
      <w:r/>
    </w:p>
    <w:p w14:paraId="6CADCB15" w14:textId="77777777">
      <w:pPr>
        <w:numPr>
          <w:ilvl w:val="0"/>
          <w:numId w:val="18"/>
        </w:numPr>
        <w:pBdr/>
        <w:shd w:val="clear" w:color="auto" w:fill="ffffff"/>
        <w:tabs>
          <w:tab w:val="left" w:leader="none" w:pos="993"/>
        </w:tabs>
        <w:spacing/>
        <w:ind w:right="0" w:firstLine="709" w:left="0"/>
        <w:contextualSpacing w:val="true"/>
        <w:jc w:val="both"/>
        <w:rPr/>
      </w:pPr>
      <w:r>
        <w:t xml:space="preserve">Консультирование при установке Продуктов:</w:t>
      </w:r>
      <w:r/>
    </w:p>
    <w:p w14:paraId="6254E5BB" w14:textId="77777777">
      <w:pPr>
        <w:pStyle w:val="961"/>
        <w:numPr>
          <w:ilvl w:val="0"/>
          <w:numId w:val="22"/>
        </w:numPr>
        <w:pBdr/>
        <w:shd w:val="clear" w:color="auto" w:fill="ffffff"/>
        <w:tabs>
          <w:tab w:val="left" w:leader="none" w:pos="1276"/>
        </w:tabs>
        <w:spacing/>
        <w:ind w:right="0" w:firstLine="709" w:left="0"/>
        <w:jc w:val="both"/>
        <w:rPr>
          <w:sz w:val="24"/>
        </w:rPr>
      </w:pPr>
      <w:r>
        <w:rPr>
          <w:sz w:val="24"/>
        </w:rPr>
        <w:t xml:space="preserve">р</w:t>
      </w:r>
      <w:r>
        <w:rPr>
          <w:sz w:val="24"/>
        </w:rPr>
        <w:t xml:space="preserve">екомендации по процессу установки продукта в объеме эксплуатационной документации;</w:t>
      </w:r>
      <w:r>
        <w:rPr>
          <w:sz w:val="24"/>
        </w:rPr>
      </w:r>
      <w:r>
        <w:rPr>
          <w:sz w:val="24"/>
        </w:rPr>
      </w:r>
    </w:p>
    <w:p w14:paraId="6DFE0F92" w14:textId="77777777">
      <w:pPr>
        <w:numPr>
          <w:ilvl w:val="0"/>
          <w:numId w:val="18"/>
        </w:numPr>
        <w:pBdr/>
        <w:shd w:val="clear" w:color="auto" w:fill="ffffff"/>
        <w:tabs>
          <w:tab w:val="left" w:leader="none" w:pos="993"/>
        </w:tabs>
        <w:spacing/>
        <w:ind w:right="0" w:firstLine="709" w:left="0"/>
        <w:contextualSpacing w:val="true"/>
        <w:jc w:val="both"/>
        <w:rPr/>
      </w:pPr>
      <w:r>
        <w:t xml:space="preserve">Консультирование при эксплуатации продуктов </w:t>
      </w:r>
      <w:r>
        <w:t xml:space="preserve">ViPNet</w:t>
      </w:r>
      <w:r>
        <w:t xml:space="preserve">:</w:t>
      </w:r>
      <w:r/>
    </w:p>
    <w:p w14:paraId="46A84FAC" w14:textId="77777777">
      <w:pPr>
        <w:pStyle w:val="961"/>
        <w:numPr>
          <w:ilvl w:val="0"/>
          <w:numId w:val="22"/>
        </w:numPr>
        <w:pBdr/>
        <w:shd w:val="clear" w:color="auto" w:fill="ffffff"/>
        <w:tabs>
          <w:tab w:val="left" w:leader="none" w:pos="1276"/>
        </w:tabs>
        <w:spacing/>
        <w:ind w:right="0" w:firstLine="709" w:left="0"/>
        <w:jc w:val="both"/>
        <w:rPr>
          <w:sz w:val="24"/>
        </w:rPr>
      </w:pPr>
      <w:r>
        <w:rPr>
          <w:sz w:val="24"/>
        </w:rPr>
        <w:t xml:space="preserve">р</w:t>
      </w:r>
      <w:r>
        <w:rPr>
          <w:sz w:val="24"/>
        </w:rPr>
        <w:t xml:space="preserve">екомендации по настройке продукта в объеме эксплуатационной документации;</w:t>
      </w:r>
      <w:r>
        <w:rPr>
          <w:sz w:val="24"/>
        </w:rPr>
      </w:r>
      <w:r>
        <w:rPr>
          <w:sz w:val="24"/>
        </w:rPr>
      </w:r>
    </w:p>
    <w:p w14:paraId="4205483C" w14:textId="77777777">
      <w:pPr>
        <w:numPr>
          <w:ilvl w:val="0"/>
          <w:numId w:val="18"/>
        </w:numPr>
        <w:pBdr/>
        <w:shd w:val="clear" w:color="auto" w:fill="ffffff"/>
        <w:tabs>
          <w:tab w:val="left" w:leader="none" w:pos="993"/>
        </w:tabs>
        <w:spacing/>
        <w:ind w:right="0" w:firstLine="709" w:left="0"/>
        <w:contextualSpacing w:val="true"/>
        <w:jc w:val="both"/>
        <w:rPr/>
      </w:pPr>
      <w:r>
        <w:t xml:space="preserve">Обновление Продуктов:</w:t>
      </w:r>
      <w:r/>
    </w:p>
    <w:p w14:paraId="5FB0FBF6" w14:textId="77777777">
      <w:pPr>
        <w:pStyle w:val="961"/>
        <w:numPr>
          <w:ilvl w:val="0"/>
          <w:numId w:val="22"/>
        </w:numPr>
        <w:pBdr/>
        <w:shd w:val="clear" w:color="auto" w:fill="ffffff"/>
        <w:tabs>
          <w:tab w:val="left" w:leader="none" w:pos="1276"/>
        </w:tabs>
        <w:spacing/>
        <w:ind w:right="0" w:firstLine="709" w:left="0"/>
        <w:jc w:val="both"/>
        <w:rPr>
          <w:sz w:val="24"/>
        </w:rPr>
      </w:pPr>
      <w:r>
        <w:rPr>
          <w:sz w:val="24"/>
        </w:rPr>
        <w:t xml:space="preserve">обновление (</w:t>
      </w:r>
      <w:r>
        <w:rPr>
          <w:sz w:val="24"/>
        </w:rPr>
        <w:t xml:space="preserve">hotfix</w:t>
      </w:r>
      <w:r>
        <w:rPr>
          <w:sz w:val="24"/>
        </w:rPr>
        <w:t xml:space="preserve">), устраняющее дефекты, выявленные в продукте;</w:t>
      </w:r>
      <w:r>
        <w:rPr>
          <w:sz w:val="24"/>
        </w:rPr>
      </w:r>
      <w:r>
        <w:rPr>
          <w:sz w:val="24"/>
        </w:rPr>
      </w:r>
    </w:p>
    <w:p w14:paraId="23BF083A" w14:textId="77777777">
      <w:pPr>
        <w:pStyle w:val="961"/>
        <w:numPr>
          <w:ilvl w:val="0"/>
          <w:numId w:val="22"/>
        </w:numPr>
        <w:pBdr/>
        <w:shd w:val="clear" w:color="auto" w:fill="ffffff"/>
        <w:tabs>
          <w:tab w:val="left" w:leader="none" w:pos="1276"/>
        </w:tabs>
        <w:spacing/>
        <w:ind w:right="0" w:firstLine="709" w:left="0"/>
        <w:jc w:val="both"/>
        <w:rPr>
          <w:sz w:val="24"/>
        </w:rPr>
      </w:pPr>
      <w:r>
        <w:rPr>
          <w:sz w:val="24"/>
        </w:rPr>
        <w:t xml:space="preserve">обновление (</w:t>
      </w:r>
      <w:r>
        <w:rPr>
          <w:sz w:val="24"/>
        </w:rPr>
        <w:t xml:space="preserve">hotfix</w:t>
      </w:r>
      <w:r>
        <w:rPr>
          <w:sz w:val="24"/>
        </w:rPr>
        <w:t xml:space="preserve">), а также все изменения, производимые в рамках минорной (</w:t>
      </w:r>
      <w:r>
        <w:rPr>
          <w:sz w:val="24"/>
        </w:rPr>
        <w:t xml:space="preserve">minor</w:t>
      </w:r>
      <w:r>
        <w:rPr>
          <w:sz w:val="24"/>
        </w:rPr>
        <w:t xml:space="preserve">) версии продукта (</w:t>
      </w:r>
      <w:r>
        <w:rPr>
          <w:sz w:val="24"/>
        </w:rPr>
        <w:t xml:space="preserve">service</w:t>
      </w:r>
      <w:r>
        <w:rPr>
          <w:sz w:val="24"/>
        </w:rPr>
        <w:t xml:space="preserve"> </w:t>
      </w:r>
      <w:r>
        <w:rPr>
          <w:sz w:val="24"/>
        </w:rPr>
        <w:t xml:space="preserve">pack</w:t>
      </w:r>
      <w:r>
        <w:rPr>
          <w:sz w:val="24"/>
        </w:rPr>
        <w:t xml:space="preserve">); </w:t>
      </w:r>
      <w:r>
        <w:rPr>
          <w:sz w:val="24"/>
        </w:rPr>
      </w:r>
      <w:r>
        <w:rPr>
          <w:sz w:val="24"/>
        </w:rPr>
      </w:r>
    </w:p>
    <w:p w14:paraId="72AB5636" w14:textId="77777777">
      <w:pPr>
        <w:pStyle w:val="961"/>
        <w:numPr>
          <w:ilvl w:val="0"/>
          <w:numId w:val="22"/>
        </w:numPr>
        <w:pBdr/>
        <w:shd w:val="clear" w:color="auto" w:fill="ffffff"/>
        <w:tabs>
          <w:tab w:val="left" w:leader="none" w:pos="1276"/>
        </w:tabs>
        <w:spacing/>
        <w:ind w:right="0" w:firstLine="709" w:left="0"/>
        <w:jc w:val="both"/>
        <w:rPr>
          <w:sz w:val="24"/>
        </w:rPr>
      </w:pPr>
      <w:r>
        <w:rPr>
          <w:sz w:val="24"/>
        </w:rPr>
        <w:t xml:space="preserve">новые версии (изменение мажорной (</w:t>
      </w:r>
      <w:r>
        <w:rPr>
          <w:sz w:val="24"/>
        </w:rPr>
        <w:t xml:space="preserve">major</w:t>
      </w:r>
      <w:r>
        <w:rPr>
          <w:sz w:val="24"/>
        </w:rPr>
        <w:t xml:space="preserve">) версии, поколения) продукта без взимания дополнительной платы (для ПАК — только программные компоненты);</w:t>
      </w:r>
      <w:r>
        <w:rPr>
          <w:sz w:val="24"/>
        </w:rPr>
      </w:r>
      <w:r>
        <w:rPr>
          <w:sz w:val="24"/>
        </w:rPr>
      </w:r>
    </w:p>
    <w:p w14:paraId="321737D9" w14:textId="77777777">
      <w:pPr>
        <w:numPr>
          <w:ilvl w:val="0"/>
          <w:numId w:val="18"/>
        </w:numPr>
        <w:pBdr/>
        <w:shd w:val="clear" w:color="auto" w:fill="ffffff"/>
        <w:tabs>
          <w:tab w:val="left" w:leader="none" w:pos="993"/>
        </w:tabs>
        <w:spacing/>
        <w:ind w:right="0" w:firstLine="709" w:left="0"/>
        <w:contextualSpacing w:val="true"/>
        <w:jc w:val="both"/>
        <w:rPr/>
      </w:pPr>
      <w:r>
        <w:t xml:space="preserve">Ремонт или замена неисправного оборудования:</w:t>
      </w:r>
      <w:r/>
    </w:p>
    <w:p w14:paraId="3FC65EC4" w14:textId="77777777">
      <w:pPr>
        <w:pStyle w:val="961"/>
        <w:numPr>
          <w:ilvl w:val="0"/>
          <w:numId w:val="22"/>
        </w:numPr>
        <w:pBdr/>
        <w:shd w:val="clear" w:color="auto" w:fill="ffffff"/>
        <w:tabs>
          <w:tab w:val="left" w:leader="none" w:pos="1276"/>
        </w:tabs>
        <w:spacing/>
        <w:ind w:right="0" w:firstLine="709" w:left="0"/>
        <w:jc w:val="both"/>
        <w:rPr>
          <w:sz w:val="24"/>
        </w:rPr>
      </w:pPr>
      <w:r>
        <w:rPr>
          <w:sz w:val="24"/>
        </w:rPr>
        <w:t xml:space="preserve">в</w:t>
      </w:r>
      <w:r>
        <w:rPr>
          <w:sz w:val="24"/>
        </w:rPr>
        <w:t xml:space="preserve">осстановление работоспособности (ремонт) вышедшего из строя оборудования (аппаратной платформы ПАК) из состава Продуктов Пользователя в соответствии с гарантийными обязательствами производителя. Доставка не входит в стоимость.</w:t>
      </w:r>
      <w:r>
        <w:rPr>
          <w:sz w:val="24"/>
        </w:rPr>
      </w:r>
      <w:r>
        <w:rPr>
          <w:sz w:val="24"/>
        </w:rPr>
      </w:r>
    </w:p>
    <w:p w14:paraId="382E645D" w14:textId="77777777">
      <w:pPr>
        <w:pBdr/>
        <w:spacing/>
        <w:ind w:firstLine="567" w:left="-142"/>
        <w:jc w:val="both"/>
        <w:rPr>
          <w:bCs/>
        </w:rPr>
      </w:pPr>
      <w:r>
        <w:rPr>
          <w:bCs/>
        </w:rPr>
        <w:t xml:space="preserve">Гарантированное время реакции на обращение определяется приоритетностью обращения:</w:t>
      </w:r>
      <w:r>
        <w:rPr>
          <w:bCs/>
        </w:rPr>
      </w:r>
      <w:r>
        <w:rPr>
          <w:bCs/>
        </w:rPr>
      </w:r>
    </w:p>
    <w:p w14:paraId="66CD117C" w14:textId="77777777">
      <w:pPr>
        <w:pBdr/>
        <w:spacing/>
        <w:ind/>
        <w:jc w:val="right"/>
        <w:rPr>
          <w:bCs/>
        </w:rPr>
      </w:pPr>
      <w:r>
        <w:rPr>
          <w:bCs/>
        </w:rPr>
        <w:t xml:space="preserve">Таблица 3. Время реакции на обращение</w:t>
      </w:r>
      <w:r>
        <w:rPr>
          <w:bCs/>
        </w:rPr>
      </w:r>
      <w:r>
        <w:rPr>
          <w:bCs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862"/>
        <w:gridCol w:w="6333"/>
      </w:tblGrid>
      <w:tr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4" w:type="pct"/>
            <w:vAlign w:val="center"/>
          </w:tcPr>
          <w:p w14:paraId="6424A9BF" w14:textId="77777777">
            <w:pPr>
              <w:pBdr/>
              <w:spacing/>
              <w:ind/>
              <w:jc w:val="both"/>
              <w:rPr>
                <w:b/>
                <w:bCs/>
              </w:rPr>
            </w:pPr>
            <w:r/>
            <w:bookmarkStart w:id="2" w:name="_Hlk99633703"/>
            <w:r>
              <w:rPr>
                <w:b/>
                <w:bCs/>
              </w:rPr>
              <w:t xml:space="preserve">Приоритет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6" w:type="pct"/>
          </w:tcPr>
          <w:p w14:paraId="6D90ED35" w14:textId="77777777">
            <w:pPr>
              <w:pBdr/>
              <w:spacing/>
              <w:ind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Гарантированное время реакции, не более чем: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4" w:type="pct"/>
            <w:vAlign w:val="center"/>
          </w:tcPr>
          <w:p w14:paraId="66EC94B1" w14:textId="77777777">
            <w:pPr>
              <w:pBdr/>
              <w:spacing/>
              <w:ind/>
              <w:jc w:val="both"/>
              <w:rPr>
                <w:bCs/>
              </w:rPr>
            </w:pPr>
            <w:r>
              <w:rPr>
                <w:bCs/>
              </w:rPr>
              <w:t xml:space="preserve">Критический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6" w:type="pct"/>
          </w:tcPr>
          <w:p w14:paraId="1D114B1B" w14:textId="77777777">
            <w:pPr>
              <w:pBdr/>
              <w:spacing/>
              <w:ind/>
              <w:jc w:val="both"/>
              <w:rPr>
                <w:bCs/>
              </w:rPr>
            </w:pPr>
            <w:r>
              <w:rPr>
                <w:bCs/>
              </w:rPr>
              <w:t xml:space="preserve">4 рабочих часа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4" w:type="pct"/>
            <w:vAlign w:val="center"/>
          </w:tcPr>
          <w:p w14:paraId="79DB9848" w14:textId="77777777">
            <w:pPr>
              <w:pBdr/>
              <w:spacing/>
              <w:ind/>
              <w:jc w:val="both"/>
              <w:rPr>
                <w:bCs/>
              </w:rPr>
            </w:pPr>
            <w:r>
              <w:rPr>
                <w:bCs/>
              </w:rPr>
              <w:t xml:space="preserve">Средний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6" w:type="pct"/>
          </w:tcPr>
          <w:p w14:paraId="786DF9BD" w14:textId="77777777">
            <w:pPr>
              <w:pBdr/>
              <w:spacing/>
              <w:ind/>
              <w:jc w:val="both"/>
              <w:rPr>
                <w:bCs/>
              </w:rPr>
            </w:pPr>
            <w:r>
              <w:rPr>
                <w:bCs/>
              </w:rPr>
              <w:t xml:space="preserve">8 рабочих часов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4" w:type="pct"/>
            <w:vAlign w:val="center"/>
          </w:tcPr>
          <w:p w14:paraId="20F4C1C2" w14:textId="77777777">
            <w:pPr>
              <w:pBdr/>
              <w:spacing/>
              <w:ind/>
              <w:jc w:val="both"/>
              <w:rPr>
                <w:bCs/>
              </w:rPr>
            </w:pPr>
            <w:r>
              <w:rPr>
                <w:bCs/>
              </w:rPr>
              <w:t xml:space="preserve">Низкий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6" w:type="pct"/>
          </w:tcPr>
          <w:p w14:paraId="68B9FFF3" w14:textId="77777777">
            <w:pPr>
              <w:pBdr/>
              <w:spacing/>
              <w:ind/>
              <w:jc w:val="both"/>
              <w:rPr>
                <w:bCs/>
              </w:rPr>
            </w:pPr>
            <w:r>
              <w:rPr>
                <w:bCs/>
              </w:rPr>
              <w:t xml:space="preserve">12 рабочих часов</w:t>
            </w:r>
            <w:bookmarkEnd w:id="2"/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 w14:paraId="300C990C" w14:textId="35E86F5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6E8B8D8C" w14:textId="18E597F2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Требования к сервису технической поддержки</w:t>
      </w:r>
      <w:r>
        <w:rPr>
          <w:b/>
          <w:color w:val="000000"/>
        </w:rPr>
        <w:t xml:space="preserve"> для </w:t>
      </w:r>
      <w:r>
        <w:rPr>
          <w:b/>
          <w:color w:val="000000"/>
        </w:rPr>
        <w:t xml:space="preserve">Secret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Net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Studio</w:t>
      </w:r>
      <w:r>
        <w:rPr>
          <w:b/>
          <w:color w:val="000000"/>
        </w:rPr>
      </w:r>
      <w:r>
        <w:rPr>
          <w:b/>
          <w:color w:val="000000"/>
        </w:rPr>
      </w:r>
    </w:p>
    <w:p w14:paraId="25733316" w14:textId="3B02D22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303FDA66" w14:textId="2CB4A78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  <w:t xml:space="preserve">Техниче</w:t>
      </w:r>
      <w:r>
        <w:rPr>
          <w:color w:val="000000"/>
        </w:rPr>
        <w:t xml:space="preserve">ская поддержка должна включать:</w:t>
      </w:r>
      <w:r>
        <w:rPr>
          <w:color w:val="000000"/>
        </w:rPr>
      </w:r>
      <w:r>
        <w:rPr>
          <w:color w:val="000000"/>
        </w:rPr>
      </w:r>
    </w:p>
    <w:p w14:paraId="4AE710A0" w14:textId="4E336530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Приоритет обслуживания </w:t>
      </w:r>
      <w:r>
        <w:rPr>
          <w:color w:val="000000"/>
          <w:sz w:val="24"/>
        </w:rPr>
        <w:t xml:space="preserve">вендора</w:t>
      </w:r>
      <w:r>
        <w:rPr>
          <w:color w:val="000000"/>
          <w:sz w:val="24"/>
        </w:rPr>
        <w:t xml:space="preserve">: Стандартный;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4809FAE1" w14:textId="1B461DC4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Доступность услуги </w:t>
      </w:r>
      <w:r>
        <w:rPr>
          <w:color w:val="000000"/>
          <w:sz w:val="24"/>
        </w:rPr>
        <w:t xml:space="preserve">ТП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24х7</w:t>
      </w:r>
      <w:r>
        <w:rPr>
          <w:color w:val="000000"/>
          <w:sz w:val="24"/>
        </w:rPr>
        <w:t xml:space="preserve">: Портал самообслуживания, e-</w:t>
      </w:r>
      <w:r>
        <w:rPr>
          <w:color w:val="000000"/>
          <w:sz w:val="24"/>
        </w:rPr>
        <w:t xml:space="preserve">mail</w:t>
      </w:r>
      <w:r>
        <w:rPr>
          <w:color w:val="000000"/>
          <w:sz w:val="24"/>
        </w:rPr>
        <w:t xml:space="preserve">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5925E8FD" w14:textId="65F8F641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Доступ к </w:t>
      </w:r>
      <w:r>
        <w:rPr>
          <w:color w:val="000000"/>
          <w:sz w:val="24"/>
        </w:rPr>
        <w:t xml:space="preserve">БЗ</w:t>
      </w:r>
      <w:r>
        <w:rPr>
          <w:color w:val="000000"/>
          <w:sz w:val="24"/>
        </w:rPr>
        <w:t xml:space="preserve"> (известные ошибки и типовые решения);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17896295" w14:textId="5E66E481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Самостоятельная регистрация и контроль обращений через портал самообслуживания;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309E034B" w14:textId="71F6D4F3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Работа над инцидентами в режиме </w:t>
      </w:r>
      <w:r>
        <w:rPr>
          <w:color w:val="000000"/>
          <w:sz w:val="24"/>
        </w:rPr>
        <w:t xml:space="preserve">8х5</w:t>
      </w:r>
      <w:r>
        <w:rPr>
          <w:color w:val="000000"/>
          <w:sz w:val="24"/>
        </w:rPr>
        <w:t xml:space="preserve"> (рабочие дни);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1343448D" w14:textId="3347749F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Консультирование по установке и использованию продукта;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0457E563" w14:textId="76F748BB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Информирование о доступных обновлениях продукта по запросу;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3B07C72E" w14:textId="3C7B1116">
      <w:pPr>
        <w:pStyle w:val="961"/>
        <w:numPr>
          <w:ilvl w:val="0"/>
          <w:numId w:val="2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Доступ к пакетам обновлений продукта.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 w14:paraId="731600D4" w14:textId="63D35CD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14634F22" w14:textId="507151AA">
      <w:pPr>
        <w:widowControl w:val="false"/>
        <w:pBdr/>
        <w:shd w:val="clear" w:color="auto" w:fill="ffffff"/>
        <w:tabs>
          <w:tab w:val="left" w:leader="none" w:pos="0"/>
        </w:tabs>
        <w:spacing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Гарантированное время реакции на обращение определяется приоритетностью обращ</w:t>
      </w:r>
      <w:r>
        <w:rPr>
          <w:bCs/>
          <w:color w:val="000000"/>
        </w:rPr>
        <w:t xml:space="preserve">ения в соответствии с таблицей 4</w:t>
      </w:r>
      <w:r>
        <w:rPr>
          <w:bCs/>
          <w:color w:val="000000"/>
        </w:rPr>
        <w:t xml:space="preserve">:</w:t>
      </w:r>
      <w:r>
        <w:rPr>
          <w:bCs/>
          <w:color w:val="000000"/>
        </w:rPr>
      </w:r>
      <w:r>
        <w:rPr>
          <w:bCs/>
          <w:color w:val="000000"/>
        </w:rPr>
      </w:r>
    </w:p>
    <w:p w14:paraId="40DF7EFA" w14:textId="745530B7">
      <w:pPr>
        <w:widowControl w:val="false"/>
        <w:pBdr/>
        <w:shd w:val="clear" w:color="auto" w:fill="ffffff"/>
        <w:tabs>
          <w:tab w:val="left" w:leader="none" w:pos="0"/>
        </w:tabs>
        <w:spacing/>
        <w:ind/>
        <w:jc w:val="right"/>
        <w:rPr>
          <w:bCs/>
          <w:color w:val="000000"/>
        </w:rPr>
      </w:pPr>
      <w:r>
        <w:rPr>
          <w:bCs/>
          <w:color w:val="000000"/>
        </w:rPr>
        <w:t xml:space="preserve">Таблица 4</w:t>
      </w:r>
      <w:r>
        <w:rPr>
          <w:bCs/>
          <w:color w:val="000000"/>
        </w:rPr>
        <w:t xml:space="preserve">. Гарантированное время реагирования </w:t>
      </w:r>
      <w:r>
        <w:rPr>
          <w:bCs/>
          <w:color w:val="000000"/>
        </w:rPr>
      </w:r>
      <w:r>
        <w:rPr>
          <w:bCs/>
          <w:color w:val="000000"/>
        </w:rPr>
      </w:r>
    </w:p>
    <w:tbl>
      <w:tblPr>
        <w:tblStyle w:val="960"/>
        <w:tblW w:w="5000" w:type="pct"/>
        <w:tblBorders/>
        <w:tblLook w:val="04A0" w:firstRow="1" w:lastRow="0" w:firstColumn="1" w:lastColumn="0" w:noHBand="0" w:noVBand="1"/>
      </w:tblPr>
      <w:tblGrid>
        <w:gridCol w:w="4292"/>
        <w:gridCol w:w="5903"/>
      </w:tblGrid>
      <w:tr>
        <w:trPr/>
        <w:tc>
          <w:tcPr>
            <w:tcBorders/>
            <w:tcW w:w="2105" w:type="pct"/>
            <w:vAlign w:val="center"/>
          </w:tcPr>
          <w:p w14:paraId="59171C6D" w14:textId="77777777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Приоритет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/>
            <w:tcW w:w="2895" w:type="pct"/>
          </w:tcPr>
          <w:p w14:paraId="66AA791B" w14:textId="77777777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Гарантированное время реакции, не более чем: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105" w:type="pct"/>
            <w:vAlign w:val="center"/>
          </w:tcPr>
          <w:p w14:paraId="3493D484" w14:textId="77777777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Критичный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895" w:type="pct"/>
          </w:tcPr>
          <w:p w14:paraId="264C9516" w14:textId="645AE49D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Время передачи в работу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≤ 30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минут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105" w:type="pct"/>
            <w:vAlign w:val="center"/>
          </w:tcPr>
          <w:p w14:paraId="18885AA5" w14:textId="77777777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Существенный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895" w:type="pct"/>
          </w:tcPr>
          <w:p w14:paraId="420A3359" w14:textId="5A129157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Время передачи в работу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≤ 45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минут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59"/>
        </w:trPr>
        <w:tc>
          <w:tcPr>
            <w:tcBorders/>
            <w:tcW w:w="2105" w:type="pct"/>
            <w:vAlign w:val="center"/>
          </w:tcPr>
          <w:p w14:paraId="45F83DCD" w14:textId="77777777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Средний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895" w:type="pct"/>
          </w:tcPr>
          <w:p w14:paraId="5F67C6A0" w14:textId="57455EC4">
            <w:pPr>
              <w:widowControl w:val="false"/>
              <w:pBdr/>
              <w:shd w:val="clear" w:color="auto" w:fill="ffffff"/>
              <w:tabs>
                <w:tab w:val="left" w:leader="none" w:pos="0"/>
              </w:tabs>
              <w:spacing/>
              <w:ind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Время передачи в работу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≤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час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r>
          </w:p>
        </w:tc>
      </w:tr>
    </w:tbl>
    <w:p w14:paraId="79CDF4B3" w14:textId="5DC1E20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6E582026" w14:textId="20E439D6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Порядок взаимодействия</w:t>
      </w:r>
      <w:r>
        <w:rPr>
          <w:b/>
          <w:color w:val="000000"/>
        </w:rPr>
      </w:r>
      <w:r>
        <w:rPr>
          <w:b/>
          <w:color w:val="000000"/>
        </w:rPr>
      </w:r>
    </w:p>
    <w:p w14:paraId="052E466E" w14:textId="77777777">
      <w:pPr>
        <w:pBdr/>
        <w:tabs>
          <w:tab w:val="left" w:leader="none" w:pos="1134"/>
        </w:tabs>
        <w:spacing/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</w:r>
      <w:r>
        <w:rPr>
          <w:rFonts w:eastAsia="Calibri"/>
          <w:bCs/>
        </w:rPr>
      </w:r>
      <w:r>
        <w:rPr>
          <w:rFonts w:eastAsia="Calibri"/>
          <w:bCs/>
        </w:rPr>
      </w:r>
    </w:p>
    <w:p w14:paraId="45D64246" w14:textId="5E4B2DF0">
      <w:pPr>
        <w:pBdr/>
        <w:tabs>
          <w:tab w:val="left" w:leader="none" w:pos="1134"/>
        </w:tabs>
        <w:spacing/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Для обеспечения взаимодействия Заказчик и Исполнитель обмениваются контактными данными.</w:t>
      </w:r>
      <w:r>
        <w:rPr>
          <w:rFonts w:eastAsia="Calibri"/>
          <w:bCs/>
        </w:rPr>
      </w:r>
      <w:r>
        <w:rPr>
          <w:rFonts w:eastAsia="Calibri"/>
          <w:bCs/>
        </w:rPr>
      </w:r>
    </w:p>
    <w:p w14:paraId="47B943A2" w14:textId="77777777">
      <w:pPr>
        <w:pStyle w:val="961"/>
        <w:pBdr/>
        <w:tabs>
          <w:tab w:val="left" w:leader="none" w:pos="284"/>
          <w:tab w:val="left" w:leader="none" w:pos="1134"/>
        </w:tabs>
        <w:spacing/>
        <w:ind w:firstLine="567" w:left="0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Ф.И.О., телефон должностного лица, ответственного по </w:t>
      </w:r>
      <w:r>
        <w:rPr>
          <w:bCs/>
          <w:sz w:val="24"/>
          <w:szCs w:val="24"/>
        </w:rPr>
        <w:t xml:space="preserve">техническим </w:t>
      </w:r>
      <w:r>
        <w:rPr>
          <w:bCs/>
          <w:sz w:val="24"/>
          <w:szCs w:val="24"/>
        </w:rPr>
        <w:t xml:space="preserve">и </w:t>
      </w:r>
      <w:r>
        <w:rPr>
          <w:bCs/>
          <w:sz w:val="24"/>
          <w:szCs w:val="24"/>
        </w:rPr>
        <w:t xml:space="preserve">организационным вопросам со стороны Заказчика –</w:t>
      </w:r>
      <w:r>
        <w:rPr>
          <w:bCs/>
          <w:sz w:val="24"/>
          <w:szCs w:val="24"/>
          <w:highlight w:val="yellow"/>
        </w:rPr>
        <w:t xml:space="preserve">__________________________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 w14:paraId="512287EA" w14:textId="53C21DFF">
      <w:pPr>
        <w:pStyle w:val="961"/>
        <w:pBdr/>
        <w:tabs>
          <w:tab w:val="left" w:leader="none" w:pos="284"/>
        </w:tabs>
        <w:spacing/>
        <w:ind w:firstLine="709"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Оригинал неисключи</w:t>
      </w:r>
      <w:r>
        <w:rPr>
          <w:bCs/>
          <w:sz w:val="24"/>
          <w:szCs w:val="24"/>
        </w:rPr>
        <w:t xml:space="preserve">тельных прав на использование программного обеспечения и сертификаты технической поддержки предоставляются</w:t>
      </w:r>
      <w:r>
        <w:rPr>
          <w:bCs/>
          <w:sz w:val="24"/>
          <w:szCs w:val="24"/>
        </w:rPr>
        <w:t xml:space="preserve"> на бумажном носителе (при наличии) и отчетные документы поставляются Исполнителем в рабочие дни по адресу Заказчика: </w:t>
      </w:r>
      <w:r>
        <w:rPr>
          <w:bCs/>
          <w:sz w:val="24"/>
          <w:szCs w:val="24"/>
          <w:highlight w:val="yellow"/>
        </w:rPr>
        <w:t xml:space="preserve">_________________________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 w14:paraId="4B194DDF" w14:textId="77777777">
      <w:pPr>
        <w:keepLines w:val="true"/>
        <w:pBdr/>
        <w:tabs>
          <w:tab w:val="left" w:leader="none" w:pos="426"/>
          <w:tab w:val="left" w:leader="none" w:pos="567"/>
          <w:tab w:val="num" w:leader="none" w:pos="709"/>
          <w:tab w:val="left" w:leader="none" w:pos="851"/>
          <w:tab w:val="left" w:leader="none" w:pos="1701"/>
        </w:tabs>
        <w:spacing/>
        <w:ind/>
        <w:contextualSpacing w:val="true"/>
        <w:jc w:val="both"/>
        <w:rPr>
          <w:bCs/>
          <w:color w:val="000000"/>
        </w:rPr>
      </w:pPr>
      <w:r>
        <w:rPr>
          <w:bCs/>
          <w:color w:val="000000"/>
        </w:rPr>
      </w:r>
      <w:r>
        <w:rPr>
          <w:bCs/>
          <w:color w:val="000000"/>
        </w:rPr>
      </w:r>
      <w:r>
        <w:rPr>
          <w:bCs/>
          <w:color w:val="000000"/>
        </w:rPr>
      </w:r>
    </w:p>
    <w:p w14:paraId="24CD4CEA" w14:textId="77777777">
      <w:pPr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num" w:leader="none" w:pos="709"/>
        </w:tabs>
        <w:spacing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Документы участника необходимые для оказания услуг:</w:t>
      </w:r>
      <w:r>
        <w:rPr>
          <w:b/>
          <w:color w:val="000000"/>
        </w:rPr>
      </w:r>
      <w:r>
        <w:rPr>
          <w:b/>
          <w:color w:val="000000"/>
        </w:rPr>
      </w:r>
    </w:p>
    <w:p w14:paraId="3C927BEF" w14:textId="77777777">
      <w:pPr>
        <w:pBdr/>
        <w:spacing/>
        <w:ind w:firstLine="567"/>
        <w:jc w:val="both"/>
        <w:rPr/>
      </w:pPr>
      <w:r/>
      <w:r/>
    </w:p>
    <w:p w14:paraId="730C6BDF" w14:textId="5B508F33">
      <w:pPr>
        <w:pBdr/>
        <w:spacing/>
        <w:ind w:firstLine="567"/>
        <w:jc w:val="both"/>
        <w:rPr/>
      </w:pPr>
      <w:r>
        <w:t xml:space="preserve">В соответствии с п.1 ч.1 ст.12 Федерального закона от 04.05.2011 </w:t>
      </w:r>
      <w:r>
        <w:t xml:space="preserve">№ 99-ФЗ «О лицензировании отдельных видов деятельности» и постановлением Правительства Российской Федерации от 16.04.2012 № 313 «Об утверждении Положения о лицензировании деятельности по разработке, производству, распространению шифровальных (криптографиче</w:t>
      </w:r>
      <w:r>
        <w:t xml:space="preserve">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</w:t>
      </w:r>
      <w:r>
        <w:t xml:space="preserve">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</w:t>
      </w:r>
      <w:r>
        <w:t xml:space="preserve">и телекоммуникационных систем, защищенных с и</w:t>
      </w:r>
      <w:r>
        <w:t xml:space="preserve">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предпринимателя» Исполнитель обязан иметь действующую лицензию ФСБ России со следующим перечнем оказываемых услуг:</w:t>
      </w:r>
      <w:r/>
    </w:p>
    <w:p w14:paraId="3E933310" w14:textId="77777777">
      <w:pPr>
        <w:pStyle w:val="961"/>
        <w:numPr>
          <w:ilvl w:val="0"/>
          <w:numId w:val="19"/>
        </w:numPr>
        <w:pBdr/>
        <w:spacing/>
        <w:ind w:firstLine="426" w:left="0"/>
        <w:jc w:val="both"/>
        <w:rPr>
          <w:sz w:val="24"/>
        </w:rPr>
      </w:pPr>
      <w:r>
        <w:rPr>
          <w:sz w:val="24"/>
        </w:rPr>
        <w:t xml:space="preserve">передача шифровальных (криптографических) средств, за исключением шифров</w:t>
      </w:r>
      <w:r>
        <w:rPr>
          <w:sz w:val="24"/>
        </w:rPr>
        <w:t xml:space="preserve">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</w:t>
      </w:r>
      <w:r>
        <w:rPr>
          <w:sz w:val="24"/>
        </w:rPr>
        <w:t xml:space="preserve">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  <w:r>
        <w:rPr>
          <w:sz w:val="24"/>
        </w:rPr>
      </w:r>
      <w:r>
        <w:rPr>
          <w:sz w:val="24"/>
        </w:rPr>
      </w:r>
    </w:p>
    <w:p w14:paraId="301AB9C4" w14:textId="77777777">
      <w:pPr>
        <w:numPr>
          <w:ilvl w:val="0"/>
          <w:numId w:val="18"/>
        </w:numPr>
        <w:pBdr/>
        <w:shd w:val="clear" w:color="auto" w:fill="ffffff"/>
        <w:tabs>
          <w:tab w:val="left" w:leader="none" w:pos="709"/>
        </w:tabs>
        <w:spacing/>
        <w:ind w:firstLine="426" w:left="0"/>
        <w:contextualSpacing w:val="true"/>
        <w:jc w:val="both"/>
        <w:rPr/>
      </w:pPr>
      <w:r>
        <w:t xml:space="preserve">р</w:t>
      </w:r>
      <w:r>
        <w:t xml:space="preserve">аботы по обслуживанию шифровал</w:t>
      </w:r>
      <w:r>
        <w:t xml:space="preserve">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предпринимателя).</w:t>
      </w:r>
      <w:r/>
    </w:p>
    <w:p w14:paraId="41CDABCD" w14:textId="77777777">
      <w:pPr>
        <w:pBdr/>
        <w:tabs>
          <w:tab w:val="left" w:leader="none" w:pos="0"/>
        </w:tabs>
        <w:spacing/>
        <w:ind w:firstLine="709"/>
        <w:rPr>
          <w:b/>
        </w:rPr>
      </w:pPr>
      <w:r>
        <w:rPr>
          <w:bCs/>
        </w:rPr>
        <w:t xml:space="preserve">Основание</w:t>
      </w:r>
      <w:r>
        <w:rPr>
          <w:bCs/>
        </w:rPr>
        <w:t xml:space="preserve">: п. 5 ч. 1 ст. 12 Федерального закона от 04.05.2011 № 99-ФЗ "О лицензировании отдельных видов деятельности", п. 4 Положения о лицензировании деятельности по технической защите конфиденциальной информации, утвержденного постановлением Правительства РФ от 0</w:t>
      </w:r>
      <w:r>
        <w:rPr>
          <w:bCs/>
        </w:rPr>
        <w:t xml:space="preserve">3.02.2012 № 79</w:t>
      </w:r>
      <w:r>
        <w:rPr>
          <w:bCs/>
        </w:rPr>
        <w:t xml:space="preserve">.</w:t>
      </w:r>
      <w:r>
        <w:rPr>
          <w:b/>
        </w:rPr>
      </w:r>
      <w:r>
        <w:rPr>
          <w:b/>
        </w:rPr>
      </w:r>
    </w:p>
    <w:p w14:paraId="0A44B1FD" w14:textId="77777777">
      <w:pPr>
        <w:pBdr/>
        <w:spacing/>
        <w:ind w:firstLine="709"/>
        <w:jc w:val="both"/>
        <w:rPr>
          <w:bCs/>
          <w:color w:val="000000"/>
        </w:rPr>
      </w:pPr>
      <w:r>
        <w:rPr>
          <w:bCs/>
          <w:color w:val="000000"/>
        </w:rPr>
      </w:r>
      <w:r>
        <w:rPr>
          <w:bCs/>
          <w:color w:val="000000"/>
        </w:rPr>
      </w:r>
      <w:r>
        <w:rPr>
          <w:bCs/>
          <w:color w:val="000000"/>
        </w:rPr>
      </w:r>
    </w:p>
    <w:sectPr>
      <w:headerReference w:type="default" r:id="rId9"/>
      <w:footnotePr/>
      <w:endnotePr/>
      <w:type w:val="nextPage"/>
      <w:pgSz w:h="16838" w:orient="portrait" w:w="11906"/>
      <w:pgMar w:top="568" w:right="567" w:bottom="1418" w:left="1134" w:header="709" w:footer="709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55E59AB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590C29F0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Verdana">
    <w:panose1 w:val="020B060403050404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Noto Sans Symbols">
    <w:panose1 w:val="020B0502040504020204"/>
  </w:font>
  <w:font w:name="Calibri">
    <w:panose1 w:val="020F0502020204030204"/>
  </w:font>
  <w:font w:name="Segoe UI">
    <w:panose1 w:val="020B0502040504020204"/>
  </w:font>
  <w:font w:name="Georgia">
    <w:panose1 w:val="020405020504050203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791BA47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48891E9B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F6D15B5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/>
      <w:ind/>
      <w:jc w:val="center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36928"/>
    <w:lvl w:ilvl="0">
      <w:isLgl w:val="false"/>
      <w:lvlJc w:val="left"/>
      <w:lvlText w:val="−"/>
      <w:numFmt w:val="bullet"/>
      <w:pPr>
        <w:pBdr/>
        <w:spacing/>
        <w:ind w:hanging="360" w:left="1429"/>
      </w:pPr>
      <w:rPr>
        <w:rFonts w:ascii="Noto Sans Symbols" w:hAnsi="Noto Sans Symbols" w:eastAsia="Noto Sans Symbols" w:cs="Noto Sans Symbol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869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3589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5029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749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7189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02051B6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80" w:left="120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21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324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5040"/>
      </w:pPr>
      <w:rPr/>
      <w:start w:val="1"/>
      <w:suff w:val="tab"/>
    </w:lvl>
  </w:abstractNum>
  <w:abstractNum w:abstractNumId="2">
    <w:nsid w:val="034F1FA0"/>
    <w:lvl w:ilvl="0">
      <w:isLgl w:val="false"/>
      <w:lvlJc w:val="left"/>
      <w:lvlText w:val="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tab"/>
    </w:lvl>
  </w:abstractNum>
  <w:abstractNum w:abstractNumId="3">
    <w:nsid w:val="079C1D27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11A05186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1B5960BB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858"/>
      </w:pPr>
      <w:rPr>
        <w:b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7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5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6">
    <w:nsid w:val="255C6A39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2B3D6C16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8">
    <w:nsid w:val="2BBB6CD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80" w:left="120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21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324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5040"/>
      </w:pPr>
      <w:rPr/>
      <w:start w:val="1"/>
      <w:suff w:val="tab"/>
    </w:lvl>
  </w:abstractNum>
  <w:abstractNum w:abstractNumId="9">
    <w:nsid w:val="2F3124C7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3323702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80" w:left="120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21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324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5040"/>
      </w:pPr>
      <w:rPr/>
      <w:start w:val="1"/>
      <w:suff w:val="tab"/>
    </w:lvl>
  </w:abstractNum>
  <w:abstractNum w:abstractNumId="11">
    <w:nsid w:val="4727591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47346BF9"/>
    <w:lvl w:ilvl="0">
      <w:isLgl w:val="false"/>
      <w:lvlJc w:val="left"/>
      <w:lvlText w:val="­"/>
      <w:numFmt w:val="bullet"/>
      <w:pPr>
        <w:pBdr/>
        <w:spacing/>
        <w:ind w:hanging="360" w:left="1353"/>
      </w:pPr>
      <w:rPr>
        <w:rFonts w:hint="default" w:ascii="Verdana" w:hAnsi="Verdana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3">
    <w:nsid w:val="541A1ED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80" w:left="120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21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324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5040"/>
      </w:pPr>
      <w:rPr/>
      <w:start w:val="1"/>
      <w:suff w:val="tab"/>
    </w:lvl>
  </w:abstractNum>
  <w:abstractNum w:abstractNumId="14">
    <w:nsid w:val="54AD3B43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5B8C5BC5"/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6">
    <w:nsid w:val="65C62256"/>
    <w:lvl w:ilvl="0">
      <w:isLgl w:val="false"/>
      <w:lvlJc w:val="left"/>
      <w:lvlText w:val="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tab"/>
    </w:lvl>
  </w:abstractNum>
  <w:abstractNum w:abstractNumId="17">
    <w:nsid w:val="6DDE2723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 w:ascii="Times New Roman" w:hAnsi="Times New Roman" w:cs="Times New Roman"/>
        <w:b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85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8">
    <w:nsid w:val="718B3AA9"/>
    <w:lvl w:ilvl="0">
      <w:isLgl w:val="false"/>
      <w:lvlJc w:val="left"/>
      <w:lvlText w:val="-"/>
      <w:numFmt w:val="bullet"/>
      <w:pPr>
        <w:pBdr/>
        <w:spacing/>
        <w:ind w:hanging="360" w:left="1068"/>
      </w:pPr>
      <w:rPr>
        <w:rFonts w:hint="default" w:ascii="Courier New" w:hAnsi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19">
    <w:nsid w:val="72601AD0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0">
    <w:nsid w:val="78860C78"/>
    <w:lvl w:ilvl="0">
      <w:isLgl w:val="false"/>
      <w:lvlJc w:val="left"/>
      <w:lvlText w:val=""/>
      <w:numFmt w:val="bullet"/>
      <w:pPr>
        <w:pBdr/>
        <w:spacing/>
        <w:ind w:hanging="360" w:left="36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0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"/>
      <w:numFmt w:val="bullet"/>
      <w:pPr>
        <w:pBdr/>
        <w:spacing/>
        <w:ind w:hanging="360" w:left="18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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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</w:abstractNum>
  <w:abstractNum w:abstractNumId="21">
    <w:nsid w:val="78D67340"/>
    <w:lvl w:ilvl="0">
      <w:isLgl w:val="false"/>
      <w:lvlJc w:val="left"/>
      <w:lvlText w:val=""/>
      <w:numFmt w:val="bullet"/>
      <w:pPr>
        <w:pBdr/>
        <w:spacing/>
        <w:ind w:hanging="360" w:left="10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0"/>
  </w:num>
  <w:num w:numId="5">
    <w:abstractNumId w:val="17"/>
  </w:num>
  <w:num w:numId="6">
    <w:abstractNumId w:val="12"/>
  </w:num>
  <w:num w:numId="7">
    <w:abstractNumId w:val="1"/>
  </w:num>
  <w:num w:numId="8">
    <w:abstractNumId w:val="14"/>
  </w:num>
  <w:num w:numId="9">
    <w:abstractNumId w:val="13"/>
  </w:num>
  <w:num w:numId="10">
    <w:abstractNumId w:val="20"/>
  </w:num>
  <w:num w:numId="11">
    <w:abstractNumId w:val="11"/>
  </w:num>
  <w:num w:numId="12">
    <w:abstractNumId w:val="7"/>
  </w:num>
  <w:num w:numId="13">
    <w:abstractNumId w:val="17"/>
  </w:num>
  <w:num w:numId="14">
    <w:abstractNumId w:val="19"/>
  </w:num>
  <w:num w:numId="15">
    <w:abstractNumId w:val="3"/>
  </w:num>
  <w:num w:numId="16">
    <w:abstractNumId w:val="15"/>
  </w:num>
  <w:num w:numId="17">
    <w:abstractNumId w:val="4"/>
  </w:num>
  <w:num w:numId="18">
    <w:abstractNumId w:val="18"/>
  </w:num>
  <w:num w:numId="19">
    <w:abstractNumId w:val="16"/>
  </w:num>
  <w:num w:numId="20">
    <w:abstractNumId w:val="6"/>
  </w:num>
  <w:num w:numId="21">
    <w:abstractNumId w:val="2"/>
  </w:num>
  <w:num w:numId="22">
    <w:abstractNumId w:val="2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4">
    <w:name w:val="Table Grid Light"/>
    <w:basedOn w:val="94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1"/>
    <w:basedOn w:val="94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2"/>
    <w:basedOn w:val="94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 - Accent 1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2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3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4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5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6"/>
    <w:basedOn w:val="9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 1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2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3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4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5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6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 1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2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3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4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5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6"/>
    <w:basedOn w:val="9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- Accent 1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2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3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4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5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6"/>
    <w:basedOn w:val="9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9">
    <w:name w:val="Heading 7"/>
    <w:basedOn w:val="938"/>
    <w:next w:val="938"/>
    <w:link w:val="89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0">
    <w:name w:val="Heading 8"/>
    <w:basedOn w:val="938"/>
    <w:next w:val="938"/>
    <w:link w:val="89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1">
    <w:name w:val="Heading 9"/>
    <w:basedOn w:val="938"/>
    <w:next w:val="938"/>
    <w:link w:val="90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2">
    <w:name w:val="Heading 1 Char"/>
    <w:basedOn w:val="945"/>
    <w:link w:val="9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93">
    <w:name w:val="Heading 2 Char"/>
    <w:basedOn w:val="945"/>
    <w:link w:val="9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94">
    <w:name w:val="Heading 3 Char"/>
    <w:basedOn w:val="945"/>
    <w:link w:val="9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95">
    <w:name w:val="Heading 4 Char"/>
    <w:basedOn w:val="945"/>
    <w:link w:val="9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6">
    <w:name w:val="Heading 5 Char"/>
    <w:basedOn w:val="945"/>
    <w:link w:val="9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7">
    <w:name w:val="Heading 6 Char"/>
    <w:basedOn w:val="945"/>
    <w:link w:val="9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8">
    <w:name w:val="Heading 7 Char"/>
    <w:basedOn w:val="945"/>
    <w:link w:val="88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9">
    <w:name w:val="Heading 8 Char"/>
    <w:basedOn w:val="945"/>
    <w:link w:val="89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0">
    <w:name w:val="Heading 9 Char"/>
    <w:basedOn w:val="945"/>
    <w:link w:val="89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1">
    <w:name w:val="Title Char"/>
    <w:basedOn w:val="945"/>
    <w:link w:val="94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02">
    <w:name w:val="Subtitle Char"/>
    <w:basedOn w:val="945"/>
    <w:link w:val="9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03">
    <w:name w:val="Quote"/>
    <w:basedOn w:val="938"/>
    <w:next w:val="938"/>
    <w:link w:val="90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4">
    <w:name w:val="Quote Char"/>
    <w:basedOn w:val="945"/>
    <w:link w:val="90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5">
    <w:name w:val="Intense Emphasis"/>
    <w:basedOn w:val="94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6">
    <w:name w:val="Intense Quote"/>
    <w:basedOn w:val="938"/>
    <w:next w:val="938"/>
    <w:link w:val="90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7">
    <w:name w:val="Intense Quote Char"/>
    <w:basedOn w:val="945"/>
    <w:link w:val="9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8">
    <w:name w:val="Intense Reference"/>
    <w:basedOn w:val="94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9">
    <w:name w:val="No Spacing"/>
    <w:basedOn w:val="938"/>
    <w:uiPriority w:val="1"/>
    <w:qFormat/>
    <w:pPr>
      <w:pBdr/>
      <w:spacing w:after="0" w:line="240" w:lineRule="auto"/>
      <w:ind/>
    </w:pPr>
  </w:style>
  <w:style w:type="character" w:styleId="910">
    <w:name w:val="Subtle Emphasis"/>
    <w:basedOn w:val="94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1">
    <w:name w:val="Emphasis"/>
    <w:basedOn w:val="945"/>
    <w:uiPriority w:val="20"/>
    <w:qFormat/>
    <w:pPr>
      <w:pBdr/>
      <w:spacing/>
      <w:ind/>
    </w:pPr>
    <w:rPr>
      <w:i/>
      <w:iCs/>
    </w:rPr>
  </w:style>
  <w:style w:type="character" w:styleId="912">
    <w:name w:val="Strong"/>
    <w:basedOn w:val="945"/>
    <w:uiPriority w:val="22"/>
    <w:qFormat/>
    <w:pPr>
      <w:pBdr/>
      <w:spacing/>
      <w:ind/>
    </w:pPr>
    <w:rPr>
      <w:b/>
      <w:bCs/>
    </w:rPr>
  </w:style>
  <w:style w:type="character" w:styleId="913">
    <w:name w:val="Subtle Reference"/>
    <w:basedOn w:val="94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14">
    <w:name w:val="Book Title"/>
    <w:basedOn w:val="94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5">
    <w:name w:val="Header Char"/>
    <w:basedOn w:val="945"/>
    <w:link w:val="956"/>
    <w:uiPriority w:val="99"/>
    <w:pPr>
      <w:pBdr/>
      <w:spacing/>
      <w:ind/>
    </w:pPr>
  </w:style>
  <w:style w:type="character" w:styleId="916">
    <w:name w:val="Footer Char"/>
    <w:basedOn w:val="945"/>
    <w:link w:val="958"/>
    <w:uiPriority w:val="99"/>
    <w:pPr>
      <w:pBdr/>
      <w:spacing/>
      <w:ind/>
    </w:pPr>
  </w:style>
  <w:style w:type="paragraph" w:styleId="917">
    <w:name w:val="Caption"/>
    <w:basedOn w:val="938"/>
    <w:next w:val="9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18">
    <w:name w:val="footnote text"/>
    <w:basedOn w:val="938"/>
    <w:link w:val="91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9">
    <w:name w:val="Footnote Text Char"/>
    <w:basedOn w:val="945"/>
    <w:link w:val="918"/>
    <w:uiPriority w:val="99"/>
    <w:semiHidden/>
    <w:pPr>
      <w:pBdr/>
      <w:spacing/>
      <w:ind/>
    </w:pPr>
    <w:rPr>
      <w:sz w:val="20"/>
      <w:szCs w:val="20"/>
    </w:rPr>
  </w:style>
  <w:style w:type="character" w:styleId="920">
    <w:name w:val="footnote reference"/>
    <w:basedOn w:val="945"/>
    <w:uiPriority w:val="99"/>
    <w:semiHidden/>
    <w:unhideWhenUsed/>
    <w:pPr>
      <w:pBdr/>
      <w:spacing/>
      <w:ind/>
    </w:pPr>
    <w:rPr>
      <w:vertAlign w:val="superscript"/>
    </w:rPr>
  </w:style>
  <w:style w:type="paragraph" w:styleId="921">
    <w:name w:val="endnote text"/>
    <w:basedOn w:val="938"/>
    <w:link w:val="92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2">
    <w:name w:val="Endnote Text Char"/>
    <w:basedOn w:val="945"/>
    <w:link w:val="921"/>
    <w:uiPriority w:val="99"/>
    <w:semiHidden/>
    <w:pPr>
      <w:pBdr/>
      <w:spacing/>
      <w:ind/>
    </w:pPr>
    <w:rPr>
      <w:sz w:val="20"/>
      <w:szCs w:val="20"/>
    </w:rPr>
  </w:style>
  <w:style w:type="character" w:styleId="923">
    <w:name w:val="endnote reference"/>
    <w:basedOn w:val="945"/>
    <w:uiPriority w:val="99"/>
    <w:semiHidden/>
    <w:unhideWhenUsed/>
    <w:pPr>
      <w:pBdr/>
      <w:spacing/>
      <w:ind/>
    </w:pPr>
    <w:rPr>
      <w:vertAlign w:val="superscript"/>
    </w:rPr>
  </w:style>
  <w:style w:type="character" w:styleId="924">
    <w:name w:val="Hyperlink"/>
    <w:basedOn w:val="94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25">
    <w:name w:val="FollowedHyperlink"/>
    <w:basedOn w:val="94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6">
    <w:name w:val="toc 1"/>
    <w:basedOn w:val="938"/>
    <w:next w:val="938"/>
    <w:uiPriority w:val="39"/>
    <w:unhideWhenUsed/>
    <w:pPr>
      <w:pBdr/>
      <w:spacing w:after="100"/>
      <w:ind/>
    </w:pPr>
  </w:style>
  <w:style w:type="paragraph" w:styleId="927">
    <w:name w:val="toc 2"/>
    <w:basedOn w:val="938"/>
    <w:next w:val="938"/>
    <w:uiPriority w:val="39"/>
    <w:unhideWhenUsed/>
    <w:pPr>
      <w:pBdr/>
      <w:spacing w:after="100"/>
      <w:ind w:left="220"/>
    </w:pPr>
  </w:style>
  <w:style w:type="paragraph" w:styleId="928">
    <w:name w:val="toc 3"/>
    <w:basedOn w:val="938"/>
    <w:next w:val="938"/>
    <w:uiPriority w:val="39"/>
    <w:unhideWhenUsed/>
    <w:pPr>
      <w:pBdr/>
      <w:spacing w:after="100"/>
      <w:ind w:left="440"/>
    </w:pPr>
  </w:style>
  <w:style w:type="paragraph" w:styleId="929">
    <w:name w:val="toc 4"/>
    <w:basedOn w:val="938"/>
    <w:next w:val="938"/>
    <w:uiPriority w:val="39"/>
    <w:unhideWhenUsed/>
    <w:pPr>
      <w:pBdr/>
      <w:spacing w:after="100"/>
      <w:ind w:left="660"/>
    </w:pPr>
  </w:style>
  <w:style w:type="paragraph" w:styleId="930">
    <w:name w:val="toc 5"/>
    <w:basedOn w:val="938"/>
    <w:next w:val="938"/>
    <w:uiPriority w:val="39"/>
    <w:unhideWhenUsed/>
    <w:pPr>
      <w:pBdr/>
      <w:spacing w:after="100"/>
      <w:ind w:left="880"/>
    </w:pPr>
  </w:style>
  <w:style w:type="paragraph" w:styleId="931">
    <w:name w:val="toc 6"/>
    <w:basedOn w:val="938"/>
    <w:next w:val="938"/>
    <w:uiPriority w:val="39"/>
    <w:unhideWhenUsed/>
    <w:pPr>
      <w:pBdr/>
      <w:spacing w:after="100"/>
      <w:ind w:left="1100"/>
    </w:pPr>
  </w:style>
  <w:style w:type="paragraph" w:styleId="932">
    <w:name w:val="toc 7"/>
    <w:basedOn w:val="938"/>
    <w:next w:val="938"/>
    <w:uiPriority w:val="39"/>
    <w:unhideWhenUsed/>
    <w:pPr>
      <w:pBdr/>
      <w:spacing w:after="100"/>
      <w:ind w:left="1320"/>
    </w:pPr>
  </w:style>
  <w:style w:type="paragraph" w:styleId="933">
    <w:name w:val="toc 8"/>
    <w:basedOn w:val="938"/>
    <w:next w:val="938"/>
    <w:uiPriority w:val="39"/>
    <w:unhideWhenUsed/>
    <w:pPr>
      <w:pBdr/>
      <w:spacing w:after="100"/>
      <w:ind w:left="1540"/>
    </w:pPr>
  </w:style>
  <w:style w:type="paragraph" w:styleId="934">
    <w:name w:val="toc 9"/>
    <w:basedOn w:val="938"/>
    <w:next w:val="938"/>
    <w:uiPriority w:val="39"/>
    <w:unhideWhenUsed/>
    <w:pPr>
      <w:pBdr/>
      <w:spacing w:after="100"/>
      <w:ind w:left="1760"/>
    </w:pPr>
  </w:style>
  <w:style w:type="character" w:styleId="935">
    <w:name w:val="Placeholder Text"/>
    <w:basedOn w:val="945"/>
    <w:uiPriority w:val="99"/>
    <w:semiHidden/>
    <w:pPr>
      <w:pBdr/>
      <w:spacing/>
      <w:ind/>
    </w:pPr>
    <w:rPr>
      <w:color w:val="666666"/>
    </w:rPr>
  </w:style>
  <w:style w:type="paragraph" w:styleId="936">
    <w:name w:val="TOC Heading"/>
    <w:uiPriority w:val="39"/>
    <w:unhideWhenUsed/>
    <w:pPr>
      <w:pBdr/>
      <w:spacing/>
      <w:ind/>
    </w:pPr>
  </w:style>
  <w:style w:type="paragraph" w:styleId="937">
    <w:name w:val="table of figures"/>
    <w:basedOn w:val="938"/>
    <w:next w:val="938"/>
    <w:uiPriority w:val="99"/>
    <w:unhideWhenUsed/>
    <w:pPr>
      <w:pBdr/>
      <w:spacing w:after="0" w:afterAutospacing="0"/>
      <w:ind/>
    </w:pPr>
  </w:style>
  <w:style w:type="paragraph" w:styleId="938" w:default="1">
    <w:name w:val="Normal"/>
    <w:pPr>
      <w:pBdr/>
      <w:spacing/>
      <w:ind/>
    </w:pPr>
  </w:style>
  <w:style w:type="paragraph" w:styleId="939">
    <w:name w:val="Heading 1"/>
    <w:basedOn w:val="938"/>
    <w:next w:val="938"/>
    <w:pPr>
      <w:keepNext w:val="true"/>
      <w:keepLines w:val="true"/>
      <w:pBdr/>
      <w:spacing w:after="120" w:before="480"/>
      <w:ind/>
      <w:outlineLvl w:val="0"/>
    </w:pPr>
    <w:rPr>
      <w:b/>
      <w:sz w:val="48"/>
      <w:szCs w:val="48"/>
    </w:rPr>
  </w:style>
  <w:style w:type="paragraph" w:styleId="940">
    <w:name w:val="Heading 2"/>
    <w:basedOn w:val="938"/>
    <w:next w:val="938"/>
    <w:pPr>
      <w:keepNext w:val="true"/>
      <w:keepLines w:val="true"/>
      <w:pBdr/>
      <w:spacing w:after="80" w:before="360"/>
      <w:ind/>
      <w:outlineLvl w:val="1"/>
    </w:pPr>
    <w:rPr>
      <w:b/>
      <w:sz w:val="36"/>
      <w:szCs w:val="36"/>
    </w:rPr>
  </w:style>
  <w:style w:type="paragraph" w:styleId="941">
    <w:name w:val="Heading 3"/>
    <w:basedOn w:val="938"/>
    <w:next w:val="938"/>
    <w:pPr>
      <w:keepNext w:val="true"/>
      <w:keepLines w:val="true"/>
      <w:pBdr/>
      <w:spacing w:after="80" w:before="280"/>
      <w:ind/>
      <w:outlineLvl w:val="2"/>
    </w:pPr>
    <w:rPr>
      <w:b/>
      <w:sz w:val="28"/>
      <w:szCs w:val="28"/>
    </w:rPr>
  </w:style>
  <w:style w:type="paragraph" w:styleId="942">
    <w:name w:val="Heading 4"/>
    <w:basedOn w:val="938"/>
    <w:next w:val="938"/>
    <w:pPr>
      <w:keepNext w:val="true"/>
      <w:keepLines w:val="true"/>
      <w:pBdr/>
      <w:spacing w:after="40" w:before="240"/>
      <w:ind/>
      <w:outlineLvl w:val="3"/>
    </w:pPr>
    <w:rPr>
      <w:b/>
    </w:rPr>
  </w:style>
  <w:style w:type="paragraph" w:styleId="943">
    <w:name w:val="Heading 5"/>
    <w:basedOn w:val="938"/>
    <w:next w:val="938"/>
    <w:pPr>
      <w:keepNext w:val="true"/>
      <w:keepLines w:val="true"/>
      <w:pBdr/>
      <w:spacing w:after="40" w:before="220"/>
      <w:ind/>
      <w:outlineLvl w:val="4"/>
    </w:pPr>
    <w:rPr>
      <w:b/>
      <w:sz w:val="22"/>
      <w:szCs w:val="22"/>
    </w:rPr>
  </w:style>
  <w:style w:type="paragraph" w:styleId="944">
    <w:name w:val="Heading 6"/>
    <w:basedOn w:val="938"/>
    <w:next w:val="938"/>
    <w:pPr>
      <w:keepNext w:val="true"/>
      <w:keepLines w:val="true"/>
      <w:pBdr/>
      <w:spacing w:after="40" w:before="200"/>
      <w:ind/>
      <w:outlineLvl w:val="5"/>
    </w:pPr>
    <w:rPr>
      <w:b/>
      <w:sz w:val="20"/>
      <w:szCs w:val="20"/>
    </w:rPr>
  </w:style>
  <w:style w:type="character" w:styleId="945" w:default="1">
    <w:name w:val="Default Paragraph Font"/>
    <w:uiPriority w:val="1"/>
    <w:semiHidden/>
    <w:unhideWhenUsed/>
    <w:pPr>
      <w:pBdr/>
      <w:spacing/>
      <w:ind/>
    </w:pPr>
  </w:style>
  <w:style w:type="table" w:styleId="94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47" w:default="1">
    <w:name w:val="No List"/>
    <w:uiPriority w:val="99"/>
    <w:semiHidden/>
    <w:unhideWhenUsed/>
    <w:pPr>
      <w:pBdr/>
      <w:spacing/>
      <w:ind/>
    </w:pPr>
  </w:style>
  <w:style w:type="table" w:styleId="948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9">
    <w:name w:val="Title"/>
    <w:basedOn w:val="938"/>
    <w:next w:val="938"/>
    <w:pPr>
      <w:keepNext w:val="true"/>
      <w:keepLines w:val="true"/>
      <w:pBdr/>
      <w:spacing w:after="120" w:before="480"/>
      <w:ind/>
    </w:pPr>
    <w:rPr>
      <w:b/>
      <w:sz w:val="72"/>
      <w:szCs w:val="72"/>
    </w:rPr>
  </w:style>
  <w:style w:type="paragraph" w:styleId="950">
    <w:name w:val="Subtitle"/>
    <w:basedOn w:val="938"/>
    <w:next w:val="938"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color w:val="666666"/>
      <w:sz w:val="48"/>
      <w:szCs w:val="48"/>
    </w:rPr>
  </w:style>
  <w:style w:type="table" w:styleId="951" w:customStyle="1">
    <w:name w:val="StGen0"/>
    <w:basedOn w:val="948"/>
    <w:pPr>
      <w:pBdr/>
      <w:spacing/>
      <w:ind/>
    </w:pPr>
    <w:tblPr>
      <w:tblStyleRowBandSize w:val="1"/>
      <w:tblStyleColBandSize w:val="1"/>
      <w:tblCellMar>
        <w:left w:w="115" w:type="dxa"/>
        <w:right w:w="1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StGen1"/>
    <w:basedOn w:val="948"/>
    <w:pPr>
      <w:pBdr/>
      <w:spacing/>
      <w:ind/>
    </w:pPr>
    <w:tblPr>
      <w:tblStyleRowBandSize w:val="1"/>
      <w:tblStyleColBandSize w:val="1"/>
      <w:tblCellMar>
        <w:left w:w="115" w:type="dxa"/>
        <w:right w:w="1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StGen2"/>
    <w:basedOn w:val="948"/>
    <w:pPr>
      <w:pBdr/>
      <w:spacing/>
      <w:ind/>
    </w:pPr>
    <w:tblPr>
      <w:tblStyleRowBandSize w:val="1"/>
      <w:tblStyleColBandSize w:val="1"/>
      <w:tblCellMar>
        <w:left w:w="115" w:type="dxa"/>
        <w:right w:w="1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4">
    <w:name w:val="Balloon Text"/>
    <w:basedOn w:val="938"/>
    <w:link w:val="955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55" w:customStyle="1">
    <w:name w:val="Текст выноски Знак"/>
    <w:basedOn w:val="945"/>
    <w:link w:val="954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56">
    <w:name w:val="Header"/>
    <w:basedOn w:val="938"/>
    <w:link w:val="95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57" w:customStyle="1">
    <w:name w:val="Верхний колонтитул Знак"/>
    <w:basedOn w:val="945"/>
    <w:link w:val="956"/>
    <w:uiPriority w:val="99"/>
    <w:pPr>
      <w:pBdr/>
      <w:spacing/>
      <w:ind/>
    </w:pPr>
  </w:style>
  <w:style w:type="paragraph" w:styleId="958">
    <w:name w:val="Footer"/>
    <w:basedOn w:val="938"/>
    <w:link w:val="95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59" w:customStyle="1">
    <w:name w:val="Нижний колонтитул Знак"/>
    <w:basedOn w:val="945"/>
    <w:link w:val="958"/>
    <w:uiPriority w:val="99"/>
    <w:pPr>
      <w:pBdr/>
      <w:spacing/>
      <w:ind/>
    </w:pPr>
  </w:style>
  <w:style w:type="table" w:styleId="960">
    <w:name w:val="Table Grid"/>
    <w:basedOn w:val="946"/>
    <w:uiPriority w:val="39"/>
    <w:pPr>
      <w:pBdr/>
      <w:spacing/>
      <w:ind/>
    </w:pPr>
    <w:rPr>
      <w:rFonts w:ascii="Calibri" w:hAnsi="Calibri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1">
    <w:name w:val="List Paragraph"/>
    <w:basedOn w:val="938"/>
    <w:link w:val="962"/>
    <w:uiPriority w:val="34"/>
    <w:qFormat/>
    <w:pPr>
      <w:pBdr/>
      <w:spacing/>
      <w:ind w:left="720"/>
      <w:contextualSpacing w:val="true"/>
    </w:pPr>
    <w:rPr>
      <w:rFonts w:eastAsia="Calibri"/>
      <w:sz w:val="20"/>
      <w:szCs w:val="20"/>
      <w:lang w:eastAsia="ar-SA"/>
    </w:rPr>
  </w:style>
  <w:style w:type="character" w:styleId="962" w:customStyle="1">
    <w:name w:val="Абзац списка Знак"/>
    <w:link w:val="961"/>
    <w:uiPriority w:val="34"/>
    <w:qFormat/>
    <w:pPr>
      <w:pBdr/>
      <w:spacing/>
      <w:ind/>
    </w:pPr>
    <w:rPr>
      <w:rFonts w:eastAsia="Calibri"/>
      <w:sz w:val="20"/>
      <w:szCs w:val="20"/>
      <w:lang w:eastAsia="ar-SA"/>
    </w:rPr>
  </w:style>
  <w:style w:type="character" w:styleId="963">
    <w:name w:val="annotation reference"/>
    <w:basedOn w:val="94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64">
    <w:name w:val="annotation text"/>
    <w:basedOn w:val="938"/>
    <w:link w:val="965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65" w:customStyle="1">
    <w:name w:val="Текст примечания Знак"/>
    <w:basedOn w:val="945"/>
    <w:link w:val="964"/>
    <w:uiPriority w:val="99"/>
    <w:semiHidden/>
    <w:pPr>
      <w:pBdr/>
      <w:spacing/>
      <w:ind/>
    </w:pPr>
    <w:rPr>
      <w:sz w:val="20"/>
      <w:szCs w:val="20"/>
    </w:rPr>
  </w:style>
  <w:style w:type="paragraph" w:styleId="966">
    <w:name w:val="annotation subject"/>
    <w:basedOn w:val="964"/>
    <w:next w:val="964"/>
    <w:link w:val="967"/>
    <w:uiPriority w:val="99"/>
    <w:semiHidden/>
    <w:unhideWhenUsed/>
    <w:pPr>
      <w:pBdr/>
      <w:spacing/>
      <w:ind/>
    </w:pPr>
    <w:rPr>
      <w:b/>
      <w:bCs/>
    </w:rPr>
  </w:style>
  <w:style w:type="character" w:styleId="967" w:customStyle="1">
    <w:name w:val="Тема примечания Знак"/>
    <w:basedOn w:val="965"/>
    <w:link w:val="966"/>
    <w:uiPriority w:val="99"/>
    <w:semiHidden/>
    <w:pPr>
      <w:pBdr/>
      <w:spacing/>
      <w:ind/>
    </w:pPr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6</cp:revision>
  <dcterms:created xsi:type="dcterms:W3CDTF">2026-08-12T07:02:00Z</dcterms:created>
  <dcterms:modified xsi:type="dcterms:W3CDTF">2026-10-15T05:10:29Z</dcterms:modified>
</cp:coreProperties>
</file>