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3"/>
        <w:pBdr/>
        <w:spacing/>
        <w:ind w:firstLine="709"/>
        <w:jc w:val="right"/>
        <w:rPr>
          <w:lang w:eastAsia="ru-RU"/>
        </w:rPr>
      </w:pPr>
      <w:r>
        <w:rPr>
          <w:lang w:eastAsia="ru-RU"/>
        </w:rPr>
        <w:t xml:space="preserve">Приложение № 4 к извещению</w:t>
      </w:r>
      <w:r>
        <w:rPr>
          <w:lang w:eastAsia="ru-RU"/>
        </w:rPr>
      </w:r>
      <w:r>
        <w:rPr>
          <w:lang w:eastAsia="ru-RU"/>
        </w:rPr>
      </w:r>
    </w:p>
    <w:p>
      <w:pPr>
        <w:pStyle w:val="883"/>
        <w:pBdr/>
        <w:spacing/>
        <w:ind w:firstLine="709"/>
        <w:jc w:val="right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883"/>
        <w:pBdr/>
        <w:spacing/>
        <w:ind w:firstLine="709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Требования к содержанию, составу заявки </w:t>
      </w:r>
      <w:r>
        <w:rPr>
          <w:b/>
          <w:sz w:val="26"/>
          <w:szCs w:val="26"/>
          <w:lang w:eastAsia="ru-RU"/>
        </w:rPr>
      </w:r>
      <w:r>
        <w:rPr>
          <w:b/>
          <w:sz w:val="26"/>
          <w:szCs w:val="26"/>
          <w:lang w:eastAsia="ru-RU"/>
        </w:rPr>
      </w:r>
    </w:p>
    <w:p>
      <w:pPr>
        <w:pStyle w:val="883"/>
        <w:pBdr/>
        <w:spacing/>
        <w:ind w:firstLine="709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на участие в электронном аукционе и инструкции по ее заполнению</w:t>
      </w:r>
      <w:r>
        <w:rPr>
          <w:b/>
          <w:sz w:val="26"/>
          <w:szCs w:val="26"/>
          <w:lang w:eastAsia="ru-RU"/>
        </w:rPr>
      </w:r>
      <w:r>
        <w:rPr>
          <w:b/>
          <w:sz w:val="26"/>
          <w:szCs w:val="26"/>
          <w:lang w:eastAsia="ru-RU"/>
        </w:rPr>
      </w:r>
    </w:p>
    <w:p>
      <w:pPr>
        <w:pStyle w:val="883"/>
        <w:pBdr/>
        <w:spacing/>
        <w:ind w:firstLine="709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электронном аукционе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аявка на участие в закупке, должна содержать: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информацию и документы об участнике закупки: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полное и сокращенное (п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отчество (при наличии) (если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участником закупки является физическое лицо, в том числе зарегистрированное в качестве индивидуального предпринимателя);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фамилия, имя, отчество (при наличии), идентификационный номер налогоплательщика (при наличии) и должность лица, имеющего право без доверенности дейс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идентификационный номер налогоплательщика (при наличии) чле</w:t>
      </w:r>
      <w:r>
        <w:rPr>
          <w:rFonts w:ascii="Times New Roman" w:hAnsi="Times New Roman" w:cs="Times New Roman"/>
          <w:sz w:val="24"/>
          <w:szCs w:val="24"/>
        </w:rPr>
        <w:t xml:space="preserve">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</w:t>
      </w:r>
      <w:r>
        <w:rPr>
          <w:rFonts w:ascii="Times New Roman" w:hAnsi="Times New Roman" w:cs="Times New Roman"/>
          <w:sz w:val="24"/>
          <w:szCs w:val="24"/>
        </w:rPr>
        <w:t xml:space="preserve">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г) адрес юридического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лица, в том числе иностранного юридического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(если от имени иностранного юридического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лица), место жительства физического лиц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д)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е) идентификационный номер налогоплательщика юридического лица (если 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законодательством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ж)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з) надлежащим образом заверенный перевод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и) декларация о принадлежности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предоставляется в случае установления преимуществ в извещении об осуществлении закупки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к) декларация о принадлежности участника закупки к организации инвалидов, предусмотренной частью 2 статьи 29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(если участник закупки является такой организацией)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предоставляется в случае установления преимуществ в извещении об осуществлении закупки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предоставляется в случае установления преимуществ в извещении об осуществлении закупки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сделкой;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н) информацию и документы, которые подтверждают соответствие участника закупки требованиям, установленным пунктом 1 части 1 статьи 31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(могут не включаться в заявку на участие в закупке в случае, если указанные информация и докумен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ты содержаться в открытых и общедоступных государственных реестрах, размещенных в информационно телекоммуникационной сети «Интернет», и в такую заявку включена предусмотренная подпунктом «о» декларация о соответствии участника закупки требованиям, установл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енным пунктом 1 части 1 статьи 31 Федерального закона № 44-ФЗ), информацию и документы, которые подтверждают соответствие участника закупки дополнительным требованиям, установленным в соответствии с частями 2 и 2.1 (при наличии таких требований) статьи 31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если иное не предусмотрено Федеральным законом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предоставляется в случае установления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требования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извещении об осуществлении закупки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о) декларация о соответствии участника закупки требованиям, установленным пунктами 3 - 5, 7 - 11 части 1 статьи 31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размещенных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информационно- телекоммуникационной сети «Интернет»,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указанную декларацию может быть также включено положение о соответствии участника закупки требованиям,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установленным пунктом 1 части 1 статьи 31 Федерального закона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 указанием адреса сайта или страницы сайта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информационно-телекоммуникационной сети «Интернет», на которых размещены такие информации и документы);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п)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дств в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ачестве оплаты пос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предложение участника закупки в отношении объекта закупки: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 учетом положений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части 2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статьи 43 характеристики предлагаемого участником закупки товара, соответствующие показателям, установленным в описании объекта закупки в соответствии с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частью 2 статьи 33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Федерального закона № 44-ФЗ, товарный знак (при наличии у товара товарного знака);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наименование страны происхождения товара в соответствии с общероссийским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классификатором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используемым для идентификации стран мира, с учетом положений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части 2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статьи 43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Федерального закона № 44-ФЗ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работе или услуге и представление указанных документов предусмотрено извещением об осуществлении закупки, документацией о закупке, если Федеральным законом № 44-ФЗ предусмотрена документация о закупке). Заказчик не вправе требовать представление указанны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х документов, если в соответствии с законодательством Российской Федерации они передаются вместе с товаром;</w:t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г) 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ния заявки на участие в закупке.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предложение участника закупки о цене контракта (за исключением случая, предусмотренного </w:t>
      </w:r>
      <w:hyperlink w:tooltip="#Par1" w:anchor="Par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пунктом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1 статьи 43 Федерального закона № 44-ФЗ);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предложение участника закупки о сумме цен единиц товара, работы, услуги (в случае, предусмотренном </w:t>
      </w:r>
      <w:hyperlink r:id="rId9" w:tooltip="consultantplus://offline/ref=0271037184BFFFC2288C1617AEA4C862C0E3AA907894E02C1124D81891D7979BBE80A7AD5968058746D08D13D10E95FD9970EEF583CAc0N8C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частью 24 статьи 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№ 44-ФЗ);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информация и документы, определенные в соответствии с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пунктом 2 части 2 статьи 14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Федерального закона № 44-ФЗ (в случае, если в извещении об осуществлении закупки, документации о закупке (если Федеральным законом № 44-ФЗ предусмотрена документация о закупке) установлены предусмотренные указанной статьей запрет, ограничение, преиму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няемых, оказываемых иностранными лицами.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Bdr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 формировании предложения участника закупки в отношении объекта закупки: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spacing w:after="0" w:before="24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информация о товаре, предусмотренная </w:t>
      </w:r>
      <w:hyperlink r:id="rId10" w:tooltip="consultantplus://offline/ref=469F1E599B52735CCBC36BB9BB562382CCDF46B90A0F59FB699C2A4FC9EBE12DBF46F25D6BBBD28C2024FD4F05B470A2F86D992447F510TBC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подпунктами "а"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tooltip="consultantplus://offline/ref=469F1E599B52735CCBC36BB9BB562382CCDF46B90A0F59FB699C2A4FC9EBE12DBF46F25D6BBBD58C2024FD4F05B470A2F86D992447F510TBC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"б" пункта 2 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43 Федерального закона № 44-ФЗ,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</w:t>
      </w:r>
      <w:r>
        <w:rPr>
          <w:rFonts w:ascii="Times New Roman" w:hAnsi="Times New Roman" w:cs="Times New Roman"/>
          <w:sz w:val="24"/>
          <w:szCs w:val="24"/>
        </w:rPr>
        <w:t xml:space="preserve">Информация, предусмотренная </w:t>
      </w:r>
      <w:hyperlink r:id="rId12" w:tooltip="consultantplus://offline/ref=469F1E599B52735CCBC36BB9BB562382CCDF46B90A0F59FB699C2A4FC9EBE12DBF46F25D6BBBD28C2024FD4F05B470A2F86D992447F510TBC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подпунктом "а" пункта 2 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43 Федерального закона № 44-ФЗ, может не включаться в заявку на участие</w:t>
      </w:r>
      <w:r>
        <w:rPr>
          <w:rFonts w:ascii="Times New Roman" w:hAnsi="Times New Roman" w:cs="Times New Roman"/>
          <w:sz w:val="24"/>
          <w:szCs w:val="24"/>
        </w:rPr>
        <w:t xml:space="preserve">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Требовать от участника закупки представления иных информации и документов, за исключением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предусмотренных частью 1 и 2 статьи 43 Федерального закона № 44-ФЗ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не допускается.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лении закупки (при применении открытых конкурентных способов определения поставщика (подрядчика, исполнителя), получения приглашения, документации о закупке (при применении закрытых конкурентных способов определения поставщика (подрядчика, исполнителя) до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окончания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установленного в соответствии с Федеральным законом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 44-ФЗ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срока подачи заявок на участие в закупке.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Подача заявки на учас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документацией о закупке (в случае, если Федеральным законом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 44-ФЗ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предусмотрена документация о закупке), и в соответствии с заявкой такого участника закупки на участие в закупке.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Участник закупки, подавший заявку на участие в закупке, вправе отозвать такую заявку: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>
        <w:rPr>
          <w:rFonts w:ascii="Times New Roman" w:hAnsi="Times New Roman" w:cs="Times New Roman"/>
          <w:sz w:val="24"/>
          <w:szCs w:val="24"/>
        </w:rPr>
        <w:t xml:space="preserve">1) до окончания срока подачи заявок на участие в закупке;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"/>
      <w:bookmarkEnd w:id="1"/>
      <w:r>
        <w:rPr>
          <w:rFonts w:ascii="Times New Roman" w:hAnsi="Times New Roman" w:cs="Times New Roman"/>
          <w:sz w:val="24"/>
          <w:szCs w:val="24"/>
        </w:rPr>
        <w:t xml:space="preserve">2) с момента размещения в соответствии с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№ 44-ФЗ</w:t>
      </w:r>
      <w:r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 протокола подведения итогов определения поставщика </w:t>
      </w:r>
      <w:r>
        <w:rPr>
          <w:rFonts w:ascii="Times New Roman" w:hAnsi="Times New Roman" w:cs="Times New Roman"/>
          <w:sz w:val="24"/>
          <w:szCs w:val="24"/>
        </w:rPr>
        <w:t xml:space="preserve">(подрядчика, исполнителя) до размещения в соответствии с </w:t>
      </w:r>
      <w:hyperlink r:id="rId13" w:tooltip="consultantplus://offline/ref=0DF4B7F6DD9DFB5EDB0445AE53BDBBD7DA910A6072FDA47FEAC207574572A21A058D9E5FF143A60DD122034E6E603DACA6E33DE0DE6Co4k0F" w:history="1">
        <w:r>
          <w:rPr>
            <w:rFonts w:ascii="Times New Roman" w:hAnsi="Times New Roman" w:cs="Times New Roman"/>
            <w:sz w:val="24"/>
            <w:szCs w:val="24"/>
          </w:rPr>
          <w:t xml:space="preserve">частью 2 статьи 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sz w:val="24"/>
          <w:szCs w:val="24"/>
        </w:rPr>
        <w:t xml:space="preserve"> проекта контракта, заключаемого с таким участником закупки, за исключением случаев, если такая заявка отклонена (при проведении электронных процедур, закрытых электронных процедур).</w:t>
      </w:r>
      <w:r>
        <w:rPr>
          <w:rFonts w:ascii="Times New Roman" w:hAnsi="Times New Roman" w:cs="Times New Roman"/>
          <w:sz w:val="24"/>
          <w:szCs w:val="24"/>
        </w:rPr>
        <w:t xml:space="preserve"> Не допускается отзыв заявок, которым в соответствии с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№ 44-ФЗ</w:t>
      </w:r>
      <w:r>
        <w:rPr>
          <w:rFonts w:ascii="Times New Roman" w:hAnsi="Times New Roman" w:cs="Times New Roman"/>
          <w:sz w:val="24"/>
          <w:szCs w:val="24"/>
        </w:rPr>
        <w:t xml:space="preserve"> присвоены первые три порядковых номера.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Если участник закупки отзывает заявку на участие в закупке при проведении электронных процедур такой участник закупки: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формирует с использованием электронной площадки, специализированной электронной площадки отзыв заявки на участие в закупке и подписывает его усиленной электронной подписью лица, имеющего право действовать от имени участника закупки;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заявка на участие в закупке считается отозванной с момента подписания усиленной электронной подписью лица, имеющего право действовать от имени участника закупки.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оператор электронной площадки, оператор специализированной электронной площадки не позднее одного часа с момента подписания отзыва заявки на участие в закупке направляют т</w:t>
      </w:r>
      <w:r>
        <w:rPr>
          <w:rFonts w:ascii="Times New Roman" w:hAnsi="Times New Roman" w:cs="Times New Roman"/>
          <w:sz w:val="24"/>
          <w:szCs w:val="24"/>
        </w:rPr>
        <w:t xml:space="preserve">акой отзыв заказчику с указанием идентификационного номера такой заявки, а также номера реестровой записи в едином реестре участников закупок в отношении участника закупки, сформировавшего отзыв заявки на участие в закупке, в единую информационную систему.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момента направления отзыва заявки на участие в закупке заявка на участие в закупке</w:t>
      </w:r>
      <w:r>
        <w:rPr>
          <w:rFonts w:ascii="Times New Roman" w:hAnsi="Times New Roman" w:cs="Times New Roman"/>
          <w:sz w:val="24"/>
          <w:szCs w:val="24"/>
        </w:rPr>
        <w:t xml:space="preserve"> считается отозванной.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При проведении электронного аукциона: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подать зая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вку на участие в закупке вправе только зарегистрированный в единой информационной системе и аккредитованный на электронной площадке участник закупки путем направления такой заявки в соответствии с Федеральным законом № 44-ФЗ оператору электронной площадки;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информация и документы, предусмотренные </w:t>
      </w:r>
      <w:hyperlink r:id="rId14" w:tooltip="consultantplus://offline/ref=F6085893F29B43A673E55BEFC1C1CD6B801BC5F3DD892CDE89B199157EF16F799E7461A516033A84B6CF537D4DD98331C0DE82E80F74DBn7B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подпунктами "а"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 w:tooltip="consultantplus://offline/ref=F6085893F29B43A673E55BEFC1C1CD6B801BC5F3DD892CDE89B199157EF16F799E7461A516023A84B6CF537D4DD98331C0DE82E80F74DBn7B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"л" пункта 1 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43 Федерального закона № 44-ФЗ, не включаются участником закупки в заявку на участие в закупке. Такие информация и документы в случаях, 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ных Федеральным законом №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pBdr/>
        <w:spacing/>
        <w:ind w:firstLine="709"/>
        <w:jc w:val="both"/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3) документы, подтверждающие соответствие участника закупки дополнительным требованиям, уст</w:t>
      </w:r>
      <w:r>
        <w:rPr>
          <w:sz w:val="24"/>
          <w:szCs w:val="24"/>
        </w:rPr>
        <w:t xml:space="preserve">ановленным в соответствии с частью 2 или 2.1 (при наличии таких требований) статьи 31 Федерального закона № 44-ФЗ, и предусмотренные подпунктом «н» пункта 1 части 1 статьи 43 Федерального закона № 44-ФЗ, не включаются участником закупки в заявку на участие</w:t>
      </w:r>
      <w:r>
        <w:rPr>
          <w:sz w:val="24"/>
          <w:szCs w:val="24"/>
        </w:rPr>
        <w:t xml:space="preserve"> в закупке. Такие документы в случаях, предусмотренных Федеральным законом № 44-ФЗ, направляются (по состоянию на дату и время их направления) оператором электронной площадки заказчику из реестра участников закупок, аккредитованных на электронной площадке.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 w:after="0"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ИНСТРУКЦИЯ ПО ЗАПОЛНЕНИЮ ЗАЯВКИ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ЭЛЕКТРОННОМ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АУКЦИОНЕ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Заявка и все документы, входящие в состав заявки на участие в электронном аукционе должны быть составлены на русском языке. </w:t>
      </w:r>
      <w:r>
        <w:rPr>
          <w:sz w:val="24"/>
          <w:szCs w:val="24"/>
        </w:rPr>
        <w:t xml:space="preserve">Подача  документов, входящих в состав заявки на участие в электронном аукционе, на иностранном языке должна сопровождаться предоставлением заверенного надлежащим образом перевода соответствующих документов на русский язык.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Документы, происходящие из иностранного государства, должна быть надлежащим образом легализованы в соответствии с законодательством и международными договорами Российской Федерации.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pBdr/>
        <w:spacing/>
        <w:ind w:firstLine="709"/>
        <w:jc w:val="both"/>
        <w:rPr>
          <w:rFonts w:eastAsia="Times New Roman"/>
          <w:sz w:val="24"/>
          <w:szCs w:val="24"/>
          <w:u w:val="single"/>
          <w:lang w:eastAsia="ru-RU"/>
        </w:rPr>
      </w:pPr>
      <w:r>
        <w:rPr>
          <w:sz w:val="24"/>
          <w:szCs w:val="24"/>
        </w:rPr>
        <w:t xml:space="preserve">Все документы, входящие в состав заявки на участие в электронном аукционе должны иметь четко читаемый текст. 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  <w:lang w:eastAsia="ru-RU"/>
        </w:rPr>
      </w:r>
      <w:r>
        <w:rPr>
          <w:rFonts w:eastAsia="Times New Roman"/>
          <w:sz w:val="24"/>
          <w:szCs w:val="24"/>
          <w:u w:val="single"/>
          <w:lang w:eastAsia="ru-RU"/>
        </w:rPr>
      </w:r>
    </w:p>
    <w:p>
      <w:pPr>
        <w:pStyle w:val="883"/>
        <w:pBdr/>
        <w:tabs>
          <w:tab w:val="left" w:leader="none" w:pos="709"/>
        </w:tabs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Подачу заявки обеспечивает оператор электронной площадки (п. 14 Дополнительных требований к операторам электронной площадки, утвержденных Постановлением Правительства РФ от 08.06.2018 № 656).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Подача заявки означает, что вы согласились поставить товар (выполнить работу, оказать услугу) на условиях, предусмотренных в извещении об осуществлении электронного аукциона (ч. 5 ст. 43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44-ФЗ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поставке товара.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Укажите наименование страны происхождения товара в соответствии с Общероссийским классификатором стран (ОКСМ). Это необходимо сделать, в том </w:t>
      </w:r>
      <w:r>
        <w:rPr>
          <w:rFonts w:ascii="Times New Roman" w:hAnsi="Times New Roman" w:cs="Times New Roman"/>
          <w:sz w:val="24"/>
          <w:szCs w:val="24"/>
        </w:rPr>
        <w:t xml:space="preserve">числе</w:t>
      </w:r>
      <w:r>
        <w:rPr>
          <w:rFonts w:ascii="Times New Roman" w:hAnsi="Times New Roman" w:cs="Times New Roman"/>
          <w:sz w:val="24"/>
          <w:szCs w:val="24"/>
        </w:rPr>
        <w:t xml:space="preserve"> если вы поставляете товар, выполняя работы (оказывая услуги) в рамках закупки.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предлагаете к поставке товар, аналогичный указанному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Приложении № 1 к Извещению - О</w:t>
      </w:r>
      <w:r>
        <w:rPr>
          <w:rFonts w:ascii="Times New Roman" w:hAnsi="Times New Roman" w:cs="Times New Roman"/>
          <w:sz w:val="24"/>
          <w:szCs w:val="24"/>
        </w:rPr>
        <w:t xml:space="preserve">писани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объекта закупки</w:t>
      </w:r>
      <w:r>
        <w:rPr>
          <w:rFonts w:ascii="Times New Roman" w:hAnsi="Times New Roman" w:cs="Times New Roman"/>
          <w:sz w:val="24"/>
          <w:szCs w:val="24"/>
        </w:rPr>
        <w:t xml:space="preserve"> (далее – описание объекта закупки)</w:t>
      </w:r>
      <w:r>
        <w:rPr>
          <w:rFonts w:ascii="Times New Roman" w:hAnsi="Times New Roman" w:cs="Times New Roman"/>
          <w:sz w:val="24"/>
          <w:szCs w:val="24"/>
        </w:rPr>
        <w:t xml:space="preserve">, но с отличным товарным знаком, или товар, в отношении которого в описании объекта закупки отсутствует товарный знак, отразите в заявке конкретные характеристики показателей данного товара.</w:t>
      </w:r>
      <w:r>
        <w:rPr>
          <w:rFonts w:ascii="Times New Roman" w:hAnsi="Times New Roman" w:cs="Times New Roman"/>
          <w:sz w:val="24"/>
          <w:szCs w:val="24"/>
        </w:rPr>
        <w:t xml:space="preserve"> Эти показатели должны соответствовать показателям, содержащимся в описании объекта закупки.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целях определения соответствия закупаемого товара установлен порядок описания максимальных и/или минимальных значений показателей, а также значений, которые не могут меняться, соответствующих показателям (характеристикам) товара, установленным в </w:t>
      </w:r>
      <w:r>
        <w:rPr>
          <w:sz w:val="24"/>
          <w:szCs w:val="24"/>
          <w:lang w:eastAsia="ru-RU"/>
        </w:rPr>
        <w:t xml:space="preserve">о</w:t>
      </w:r>
      <w:r>
        <w:rPr>
          <w:sz w:val="24"/>
          <w:szCs w:val="24"/>
        </w:rPr>
        <w:t xml:space="preserve">писании объекта закупки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описании показателей (характеристик) товара, заказчик использует следующие виды показателей: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показатели, для которых установлены максимальные и/или минимальные значения (указаны **);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показатели, значения которых не могут изменяться (указаны *).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Заказчиком установлен порядок описания показателей (характеристик) товара, предлагаемых участником электронного аукциона: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по первому виду показателей участник электронного аукциона указывает конкретные значения показателей, для которых установлены минимальные и/или максимальные значения;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883"/>
        <w:pBdr/>
        <w:spacing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по второму виду показателей участник электронного аукциона указывает значение, установленное заказчиком. 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можете приложить эскиз, рисунок, чертеж, фотографию, иное изображение товара, предлагаемого к поставке.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описании технических характеристик </w:t>
      </w:r>
      <w:r>
        <w:rPr>
          <w:rFonts w:ascii="Times New Roman" w:hAnsi="Times New Roman" w:cs="Times New Roman"/>
          <w:sz w:val="24"/>
          <w:szCs w:val="24"/>
        </w:rPr>
        <w:t xml:space="preserve">могут быть </w:t>
      </w:r>
      <w:r>
        <w:rPr>
          <w:rFonts w:ascii="Times New Roman" w:hAnsi="Times New Roman" w:cs="Times New Roman"/>
          <w:sz w:val="24"/>
          <w:szCs w:val="24"/>
        </w:rPr>
        <w:t xml:space="preserve">использованы следующие знаки и обозначения: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"/>
      <w:bookmarkEnd w:id="4"/>
      <w:r>
        <w:rPr>
          <w:rFonts w:ascii="Times New Roman" w:hAnsi="Times New Roman" w:cs="Times New Roman"/>
          <w:sz w:val="24"/>
          <w:szCs w:val="24"/>
        </w:rPr>
        <w:t xml:space="preserve">символ "±" означает, что показателю будет соответствовать значение равное указанному или с отклонением в большую или меньшую сторону в пределах указанного </w:t>
      </w:r>
      <w:r>
        <w:rPr>
          <w:rFonts w:ascii="Times New Roman" w:hAnsi="Times New Roman" w:cs="Times New Roman"/>
          <w:sz w:val="24"/>
          <w:szCs w:val="24"/>
        </w:rPr>
        <w:t xml:space="preserve">предельного отклонения. Например, если в описании объекта закупки указано значение 36±2, то этому значению будет соответствовать любое конкретное значение в диапазоне от 34 до 38;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символ "≥" слева от числа означает, что показателю будет соответствовать значение больше указанного или равное ему;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символ "≤" слева от числа означает, что показателю будет соответствовать значение меньше указанного или равное ему;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союз "или" между значениями означает, что показателю будет соответствовать любое из значений или диапазон значений, разделенных союзом;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союз "и" между значениями означает, что показателю будет соответствовать показатель, содержащий одновременно все значения или диапазоны значений, разделенные союзом;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 "от" и "до" означают, что показателю будет соответствовать любое конкретное значение в пределах указанного диапазона, включая крайние значения;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pBdr/>
        <w:spacing w:after="0" w:line="240" w:lineRule="auto"/>
        <w:ind w:firstLine="36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 "диапазон от и до" означают, что показателю будет соответствовать любой диапазон значений в пределах указанного диапазона, включая крайние значения.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 показателя без указанных выше символов, слов и союзов означает, что показателю будет соответствовать только указанное </w:t>
      </w:r>
      <w:r>
        <w:rPr>
          <w:rFonts w:ascii="Times New Roman" w:hAnsi="Times New Roman" w:cs="Times New Roman"/>
          <w:sz w:val="24"/>
          <w:szCs w:val="24"/>
        </w:rPr>
        <w:t xml:space="preserve">неизменное значение. В этом случае указывайте только конкретные показатели, не используйте такие слова, как "не более", "типа" и подобные, которые позволят растолковать характеристики товара как примерные или допускающие отклонения от необходимых значений.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Также не допускается при заполнении сведений вместо указания значения показателя товара указывать: «соответствует», «в полном соответствии», «наличие», за исключением случаев, если это предусм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ено заказчиком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Bdr/>
        <w:spacing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 соответствии с Постановлением Правительства Ро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-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становлен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u w:val="single"/>
        </w:rPr>
        <w:t xml:space="preserve">запрет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ицами.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для подтверждения происхождения программ для электронных вычислительных машин и (или) баз данных (далее - программное обеспечение)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указанных в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позиции 146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приложения № 1 к постановлению № 1875,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из Российской Федерации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информацией и документами, подтверждающими страну происхождения программного обеспечения для целей постановления Правительства РФ от 23.12.2024 </w:t>
        <w:br/>
        <w:t xml:space="preserve">№ 1875 являются: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-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требованиям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 программному обеспечению (для программного обеспечения, в отношени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которого установлены дополнительные требования к программам для электронных вычислительных машин и базам данных, сведения о которых включены в реестр российского программного обеспечения, утвержденные постановлением Правительства РФ от 23.03.2017 № 325);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для подтверждения происхождения программного обеспечения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указанного в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позиции 146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приложения № 1 к постановлению № 1875,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из государств - членов Евразийского экономического союза, за исключением Российской Федерации: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информацией и документами, подтверждающими страну происхождения программного обеспечения для целей постановления Правительства РФ от 23.12.2024 </w:t>
        <w:br/>
        <w:t xml:space="preserve">№ 1875 являются: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 порядковый номер реестровой записи из единого реестра программ для электронных вычислительных машин и баз данных из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требованиям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 программному обеспечению (для программного обеспечения, в отношени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которого установлены дополнительные требования к программам для электронных вычислительных машин и базам данных, сведения о которых включены в реестр российского программного обеспечения, утвержденные постановлением Правительства РФ от 23.03.2017 № 325);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программного обеспечения, происходящего из иностранного государства.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Указание в заявке на участие в закупке наименования страны происхождения товара (в случае осуществления закупки в соответствии с Федеральным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законом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"О контрактной системе в сфере закупок товаров, работ, услуг для обеспечения государственных и муниципальных нужд" такое указание осуществляется в соответствии с </w:t>
      </w:r>
      <w:r>
        <w:rPr>
          <w:rFonts w:ascii="Times New Roman" w:hAnsi="Times New Roman" w:eastAsia="Times New Roman" w:cs="Times New Roman"/>
          <w:color w:val="0000ff"/>
          <w:sz w:val="24"/>
          <w:u w:val="none"/>
        </w:rPr>
        <w:t xml:space="preserve">подпунктом "б" пункта 2 части 1 статьи 43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указанного Федерального закона):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88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8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88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8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8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8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88">
    <w:name w:val="FollowedHyperlink"/>
    <w:basedOn w:val="8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198">
    <w:name w:val="Placeholder Text"/>
    <w:basedOn w:val="880"/>
    <w:uiPriority w:val="99"/>
    <w:semiHidden/>
    <w:pPr>
      <w:pBdr/>
      <w:spacing/>
      <w:ind/>
    </w:pPr>
    <w:rPr>
      <w:color w:val="666666"/>
    </w:rPr>
  </w:style>
  <w:style w:type="paragraph" w:styleId="703">
    <w:name w:val="Heading 1"/>
    <w:basedOn w:val="879"/>
    <w:next w:val="879"/>
    <w:link w:val="70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04">
    <w:name w:val="Heading 1 Char"/>
    <w:basedOn w:val="880"/>
    <w:link w:val="70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879"/>
    <w:next w:val="879"/>
    <w:link w:val="70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06">
    <w:name w:val="Heading 2 Char"/>
    <w:basedOn w:val="880"/>
    <w:link w:val="70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07">
    <w:name w:val="Heading 3"/>
    <w:basedOn w:val="879"/>
    <w:next w:val="879"/>
    <w:link w:val="70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80"/>
    <w:link w:val="70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09">
    <w:name w:val="Heading 4"/>
    <w:basedOn w:val="879"/>
    <w:next w:val="879"/>
    <w:link w:val="71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80"/>
    <w:link w:val="70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9"/>
    <w:next w:val="879"/>
    <w:link w:val="71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80"/>
    <w:link w:val="71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9"/>
    <w:next w:val="879"/>
    <w:link w:val="71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80"/>
    <w:link w:val="71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9"/>
    <w:next w:val="879"/>
    <w:link w:val="71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80"/>
    <w:link w:val="71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9"/>
    <w:next w:val="879"/>
    <w:link w:val="71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80"/>
    <w:link w:val="71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9"/>
    <w:next w:val="879"/>
    <w:link w:val="72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80"/>
    <w:link w:val="71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879"/>
    <w:uiPriority w:val="34"/>
    <w:qFormat/>
    <w:pPr>
      <w:pBdr/>
      <w:spacing/>
      <w:ind w:left="720"/>
      <w:contextualSpacing w:val="true"/>
    </w:pPr>
  </w:style>
  <w:style w:type="paragraph" w:styleId="722">
    <w:name w:val="Title"/>
    <w:basedOn w:val="879"/>
    <w:next w:val="879"/>
    <w:link w:val="72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23">
    <w:name w:val="Title Char"/>
    <w:basedOn w:val="880"/>
    <w:link w:val="722"/>
    <w:uiPriority w:val="10"/>
    <w:pPr>
      <w:pBdr/>
      <w:spacing/>
      <w:ind/>
    </w:pPr>
    <w:rPr>
      <w:sz w:val="48"/>
      <w:szCs w:val="48"/>
    </w:rPr>
  </w:style>
  <w:style w:type="paragraph" w:styleId="724">
    <w:name w:val="Subtitle"/>
    <w:basedOn w:val="879"/>
    <w:next w:val="879"/>
    <w:link w:val="725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25">
    <w:name w:val="Subtitle Char"/>
    <w:basedOn w:val="880"/>
    <w:link w:val="724"/>
    <w:uiPriority w:val="11"/>
    <w:pPr>
      <w:pBdr/>
      <w:spacing/>
      <w:ind/>
    </w:pPr>
    <w:rPr>
      <w:sz w:val="24"/>
      <w:szCs w:val="24"/>
    </w:rPr>
  </w:style>
  <w:style w:type="paragraph" w:styleId="726">
    <w:name w:val="Quote"/>
    <w:basedOn w:val="879"/>
    <w:next w:val="879"/>
    <w:link w:val="727"/>
    <w:uiPriority w:val="29"/>
    <w:qFormat/>
    <w:pPr>
      <w:pBdr/>
      <w:spacing/>
      <w:ind w:right="720" w:left="720"/>
    </w:pPr>
    <w:rPr>
      <w:i/>
    </w:rPr>
  </w:style>
  <w:style w:type="character" w:styleId="727">
    <w:name w:val="Quote Char"/>
    <w:link w:val="726"/>
    <w:uiPriority w:val="29"/>
    <w:pPr>
      <w:pBdr/>
      <w:spacing/>
      <w:ind/>
    </w:pPr>
    <w:rPr>
      <w:i/>
    </w:rPr>
  </w:style>
  <w:style w:type="paragraph" w:styleId="728">
    <w:name w:val="Intense Quote"/>
    <w:basedOn w:val="879"/>
    <w:next w:val="879"/>
    <w:link w:val="72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29">
    <w:name w:val="Intense Quote Char"/>
    <w:link w:val="728"/>
    <w:uiPriority w:val="30"/>
    <w:pPr>
      <w:pBdr/>
      <w:spacing/>
      <w:ind/>
    </w:pPr>
    <w:rPr>
      <w:i/>
    </w:rPr>
  </w:style>
  <w:style w:type="paragraph" w:styleId="730">
    <w:name w:val="Header"/>
    <w:basedOn w:val="879"/>
    <w:link w:val="73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31">
    <w:name w:val="Header Char"/>
    <w:basedOn w:val="880"/>
    <w:link w:val="730"/>
    <w:uiPriority w:val="99"/>
    <w:pPr>
      <w:pBdr/>
      <w:spacing/>
      <w:ind/>
    </w:pPr>
  </w:style>
  <w:style w:type="paragraph" w:styleId="732">
    <w:name w:val="Footer"/>
    <w:basedOn w:val="879"/>
    <w:link w:val="735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33">
    <w:name w:val="Footer Char"/>
    <w:basedOn w:val="880"/>
    <w:link w:val="732"/>
    <w:uiPriority w:val="99"/>
    <w:pPr>
      <w:pBdr/>
      <w:spacing/>
      <w:ind/>
    </w:pPr>
  </w:style>
  <w:style w:type="paragraph" w:styleId="734">
    <w:name w:val="Caption"/>
    <w:basedOn w:val="879"/>
    <w:next w:val="87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732"/>
    <w:uiPriority w:val="99"/>
    <w:pPr>
      <w:pBdr/>
      <w:spacing/>
      <w:ind/>
    </w:pPr>
  </w:style>
  <w:style w:type="table" w:styleId="736">
    <w:name w:val="Table Grid Light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1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2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1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1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2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3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5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6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dc5e0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dc5e0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1adac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1adac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dfb2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dfb2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4b7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4b7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bd9e4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bd9e4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da8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da8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1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62">
    <w:name w:val="footnote text"/>
    <w:basedOn w:val="879"/>
    <w:link w:val="863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63">
    <w:name w:val="Footnote Text Char"/>
    <w:link w:val="862"/>
    <w:uiPriority w:val="99"/>
    <w:pPr>
      <w:pBdr/>
      <w:spacing/>
      <w:ind/>
    </w:pPr>
    <w:rPr>
      <w:sz w:val="18"/>
    </w:rPr>
  </w:style>
  <w:style w:type="character" w:styleId="864">
    <w:name w:val="footnote reference"/>
    <w:basedOn w:val="880"/>
    <w:uiPriority w:val="99"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79"/>
    <w:link w:val="866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66">
    <w:name w:val="Endnote Text Char"/>
    <w:link w:val="865"/>
    <w:uiPriority w:val="99"/>
    <w:pPr>
      <w:pBdr/>
      <w:spacing/>
      <w:ind/>
    </w:pPr>
    <w:rPr>
      <w:sz w:val="20"/>
    </w:rPr>
  </w:style>
  <w:style w:type="character" w:styleId="867">
    <w:name w:val="end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toc 1"/>
    <w:basedOn w:val="879"/>
    <w:next w:val="879"/>
    <w:uiPriority w:val="39"/>
    <w:unhideWhenUsed/>
    <w:pPr>
      <w:pBdr/>
      <w:spacing w:after="57"/>
      <w:ind w:right="0" w:firstLine="0" w:left="0"/>
    </w:pPr>
  </w:style>
  <w:style w:type="paragraph" w:styleId="869">
    <w:name w:val="toc 2"/>
    <w:basedOn w:val="879"/>
    <w:next w:val="879"/>
    <w:uiPriority w:val="39"/>
    <w:unhideWhenUsed/>
    <w:pPr>
      <w:pBdr/>
      <w:spacing w:after="57"/>
      <w:ind w:right="0" w:firstLine="0" w:left="283"/>
    </w:pPr>
  </w:style>
  <w:style w:type="paragraph" w:styleId="870">
    <w:name w:val="toc 3"/>
    <w:basedOn w:val="879"/>
    <w:next w:val="879"/>
    <w:uiPriority w:val="39"/>
    <w:unhideWhenUsed/>
    <w:pPr>
      <w:pBdr/>
      <w:spacing w:after="57"/>
      <w:ind w:right="0" w:firstLine="0" w:left="567"/>
    </w:pPr>
  </w:style>
  <w:style w:type="paragraph" w:styleId="871">
    <w:name w:val="toc 4"/>
    <w:basedOn w:val="879"/>
    <w:next w:val="879"/>
    <w:uiPriority w:val="39"/>
    <w:unhideWhenUsed/>
    <w:pPr>
      <w:pBdr/>
      <w:spacing w:after="57"/>
      <w:ind w:right="0" w:firstLine="0" w:left="850"/>
    </w:pPr>
  </w:style>
  <w:style w:type="paragraph" w:styleId="872">
    <w:name w:val="toc 5"/>
    <w:basedOn w:val="879"/>
    <w:next w:val="879"/>
    <w:uiPriority w:val="39"/>
    <w:unhideWhenUsed/>
    <w:pPr>
      <w:pBdr/>
      <w:spacing w:after="57"/>
      <w:ind w:right="0" w:firstLine="0" w:left="1134"/>
    </w:pPr>
  </w:style>
  <w:style w:type="paragraph" w:styleId="873">
    <w:name w:val="toc 6"/>
    <w:basedOn w:val="879"/>
    <w:next w:val="879"/>
    <w:uiPriority w:val="39"/>
    <w:unhideWhenUsed/>
    <w:pPr>
      <w:pBdr/>
      <w:spacing w:after="57"/>
      <w:ind w:right="0" w:firstLine="0" w:left="1417"/>
    </w:pPr>
  </w:style>
  <w:style w:type="paragraph" w:styleId="874">
    <w:name w:val="toc 7"/>
    <w:basedOn w:val="879"/>
    <w:next w:val="879"/>
    <w:uiPriority w:val="39"/>
    <w:unhideWhenUsed/>
    <w:pPr>
      <w:pBdr/>
      <w:spacing w:after="57"/>
      <w:ind w:right="0" w:firstLine="0" w:left="1701"/>
    </w:pPr>
  </w:style>
  <w:style w:type="paragraph" w:styleId="875">
    <w:name w:val="toc 8"/>
    <w:basedOn w:val="879"/>
    <w:next w:val="879"/>
    <w:uiPriority w:val="39"/>
    <w:unhideWhenUsed/>
    <w:pPr>
      <w:pBdr/>
      <w:spacing w:after="57"/>
      <w:ind w:right="0" w:firstLine="0" w:left="1984"/>
    </w:pPr>
  </w:style>
  <w:style w:type="paragraph" w:styleId="876">
    <w:name w:val="toc 9"/>
    <w:basedOn w:val="879"/>
    <w:next w:val="879"/>
    <w:uiPriority w:val="39"/>
    <w:unhideWhenUsed/>
    <w:pPr>
      <w:pBdr/>
      <w:spacing w:after="57"/>
      <w:ind w:right="0" w:firstLine="0" w:left="2268"/>
    </w:pPr>
  </w:style>
  <w:style w:type="paragraph" w:styleId="877">
    <w:name w:val="TOC Heading"/>
    <w:uiPriority w:val="39"/>
    <w:unhideWhenUsed/>
    <w:pPr>
      <w:pBdr/>
      <w:spacing/>
      <w:ind/>
    </w:pPr>
  </w:style>
  <w:style w:type="paragraph" w:styleId="878">
    <w:name w:val="table of figures"/>
    <w:basedOn w:val="879"/>
    <w:next w:val="879"/>
    <w:uiPriority w:val="99"/>
    <w:unhideWhenUsed/>
    <w:pPr>
      <w:pBdr/>
      <w:spacing w:after="0" w:afterAutospacing="0"/>
      <w:ind/>
    </w:pPr>
  </w:style>
  <w:style w:type="paragraph" w:styleId="879" w:default="1">
    <w:name w:val="Normal"/>
    <w:qFormat/>
    <w:pPr>
      <w:pBdr/>
      <w:spacing/>
      <w:ind/>
    </w:pPr>
  </w:style>
  <w:style w:type="character" w:styleId="880" w:default="1">
    <w:name w:val="Default Paragraph Font"/>
    <w:uiPriority w:val="1"/>
    <w:semiHidden/>
    <w:unhideWhenUsed/>
    <w:pPr>
      <w:pBdr/>
      <w:spacing/>
      <w:ind/>
    </w:pPr>
  </w:style>
  <w:style w:type="table" w:styleId="88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2" w:default="1">
    <w:name w:val="No List"/>
    <w:uiPriority w:val="99"/>
    <w:semiHidden/>
    <w:unhideWhenUsed/>
    <w:pPr>
      <w:pBdr/>
      <w:spacing/>
      <w:ind/>
    </w:pPr>
  </w:style>
  <w:style w:type="paragraph" w:styleId="883">
    <w:name w:val="No Spacing"/>
    <w:uiPriority w:val="1"/>
    <w:qFormat/>
    <w:pPr>
      <w:pBdr/>
      <w:spacing w:after="0" w:line="240" w:lineRule="auto"/>
      <w:ind/>
      <w:jc w:val="center"/>
    </w:pPr>
    <w:rPr>
      <w:rFonts w:ascii="Times New Roman" w:hAnsi="Times New Roman" w:eastAsia="Calibri" w:cs="Times New Roman"/>
      <w:sz w:val="28"/>
      <w:szCs w:val="28"/>
    </w:rPr>
  </w:style>
  <w:style w:type="table" w:styleId="884">
    <w:name w:val="Table Grid"/>
    <w:basedOn w:val="881"/>
    <w:uiPriority w:val="59"/>
    <w:pPr>
      <w:pBdr/>
      <w:spacing w:after="0" w:line="240" w:lineRule="auto"/>
      <w:ind/>
    </w:pPr>
    <w:rPr>
      <w:rFonts w:ascii="Calibri" w:hAnsi="Calibri" w:eastAsia="Times New Roman" w:cs="Times New Roma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5">
    <w:name w:val="Balloon Text"/>
    <w:basedOn w:val="879"/>
    <w:link w:val="886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86" w:customStyle="1">
    <w:name w:val="Текст выноски Знак"/>
    <w:basedOn w:val="880"/>
    <w:link w:val="885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0271037184BFFFC2288C1617AEA4C862C0E3AA907894E02C1124D81891D7979BBE80A7AD5968058746D08D13D10E95FD9970EEF583CAc0N8C" TargetMode="External"/><Relationship Id="rId10" Type="http://schemas.openxmlformats.org/officeDocument/2006/relationships/hyperlink" Target="consultantplus://offline/ref=469F1E599B52735CCBC36BB9BB562382CCDF46B90A0F59FB699C2A4FC9EBE12DBF46F25D6BBBD28C2024FD4F05B470A2F86D992447F510TBC" TargetMode="External"/><Relationship Id="rId11" Type="http://schemas.openxmlformats.org/officeDocument/2006/relationships/hyperlink" Target="consultantplus://offline/ref=469F1E599B52735CCBC36BB9BB562382CCDF46B90A0F59FB699C2A4FC9EBE12DBF46F25D6BBBD58C2024FD4F05B470A2F86D992447F510TBC" TargetMode="External"/><Relationship Id="rId12" Type="http://schemas.openxmlformats.org/officeDocument/2006/relationships/hyperlink" Target="consultantplus://offline/ref=469F1E599B52735CCBC36BB9BB562382CCDF46B90A0F59FB699C2A4FC9EBE12DBF46F25D6BBBD28C2024FD4F05B470A2F86D992447F510TBC" TargetMode="External"/><Relationship Id="rId13" Type="http://schemas.openxmlformats.org/officeDocument/2006/relationships/hyperlink" Target="consultantplus://offline/ref=0DF4B7F6DD9DFB5EDB0445AE53BDBBD7DA910A6072FDA47FEAC207574572A21A058D9E5FF143A60DD122034E6E603DACA6E33DE0DE6Co4k0F" TargetMode="External"/><Relationship Id="rId14" Type="http://schemas.openxmlformats.org/officeDocument/2006/relationships/hyperlink" Target="consultantplus://offline/ref=F6085893F29B43A673E55BEFC1C1CD6B801BC5F3DD892CDE89B199157EF16F799E7461A516033A84B6CF537D4DD98331C0DE82E80F74DBn7B" TargetMode="External"/><Relationship Id="rId15" Type="http://schemas.openxmlformats.org/officeDocument/2006/relationships/hyperlink" Target="consultantplus://offline/ref=F6085893F29B43A673E55BEFC1C1CD6B801BC5F3DD892CDE89B199157EF16F799E7461A516023A84B6CF537D4DD98331C0DE82E80F74DBn7B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Михайличенко Наталья Васильевна</dc:creator>
  <cp:keywords/>
  <dc:description/>
  <cp:revision>20</cp:revision>
  <dcterms:created xsi:type="dcterms:W3CDTF">2022-02-16T00:05:00Z</dcterms:created>
  <dcterms:modified xsi:type="dcterms:W3CDTF">2026-07-15T01:56:36Z</dcterms:modified>
</cp:coreProperties>
</file>