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12090" w:leader="none"/>
        </w:tabs>
        <w:suppressAutoHyphens w:val="true"/>
        <w:overflowPunct w:val="true"/>
        <w:bidi w:val="0"/>
        <w:ind w:hanging="0" w:left="0" w:right="36"/>
        <w:jc w:val="right"/>
        <w:rPr/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  </w:t>
      </w: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УТВЕРЖДАЮ</w:t>
      </w:r>
    </w:p>
    <w:p>
      <w:pPr>
        <w:pStyle w:val="Normal"/>
        <w:bidi w:val="0"/>
        <w:jc w:val="righ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/>
        </w:rPr>
        <w:t>Г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лавн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/>
        </w:rPr>
        <w:t>ый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 врач</w:t>
      </w:r>
    </w:p>
    <w:p>
      <w:pPr>
        <w:pStyle w:val="Normal"/>
        <w:bidi w:val="0"/>
        <w:jc w:val="righ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/>
        </w:rPr>
        <w:t>Г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БУЗ «Кореновская ЦРБ»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/>
        </w:rPr>
        <w:t>МЗ КК</w:t>
      </w:r>
    </w:p>
    <w:p>
      <w:pPr>
        <w:pStyle w:val="Normal"/>
        <w:bidi w:val="0"/>
        <w:jc w:val="righ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____________________/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sz w:val="24"/>
          <w:szCs w:val="24"/>
          <w:u w:val="none"/>
          <w:em w:val="none"/>
          <w:lang w:val="ru-RU" w:eastAsia="zxx" w:bidi="zxx"/>
        </w:rPr>
        <w:t>Черченко А.В.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/</w:t>
      </w:r>
    </w:p>
    <w:p>
      <w:pPr>
        <w:pStyle w:val="Normal"/>
        <w:bidi w:val="0"/>
        <w:jc w:val="right"/>
        <w:rPr>
          <w:rFonts w:eastAsia="Times New Roman" w:cs="Times New Roman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М.П.</w:t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pacing w:lineRule="auto" w:line="240" w:before="0" w:afterAutospacing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Style16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  <w:t>Описание объекта закупки</w:t>
      </w:r>
    </w:p>
    <w:p>
      <w:pPr>
        <w:pStyle w:val="Style1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Style10"/>
        <w:jc w:val="center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  <w:t>Наименование объекта закупки:</w:t>
      </w:r>
    </w:p>
    <w:p>
      <w:pPr>
        <w:sectPr>
          <w:footerReference w:type="default" r:id="rId2"/>
          <w:type w:val="nextPage"/>
          <w:pgSz w:w="11906" w:h="16838"/>
          <w:pgMar w:left="567" w:right="567" w:gutter="0" w:header="0" w:top="567" w:footer="709" w:bottom="766"/>
          <w:pgNumType w:fmt="decimal"/>
          <w:formProt w:val="false"/>
          <w:textDirection w:val="lrTb"/>
          <w:docGrid w:type="default" w:linePitch="360" w:charSpace="0"/>
        </w:sectPr>
        <w:pStyle w:val="Style17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  <w:t>Оказание услуг по сопровождению медицинской информационной системы медицинской организации</w:t>
      </w:r>
    </w:p>
    <w:tbl>
      <w:tblPr>
        <w:tblStyle w:val="768"/>
        <w:tblW w:w="157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5"/>
        <w:gridCol w:w="3921"/>
        <w:gridCol w:w="2244"/>
        <w:gridCol w:w="3332"/>
        <w:gridCol w:w="2977"/>
        <w:gridCol w:w="850"/>
        <w:gridCol w:w="1813"/>
      </w:tblGrid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№ 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п/п</w:t>
            </w:r>
          </w:p>
        </w:tc>
        <w:tc>
          <w:tcPr>
            <w:tcW w:w="3921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2244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Код по ОКПД 2 / Код позиции КТРУ</w:t>
            </w:r>
          </w:p>
        </w:tc>
        <w:tc>
          <w:tcPr>
            <w:tcW w:w="3332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2977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850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Ед. изм.</w:t>
            </w:r>
          </w:p>
        </w:tc>
        <w:tc>
          <w:tcPr>
            <w:tcW w:w="1813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Необходимый объем, количество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1</w:t>
            </w:r>
          </w:p>
        </w:tc>
        <w:tc>
          <w:tcPr>
            <w:tcW w:w="3921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</w:t>
            </w:r>
          </w:p>
        </w:tc>
        <w:tc>
          <w:tcPr>
            <w:tcW w:w="2244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3</w:t>
            </w:r>
          </w:p>
        </w:tc>
        <w:tc>
          <w:tcPr>
            <w:tcW w:w="3332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4</w:t>
            </w:r>
          </w:p>
        </w:tc>
        <w:tc>
          <w:tcPr>
            <w:tcW w:w="2977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5</w:t>
            </w:r>
          </w:p>
        </w:tc>
        <w:tc>
          <w:tcPr>
            <w:tcW w:w="850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6</w:t>
            </w:r>
          </w:p>
        </w:tc>
        <w:tc>
          <w:tcPr>
            <w:tcW w:w="1813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7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1</w:t>
            </w:r>
          </w:p>
        </w:tc>
        <w:tc>
          <w:tcPr>
            <w:tcW w:w="3921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  <w:tc>
          <w:tcPr>
            <w:tcW w:w="2244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62.02.30.000</w:t>
            </w:r>
          </w:p>
        </w:tc>
        <w:tc>
          <w:tcPr>
            <w:tcW w:w="3332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соответствии с приложением 1 к описанию объекта закупки</w:t>
            </w:r>
          </w:p>
        </w:tc>
        <w:tc>
          <w:tcPr>
            <w:tcW w:w="2977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соответствии с приложением 1 к описанию объекта закупки</w:t>
            </w:r>
          </w:p>
        </w:tc>
        <w:tc>
          <w:tcPr>
            <w:tcW w:w="850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усл. ед.</w:t>
            </w:r>
          </w:p>
        </w:tc>
        <w:tc>
          <w:tcPr>
            <w:tcW w:w="1813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</w:t>
            </w:r>
          </w:p>
        </w:tc>
      </w:tr>
    </w:tbl>
    <w:p>
      <w:pPr>
        <w:pStyle w:val="Style10"/>
        <w:jc w:val="center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</w:p>
    <w:p>
      <w:pPr>
        <w:pStyle w:val="Normal"/>
        <w:shd w:val="nil" w:color="auto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</w:r>
      <w:r>
        <w:br w:type="page"/>
      </w:r>
    </w:p>
    <w:p>
      <w:pPr>
        <w:pStyle w:val="Style18"/>
        <w:spacing w:before="0" w:after="0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  <w:t>Приложение 1 к описанию объекта закупки</w:t>
      </w:r>
    </w:p>
    <w:tbl>
      <w:tblPr>
        <w:tblStyle w:val="768"/>
        <w:tblW w:w="5000" w:type="pct"/>
        <w:jc w:val="left"/>
        <w:tblInd w:w="0" w:type="dxa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firstRow="1" w:noVBand="1" w:lastRow="0" w:firstColumn="1" w:lastColumn="0" w:noHBand="0" w:val="04a0"/>
      </w:tblPr>
      <w:tblGrid>
        <w:gridCol w:w="565"/>
        <w:gridCol w:w="3544"/>
        <w:gridCol w:w="11595"/>
      </w:tblGrid>
      <w:tr>
        <w:trPr>
          <w:tblHeader w:val="true"/>
        </w:trPr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№ 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п/п</w:t>
            </w:r>
          </w:p>
        </w:tc>
        <w:tc>
          <w:tcPr>
            <w:tcW w:w="3544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Раздел</w:t>
            </w:r>
          </w:p>
        </w:tc>
        <w:tc>
          <w:tcPr>
            <w:tcW w:w="1159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Информация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1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</w:rPr>
              <w:t>Наименование объекта закупки</w:t>
            </w:r>
          </w:p>
        </w:tc>
        <w:tc>
          <w:tcPr>
            <w:tcW w:w="11595" w:type="dxa"/>
            <w:tcBorders/>
          </w:tcPr>
          <w:p>
            <w:pPr>
              <w:pStyle w:val="Style10"/>
              <w:widowControl/>
              <w:spacing w:before="0" w:after="0"/>
              <w:jc w:val="left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Код по ОКПД 2 / Код позиции КТРУ</w:t>
            </w:r>
          </w:p>
        </w:tc>
        <w:tc>
          <w:tcPr>
            <w:tcW w:w="11595" w:type="dxa"/>
            <w:tcBorders/>
          </w:tcPr>
          <w:p>
            <w:pPr>
              <w:pStyle w:val="Style10"/>
              <w:widowControl/>
              <w:spacing w:before="0" w:after="0"/>
              <w:jc w:val="left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62.02.30.000: Услуги по технической поддержке информационных технологий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3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Объем выполняемых работ, оказываемых услуг с единицей измерения объема</w:t>
            </w:r>
          </w:p>
        </w:tc>
        <w:tc>
          <w:tcPr>
            <w:tcW w:w="11595" w:type="dxa"/>
            <w:tcBorders/>
          </w:tcPr>
          <w:p>
            <w:pPr>
              <w:pStyle w:val="Style10"/>
              <w:widowControl/>
              <w:spacing w:before="0" w:after="0"/>
              <w:jc w:val="left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 усл. ед.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4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Обоснование необходимости использования при составлении описания объекта закупки показателей, требований, условных обозначений и терминологии из источников, не связанных с законодательством Российской Федерации о техническом регулировании, законодательством Российской Федерации о стандартизации</w:t>
            </w:r>
          </w:p>
        </w:tc>
        <w:tc>
          <w:tcPr>
            <w:tcW w:w="11595" w:type="dxa"/>
            <w:tcBorders/>
          </w:tcPr>
          <w:tbl>
            <w:tblPr>
              <w:tblStyle w:val="768"/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135"/>
              <w:gridCol w:w="9301"/>
            </w:tblGrid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Термин, сокращение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Описание, определение, расшифровка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АРМ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Автоматизированное рабочее место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БД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База данных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ГБУЗ МИАЦ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Государственное бюджетное учреждение здравоохранения «Медицинский информационно-аналитический центр» министерства здравоохранения Краснодарского края. http://www.miackuban.ru – ресурс ГБУЗ МИАЦ в сети Интернет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Заказчик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Медицинская организация, в которой установлена сопровождаемая медицинская информационная система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Исполнитель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Организация, оказывающая услуги по сопровождению медицинской информационной системы Заказчика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rFonts w:cs="Times New Roman"/>
                      <w:color w:themeColor="text1" w:val="000000"/>
                      <w:kern w:val="0"/>
                      <w:sz w:val="24"/>
                      <w:szCs w:val="24"/>
                      <w:highlight w:val="white"/>
                      <w:lang w:val="ru-RU" w:eastAsia="en-US" w:bidi="ar-SA"/>
                    </w:rPr>
                    <w:t>ИЭМК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Интегрированная электронная медицинская карта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КПС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Комплекс программных средств. Набор программного обеспечения, работающего совместно для выполнения одной или нескольких сходных задач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ЛВН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Лист временной нетрудоспособности. Документ, подтверждающий временную нетрудоспособность гражданина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МИС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Медицинская информационная система. Информационная система, предназначенная для автоматизации лечебно-диагностического процесса и сопутствующей медицинской деятельности медицинской организации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МО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Медицинская организация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НСИ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Н</w:t>
                  </w: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ормативно-справочная информация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ОМС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Обязательное медицинское страхование. Государственная система социальной защиты интересов граждан в охране здоровья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ОС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Операционная система. Комплекс системных и управляющих программ, предназначенных для наиболее эффективного использования всех ресурсов вычислительной системы и удобства работы с ней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ПО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Программное обеспечение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Пользователь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Лицо, которое использует МИС для выполнения конкретных функций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Продукт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Программное обеспечение МИС «КПС «САМСОН»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РС ЕГИСЗ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Региональный сегмент единой государственной информационной системы в сфере здравоохранения Краснодарского края, на базе ГБУЗ МИАЦ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РЭМД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Реестр электронных медицинских документов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СМО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Страховая медицинская организация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СНИЛС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Страховой номер индивидуального лицевого счета застрахованного лица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СУБД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Система управления базами данных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Терминальный доступ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Организация работы с ПО, когда информация хранится и обрабатывается на некотором удалённом сервере (терминальном сервере), а оборудование пользователя выполняет лишь функцию ввода и вывода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ТФОМС КК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Территориальный фонд обязательного медицинского страхования Краснодарского края. http://www.kubanoms.ru – ресурс ТФОМС КК в сети Интернет</w:t>
                  </w:r>
                </w:p>
              </w:tc>
            </w:tr>
            <w:tr>
              <w:trPr/>
              <w:tc>
                <w:tcPr>
                  <w:tcW w:w="2135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</w:rPr>
                    <w:t>ФЛК</w:t>
                  </w:r>
                </w:p>
              </w:tc>
              <w:tc>
                <w:tcPr>
                  <w:tcW w:w="930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Форматно-логический контроль</w:t>
                  </w:r>
                </w:p>
              </w:tc>
            </w:tr>
          </w:tbl>
          <w:p>
            <w:pPr>
              <w:pStyle w:val="Style10"/>
              <w:jc w:val="left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highlight w:val="white"/>
                <w14:ligatures w14:val="none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5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Требования, установленные к функциональным, техническим, качественным характеристикам закупаемых работ, услуг, входящих в объект закупки</w:t>
            </w:r>
          </w:p>
        </w:tc>
        <w:tc>
          <w:tcPr>
            <w:tcW w:w="11595" w:type="dxa"/>
            <w:tcBorders/>
          </w:tcPr>
          <w:p>
            <w:pPr>
              <w:pStyle w:val="12"/>
              <w:widowControl/>
              <w:numPr>
                <w:ilvl w:val="0"/>
                <w:numId w:val="7"/>
              </w:numPr>
              <w:spacing w:beforeAutospacing="0" w:before="119" w:afterAutospacing="0" w:after="119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Общие сведения.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Настоящее описание объекта закупки определяет порядок оказания услуг по сопровождению медицинской информационной системы медицинской организации для автоматизации лечебно-диагностического процесса и сопутствующей медицинской деятельности.</w:t>
            </w:r>
          </w:p>
          <w:p>
            <w:pPr>
              <w:pStyle w:val="Style11"/>
              <w:widowControl/>
              <w:spacing w:before="0" w:after="0"/>
              <w:jc w:val="both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Медицинская организация: Государственное бюджетное учреждение здравоохранения </w:t>
            </w:r>
            <w:r>
              <w:rPr>
                <w:kern w:val="0"/>
                <w:highlight w:val="white"/>
                <w:lang w:val="ru-RU" w:eastAsia="en-US" w:bidi="ar-SA"/>
                <w14:ligatures w14:val="none"/>
              </w:rPr>
              <w:t>"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Кореновская центральная районная больница" министерства здравоохранения Краснодарского края (сокращенное наименование – ГБУЗ "КОРЕНОВСКАЯ ЦРБ" МЗ КК)</w:t>
            </w:r>
          </w:p>
          <w:p>
            <w:pPr>
              <w:pStyle w:val="Style11"/>
              <w:widowControl/>
              <w:spacing w:before="0" w:after="0"/>
              <w:jc w:val="left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Место оказания услуг: 353180, Краснодарский край, г. Кореновск, ул. Павлова, 19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 </w:t>
            </w: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Удаленные работы, проводимые в рамках оказания услуг, должны осуществляется посредством защищенной корпоративной сети передачи данных министерства здравоохранения Краснодарского края (сеть ViPNet № 1988).</w:t>
            </w:r>
          </w:p>
          <w:p>
            <w:pPr>
              <w:pStyle w:val="Style10"/>
              <w:widowControl/>
              <w:spacing w:beforeAutospacing="0" w:before="119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Эксплуатируемая в медицинской организации Заказчика медицинская информационная система: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полное наименование: </w:t>
            </w: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Программа для ЭВМ Медицинская Информационная Система «Система Автоматизации Медико-Страхового Обслуживания Населения» «САМСОН» (КПС «САМСОН»);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краткое наименование: МИС «КПС «САМСОН».</w:t>
            </w:r>
          </w:p>
          <w:p>
            <w:pPr>
              <w:pStyle w:val="Style10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</w:rPr>
              <w:t xml:space="preserve">Правообладателем </w:t>
            </w: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МИС «КПС «САМСОН»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</w:rPr>
              <w:t xml:space="preserve"> является 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ООО «САМСОН Групп» (ИНН 7838471184, ОГРН 1127847079337)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</w:rPr>
              <w:t>, в соответствии со свидетельствами об официальной регистрации программ для ЭВМ № 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2012616227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</w:rPr>
              <w:t>, № 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2023680324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</w:rPr>
              <w:t>, выданными Федеральной службой по интеллектуальной собственности, патентам и товарным знакам.</w:t>
            </w:r>
          </w:p>
          <w:p>
            <w:pPr>
              <w:pStyle w:val="Style11"/>
              <w:widowControl/>
              <w:spacing w:beforeAutospacing="0" w:before="119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Описание объекта закупки определяет функции, выполняемые Заказчиком и Исполнителем в целях обеспечения бесперебойной работы </w:t>
            </w: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МИС «КПС «САМСОН»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.</w:t>
            </w:r>
          </w:p>
          <w:p>
            <w:pPr>
              <w:pStyle w:val="Style11"/>
              <w:widowControl/>
              <w:spacing w:beforeAutospacing="0"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Сопровождение </w:t>
            </w:r>
            <w:r>
              <w:rPr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МИС «КПС «САМСОН»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 осуществляется силами и средствами Исполнителя. Настоящим описанием объекта закупки не предусматривается и не устанавливается обязанность Заказчика в предоставлении Исполнителю каких-либо услуг, средств и материалов, которые могут потребоваться для его выполнения.</w:t>
            </w:r>
          </w:p>
          <w:p>
            <w:pPr>
              <w:pStyle w:val="12"/>
              <w:widowControl/>
              <w:numPr>
                <w:ilvl w:val="0"/>
                <w:numId w:val="7"/>
              </w:numPr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Краткая характеристика медицинской информационной системы.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МИС предназначена для обеспечения: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информационной поддержки процесса оказания медицинской помощи на уровне медицинской организации, включая ведение ЭМК пациента, медико-технологических процессов в рамках медицинской организации;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информационной поддержки процесса управления медицинской организации, включая управление административно-хозяйственной деятельностью медицинской организации, формирование и передачу данных о затратах за оказанную медицинскую помощь и лекарственное обеспечение;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информационной поддержки процессов взаимодействия с пациентами, включая предоставление возможности записи и самостоятельной записи пациента на прием к врачу;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информационного взаимодействия между различными медицинскими организациями в рамках оказания медицинской помощи;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информационного взаимодействия с централизованными информационными ресурсами в части обмена информацией, связанной с лечебно-диагностическим процессом.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Основными целями эксплуатации МИС Заказчиком являются: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повышение качества и доступности медицинской помощи населению;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снижение количества ошибок при формировании счетов за оказанную медицинскую помощь;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повышение эффективности работы медицинской организации;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обеспечение обоснованности и оперативности принятия управленческих решений;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поддержка принятия врачебных решений;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создание информационной базы научно-исследовательской работы.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Поставленные цели достигаются посредством: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использования современных информационных систем для медицинской и административной деятельности при осуществлении лечебно-диагностического процесса на объектах Заказчика;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ведения медицинской документации в электронном виде;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персонифицированного учета оказания медицинских услуг.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основу МИС заложен модульный принцип построения с открытой архитектурой, обеспечивающей возможность встраивания и взаимодействия с другими системами и подсистемами.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архитектуре МИС существуют следующие уровни иерархии: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1) уровень пользовательского интерфейса, обеспечивающий доступ пользователей к функциональности МИС;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2) уровень бизнес-логики, реализующий бизнес-логику МИС на основе исполняемых на сервере приложений сервисов;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3) уровень данных, обеспечивающий хранение данных МИС;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4) уровень интеграции, обеспечивающий взаимодействие компонентов МИС между собой и со смежными системами.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МИС функционирует на основе: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действующих государственных законодательных и нормативно-правовых документов, регулирующих вопросы работы МО и информационного взаимодействия МО любой формы собственности и вида на территории РФ;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порядка и правил формирования входных, выходных и внутренних документов, взаимодействия подразделений при осуществлении лечебно-диагностического процесса;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моделей основных процессов, а также соответствующих им стандартов на выполнение отдельных процессов, положений о подразделениях и должностных обязанностях сотрудников предприятия.</w:t>
            </w:r>
          </w:p>
          <w:p>
            <w:pPr>
              <w:pStyle w:val="12"/>
              <w:widowControl/>
              <w:numPr>
                <w:ilvl w:val="0"/>
                <w:numId w:val="7"/>
              </w:numPr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Цели оказания услуг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Целью оказания услуг является обеспечение стабильной работы, расширение её функциональных возможностей и увеличение надёжности, для улучшения качества лечебно-диагностического процесса, снижения трудоемкости работы медицинского персонала за счет сокращения потерь рабочего времени на выполнение работ по сбору, систематизации, подготовке и оформлению информационно-справочных и отчетно-статистических документов, повышения доступности и качества медицинских услуг для населения.</w:t>
            </w:r>
          </w:p>
          <w:p>
            <w:pPr>
              <w:pStyle w:val="Style11"/>
              <w:widowControl/>
              <w:spacing w:before="0" w:after="0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Достижение указанных выше целей обеспечивается за счет решения следующих задач: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проведение регламентных и профилактических работ с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проведение работ по выявлению ошибок в функционировании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проведение работ по обновлению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своевременная приемка и обработка заявок поступающих от сотрудников Заказчика;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консультирование и информационная поддержка пользователей по работе с МИС.</w:t>
            </w:r>
          </w:p>
          <w:p>
            <w:pPr>
              <w:pStyle w:val="12"/>
              <w:widowControl/>
              <w:numPr>
                <w:ilvl w:val="0"/>
                <w:numId w:val="7"/>
              </w:numPr>
              <w:ind w:hanging="0" w:left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 к сопровождению медицинской информационной системы.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течение срока оказания услуг Исполнитель обеспечивает сопровождение МИС.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Сопровождение МИС, включает в себя: администрирование, обслуживание всех компонентов МИС, а также информационно-технологическое консультирование пользователей по работе программного обеспечения. В том числе: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исправление явных дефектов в работе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консультирование по техническим вопросам, связанным с эксплуатацией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консультирование по организационным и методическим вопросам, связанным организацией работы и эксплуатацией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проведение диагностических и профилактических мероприятий, направленных на обеспечение безотказной работы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предоставление обновлений версий МИС.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Оказываемые Исполнителем услуги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рамках оказания услуг Исполнитель обеспечивает решение следующих задач: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1) прием и обработка обращений по вопросам работы МИС;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2) обеспечение мониторинга работоспособности функционирования интеграционных профилей следующих сервисов: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Запись на прием через ФЭР;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Запись на вакцинацию (COVID);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Управление очередями;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ИЭМК;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Вызов врача на дом;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Журнал отложенной записи;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Уведомления участкового врача;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Портал врача;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Телемедицинские консультации;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Обмен данными лабораторных исследований;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Обмен данными инструментальных исследований;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Запись на Диспансеризация/Профилактические осмотры;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Обратный талон МСЭ;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Расширенный выгрузчик в РЭМД;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Расширенное направление на МСЭ;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Запись на диспансерное наблюдение;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Запись на прием по направлению;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Запись на вакцинацию;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Идентификация ОМС;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Прикрепление онлайн;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Интеграция с ВИМИС «Акинео»;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Интеграция с ВИМИС «ОНКО»;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Интеграция с ВИМИС «ССЗ»;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Интеграция с ВИМИС «Профилактическая медицина. Профилактика инфекционных болезней»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Парус Демография;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Неотложная помощь;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Электронный больничный лист;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Перечисленных в положении о порядке информационного обмена в сфере обязательного медицинского страхования на территории Краснодарского края в актуальной версии.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3) при обеспечении мониторинга работоспособности функционирования интеграционных профилей сервисов Исполнитель не несет ответственность за работоспособность аппаратной части и/или некорректную работу сервисов, а также обеспечение поддержки интернет канала;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4) обеспечение мониторинга доступности информационных ресурсов МИС. Исполнитель должен обеспечить восстановление и доступность МИС, после сбоев и/или аварий, связанных с ошибками в работе программного обеспечения в срок в соответствии с Регламентом обслуживания (Приложение 2 к описанию объекта закупки);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5) обеспечение информационно-консультативной поддержки по вопросам работы с МИС. Срок представления консультаций – согласно Регламента обслуживания (Приложение 2 к описанию объекта закупки);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6) проведение обучения сотрудников медицинской организации по работе с МИС, предоставление по запросу Заказчика инструкций и иных обучающих материалов;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7) предоставление Заказчику обновлений МИС «КПС «САМСОН» по мере их выпуска разработчиком программного продукта.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течение всего срока действия Контракта связь со службой технической поддержки Исполнителя организовывается посредством Центра обращений Исполнителя для консультирования сотрудников Заказчика. Для осуществления функций Центром обращений Исполнителя обеспечивает: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единую точку входа для всех обращений, через выделенный адрес электронной почты и  выделенный телефонный номер;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наличие достаточного количества специалистов поддержки;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прием, учет обращений по вопросам работы с МИС;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идентификацию, обработку инцидентов и обращений на обслуживание;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накопление базы знаний по решенным обращениям;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информирование специалистов заказчика о текущем статусе обращений;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Порядок взаимодействия сотрудников Заказчика и Исполнителя, в части решения вопросов связанных с оказанием услуг по сопровождению МИС, определяется Регламентом обслуживания (Приложение 2 к описанию объекта закупки).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Методическая и техническая поддержка сотрудников Заказчика осуществляется в объеме, определенном в соответствии с настоящим разделом.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рамках оказания услуг по сопровождению МИС Исполнитель обеспечивает необходимый уровень сервиса в соответствии с Регламентом обслуживания (Приложение 2 к описанию объекта закупки).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Удаленные работы, проводимые в рамках сервисного сопровождения, осуществляются посредством защищенной корпоративной сети передачи данных министерства здравоохранения Краснодарского края (сеть ViPNet № 1988).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 решении задач сопровождения предусмотрены следующие виды работ:</w:t>
            </w:r>
          </w:p>
          <w:p>
            <w:pPr>
              <w:pStyle w:val="Style13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Таблица 1 – Виды работ в рамках оказания услуг по сопровождению.</w:t>
            </w:r>
          </w:p>
          <w:tbl>
            <w:tblPr>
              <w:tblStyle w:val="768"/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5718"/>
              <w:gridCol w:w="5718"/>
            </w:tblGrid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Наименование работы (операции)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Комментарии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Системное сопровождение СУБД (мониторинг состояния СУБД)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Системное сопровождение баз данных (ручное резервное копирование баз данных, восстановление баз данных из архивной копии, проверка и восстановление целостности данных)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Мониторинг работы серверной части МИС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Реализация превентивных мер направленных на минимизацию сбоев в работе МИС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Проведение аварийных работ по восстановлению работоспособности МИС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Установка обновленных версий МИС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Исполнителем по мере выпуска обновлённых версий МИС.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Исправление ошибок, выявленных в процессе работы МИС.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Если для устранения ошибки требуется модификация программного кода МИС, то информация по такой ошибке передается разработчику МИС «КПС «САМСОН» и после доработки программного обеспечения для устранения данной ошибки выпускается обновленная версия МИС, которая устанавливается Заказчику стандартным образом.</w:t>
                  </w:r>
                </w:p>
                <w:p>
                  <w:pPr>
                    <w:pStyle w:val="9"/>
                    <w:spacing w:beforeAutospacing="0" w:before="119" w:after="0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Возможно, посредством удаленного администрирования.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Консультирование пользователей по вопросам, связанным с эксплуатацией МИС.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мере обращения Заказчика.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Консультация пользователей МИС по вопросам применения функциональных механизмов.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мере обращения Заказчика.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Обучение пользователей по работе с МИС согласно их функциональным обязанностям.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мере обращения Заказчика.</w:t>
                  </w:r>
                </w:p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Обучение может проводиться как в очном, так и удаленном формате (посредством телекоммуникационных каналов связи).</w:t>
                  </w:r>
                </w:p>
              </w:tc>
            </w:tr>
            <w:tr>
              <w:trPr/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Консультации технического персонала заказчика по вопросам, связанным с технической инфраструктурой работы МИС</w:t>
                  </w:r>
                </w:p>
              </w:tc>
              <w:tc>
                <w:tcPr>
                  <w:tcW w:w="5718" w:type="dxa"/>
                  <w:tcBorders/>
                </w:tcPr>
                <w:p>
                  <w:pPr>
                    <w:pStyle w:val="9"/>
                    <w:rPr>
                      <w:sz w:val="24"/>
                      <w:szCs w:val="24"/>
                      <w:highlight w:val="white"/>
                    </w:rPr>
                  </w:pPr>
                  <w:r>
                    <w:rPr>
                      <w:kern w:val="0"/>
                      <w:sz w:val="24"/>
                      <w:szCs w:val="24"/>
                      <w:highlight w:val="white"/>
                    </w:rPr>
                    <w:t>Производится по мере обращения Заказчика.</w:t>
                  </w:r>
                </w:p>
              </w:tc>
            </w:tr>
          </w:tbl>
          <w:p>
            <w:pPr>
              <w:pStyle w:val="12"/>
              <w:widowControl/>
              <w:numPr>
                <w:ilvl w:val="0"/>
                <w:numId w:val="7"/>
              </w:numPr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 к модернизации медицинской информационной системы.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Поступающие в Центр обращений Исполнителя Заявки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случае принятия положительного решения о возможности реализации, обновление МИС «КПС «САМСОН» выполняется по отдельному договору и техническому заданию Заказчика.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Поступающие в Центр обращений Исполнителя Заявки на устранение ошибок, выявленные в процессе работы и требующие модификацию программного кода МИС, регистрируются и передаются разработчику МИС для реализации.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Данные доработки МИС являются приоритетными и по окончанию их реализации, включаются в ближайшее обновление МИС «КПС «САМСОН». Обновленная версия Продукта передается и устанавливается Исполнителем у Заказчика.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Дополнительная модернизация МИС производится разработчиком МИС «КПС «САМСОН» в следующих случаях: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разработка обновлений МИС выполняется в связи с изменениями в «Положении об информационном обмене в системе обязательного медицинского страхования на территории Краснодарского края» (актуальная версия);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разработка обновлений МИС, связанная с поддержкой текущих требований информационного обмена в рамках региональных интеграционных сервисов ТФОМС, ГБУЗ МИАЦ, выполняется после передачи Исполнителю соответствующего технического задания со стороны Заказчика;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После модернизации МИС обновленная версия Продукта передается и устанавливается Исполнителем у Заказчика.</w:t>
            </w:r>
          </w:p>
          <w:p>
            <w:pPr>
              <w:pStyle w:val="12"/>
              <w:widowControl/>
              <w:numPr>
                <w:ilvl w:val="0"/>
                <w:numId w:val="7"/>
              </w:numPr>
              <w:ind w:hanging="0" w:left="0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 к сроку и объему предоставления гарантии качества услуг.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Гарантийный срок на оказанные услуги: 12 месяцев с момента подписания документа о приемке (акта сдачи-приемки оказанных услуг) по последнему этапу.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Гарантийные обязательства распространяются на все изменения, внесенные в исходные тексты МИС в течение действия Контракта, включая установленные у Заказчика обновленные версии медицинской информационной системы. Исполнитель в течение срока действия Контракта и гарантийного срока обязуется не ограничивать функциональность МИС и доступ к данным.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Гарантийные обязательства досрочно прекращают свое действие, если в исходный текст МИС были внесены изменения третьими лицами в течение срока действия гарантийного обязательства, не связанные с устранением выявленных дефектов. Данное нарушение оформляется двусторонним актом. Подписание акта является основанием для возврата обеспечения гарантийных обязательств.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Оказываемые Исполнителем услуги по гарантийному обслуживанию Системы (оказываемые услуги)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kern w:val="0"/>
                <w:sz w:val="24"/>
                <w:szCs w:val="24"/>
                <w:highlight w:val="white"/>
                <w:lang w:val="ru-RU" w:eastAsia="en-US" w:bidi="ar-SA"/>
              </w:rPr>
              <w:t>Удаленные работы, проводимые в рамках гарантийного обслуживания, должны осуществляется посредством защищенной корпоративной сети передачи данных министерства здравоохранения Краснодарского края (сеть ViPNet № 1988).</w:t>
            </w:r>
          </w:p>
          <w:p>
            <w:pPr>
              <w:pStyle w:val="12"/>
              <w:widowControl/>
              <w:numPr>
                <w:ilvl w:val="0"/>
                <w:numId w:val="7"/>
              </w:numPr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 к качеству и безопасности услуг.</w:t>
            </w:r>
          </w:p>
          <w:p>
            <w:pPr>
              <w:pStyle w:val="Style11"/>
              <w:widowControl/>
              <w:spacing w:before="0" w:after="0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Все данные в МИС должны обрабатываться в соответствии с требованиями к защите информации от несанкционированного доступа. Информация должна предоставляться пользователям в соответствии с их уровнем доступа, определенным Заказчиком.</w:t>
            </w:r>
          </w:p>
          <w:p>
            <w:pPr>
              <w:pStyle w:val="Style11"/>
              <w:widowControl/>
              <w:spacing w:before="0" w:after="0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Исполнитель обязуется не передавать третьим лицам информацию, используемую для оказания услуг, и сведения о характере оказываемых услуг.</w:t>
            </w:r>
          </w:p>
          <w:p>
            <w:pPr>
              <w:pStyle w:val="Style11"/>
              <w:widowControl/>
              <w:spacing w:before="0" w:after="0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Исполнитель обязуется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      </w:r>
          </w:p>
          <w:p>
            <w:pPr>
              <w:pStyle w:val="Style11"/>
              <w:widowControl/>
              <w:spacing w:before="0" w:after="0"/>
              <w:rPr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организационно-распорядительными документами Заказчика.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случае обновления МИС «КПС «САМСОН», новые функциональные механизмы и сервисы МИС не должны нарушать целостность остальных механизмов МИС, менять алгоритмы их работы, а так же нарушать алгоритмы работы предприятия Заказчика без объективной необходимости.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случае обновления МИС «КПС «САМСОН», нарушение целостности базы данных МИС в рамках медицинской организации не допускается.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5.1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Порядок, последовательность действий и (или) условия, которые соблюдаются подрядчиком, исполнителем при выполнении работ, оказании услуг</w:t>
            </w:r>
          </w:p>
        </w:tc>
        <w:tc>
          <w:tcPr>
            <w:tcW w:w="11595" w:type="dxa"/>
            <w:tcBorders/>
          </w:tcPr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Место оказания услуг: согласно приложению 1 описания объекта закупок. 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Срок оказания услуг: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начало оказания услуг: с даты заключения контракта, но не ранее 01.01.2027 г.;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окончание оказания услуг: 30.06.2027 г.</w:t>
            </w:r>
          </w:p>
          <w:p>
            <w:pPr>
              <w:pStyle w:val="Style11"/>
              <w:widowControl/>
              <w:tabs>
                <w:tab w:val="clear" w:pos="708"/>
                <w:tab w:val="left" w:pos="8821" w:leader="none"/>
              </w:tabs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Услуги оказываются оказываются на поэтапной основе. Количество этапов: 2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Этапы оказания услуг: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– 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1 этап: с даты заключения контракта, но не ранее 01.01.2027 г., по 31.03.2027 г.;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 xml:space="preserve">– </w:t>
            </w: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2 этап: с 01.04.2027 г. по 30.06.2027 г.;</w:t>
            </w:r>
          </w:p>
          <w:p>
            <w:pPr>
              <w:pStyle w:val="Style13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Таблица 1 – Перечень отчетных документов по этапу.</w:t>
            </w:r>
          </w:p>
          <w:tbl>
            <w:tblPr>
              <w:tblStyle w:val="768"/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632"/>
              <w:gridCol w:w="4951"/>
              <w:gridCol w:w="5854"/>
            </w:tblGrid>
            <w:tr>
              <w:trPr/>
              <w:tc>
                <w:tcPr>
                  <w:tcW w:w="632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center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 xml:space="preserve">№ </w:t>
                  </w: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п/п</w:t>
                  </w:r>
                </w:p>
              </w:tc>
              <w:tc>
                <w:tcPr>
                  <w:tcW w:w="495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center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Содержание услуг</w:t>
                  </w:r>
                </w:p>
              </w:tc>
              <w:tc>
                <w:tcPr>
                  <w:tcW w:w="5854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center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Результат услуг, отчетные материалы</w:t>
                  </w:r>
                </w:p>
              </w:tc>
            </w:tr>
            <w:tr>
              <w:trPr/>
              <w:tc>
                <w:tcPr>
                  <w:tcW w:w="632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center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1</w:t>
                  </w:r>
                </w:p>
              </w:tc>
              <w:tc>
                <w:tcPr>
                  <w:tcW w:w="4951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jc w:val="left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Оказание услуг по сопровождению медицинской информационной системы медицинской организации</w:t>
                  </w:r>
                </w:p>
              </w:tc>
              <w:tc>
                <w:tcPr>
                  <w:tcW w:w="5854" w:type="dxa"/>
                  <w:tcBorders/>
                </w:tcPr>
                <w:p>
                  <w:pPr>
                    <w:pStyle w:val="Style10"/>
                    <w:widowControl/>
                    <w:spacing w:before="0" w:after="0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При применении электронной приемки в ЕИС и использовании электронного актирования, предоставляются следующие документы в электронном виде:</w:t>
                  </w:r>
                </w:p>
                <w:p>
                  <w:pPr>
                    <w:pStyle w:val="-"/>
                    <w:widowControl/>
                    <w:numPr>
                      <w:ilvl w:val="0"/>
                      <w:numId w:val="4"/>
                    </w:numPr>
                    <w:spacing w:before="0" w:after="0"/>
                    <w:ind w:hanging="0" w:left="0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 xml:space="preserve"> </w:t>
                  </w: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Документ о приемке.</w:t>
                  </w:r>
                </w:p>
                <w:p>
                  <w:pPr>
                    <w:pStyle w:val="Style10"/>
                    <w:widowControl/>
                    <w:spacing w:beforeAutospacing="0" w:before="119" w:after="0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При применении обычной приемки и не использовании электронного актирования, предоставляются следующие документы в печатном виде:</w:t>
                  </w:r>
                </w:p>
                <w:p>
                  <w:pPr>
                    <w:pStyle w:val="-"/>
                    <w:widowControl/>
                    <w:numPr>
                      <w:ilvl w:val="0"/>
                      <w:numId w:val="4"/>
                    </w:numPr>
                    <w:spacing w:before="0" w:after="0"/>
                    <w:ind w:hanging="0" w:left="0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Акт сдачи-приемки оказанных услуг;</w:t>
                  </w:r>
                </w:p>
                <w:p>
                  <w:pPr>
                    <w:pStyle w:val="-"/>
                    <w:widowControl/>
                    <w:numPr>
                      <w:ilvl w:val="0"/>
                      <w:numId w:val="4"/>
                    </w:numPr>
                    <w:spacing w:before="0" w:after="0"/>
                    <w:ind w:hanging="0" w:left="0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Счет;</w:t>
                  </w:r>
                </w:p>
                <w:p>
                  <w:pPr>
                    <w:pStyle w:val="-"/>
                    <w:widowControl/>
                    <w:numPr>
                      <w:ilvl w:val="0"/>
                      <w:numId w:val="4"/>
                    </w:numPr>
                    <w:spacing w:before="0" w:after="0"/>
                    <w:ind w:hanging="0" w:left="0"/>
                    <w:rPr>
                      <w:color w:themeColor="text1" w:val="000000"/>
                      <w:highlight w:val="white"/>
                      <w14:ligatures w14:val="none"/>
                    </w:rPr>
                  </w:pP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Счет-фактура (</w:t>
                  </w:r>
                  <w:r>
                    <w:rPr>
                      <w:i/>
                      <w:iCs/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при наличии</w:t>
                  </w:r>
                  <w:r>
                    <w:rPr>
                      <w:color w:themeColor="text1" w:val="000000"/>
                      <w:kern w:val="0"/>
                      <w:highlight w:val="white"/>
                      <w:lang w:val="ru-RU" w:eastAsia="en-US" w:bidi="ar-SA"/>
                      <w14:ligatures w14:val="none"/>
                    </w:rPr>
                    <w:t>)</w:t>
                  </w:r>
                </w:p>
              </w:tc>
            </w:tr>
          </w:tbl>
          <w:p>
            <w:pPr>
              <w:pStyle w:val="Style10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highlight w:val="white"/>
                <w14:ligatures w14:val="none"/>
              </w:rPr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5.2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Требования к содержанию (составу) отчетных (итоговых) документов (материалов) и их оформлению по результатам выполненных работ, оказанных услуг</w:t>
            </w:r>
          </w:p>
        </w:tc>
        <w:tc>
          <w:tcPr>
            <w:tcW w:w="11595" w:type="dxa"/>
            <w:tcBorders/>
          </w:tcPr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Исполнитель разрабатывает отчетные материалы, согласно Таблице № 1 Раздела 5.1 «Порядок, последовательность действий и (или) условия, которые соблюдаются подрядчиком, исполнителем при выполнении работ, оказании услуг», содержащую все необходимые и достаточные сведения для обеспечения оказания услуг.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Документы, предоставляемые в электронном виде предоставляются в не редактируемом формате PDF и в редактируемом формате DOC или DOCX.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Документы, предоставляемые в печатном виде и требующие подписания со стороны Заказчика и со стороны Исполнителя составляются в 2-х экземплярах (1-й экз. – Заказчику, 2-й экз. – Исполнителю). Документы, предоставляемые в печатном виде и требующие подписания только со стороны Исполнителя составляются в 1-м экземпляре для передачи Заказчику.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5.3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Порядок, последовательность действий и (или) условия, которые должны быть соблюдены подрядчиком, исполнителем при выполнении работ, оказании услуг</w:t>
            </w:r>
          </w:p>
        </w:tc>
        <w:tc>
          <w:tcPr>
            <w:tcW w:w="11595" w:type="dxa"/>
            <w:tcBorders/>
          </w:tcPr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 оказании услуг Исполнитель осуществляет сопровождение эксплуатируемой в медицинской организации МИС «КПС «САМСОН» (далее – Продукт).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 оказании услуг Исполнитель обеспечивает соблюдение исключительных права правообладателя программного обеспечения МИС «КПС «САМСОН», в соответствии с требованиями Гражданского кодекса Российской Федерации.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случае, если Исполнитель является автором или правообладателем программного обеспечения МИС «КПС «САМСОН», он должен подтвердить документально наличие соответствующих законных прав предоставлением следующих документов: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надлежащим образом заверенные копии свидетельств о государственной регистрации программ для ЭВМ либо иного документа, подтверждающего принадлежность прав;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Исполнитель, которому переданы права от автора или правообладателя программного обеспечения МИС «КПС «САМСОН» лицензионным/сублицензионным договором, должен подтвердить документально наличие соответствующих законных прав от правообладателя одним из перечисленных документов: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надлежащим образом заверенная копия лицензионного договора с автором или правообладателем программного обеспечения, предоставляющий Исполнителю права, необходимые и достаточные для оказания услуг;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надлежащим образом заверенная копия сублицензионного договора с лицом, с которым автор или правообладатель программного обеспечения заключил лицензионный договор и предоставил этому лицу права на использование программного обеспечения и которое, в свою очередь, предоставило соответствующие права Исполнителю в объеме, необходимом и достаточном для оказания услуг.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Переданное Исполнителю право использования программного обеспечения МИС «КПС «САМСОН» должно включать в себя: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право на воспроизведение, предоставленное конечным пользователям для инсталляции и запуска Продукта в соответствии с документацией к Продукту, в целях применения Продукта по его основному назначению;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право на адаптацию Продукта (внесения изменений,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пользователя);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право на передачу полученного права использования Продукта (включая носители и документацию) юридическим или физическим лицам, путем сублицензирования, продажи, проката, сдачи внаем, или иными способами;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право на внесение изменений в объектный код и исходный текст Продукта, в том числе таких изменений, которые вносятся программными средствами.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 запросу Заказчика, Исполнитель обязан предоставить необходимую документацию о наличие законных прав от правообладателя в течение 5 рабочих дней с даты запроса.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6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Порядок взаимодействия ответственных лиц со стороны заказчика и подрядчика, исполнителя при выполнении работ, оказании услуг, если такие действия необходимы при исполнении контракта</w:t>
            </w:r>
          </w:p>
        </w:tc>
        <w:tc>
          <w:tcPr>
            <w:tcW w:w="11595" w:type="dxa"/>
            <w:tcBorders/>
          </w:tcPr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ходе оказания услуг, Исполнитель обязан обеспечивать информационное взаимодействие с пользователями и специалистами со стороны Заказчика.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Для обеспечения взаимодействия с Заказчиком, Исполнитель определяет перечень лиц, уполномоченных в структуре Исполнителя принимать решения оперативного характера о порядке и способе оказания услуг, и несущих персональную ответственность за качество и полноту их оказания.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Со своей стороны, Заказчик предоставляет Исполнителю перечень и контактную информацию уполномоченных лиц для осуществления взаимодействия по вопросам, возникающим при оказании услуг.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 любых изменениях в контактной информации ответственных лиц Заказчик уведомляет любым удобным способом Исполнителя в течение 3 (трех) рабочих дней с момента возникновения таких изменений.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О любых изменениях в контактной информации ответственных лиц Исполнитель уведомляет любым удобным способом Заказчика в течение 3 (трех) рабочих дней с момента возникновения таких изменений.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В ходе оказания услуг, ответственное лицо Заказчика направляет Исполнителю обращения на консультирование по использованию МИС, либо по решению инцидентов возникших в работе МИС (далее – Заявки). Заявки направляются на адрес электронной почты Центра обращений Исполнителя, либо формулируются ответственному лицу Исполнителя по телефону. В случае направления заявки по электронной почте – заявка автоматически формируется в системе управления заявками Исполнителя, а в случае передачи заявки по телефону – заявку формирует уполномоченный специалист Исполнителя самостоятельно. Каждой сформированной заявке в системе управления заявками присваивается уникальный номер, по которому Заказчик может уточнить у Исполнителя ход выполнения работ по заявке. Время реакции на заявку и срок решения запросов/инцидентов по сопровождению МИС указаны в регламенте обслуживания (Приложение 2 к описанию объекта закупки).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Заказчик обращается к Исполнителю с целью уточнения услуг, оказываемых в рамках контракта.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Исполнитель осуществляет информирование Заказчика о ходе оказания услуг по требованию Заказчика. Информирование Заказчика осуществляется удобным для Заказчика способом: по электронной почте, по телефону.</w:t>
            </w:r>
          </w:p>
          <w:p>
            <w:pPr>
              <w:pStyle w:val="Style11"/>
              <w:widowControl/>
              <w:spacing w:before="0" w:after="0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Уполномоченные специалисты Заказчика имеют право в любое время направлять в адрес Исполнителя запросы информации: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информация о состоянии и сроках оказания услуг;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информацию об поступивших обращениях ответственных лиц Заказчика;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прочую информацию в рамках оказания услуг по Контракту.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jc w:val="center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7</w:t>
            </w:r>
          </w:p>
        </w:tc>
        <w:tc>
          <w:tcPr>
            <w:tcW w:w="3544" w:type="dxa"/>
            <w:tcBorders/>
          </w:tcPr>
          <w:p>
            <w:pPr>
              <w:pStyle w:val="Style19"/>
              <w:widowControl/>
              <w:spacing w:before="0" w:after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Нормативно-правовая база</w:t>
            </w:r>
          </w:p>
        </w:tc>
        <w:tc>
          <w:tcPr>
            <w:tcW w:w="11595" w:type="dxa"/>
            <w:tcBorders/>
          </w:tcPr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Указ Президента РФ от 09.05.2017 N 203 "О Стратегии развития информационного общества в Российской Федерации на 2017 - 2030 годы";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Федеральный закон от 12.04.2010 N 61-ФЗ "Об обращении лекарственных средств";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Федеральный закон от 27.07.2006 N 149-ФЗ "Об информации, информационных технологиях и о защите информации";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Федеральный закон от 27.07.2006 N 152-ФЗ "О персональных данных";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Федеральный закон от 27.07.2010 N 210-ФЗ "Об организации предоставления государственных и муниципальных услуг";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Федеральный закон от 21.11.2011 N 323-ФЗ "Об основах охраны здоровья граждан в Российской Федерации";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Федеральный закон от 29.11.2010 N 326-ФЗ "Об обязательном медицинском страховании в Российской Федерации";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Постановление Правительства РФ от 09.02.2022 N 140 "О единой государственной информационной системе в сфере здравоохранения";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Приказ Минздрава России от 24.12.2018 N 911н "Об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Приказ Министерства здравоохранения Российской Федерации от 07.09.2020 N 947н "Об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Приказ ФФОМС от 07.04.2011 N 79 "Об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Приказ территориального фонда обязательного медицинского страхования Краснодарского края от 01.07.2016 г. № 174-П "Об организации учета застрахованного прикрепленного населения на территории Краснодарского края с целью финансирования по подушевому нормативу";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color w:themeColor="text1" w:val="000000"/>
                <w:highlight w:val="white"/>
                <w14:ligatures w14:val="none"/>
              </w:rPr>
            </w:pPr>
            <w:r>
              <w:rPr>
                <w:color w:themeColor="text1" w:val="000000"/>
                <w:kern w:val="0"/>
                <w:highlight w:val="white"/>
                <w:lang w:val="ru-RU" w:eastAsia="en-US" w:bidi="ar-SA"/>
                <w14:ligatures w14:val="none"/>
              </w:rPr>
              <w:t>Положение о порядке информационного обмена в системе обязательного медицинского страхования на территории Краснодарского края (актуальная версия).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567" w:right="567" w:gutter="0" w:header="0" w:top="567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3"/>
        <w:rPr>
          <w:color w:themeColor="text1" w:val="000000"/>
          <w:highlight w:val="white"/>
          <w14:ligatures w14:val="none"/>
        </w:rPr>
      </w:pPr>
      <w:r>
        <w:rPr>
          <w:color w:themeColor="text1" w:val="000000"/>
          <w:highlight w:val="white"/>
          <w14:ligatures w14:val="none"/>
        </w:rPr>
        <w:t>Приложение 2 к описанию объекта закупки</w:t>
      </w:r>
    </w:p>
    <w:p>
      <w:pPr>
        <w:pStyle w:val="Style16"/>
        <w:spacing w:beforeAutospacing="0" w:before="113" w:afterAutospacing="0" w:after="113"/>
        <w:rPr>
          <w:rFonts w:ascii="Times New Roman" w:hAnsi="Times New Roman" w:cs="Times New Roman"/>
          <w:b/>
          <w:bCs/>
          <w:color w:themeColor="text1" w:val="000000"/>
          <w:sz w:val="28"/>
          <w:szCs w:val="28"/>
          <w:highlight w:val="white"/>
        </w:rPr>
      </w:pPr>
      <w:r>
        <w:rPr>
          <w:rFonts w:eastAsia="Times New Roman" w:cs="Times New Roman"/>
          <w:b w:val="false"/>
          <w:bCs w:val="false"/>
          <w:color w:themeColor="text1" w:val="000000"/>
          <w:sz w:val="24"/>
          <w:szCs w:val="24"/>
          <w:highlight w:val="white"/>
        </w:rPr>
        <w:t>Регламент обслуживания</w:t>
      </w:r>
    </w:p>
    <w:tbl>
      <w:tblPr>
        <w:tblStyle w:val="768"/>
        <w:tblW w:w="5000" w:type="pct"/>
        <w:jc w:val="left"/>
        <w:tblInd w:w="0" w:type="dxa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firstRow="1" w:noVBand="1" w:lastRow="0" w:firstColumn="1" w:lastColumn="0" w:noHBand="0" w:val="04a0"/>
      </w:tblPr>
      <w:tblGrid>
        <w:gridCol w:w="565"/>
        <w:gridCol w:w="10206"/>
      </w:tblGrid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1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НАЗНАЧЕНИЕ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1.1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Данный регламент предназначен для организации эффективного взаимодействия участников процессов получения и предоставления услуг.</w:t>
            </w:r>
          </w:p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Регламент описывает механизмы взаимодействия с Центром обращений Исполнителя для решения возникающих у Заказчика вопросов, связанных с исполнением Контракта и работой в МИС «КПС «САМСОН».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2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ПОРЯДОК НАПРАВЛЕНИЯ ЗАЯВОК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2.1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Заявка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lang w:val="ru-RU" w:eastAsia="en-US" w:bidi="ar-SA"/>
              </w:rPr>
              <w:t xml:space="preserve">направляется </w:t>
            </w: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представителем Заказчика или Конечного пользователя (далее – Инициатор обращения) в Центр обращений Исполнителя одним из следующих способов: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с помощью обращения на адрес электронной почты: _________ (предпочтительный вариант)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с помощью обращения по телефону: _________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2.2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 случае изменения реквизитов Исполнителя, актуальные реквизиты будут опубликованы на Сайте Исполнителя: _________, также Исполнитель направит уведомление Инициаторам обращения по адресу электронной почты crbkor@miackuban.ru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2.3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Заявка должна должна содержать следующую информацию:</w:t>
            </w:r>
          </w:p>
          <w:p>
            <w:pPr>
              <w:pStyle w:val="1"/>
              <w:widowControl/>
              <w:numPr>
                <w:ilvl w:val="0"/>
                <w:numId w:val="2"/>
              </w:numPr>
              <w:spacing w:before="119" w:afterAutospacing="0" w:after="0"/>
              <w:ind w:hanging="0" w:left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Инициатор обращения: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Наименование организации;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ФИО Инициатора обращения;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Должность Инициатора обращения;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Номер телефона для связи;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Адрес электронной почты.</w:t>
            </w:r>
          </w:p>
          <w:p>
            <w:pPr>
              <w:pStyle w:val="1"/>
              <w:widowControl/>
              <w:numPr>
                <w:ilvl w:val="0"/>
                <w:numId w:val="2"/>
              </w:numPr>
              <w:spacing w:beforeAutospacing="0" w:before="0" w:afterAutospacing="0" w:after="0"/>
              <w:ind w:hanging="0" w:left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Заявка: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Краткое описание (тема Заявки);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Подробное описание Запроса или Инцидента (желательно приложение скриншотов и/или графических пояснений в форматах .jpg/.gif/.png) при этом одна Заявка должна содержать описание лишь одного Инцидента или Запроса.</w:t>
            </w:r>
          </w:p>
          <w:p>
            <w:pPr>
              <w:pStyle w:val="Style11"/>
              <w:widowControl/>
              <w:spacing w:beforeAutospacing="0" w:before="119" w:after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Заявка может содержаться в тексте письма отправляемого по электронной почте, либо может быть оформлена в виде прикрепленного к данному письму файла в одном из следующих редактируемых форматов офисных пакетов: *.rtf, *.doc, *.docx, *.odt, *.xls, *.xlsx. Тема отправляемого письма с Заявкой должна содержать краткое описание Заявки.</w:t>
            </w:r>
          </w:p>
          <w:p>
            <w:pPr>
              <w:pStyle w:val="Style11"/>
              <w:widowControl/>
              <w:spacing w:beforeAutospacing="0" w:before="0" w:after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 случае передачи Заявки по телефону, всю обязательную информацию о Заявке необходимо сообщить специалисту Центра обращений.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ПОРЯДОК ОБРАБОТКИ ЗАЯВОК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3.1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Каждой Заявке присваивается уникальный идентификатор (номер). Этот номер может быть запрошен Инициатором обращения в дальнейшем или использован для уточнения статуса обработки Заявки.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3.2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Специалист Центра обращений идентифицирует проблему, решает ее самостоятельно или, в случае необходимости, с привлечением дополнительных ресурсов (эскалация проблемы на иной уровень).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3.4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Специалист Центра предоставляет Инициатору обращения оперативное (временное или окончательное) решение проблемы, используя информацию, полученную в ходе локализации проблемы.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3.5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Решением проблемы может являться ответ на вопрос Инициатора обращения, локализация проблемы, рекомендации или план действий.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3.6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 случае предоставления окончательного решения проблем Заявка закрывается, при подтверждении успешного разрешения Инициатором обращения.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3.7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Если проблема решена в новой версии ПО, обновление рассматривается как предоставленное решение.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3.8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Основанием для закрытия Заявки в любом случае является: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предоставление Инициатору обращения исчерпывающего ответа в качестве Консультации или же окончательно подтвержденного решения по Запросам / Инцидентам;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обращение Инициатора обращения в Центр обращений с просьбой закрыть Заявку;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проблема вызвана некорректной работой ПО иного производителя;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Инициатор обращения не отвечает на уточняющие запросы специалистов Центра в течение 7 рабочих дней. В таком случае Заявка закрывается с предварительным уведомлением Инициатора обращения;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Заявка вне компетенции специалистов Центра, в таком случае Инициатору обращения будут даны рекомендации с переадресацией на соответствующий ресурс;</w:t>
            </w:r>
          </w:p>
          <w:p>
            <w:pPr>
              <w:pStyle w:val="-"/>
              <w:widowControl/>
              <w:numPr>
                <w:ilvl w:val="0"/>
                <w:numId w:val="4"/>
              </w:numPr>
              <w:spacing w:before="0" w:after="0"/>
              <w:ind w:hanging="0" w:left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Заявка содержит Запрос на создание новых функциональных возможностей ПО или расширение текущих возможностей. В таком случае Заявка фиксируется и передается разработчикам для изучения возможности реализации в будущих версиях.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4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КЛАССИФИКАЦИЯ ЗАЯВОК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4.1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Все регистрируемые Заявки специалист Центра классифицирует по времени реакции и времени оказания Консультации или решения Запросов/Инцидентов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4.2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Время реакции на Заявку: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Критичная – остановка системы (невозможность работы с системой) или невыполнение (некорректное выполнение) системой важных функций которое может привести к невозможности работы одного или более подразделения Заказчика или Конечных пользователей услуг (более 50 пользователей);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Важная – некорректное исполнение системой некоторых функций, которое может привести к невозможности работы от 10 до 50 пользователей Системы;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Текущая – некорректное исполнение системой некоторых функций, которое может привести к невозможности работы от одного или 10 пользователей, или влекущее за собой искажение информации.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4.3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eastAsia="Times New Roman" w:cs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Время оказания Консультации или решения Запросов/Инцидентов: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rFonts w:cs="Times New Roman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8 рабочих часов для обращений статуса «Критично»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highlight w:val="white"/>
              </w:rPr>
            </w:pPr>
            <w:r>
              <w:rPr>
                <w:rFonts w:cs="Times New Roman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16 рабочих часов (по графику работы Исполнителя) для обращений статуса «Важно»</w:t>
            </w:r>
          </w:p>
          <w:p>
            <w:pPr>
              <w:pStyle w:val="2-"/>
              <w:widowControl/>
              <w:numPr>
                <w:ilvl w:val="0"/>
                <w:numId w:val="5"/>
              </w:numPr>
              <w:spacing w:before="0" w:after="0"/>
              <w:ind w:hanging="204" w:left="771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40 рабочих часов (по графику работы Исполнителя) для обращений статуса «Текущее»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5</w:t>
            </w:r>
          </w:p>
        </w:tc>
        <w:tc>
          <w:tcPr>
            <w:tcW w:w="10206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ОГРАНИЧЕНИЯ СЛУЖБЫ ОБРАЩЕНИЙ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5.1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Специалисты Центра не проводят консультации и работы, связанные с работой стороннего программного обеспечения.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5.2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Запросы на модификацию или изменение не связанные с дефектами ПО, регистрируются и передаются разработчику МИС «КПС «САМСОН». Сроки решения таких Запросов не сообщаются. Заявки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реализации, обновление МИС «КПС «САМСОН» выполняется по отдельному договору и техническому заданию Заказчика.</w:t>
            </w:r>
          </w:p>
        </w:tc>
      </w:tr>
      <w:tr>
        <w:trPr/>
        <w:tc>
          <w:tcPr>
            <w:tcW w:w="565" w:type="dxa"/>
            <w:tcBorders/>
          </w:tcPr>
          <w:p>
            <w:pPr>
              <w:pStyle w:val="Style10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5.3</w:t>
            </w:r>
          </w:p>
        </w:tc>
        <w:tc>
          <w:tcPr>
            <w:tcW w:w="10206" w:type="dxa"/>
            <w:tcBorders/>
          </w:tcPr>
          <w:p>
            <w:pPr>
              <w:pStyle w:val="Style11"/>
              <w:widowControl/>
              <w:spacing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Коммуникации Инициатора обращения и специалистов Центра должны соответствовать общепринятым нормам делового этикета. В случае нарушения норм общения, специалист Центра вправе закрыть Заявку, как обращение, не подлежащую решению.</w:t>
            </w:r>
          </w:p>
        </w:tc>
      </w:tr>
    </w:tbl>
    <w:p>
      <w:pPr>
        <w:pStyle w:val="Style10"/>
        <w:rPr>
          <w:rFonts w:ascii="Times New Roman" w:hAnsi="Times New Roman" w:cs="Times New Roman"/>
          <w:color w:themeColor="text1" w:val="000000"/>
          <w:highlight w:val="white"/>
        </w:rPr>
      </w:pPr>
      <w:r>
        <w:rPr>
          <w:rFonts w:cs="Times New Roman"/>
          <w:color w:themeColor="text1" w:val="000000"/>
          <w:highlight w:val="white"/>
        </w:rPr>
      </w:r>
    </w:p>
    <w:sectPr>
      <w:footerReference w:type="default" r:id="rId5"/>
      <w:footerReference w:type="first" r:id="rId6"/>
      <w:type w:val="nextPage"/>
      <w:pgSz w:w="11906" w:h="16838"/>
      <w:pgMar w:left="567" w:right="567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2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3"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4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hanging="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204" w:firstLine="363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77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81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85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8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093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69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Arial" w:cs="Times New Roman" w:eastAsiaTheme="minorHAnsi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acter" w:customStyle="1">
    <w:name w:val="К_Осн_character"/>
    <w:qFormat/>
    <w:rPr>
      <w:rFonts w:ascii="Times New Roman" w:hAnsi="Times New Roman" w:eastAsia="Times New Roman" w:cs="Times New Roman"/>
      <w:i w:val="false"/>
      <w:iCs w:val="false"/>
    </w:rPr>
  </w:style>
  <w:style w:type="character" w:styleId="Character1" w:customStyle="1">
    <w:name w:val="К_Осн_Абзац_character"/>
    <w:qFormat/>
    <w:rPr/>
  </w:style>
  <w:style w:type="character" w:styleId="Character2" w:customStyle="1">
    <w:name w:val="К_Осн_Левый_character"/>
    <w:qFormat/>
    <w:rPr/>
  </w:style>
  <w:style w:type="character" w:styleId="Character3" w:customStyle="1">
    <w:name w:val="К_Осн_Правый_character"/>
    <w:qFormat/>
    <w:rPr/>
  </w:style>
  <w:style w:type="character" w:styleId="123character" w:customStyle="1">
    <w:name w:val="К_Осн_123_character"/>
    <w:qFormat/>
    <w:rPr/>
  </w:style>
  <w:style w:type="character" w:styleId="1character" w:customStyle="1">
    <w:name w:val="К_Осн_1)_character"/>
    <w:qFormat/>
    <w:rPr>
      <w:rFonts w:ascii="Times New Roman" w:hAnsi="Times New Roman" w:eastAsia="Times New Roman" w:cs="Times New Roman"/>
    </w:rPr>
  </w:style>
  <w:style w:type="character" w:styleId="Character4" w:customStyle="1">
    <w:name w:val="К_Осн_а)_курсив_character"/>
    <w:qFormat/>
    <w:rPr>
      <w:rFonts w:ascii="Times New Roman" w:hAnsi="Times New Roman" w:eastAsia="Times New Roman" w:cs="Times New Roman"/>
      <w:i/>
      <w:iCs/>
    </w:rPr>
  </w:style>
  <w:style w:type="character" w:styleId="-character" w:customStyle="1">
    <w:name w:val="К_Осн_М-_character"/>
    <w:qFormat/>
    <w:rPr>
      <w:rFonts w:ascii="Times New Roman" w:hAnsi="Times New Roman" w:eastAsia="Times New Roman" w:cs="Times New Roman"/>
      <w:i w:val="false"/>
      <w:iCs w:val="false"/>
    </w:rPr>
  </w:style>
  <w:style w:type="character" w:styleId="2-character" w:customStyle="1">
    <w:name w:val="К_Осн_М2-_character"/>
    <w:qFormat/>
    <w:rPr/>
  </w:style>
  <w:style w:type="character" w:styleId="1character1" w:customStyle="1">
    <w:name w:val="К_Пункт1_character"/>
    <w:qFormat/>
    <w:rPr/>
  </w:style>
  <w:style w:type="character" w:styleId="2character" w:customStyle="1">
    <w:name w:val="К_Пункт2_character"/>
    <w:qFormat/>
    <w:rPr/>
  </w:style>
  <w:style w:type="character" w:styleId="3character" w:customStyle="1">
    <w:name w:val="К_Пункт3_character"/>
    <w:qFormat/>
    <w:rPr/>
  </w:style>
  <w:style w:type="character" w:styleId="Character5" w:customStyle="1">
    <w:name w:val="К_Форма_character"/>
    <w:qFormat/>
    <w:rPr>
      <w:caps/>
    </w:rPr>
  </w:style>
  <w:style w:type="character" w:styleId="Character6" w:customStyle="1">
    <w:name w:val="К_Заголовок_character"/>
    <w:qFormat/>
    <w:rPr>
      <w:caps/>
    </w:rPr>
  </w:style>
  <w:style w:type="character" w:styleId="Character7" w:customStyle="1">
    <w:name w:val="К_Подзаголовок_character"/>
    <w:qFormat/>
    <w:rPr/>
  </w:style>
  <w:style w:type="character" w:styleId="Character8" w:customStyle="1">
    <w:name w:val="К_Приложение_character"/>
    <w:qFormat/>
    <w:rPr/>
  </w:style>
  <w:style w:type="character" w:styleId="1character2" w:customStyle="1">
    <w:name w:val="К_ТЗ_1Пункт_character"/>
    <w:qFormat/>
    <w:rPr>
      <w14:ligatures w14:val="none"/>
    </w:rPr>
  </w:style>
  <w:style w:type="character" w:styleId="2character1" w:customStyle="1">
    <w:name w:val="К_ТЗ_2Пункт_character"/>
    <w:qFormat/>
    <w:rPr/>
  </w:style>
  <w:style w:type="character" w:styleId="3character1" w:customStyle="1">
    <w:name w:val="К_ТЗ_3Пункт_character"/>
    <w:qFormat/>
    <w:rPr/>
  </w:style>
  <w:style w:type="character" w:styleId="Character9" w:customStyle="1">
    <w:name w:val="К_Осн_Раздел_character"/>
    <w:qFormat/>
    <w:rPr>
      <w14:ligatures w14:val="none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Style10" w:customStyle="1">
    <w:name w:val="К_Осн"/>
    <w:basedOn w:val="Normal"/>
    <w:qFormat/>
    <w:pPr>
      <w:spacing w:lineRule="auto" w:line="240" w:before="0" w:afterAutospacing="0" w:after="0"/>
      <w:jc w:val="both"/>
    </w:pPr>
    <w:rPr>
      <w:rFonts w:ascii="Times New Roman" w:hAnsi="Times New Roman" w:eastAsia="Times New Roman" w:cs="Times New Roman"/>
      <w:i w:val="false"/>
      <w:iCs w:val="false"/>
      <w:sz w:val="24"/>
      <w:szCs w:val="24"/>
    </w:rPr>
  </w:style>
  <w:style w:type="paragraph" w:styleId="Style11" w:customStyle="1">
    <w:name w:val="К_Осн_Абзац"/>
    <w:basedOn w:val="Style10"/>
    <w:qFormat/>
    <w:pPr>
      <w:ind w:firstLine="567"/>
      <w:jc w:val="both"/>
    </w:pPr>
    <w:rPr/>
  </w:style>
  <w:style w:type="paragraph" w:styleId="Style12" w:customStyle="1">
    <w:name w:val="К_Осн_Левый"/>
    <w:basedOn w:val="Style11"/>
    <w:qFormat/>
    <w:pPr>
      <w:ind w:hanging="0"/>
      <w:jc w:val="left"/>
    </w:pPr>
    <w:rPr/>
  </w:style>
  <w:style w:type="paragraph" w:styleId="Style13" w:customStyle="1">
    <w:name w:val="К_Осн_Правый"/>
    <w:basedOn w:val="Style12"/>
    <w:qFormat/>
    <w:pPr>
      <w:jc w:val="right"/>
    </w:pPr>
    <w:rPr/>
  </w:style>
  <w:style w:type="paragraph" w:styleId="123" w:customStyle="1">
    <w:name w:val="К_Осн_123"/>
    <w:basedOn w:val="Style10"/>
    <w:qFormat/>
    <w:pPr>
      <w:numPr>
        <w:ilvl w:val="0"/>
        <w:numId w:val="1"/>
      </w:numPr>
      <w:spacing w:beforeAutospacing="0" w:before="119" w:afterAutospacing="0" w:after="119"/>
      <w:ind w:hanging="0" w:left="0"/>
      <w:jc w:val="both"/>
    </w:pPr>
    <w:rPr/>
  </w:style>
  <w:style w:type="paragraph" w:styleId="1" w:customStyle="1">
    <w:name w:val="К_Осн_1)"/>
    <w:basedOn w:val="Style10"/>
    <w:qFormat/>
    <w:pPr>
      <w:numPr>
        <w:ilvl w:val="0"/>
        <w:numId w:val="2"/>
      </w:numPr>
      <w:spacing w:beforeAutospacing="0" w:before="119" w:afterAutospacing="0" w:after="119"/>
      <w:ind w:hanging="0" w:left="0"/>
    </w:pPr>
    <w:rPr>
      <w:rFonts w:ascii="Times New Roman" w:hAnsi="Times New Roman" w:eastAsia="Times New Roman" w:cs="Times New Roman"/>
    </w:rPr>
  </w:style>
  <w:style w:type="paragraph" w:styleId="Style14" w:customStyle="1">
    <w:name w:val="К_Осн_а)_курсив"/>
    <w:basedOn w:val="Style10"/>
    <w:qFormat/>
    <w:pPr>
      <w:numPr>
        <w:ilvl w:val="0"/>
        <w:numId w:val="3"/>
      </w:numPr>
      <w:ind w:hanging="0" w:left="0"/>
    </w:pPr>
    <w:rPr>
      <w:rFonts w:ascii="Times New Roman" w:hAnsi="Times New Roman" w:eastAsia="Times New Roman" w:cs="Times New Roman"/>
      <w:i/>
      <w:iCs/>
    </w:rPr>
  </w:style>
  <w:style w:type="paragraph" w:styleId="-" w:customStyle="1">
    <w:name w:val="К_Осн_М-"/>
    <w:basedOn w:val="Style10"/>
    <w:qFormat/>
    <w:pPr>
      <w:numPr>
        <w:ilvl w:val="0"/>
        <w:numId w:val="4"/>
      </w:numPr>
      <w:ind w:hanging="0" w:left="0"/>
    </w:pPr>
    <w:rPr>
      <w:rFonts w:ascii="Times New Roman" w:hAnsi="Times New Roman" w:eastAsia="Times New Roman" w:cs="Times New Roman"/>
      <w:i w:val="false"/>
      <w:iCs w:val="false"/>
    </w:rPr>
  </w:style>
  <w:style w:type="paragraph" w:styleId="2-" w:customStyle="1">
    <w:name w:val="К_Осн_М2-"/>
    <w:basedOn w:val="Style10"/>
    <w:qFormat/>
    <w:pPr>
      <w:numPr>
        <w:ilvl w:val="0"/>
        <w:numId w:val="5"/>
      </w:numPr>
      <w:ind w:hanging="204" w:left="771"/>
    </w:pPr>
    <w:rPr/>
  </w:style>
  <w:style w:type="paragraph" w:styleId="11" w:customStyle="1">
    <w:name w:val="К_Пункт1"/>
    <w:basedOn w:val="Style10"/>
    <w:qFormat/>
    <w:pPr>
      <w:numPr>
        <w:ilvl w:val="0"/>
        <w:numId w:val="6"/>
      </w:numPr>
      <w:spacing w:beforeAutospacing="0" w:before="198" w:afterAutospacing="0" w:after="198"/>
      <w:ind w:hanging="0" w:left="0"/>
      <w:jc w:val="center"/>
      <w:outlineLvl w:val="1"/>
    </w:pPr>
    <w:rPr>
      <w:caps/>
    </w:rPr>
  </w:style>
  <w:style w:type="paragraph" w:styleId="2" w:customStyle="1">
    <w:name w:val="К_Пункт2"/>
    <w:basedOn w:val="Style10"/>
    <w:qFormat/>
    <w:pPr>
      <w:numPr>
        <w:ilvl w:val="1"/>
        <w:numId w:val="6"/>
      </w:numPr>
      <w:spacing w:beforeAutospacing="0" w:before="119" w:after="0"/>
      <w:ind w:hanging="0" w:left="0"/>
      <w:jc w:val="left"/>
    </w:pPr>
    <w:rPr>
      <w:rFonts w:ascii="Times New Roman" w:hAnsi="Times New Roman" w:eastAsia="Times New Roman" w:cs="Times New Roman"/>
      <w:i w:val="false"/>
      <w:iCs w:val="false"/>
      <w:caps w:val="false"/>
      <w:smallCaps w:val="false"/>
    </w:rPr>
  </w:style>
  <w:style w:type="paragraph" w:styleId="3" w:customStyle="1">
    <w:name w:val="К_Пункт3"/>
    <w:basedOn w:val="Style10"/>
    <w:qFormat/>
    <w:pPr>
      <w:numPr>
        <w:ilvl w:val="2"/>
        <w:numId w:val="6"/>
      </w:numPr>
      <w:spacing w:before="0" w:after="0"/>
      <w:ind w:hanging="0" w:left="0"/>
      <w:jc w:val="both"/>
    </w:pPr>
    <w:rPr/>
  </w:style>
  <w:style w:type="paragraph" w:styleId="Style15" w:customStyle="1">
    <w:name w:val="К_Форма"/>
    <w:basedOn w:val="Style10"/>
    <w:qFormat/>
    <w:pPr>
      <w:spacing w:before="0" w:after="0"/>
      <w:jc w:val="left"/>
    </w:pPr>
    <w:rPr>
      <w:caps/>
    </w:rPr>
  </w:style>
  <w:style w:type="paragraph" w:styleId="Style16" w:customStyle="1">
    <w:name w:val="К_Заголовок"/>
    <w:basedOn w:val="Style10"/>
    <w:qFormat/>
    <w:pPr>
      <w:spacing w:before="0" w:after="0"/>
      <w:jc w:val="center"/>
      <w:outlineLvl w:val="0"/>
    </w:pPr>
    <w:rPr>
      <w:caps/>
    </w:rPr>
  </w:style>
  <w:style w:type="paragraph" w:styleId="Style17" w:customStyle="1">
    <w:name w:val="К_Подзаголовок"/>
    <w:basedOn w:val="Style10"/>
    <w:qFormat/>
    <w:pPr>
      <w:spacing w:before="0" w:after="0"/>
      <w:jc w:val="center"/>
    </w:pPr>
    <w:rPr/>
  </w:style>
  <w:style w:type="paragraph" w:styleId="Style18" w:customStyle="1">
    <w:name w:val="К_Приложение"/>
    <w:basedOn w:val="Style10"/>
    <w:qFormat/>
    <w:pPr>
      <w:jc w:val="right"/>
    </w:pPr>
    <w:rPr/>
  </w:style>
  <w:style w:type="paragraph" w:styleId="12" w:customStyle="1">
    <w:name w:val="К_ТЗ_1Пункт"/>
    <w:basedOn w:val="Style10"/>
    <w:qFormat/>
    <w:pPr>
      <w:numPr>
        <w:ilvl w:val="0"/>
        <w:numId w:val="7"/>
      </w:numPr>
      <w:spacing w:beforeAutospacing="0" w:before="119" w:afterAutospacing="0" w:after="119"/>
      <w:ind w:hanging="0" w:left="0"/>
      <w:jc w:val="left"/>
      <w:outlineLvl w:val="1"/>
    </w:pPr>
    <w:rPr>
      <w:caps/>
      <w14:ligatures w14:val="none"/>
    </w:rPr>
  </w:style>
  <w:style w:type="paragraph" w:styleId="21" w:customStyle="1">
    <w:name w:val="К_ТЗ_2Пункт"/>
    <w:basedOn w:val="Style10"/>
    <w:qFormat/>
    <w:pPr>
      <w:numPr>
        <w:ilvl w:val="1"/>
        <w:numId w:val="7"/>
      </w:numPr>
      <w:spacing w:beforeAutospacing="0" w:before="62" w:afterAutospacing="0" w:after="62"/>
      <w:ind w:hanging="0" w:left="0"/>
      <w:jc w:val="both"/>
      <w:outlineLvl w:val="2"/>
    </w:pPr>
    <w:rPr/>
  </w:style>
  <w:style w:type="paragraph" w:styleId="31" w:customStyle="1">
    <w:name w:val="К_ТЗ_3Пункт"/>
    <w:basedOn w:val="Style10"/>
    <w:qFormat/>
    <w:pPr>
      <w:numPr>
        <w:ilvl w:val="2"/>
        <w:numId w:val="7"/>
      </w:numPr>
      <w:spacing w:beforeAutospacing="0" w:before="62" w:afterAutospacing="0" w:after="62"/>
      <w:ind w:hanging="0" w:left="0"/>
      <w:jc w:val="both"/>
      <w:outlineLvl w:val="3"/>
    </w:pPr>
    <w:rPr/>
  </w:style>
  <w:style w:type="paragraph" w:styleId="Style19" w:customStyle="1">
    <w:name w:val="К_Осн_Раздел"/>
    <w:basedOn w:val="Style10"/>
    <w:qFormat/>
    <w:pPr>
      <w:spacing w:before="0" w:after="0"/>
      <w:jc w:val="left"/>
      <w:outlineLvl w:val="1"/>
    </w:pPr>
    <w:rPr>
      <w14:ligatures w14:val="none"/>
    </w:rPr>
  </w:style>
  <w:style w:type="paragraph" w:styleId="Style20" w:customStyle="1">
    <w:name w:val="К_Основной_Абзац"/>
    <w:qFormat/>
    <w:pPr>
      <w:keepNext w:val="false"/>
      <w:keepLines w:val="false"/>
      <w:pageBreakBefore w:val="false"/>
      <w:widowControl/>
      <w:shd w:val="clear" w:color="auto" w:fill="FFFFFF"/>
      <w:suppressAutoHyphens w:val="true"/>
      <w:bidi w:val="0"/>
      <w:spacing w:lineRule="auto" w:line="240" w:beforeAutospacing="0" w:before="0" w:afterAutospacing="0" w:after="0"/>
      <w:ind w:firstLine="567" w:left="0" w:right="0"/>
      <w:jc w:val="both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Style21" w:customStyle="1">
    <w:name w:val="Обычный абзац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567" w:left="0" w:right="0"/>
      <w:jc w:val="both"/>
    </w:pPr>
    <w:rPr>
      <w:rFonts w:ascii="Times New Roman" w:hAnsi="Times New Roman" w:eastAsia="Arial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2"/>
      <w:u w:val="none"/>
      <w:vertAlign w:val="baseline"/>
      <w:lang w:val="ru-RU" w:eastAsia="en-US" w:bidi="ar-SA"/>
      <w14:ligatures w14:val="none"/>
    </w:rPr>
  </w:style>
  <w:style w:type="paragraph" w:styleId="9" w:customStyle="1">
    <w:name w:val="К_Основной_9 пт_табл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18"/>
      <w:sz w:val="18"/>
      <w:szCs w:val="18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LibreOffice/7.6.0.3$Windows_X86_64 LibreOffice_project/69edd8b8ebc41d00b4de3915dc82f8f0fc3b6265</Application>
  <AppVersion>15.0000</AppVersion>
  <Pages>18</Pages>
  <Words>4379</Words>
  <Characters>32380</Characters>
  <CharactersWithSpaces>36257</CharactersWithSpaces>
  <Paragraphs>402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2026-09-10T13:10:06Z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