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8CCB3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>
        <w:rPr>
          <w:rFonts w:ascii="Times New Roman" w:hAnsi="Times New Roman" w:cs="Times New Roman"/>
          <w:sz w:val="24"/>
          <w:szCs w:val="24"/>
        </w:rPr>
        <w:t xml:space="preserve">Приложение № __ </w:t>
      </w:r>
    </w:p>
    <w:p w14:paraId="17DA4C4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Контракту №__ от «___»_______ __.202__ г.</w:t>
      </w:r>
    </w:p>
    <w:p w14:paraId="3A933128">
      <w:pPr>
        <w:pStyle w:val="18"/>
      </w:pPr>
    </w:p>
    <w:p w14:paraId="76511453">
      <w:pPr>
        <w:pStyle w:val="18"/>
      </w:pPr>
    </w:p>
    <w:p w14:paraId="67A085A0">
      <w:pPr>
        <w:pStyle w:val="10"/>
      </w:pPr>
      <w:r>
        <w:t>ТЕХНИЧЕСКОЕ ЗАДАНИЕ</w:t>
      </w:r>
    </w:p>
    <w:p w14:paraId="2C881F1E">
      <w:pPr>
        <w:pStyle w:val="10"/>
      </w:pPr>
      <w:r>
        <w:t xml:space="preserve">на оказание услуг по сопровождению автоматизированной системы управления «Управление станцией скорой медицинской помощи» </w:t>
      </w:r>
    </w:p>
    <w:p w14:paraId="578E9A7F">
      <w:pPr>
        <w:pStyle w:val="18"/>
      </w:pPr>
    </w:p>
    <w:p w14:paraId="6252D4F6">
      <w:pPr>
        <w:pStyle w:val="3"/>
      </w:pPr>
      <w:r>
        <w:t>Общие сведения</w:t>
      </w:r>
    </w:p>
    <w:p w14:paraId="3B791F5F">
      <w:pPr>
        <w:pStyle w:val="13"/>
      </w:pPr>
      <w:r>
        <w:t>Наименование системы и ее условное обозначение</w:t>
      </w:r>
    </w:p>
    <w:p w14:paraId="75ADC1A9">
      <w:pPr>
        <w:pStyle w:val="18"/>
      </w:pPr>
      <w:r>
        <w:t xml:space="preserve">Полное наименование: автоматизированная система управления «Управление станцией скорой медицинской помощи». </w:t>
      </w:r>
    </w:p>
    <w:p w14:paraId="41E30248">
      <w:pPr>
        <w:pStyle w:val="18"/>
      </w:pPr>
      <w:r>
        <w:t>Условное обозначение: Система.</w:t>
      </w:r>
    </w:p>
    <w:p w14:paraId="709788E2">
      <w:pPr>
        <w:pStyle w:val="13"/>
      </w:pPr>
      <w:r>
        <w:t>Наименование услуг</w:t>
      </w:r>
    </w:p>
    <w:p w14:paraId="27259990">
      <w:pPr>
        <w:pStyle w:val="18"/>
      </w:pPr>
      <w:r>
        <w:t>Полное наименование услуг: сопровождение работы пользователей автоматизированной системы управления «Управление станцией скорой медицинской помощи» (далее – Услуги).</w:t>
      </w:r>
    </w:p>
    <w:p w14:paraId="59BF6B01">
      <w:pPr>
        <w:pStyle w:val="18"/>
      </w:pPr>
      <w:r>
        <w:t>Код ОКПД2: 62.02.30.000 «Услуги по технической поддержке информационных технологий».</w:t>
      </w:r>
    </w:p>
    <w:p w14:paraId="6D1BA38D">
      <w:pPr>
        <w:pStyle w:val="13"/>
      </w:pPr>
      <w:r>
        <w:t>Сведения о Заказчике</w:t>
      </w:r>
    </w:p>
    <w:p w14:paraId="0CE865AE">
      <w:pPr>
        <w:pStyle w:val="18"/>
      </w:pPr>
      <w:r>
        <w:t>Заказчик: Государственное бюджетное учреждение здравоохранения Ставропольского края «Туркменская районная больница».</w:t>
      </w:r>
    </w:p>
    <w:p w14:paraId="3C2CF3D1">
      <w:pPr>
        <w:pStyle w:val="18"/>
      </w:pPr>
      <w:r>
        <w:t xml:space="preserve">Адрес: Ставропольский край, Туркменский район, сл. Летняя Ставка, ул. Больничная, 5. </w:t>
      </w:r>
    </w:p>
    <w:p w14:paraId="42E96EEA">
      <w:pPr>
        <w:pStyle w:val="13"/>
      </w:pPr>
      <w:r>
        <w:t>Место оказания услуг</w:t>
      </w:r>
    </w:p>
    <w:p w14:paraId="11EB4308">
      <w:pPr>
        <w:pStyle w:val="18"/>
      </w:pPr>
      <w:r>
        <w:t xml:space="preserve">Оказание услуг осуществляется в удаленном режиме средствами информационных технологий и телекоммуникаций. </w:t>
      </w:r>
    </w:p>
    <w:p w14:paraId="6B0425BF">
      <w:pPr>
        <w:pStyle w:val="13"/>
      </w:pPr>
      <w:r>
        <w:t>Используемые термины и сокращения</w:t>
      </w:r>
    </w:p>
    <w:p w14:paraId="35F6D629">
      <w:pPr>
        <w:pStyle w:val="18"/>
      </w:pPr>
      <w:r>
        <w:t xml:space="preserve">В данном разделе представлен перечень сокращений, используемых в настоящем документе (см. </w:t>
      </w:r>
      <w:r>
        <w:fldChar w:fldCharType="begin"/>
      </w:r>
      <w:r>
        <w:instrText xml:space="preserve"> REF _Ref64463985 \h </w:instrText>
      </w:r>
      <w:r>
        <w:fldChar w:fldCharType="separate"/>
      </w:r>
      <w:r>
        <w:t>Таблица 1</w:t>
      </w:r>
      <w:r>
        <w:fldChar w:fldCharType="end"/>
      </w:r>
      <w:r>
        <w:t>).</w:t>
      </w:r>
    </w:p>
    <w:p w14:paraId="7FCFB91A">
      <w:pPr>
        <w:pStyle w:val="21"/>
      </w:pPr>
      <w:bookmarkStart w:id="0" w:name="_Ref64463985"/>
      <w:r>
        <w:t xml:space="preserve">Таблица </w:t>
      </w:r>
      <w:r>
        <w:fldChar w:fldCharType="begin"/>
      </w:r>
      <w:r>
        <w:instrText xml:space="preserve">SEQ Таблица \* ARABIC</w:instrText>
      </w:r>
      <w:r>
        <w:fldChar w:fldCharType="separate"/>
      </w:r>
      <w:r>
        <w:t>1</w:t>
      </w:r>
      <w:r>
        <w:fldChar w:fldCharType="end"/>
      </w:r>
      <w:bookmarkEnd w:id="0"/>
      <w:r>
        <w:t xml:space="preserve"> – Перечень терминов и сокращений</w:t>
      </w:r>
    </w:p>
    <w:tbl>
      <w:tblPr>
        <w:tblStyle w:val="5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9"/>
        <w:gridCol w:w="7076"/>
      </w:tblGrid>
      <w:tr w14:paraId="3F9D9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tblHeader/>
          <w:jc w:val="center"/>
        </w:trPr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1" w:themeFillShade="D9"/>
            <w:tcMar>
              <w:left w:w="115" w:type="dxa"/>
              <w:right w:w="115" w:type="dxa"/>
            </w:tcMar>
            <w:vAlign w:val="center"/>
          </w:tcPr>
          <w:p w14:paraId="2643A0C4">
            <w:pPr>
              <w:pStyle w:val="22"/>
            </w:pPr>
            <w:r>
              <w:t>Сокращение</w:t>
            </w:r>
          </w:p>
        </w:tc>
        <w:tc>
          <w:tcPr>
            <w:tcW w:w="68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D8D8D8" w:themeFill="background1" w:themeFillShade="D9"/>
            <w:tcMar>
              <w:left w:w="115" w:type="dxa"/>
              <w:right w:w="115" w:type="dxa"/>
            </w:tcMar>
            <w:vAlign w:val="center"/>
          </w:tcPr>
          <w:p w14:paraId="3510E030">
            <w:pPr>
              <w:pStyle w:val="22"/>
            </w:pPr>
            <w:r>
              <w:t>Определение</w:t>
            </w:r>
          </w:p>
        </w:tc>
      </w:tr>
      <w:tr w14:paraId="28172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4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14D06DBB">
            <w:pPr>
              <w:pStyle w:val="23"/>
              <w:rPr>
                <w:b/>
              </w:rPr>
            </w:pPr>
            <w:r>
              <w:rPr>
                <w:b/>
              </w:rPr>
              <w:t>АРМ</w:t>
            </w:r>
          </w:p>
        </w:tc>
        <w:tc>
          <w:tcPr>
            <w:tcW w:w="689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17F123DC">
            <w:pPr>
              <w:pStyle w:val="23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Автоматизированное рабочее место</w:t>
            </w:r>
          </w:p>
        </w:tc>
      </w:tr>
      <w:tr w14:paraId="794D01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4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31D7F192">
            <w:pPr>
              <w:pStyle w:val="23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АСУ УССМП</w:t>
            </w:r>
          </w:p>
        </w:tc>
        <w:tc>
          <w:tcPr>
            <w:tcW w:w="689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25F69332">
            <w:pPr>
              <w:pStyle w:val="23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Автоматизированная система управления «Управление станцией скорой медицинской помощи»</w:t>
            </w:r>
          </w:p>
        </w:tc>
      </w:tr>
      <w:tr w14:paraId="699ED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4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0A429EB8">
            <w:pPr>
              <w:pStyle w:val="23"/>
              <w:rPr>
                <w:rFonts w:eastAsia="Calibri"/>
                <w:b/>
                <w:bCs/>
              </w:rPr>
            </w:pPr>
            <w:r>
              <w:rPr>
                <w:b/>
              </w:rPr>
              <w:t xml:space="preserve">ГБУЗ СК «Туркменская РБ»  </w:t>
            </w:r>
          </w:p>
        </w:tc>
        <w:tc>
          <w:tcPr>
            <w:tcW w:w="689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35F3D33A">
            <w:pPr>
              <w:pStyle w:val="23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Государственное бюджетное учреждение здравоохранения Ставропольского края «Туркменская районная больница»</w:t>
            </w:r>
          </w:p>
        </w:tc>
      </w:tr>
      <w:tr w14:paraId="4FB49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2E64C8DC">
            <w:pPr>
              <w:pStyle w:val="23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ГБУЗ СК «СККССМП»</w:t>
            </w:r>
          </w:p>
        </w:tc>
        <w:tc>
          <w:tcPr>
            <w:tcW w:w="6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3EEB23D1">
            <w:pPr>
              <w:pStyle w:val="23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Государственное бюджетное учреждение здравоохранения Ставропольского края «Ставропольская краевая клиническая станция скорой медицинской помощи»</w:t>
            </w:r>
          </w:p>
        </w:tc>
      </w:tr>
      <w:tr w14:paraId="20622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33BBED06">
            <w:pPr>
              <w:pStyle w:val="23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ГЛОНАСС</w:t>
            </w:r>
          </w:p>
        </w:tc>
        <w:tc>
          <w:tcPr>
            <w:tcW w:w="6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70CCA81F">
            <w:pPr>
              <w:pStyle w:val="23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Глобальная навигационная спутниковая система</w:t>
            </w:r>
          </w:p>
        </w:tc>
      </w:tr>
      <w:tr w14:paraId="3474AF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5287A45A">
            <w:pPr>
              <w:pStyle w:val="23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ЕГИСЗ</w:t>
            </w:r>
          </w:p>
        </w:tc>
        <w:tc>
          <w:tcPr>
            <w:tcW w:w="6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7BA5632F">
            <w:pPr>
              <w:pStyle w:val="23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Единая государственная информационная система здравоохранения</w:t>
            </w:r>
          </w:p>
        </w:tc>
      </w:tr>
      <w:tr w14:paraId="4366E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18C5D913">
            <w:pPr>
              <w:pStyle w:val="23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ООО «КАБ»</w:t>
            </w:r>
          </w:p>
        </w:tc>
        <w:tc>
          <w:tcPr>
            <w:tcW w:w="6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7309636E">
            <w:pPr>
              <w:pStyle w:val="23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Общество с ограниченной ответственностью «Комплексная автоматизация бизнеса»</w:t>
            </w:r>
          </w:p>
        </w:tc>
      </w:tr>
      <w:tr w14:paraId="37E37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2E683E6E">
            <w:pPr>
              <w:pStyle w:val="23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Пользователь</w:t>
            </w:r>
          </w:p>
        </w:tc>
        <w:tc>
          <w:tcPr>
            <w:tcW w:w="6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02C9B6A2">
            <w:pPr>
              <w:pStyle w:val="23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 xml:space="preserve">Лицо, участвующее в функционировании </w:t>
            </w:r>
            <w:r>
              <w:fldChar w:fldCharType="begin"/>
            </w:r>
            <w:r>
              <w:instrText xml:space="preserve"> HYPERLINK "https://ru.wikipedia.org/wiki/Автоматизированная_система" </w:instrText>
            </w:r>
            <w:r>
              <w:fldChar w:fldCharType="separate"/>
            </w:r>
            <w:r>
              <w:rPr>
                <w:rFonts w:eastAsia="Calibri"/>
                <w:bCs/>
              </w:rPr>
              <w:t>автоматизированной системы</w:t>
            </w:r>
            <w:r>
              <w:rPr>
                <w:rFonts w:eastAsia="Calibri"/>
                <w:bCs/>
              </w:rPr>
              <w:fldChar w:fldCharType="end"/>
            </w:r>
            <w:r>
              <w:rPr>
                <w:rFonts w:eastAsia="Calibri"/>
                <w:bCs/>
              </w:rPr>
              <w:t xml:space="preserve"> или использующее результаты её функционирования</w:t>
            </w:r>
          </w:p>
        </w:tc>
      </w:tr>
      <w:tr w14:paraId="097A49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1E3BE002">
            <w:pPr>
              <w:pStyle w:val="23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Система-112</w:t>
            </w:r>
          </w:p>
        </w:tc>
        <w:tc>
          <w:tcPr>
            <w:tcW w:w="6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7E1F833F">
            <w:pPr>
              <w:pStyle w:val="23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Система вызова экстренных оперативных служб по единому номеру «112»</w:t>
            </w:r>
          </w:p>
        </w:tc>
      </w:tr>
      <w:tr w14:paraId="2345B5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034B29BA">
            <w:pPr>
              <w:pStyle w:val="23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СМП</w:t>
            </w:r>
          </w:p>
        </w:tc>
        <w:tc>
          <w:tcPr>
            <w:tcW w:w="6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20F1DEEB">
            <w:pPr>
              <w:pStyle w:val="23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 xml:space="preserve">Скорая медицинская помощь </w:t>
            </w:r>
          </w:p>
        </w:tc>
      </w:tr>
      <w:tr w14:paraId="66B6B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71AD7E32">
            <w:pPr>
              <w:pStyle w:val="23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СУБД</w:t>
            </w:r>
          </w:p>
        </w:tc>
        <w:tc>
          <w:tcPr>
            <w:tcW w:w="6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1F593EF3">
            <w:pPr>
              <w:pStyle w:val="23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Система управления базами данных</w:t>
            </w:r>
          </w:p>
        </w:tc>
      </w:tr>
      <w:tr w14:paraId="51197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150446CA">
            <w:pPr>
              <w:pStyle w:val="23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ТЗ</w:t>
            </w:r>
          </w:p>
        </w:tc>
        <w:tc>
          <w:tcPr>
            <w:tcW w:w="6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6B38D776">
            <w:pPr>
              <w:pStyle w:val="23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Техническое задание</w:t>
            </w:r>
          </w:p>
        </w:tc>
      </w:tr>
      <w:tr w14:paraId="3F107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3513056D">
            <w:pPr>
              <w:pStyle w:val="23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ФОМС</w:t>
            </w:r>
          </w:p>
        </w:tc>
        <w:tc>
          <w:tcPr>
            <w:tcW w:w="6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6E3A36E3">
            <w:pPr>
              <w:pStyle w:val="23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Фонд обязательного медицинского страхования</w:t>
            </w:r>
          </w:p>
        </w:tc>
      </w:tr>
      <w:tr w14:paraId="363EE8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72295AAD">
            <w:pPr>
              <w:pStyle w:val="23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ЦОД</w:t>
            </w:r>
          </w:p>
        </w:tc>
        <w:tc>
          <w:tcPr>
            <w:tcW w:w="6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15" w:type="dxa"/>
              <w:right w:w="115" w:type="dxa"/>
            </w:tcMar>
            <w:vAlign w:val="center"/>
          </w:tcPr>
          <w:p w14:paraId="392ED899">
            <w:pPr>
              <w:pStyle w:val="23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Центр обработки данных</w:t>
            </w:r>
          </w:p>
        </w:tc>
      </w:tr>
    </w:tbl>
    <w:p w14:paraId="0F71D947">
      <w:pPr>
        <w:pStyle w:val="13"/>
      </w:pPr>
      <w:r>
        <w:t>Срок оказания услуг по сопровождению</w:t>
      </w:r>
    </w:p>
    <w:p w14:paraId="4490D182">
      <w:pPr>
        <w:pStyle w:val="18"/>
      </w:pPr>
      <w:r>
        <w:t>Срок оказания услуг по сопровождению: с даты заключения Контракта (но не ранее 01.01.2027 г.) по 31.12.2027 г. включительно.</w:t>
      </w:r>
    </w:p>
    <w:p w14:paraId="3405C764">
      <w:pPr>
        <w:pStyle w:val="3"/>
      </w:pPr>
      <w:r>
        <w:t>Цель и назначение сопровождения</w:t>
      </w:r>
    </w:p>
    <w:p w14:paraId="1FD6B7DE">
      <w:pPr>
        <w:pStyle w:val="13"/>
      </w:pPr>
      <w:r>
        <w:t>Цель сопровождения</w:t>
      </w:r>
    </w:p>
    <w:p w14:paraId="4F959CF8">
      <w:pPr>
        <w:pStyle w:val="18"/>
      </w:pPr>
      <w:r>
        <w:t xml:space="preserve">Целью оказания услуг по сопровождению работы пользователей в Системе является обеспечение работы пользователей в Системе в режиме 24 часа в сутки 7 дней в неделю. </w:t>
      </w:r>
    </w:p>
    <w:p w14:paraId="7CD6CA49">
      <w:pPr>
        <w:pStyle w:val="18"/>
      </w:pPr>
      <w:r>
        <w:t>Обеспечение работы пользователей Системы осуществляется путем поддержки пользователей при работе в Системе.</w:t>
      </w:r>
    </w:p>
    <w:p w14:paraId="5F75E2C2">
      <w:pPr>
        <w:pStyle w:val="13"/>
      </w:pPr>
      <w:r>
        <w:t xml:space="preserve">Назначение сопровождения </w:t>
      </w:r>
    </w:p>
    <w:p w14:paraId="419C0A2F">
      <w:pPr>
        <w:pStyle w:val="18"/>
      </w:pPr>
      <w:r>
        <w:t>Сопровождение пользователей Системы предназначено для:</w:t>
      </w:r>
    </w:p>
    <w:p w14:paraId="1DAE9922">
      <w:pPr>
        <w:pStyle w:val="20"/>
      </w:pPr>
      <w:r>
        <w:t>повышения качества медицинского обслуживания населения, удовлетворения потребностей населения в части оказания СМП;</w:t>
      </w:r>
    </w:p>
    <w:p w14:paraId="0C9F2CC9">
      <w:pPr>
        <w:pStyle w:val="20"/>
      </w:pPr>
      <w:r>
        <w:t xml:space="preserve">обеспечения поддержки пользователей Системы. </w:t>
      </w:r>
    </w:p>
    <w:p w14:paraId="24212FB5">
      <w:pPr>
        <w:pStyle w:val="3"/>
      </w:pPr>
      <w:r>
        <w:t>Характеристика объекта сопровождения</w:t>
      </w:r>
    </w:p>
    <w:p w14:paraId="2816E813">
      <w:pPr>
        <w:pStyle w:val="13"/>
      </w:pPr>
      <w:r>
        <w:t>Сведения об объекте сопровождения</w:t>
      </w:r>
    </w:p>
    <w:p w14:paraId="457498B8">
      <w:pPr>
        <w:pStyle w:val="18"/>
      </w:pPr>
      <w:r>
        <w:t>Объектом сопровождения является работа пользователей в Системе, предназначенной для автоматизации деятельности оказания медицинской помощи.</w:t>
      </w:r>
    </w:p>
    <w:p w14:paraId="52F640A9">
      <w:pPr>
        <w:pStyle w:val="18"/>
      </w:pPr>
      <w:r>
        <w:t>Система, расположенная в ЦОД ГБУЗ СК «СККССМП», включает в себя программное обеспечение АСУ УССМП (правообладатель ООО «КАБ» (ИНН 3664114755, свидетельство о государственной регистрации программы ЭВМ № 2017662898 от 20.11.2017 г.), в которое входят:</w:t>
      </w:r>
    </w:p>
    <w:p w14:paraId="44FE4AAC">
      <w:pPr>
        <w:pStyle w:val="20"/>
      </w:pPr>
      <w:r>
        <w:t xml:space="preserve">Подсистемы: </w:t>
      </w:r>
    </w:p>
    <w:p w14:paraId="4851FB20">
      <w:pPr>
        <w:pStyle w:val="24"/>
      </w:pPr>
      <w:r>
        <w:t>Подсистема «Вызовы»;</w:t>
      </w:r>
    </w:p>
    <w:p w14:paraId="1AF74591">
      <w:pPr>
        <w:pStyle w:val="24"/>
      </w:pPr>
      <w:r>
        <w:t>Подсистема «Санавиация»;</w:t>
      </w:r>
    </w:p>
    <w:p w14:paraId="26356181">
      <w:pPr>
        <w:pStyle w:val="24"/>
      </w:pPr>
      <w:r>
        <w:t xml:space="preserve">Подсистема «Бригады»; </w:t>
      </w:r>
    </w:p>
    <w:p w14:paraId="12680638">
      <w:pPr>
        <w:pStyle w:val="24"/>
      </w:pPr>
      <w:r>
        <w:t>Подсистема «Автопарк»;</w:t>
      </w:r>
    </w:p>
    <w:p w14:paraId="7C0BBB1D">
      <w:pPr>
        <w:pStyle w:val="24"/>
      </w:pPr>
      <w:r>
        <w:t xml:space="preserve">Подсистема «Аптека»; </w:t>
      </w:r>
    </w:p>
    <w:p w14:paraId="761A4E29">
      <w:pPr>
        <w:pStyle w:val="24"/>
      </w:pPr>
      <w:r>
        <w:t>Подсистема «Оплата»;</w:t>
      </w:r>
    </w:p>
    <w:p w14:paraId="31E01A59">
      <w:pPr>
        <w:pStyle w:val="24"/>
      </w:pPr>
      <w:r>
        <w:t xml:space="preserve">Подсистема «Кадры»; </w:t>
      </w:r>
    </w:p>
    <w:p w14:paraId="621E2A7D">
      <w:pPr>
        <w:pStyle w:val="24"/>
      </w:pPr>
      <w:r>
        <w:t xml:space="preserve">Подсистема «Отчеты»; </w:t>
      </w:r>
    </w:p>
    <w:p w14:paraId="4681E955">
      <w:pPr>
        <w:pStyle w:val="24"/>
      </w:pPr>
      <w:r>
        <w:t xml:space="preserve">Подсистема «Справочники»; </w:t>
      </w:r>
    </w:p>
    <w:p w14:paraId="10AC8851">
      <w:pPr>
        <w:pStyle w:val="24"/>
      </w:pPr>
      <w:r>
        <w:t xml:space="preserve">Подсистема «ЕГИСЗ»; </w:t>
      </w:r>
    </w:p>
    <w:p w14:paraId="05B94D38">
      <w:pPr>
        <w:pStyle w:val="24"/>
      </w:pPr>
      <w:r>
        <w:t xml:space="preserve">Подсистема «Настройки». </w:t>
      </w:r>
    </w:p>
    <w:p w14:paraId="3064D2EF">
      <w:pPr>
        <w:pStyle w:val="20"/>
      </w:pPr>
      <w:r>
        <w:t>Автоматизированные рабочие места (АРМ):</w:t>
      </w:r>
    </w:p>
    <w:p w14:paraId="7D01746D">
      <w:pPr>
        <w:pStyle w:val="24"/>
      </w:pPr>
      <w:r>
        <w:t>АРМ «Диспетчер приема вызовов»;</w:t>
      </w:r>
    </w:p>
    <w:p w14:paraId="56B633BE">
      <w:pPr>
        <w:pStyle w:val="24"/>
      </w:pPr>
      <w:r>
        <w:t>АРМ «Диспетчер направлений»;</w:t>
      </w:r>
    </w:p>
    <w:p w14:paraId="25EC3604">
      <w:pPr>
        <w:pStyle w:val="24"/>
      </w:pPr>
      <w:r>
        <w:t>АРМ «Диспетчер подстанции»;</w:t>
      </w:r>
    </w:p>
    <w:p w14:paraId="5FAC8A18">
      <w:pPr>
        <w:pStyle w:val="24"/>
      </w:pPr>
      <w:r>
        <w:t>АРМ «Старший врач»;</w:t>
      </w:r>
    </w:p>
    <w:p w14:paraId="47CFD07B">
      <w:pPr>
        <w:pStyle w:val="24"/>
      </w:pPr>
      <w:r>
        <w:t>АРМ «Статистическая служба»;</w:t>
      </w:r>
    </w:p>
    <w:p w14:paraId="745B657E">
      <w:pPr>
        <w:pStyle w:val="24"/>
      </w:pPr>
      <w:r>
        <w:t>Мобильное АРМ.</w:t>
      </w:r>
    </w:p>
    <w:p w14:paraId="4BB5257B">
      <w:pPr>
        <w:pStyle w:val="20"/>
      </w:pPr>
      <w:r>
        <w:t>Сервисы интеграции:</w:t>
      </w:r>
    </w:p>
    <w:p w14:paraId="6D338BA9">
      <w:pPr>
        <w:pStyle w:val="24"/>
      </w:pPr>
      <w:r>
        <w:t>с ФОМС;</w:t>
      </w:r>
    </w:p>
    <w:p w14:paraId="57F0903C">
      <w:pPr>
        <w:pStyle w:val="24"/>
      </w:pPr>
      <w:r>
        <w:t>с ГЛОНАСС;</w:t>
      </w:r>
    </w:p>
    <w:p w14:paraId="060A1608">
      <w:pPr>
        <w:pStyle w:val="24"/>
      </w:pPr>
      <w:r>
        <w:t>с Системой-112;</w:t>
      </w:r>
    </w:p>
    <w:p w14:paraId="29B440A2">
      <w:pPr>
        <w:pStyle w:val="24"/>
      </w:pPr>
      <w:r>
        <w:t>с мобильным АРМ.</w:t>
      </w:r>
    </w:p>
    <w:p w14:paraId="72A16FFD">
      <w:pPr>
        <w:pStyle w:val="3"/>
      </w:pPr>
      <w:r>
        <w:t xml:space="preserve">Состав и содержание услуг по сопровождению </w:t>
      </w:r>
    </w:p>
    <w:p w14:paraId="26D33A06">
      <w:pPr>
        <w:pStyle w:val="18"/>
      </w:pPr>
      <w:r>
        <w:t>Услуги должны оказываться в отношении пользователей медицинской организации, использующей Систему на дату заключения Контракта.</w:t>
      </w:r>
    </w:p>
    <w:p w14:paraId="228D73B6">
      <w:pPr>
        <w:pStyle w:val="18"/>
      </w:pPr>
      <w:r>
        <w:t>Состав Услуг по сопровождению пользователей Системы включает:</w:t>
      </w:r>
    </w:p>
    <w:p w14:paraId="4D55EB4D">
      <w:pPr>
        <w:pStyle w:val="18"/>
      </w:pPr>
      <w:r>
        <w:t>-</w:t>
      </w:r>
      <w:r>
        <w:tab/>
      </w:r>
      <w:r>
        <w:t>оперативную консультационную поддержку пользователей;</w:t>
      </w:r>
    </w:p>
    <w:p w14:paraId="0B7AC105">
      <w:pPr>
        <w:pStyle w:val="18"/>
      </w:pPr>
      <w:r>
        <w:t>-</w:t>
      </w:r>
      <w:r>
        <w:tab/>
      </w:r>
      <w:r>
        <w:t>поддержку, направленную на устранение пользовательских ошибок, возникших при работе в Системе, и устранение ошибок, возникших при работе Системы;</w:t>
      </w:r>
    </w:p>
    <w:p w14:paraId="2D0943E2">
      <w:pPr>
        <w:pStyle w:val="18"/>
      </w:pPr>
      <w:r>
        <w:t>-</w:t>
      </w:r>
      <w:r>
        <w:tab/>
      </w:r>
      <w:r>
        <w:t>инструктаж новых пользователей (по необходимости и при наличии заявки Заказчика).</w:t>
      </w:r>
    </w:p>
    <w:p w14:paraId="34FAFD96">
      <w:pPr>
        <w:pStyle w:val="18"/>
      </w:pPr>
      <w:r>
        <w:t>Исполнитель должен обеспечить следующий режим оказания услуг по сопровождению работы пользователей Системы:</w:t>
      </w:r>
    </w:p>
    <w:p w14:paraId="4289FBB9">
      <w:pPr>
        <w:pStyle w:val="20"/>
      </w:pPr>
      <w:r>
        <w:t xml:space="preserve">круглосуточно — поддержка пользователей. </w:t>
      </w:r>
    </w:p>
    <w:p w14:paraId="272FB5DD">
      <w:pPr>
        <w:pStyle w:val="18"/>
      </w:pPr>
      <w:r>
        <w:t xml:space="preserve">При необходимости для подтверждения факта оказания услуг Заказчик может запросить у Исполнителя записи телефонных переговоров с инициатором обращения, историю переписки по электронной почте, а также иные документальные свидетельства факта оказания услуг. </w:t>
      </w:r>
    </w:p>
    <w:p w14:paraId="55C92DF0">
      <w:pPr>
        <w:pStyle w:val="18"/>
      </w:pPr>
      <w:bookmarkStart w:id="1" w:name="_Ref208598675"/>
      <w:r>
        <w:t>Основанием для оказания услуг является поступившее обращение пользователя по телефону или посредством системы обмена сообщениями.</w:t>
      </w:r>
    </w:p>
    <w:bookmarkEnd w:id="1"/>
    <w:p w14:paraId="0792DB6A">
      <w:pPr>
        <w:pStyle w:val="18"/>
      </w:pPr>
      <w:r>
        <w:t>Для оказания услуг поддержки Заказчик предоставляет удаленный доступ к рабочим местам пользователей, на которых должны быть установлены средства удаленного доступа к рабочему столу. При отсутствии средства удаленного доступа на автоматизированном рабочем месте пользователя Исполнитель имеет право отклонить обращение без выполнения.</w:t>
      </w:r>
    </w:p>
    <w:p w14:paraId="15ACE77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оказания услуг по сопровождению при устранении ошибок, возникших при работе Системы, должно проводиться </w:t>
      </w:r>
      <w:r>
        <w:rPr>
          <w:rFonts w:ascii="Times New Roman" w:hAnsi="Times New Roman"/>
          <w:b/>
          <w:sz w:val="24"/>
          <w:szCs w:val="24"/>
        </w:rPr>
        <w:t>обновление и установка новых версий конфигураций АСУ УССМП</w:t>
      </w:r>
      <w:r>
        <w:rPr>
          <w:rFonts w:ascii="Times New Roman" w:hAnsi="Times New Roman"/>
          <w:sz w:val="24"/>
          <w:szCs w:val="24"/>
        </w:rPr>
        <w:t>, включающих устранение выявленных в ходе работы ошибок, исключение зависаний, сбоев, повышение стабильности и эффективности работы всей Системы. В результате оказания услуг на дату окончания действия настоящего Контракта конфигурация АСУ УССМП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должна быть обновлена до версии, исключающей возникшие в процессе оказания поддержки ошибки. </w:t>
      </w:r>
    </w:p>
    <w:p w14:paraId="7120BA58">
      <w:pPr>
        <w:pStyle w:val="3"/>
      </w:pPr>
      <w:r>
        <w:t>Требования к используемым программным кодам и соблюдению авторских прав</w:t>
      </w:r>
    </w:p>
    <w:p w14:paraId="7411F34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Любая модификация исходного кода, существующего в составе Системы, должна осуществляться с учетом требований законодательства Российской Федерации об авторском праве и не должна приводить к нарушению исключительных, авторских и смежных прав третьих лиц при реализации технических, программных, организационных и иных решений, предусмотренных настоящим ТЗ.</w:t>
      </w:r>
    </w:p>
    <w:p w14:paraId="31BC9B8E">
      <w:pPr>
        <w:pStyle w:val="3"/>
      </w:pPr>
      <w:r>
        <w:t>Требования к защите информации</w:t>
      </w:r>
    </w:p>
    <w:p w14:paraId="48CAA850">
      <w:pPr>
        <w:pStyle w:val="18"/>
      </w:pPr>
      <w:r>
        <w:t>Для выполнения работ в удаленном режиме Заказчик на весь срок исполнения контракта предоставляет Исполнителю возможность защищенного удаленного доступа к инфраструктуре Заказчика через защищенные каналы связи.</w:t>
      </w:r>
    </w:p>
    <w:p w14:paraId="2C74402D">
      <w:pPr>
        <w:pStyle w:val="18"/>
      </w:pPr>
      <w:r>
        <w:t xml:space="preserve">Удаленное подключение допустимо с использованием телекоммуникационных сетей связи по защищенному каналу связи. Доступ обеспечивает Заказчик. </w:t>
      </w:r>
    </w:p>
    <w:p w14:paraId="6CE8A99B">
      <w:pPr>
        <w:pStyle w:val="18"/>
      </w:pPr>
      <w:r>
        <w:t>В случае сбоев в работе или выходе из строя защищенных каналов связи, Исполнитель обязан реализовать резервный защищенный удаленный доступ через внешние информационно-телекоммуникационные сети с применением защищенных протоколов безопасности транспортного уровня (TLS 1.2) или сетевого уровня (например, OpenVPN).</w:t>
      </w:r>
    </w:p>
    <w:p w14:paraId="262ED7CF">
      <w:pPr>
        <w:pStyle w:val="18"/>
      </w:pPr>
      <w:r>
        <w:t>Исполнитель обеспечивает конфиденциальность, целостность и доступность информации при обработке информации. Исполнитель несет ответственность по обеспечению безопасности при обработке персональных данных, а также иных сведений, составляющих тайну в соответствии с законодательством Российской Федерации.</w:t>
      </w:r>
    </w:p>
    <w:p w14:paraId="037E7D4D">
      <w:pPr>
        <w:pStyle w:val="3"/>
      </w:pPr>
      <w:r>
        <w:t>Требования к результатам оказания услуг</w:t>
      </w:r>
    </w:p>
    <w:p w14:paraId="593E3B51">
      <w:pPr>
        <w:pStyle w:val="18"/>
      </w:pPr>
      <w:r>
        <w:t>В соответствии с настоящим ТЗ Исполнитель гарантирует результат оказания услуг:</w:t>
      </w:r>
    </w:p>
    <w:p w14:paraId="09D38344">
      <w:pPr>
        <w:pStyle w:val="20"/>
      </w:pPr>
      <w:r>
        <w:t>проведена оперативная консультационная поддержка пользователей;</w:t>
      </w:r>
    </w:p>
    <w:p w14:paraId="08B912F0">
      <w:pPr>
        <w:pStyle w:val="20"/>
      </w:pPr>
      <w:r>
        <w:t>проведена консультация для устранения ошибок, возникших при работе пользователей в Системе;</w:t>
      </w:r>
    </w:p>
    <w:p w14:paraId="3A74168D">
      <w:pPr>
        <w:pStyle w:val="20"/>
      </w:pPr>
      <w:r>
        <w:t>проведен инструктаж новых пользователей (по необходимости и при наличии заявки от Заказчика на инструктаж).</w:t>
      </w:r>
    </w:p>
    <w:p w14:paraId="5D2EFF0E">
      <w:pPr>
        <w:pStyle w:val="3"/>
      </w:pPr>
      <w:r>
        <w:t>Порядок контроля и приемки услуг</w:t>
      </w:r>
    </w:p>
    <w:p w14:paraId="4EF91B51">
      <w:pPr>
        <w:pStyle w:val="18"/>
      </w:pPr>
      <w:r>
        <w:t>Порядок контроля и приемки, а также сроки проведения приемки указаны в Контракте.</w:t>
      </w:r>
    </w:p>
    <w:p w14:paraId="497FB960">
      <w:pPr>
        <w:pStyle w:val="3"/>
      </w:pPr>
      <w:r>
        <w:t>Требования к документированию</w:t>
      </w:r>
    </w:p>
    <w:p w14:paraId="68E4507E">
      <w:pPr>
        <w:pStyle w:val="18"/>
      </w:pPr>
      <w:r>
        <w:t xml:space="preserve">Требования к документированию указаны в Контракте. </w:t>
      </w:r>
    </w:p>
    <w:p w14:paraId="37093755">
      <w:pPr>
        <w:rPr>
          <w:rFonts w:ascii="Times New Roman" w:hAnsi="Times New Roman" w:cs="Times New Roman"/>
          <w:sz w:val="24"/>
          <w:szCs w:val="24"/>
        </w:rPr>
      </w:pPr>
    </w:p>
    <w:sectPr>
      <w:headerReference r:id="rId5" w:type="default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imes New Roman Полужирный">
    <w:altName w:val="Times New Roman"/>
    <w:panose1 w:val="02020803070505020304"/>
    <w:charset w:val="00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755810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p w14:paraId="6AC0520C">
        <w:pPr>
          <w:pStyle w:val="8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5</w:t>
        </w:r>
        <w:r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5566F3"/>
    <w:multiLevelType w:val="multilevel"/>
    <w:tmpl w:val="255566F3"/>
    <w:lvl w:ilvl="0" w:tentative="0">
      <w:start w:val="1"/>
      <w:numFmt w:val="bullet"/>
      <w:pStyle w:val="24"/>
      <w:lvlText w:val=""/>
      <w:lvlJc w:val="left"/>
      <w:pPr>
        <w:ind w:left="2061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781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501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4221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941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661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6381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7101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821" w:hanging="360"/>
      </w:pPr>
      <w:rPr>
        <w:rFonts w:hint="default" w:ascii="Wingdings" w:hAnsi="Wingdings"/>
      </w:rPr>
    </w:lvl>
  </w:abstractNum>
  <w:abstractNum w:abstractNumId="1">
    <w:nsid w:val="33521C69"/>
    <w:multiLevelType w:val="multilevel"/>
    <w:tmpl w:val="33521C69"/>
    <w:lvl w:ilvl="0" w:tentative="0">
      <w:start w:val="1"/>
      <w:numFmt w:val="bullet"/>
      <w:pStyle w:val="20"/>
      <w:lvlText w:val="-"/>
      <w:lvlJc w:val="left"/>
      <w:pPr>
        <w:ind w:left="1440" w:hanging="360"/>
      </w:pPr>
      <w:rPr>
        <w:rFonts w:hint="default" w:ascii="Courier New" w:hAnsi="Courier New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>
    <w:nsid w:val="3BDF0EEC"/>
    <w:multiLevelType w:val="multilevel"/>
    <w:tmpl w:val="3BDF0EEC"/>
    <w:lvl w:ilvl="0" w:tentative="0">
      <w:start w:val="1"/>
      <w:numFmt w:val="decimal"/>
      <w:pStyle w:val="3"/>
      <w:suff w:val="space"/>
      <w:lvlText w:val="%1."/>
      <w:lvlJc w:val="left"/>
      <w:pPr>
        <w:ind w:left="357" w:firstLine="352"/>
      </w:pPr>
      <w:rPr>
        <w:rFonts w:hint="default" w:ascii="Times New Roman" w:hAnsi="Times New Roman"/>
        <w:b/>
        <w:i w:val="0"/>
        <w:sz w:val="26"/>
      </w:rPr>
    </w:lvl>
    <w:lvl w:ilvl="1" w:tentative="0">
      <w:start w:val="1"/>
      <w:numFmt w:val="decimal"/>
      <w:pStyle w:val="13"/>
      <w:suff w:val="space"/>
      <w:lvlText w:val="%1.%2."/>
      <w:lvlJc w:val="left"/>
      <w:pPr>
        <w:ind w:left="357" w:firstLine="352"/>
      </w:pPr>
      <w:rPr>
        <w:rFonts w:hint="default" w:ascii="Times New Roman" w:hAnsi="Times New Roman"/>
        <w:b/>
        <w:i w:val="0"/>
        <w:sz w:val="24"/>
      </w:rPr>
    </w:lvl>
    <w:lvl w:ilvl="2" w:tentative="0">
      <w:start w:val="1"/>
      <w:numFmt w:val="decimal"/>
      <w:suff w:val="space"/>
      <w:lvlText w:val="%1.%2.%3."/>
      <w:lvlJc w:val="left"/>
      <w:pPr>
        <w:ind w:left="1066" w:firstLine="352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suff w:val="space"/>
      <w:lvlText w:val="%1.%2.%3.%4."/>
      <w:lvlJc w:val="left"/>
      <w:pPr>
        <w:ind w:left="357" w:firstLine="352"/>
      </w:pPr>
      <w:rPr>
        <w:rFonts w:hint="default" w:ascii="Times New Roman" w:hAnsi="Times New Roman"/>
        <w:b/>
        <w:i w:val="0"/>
        <w:sz w:val="24"/>
      </w:rPr>
    </w:lvl>
    <w:lvl w:ilvl="4" w:tentative="0">
      <w:start w:val="1"/>
      <w:numFmt w:val="decimal"/>
      <w:suff w:val="space"/>
      <w:lvlText w:val="%1.%2.%3.%4.%5."/>
      <w:lvlJc w:val="left"/>
      <w:pPr>
        <w:ind w:left="1350" w:firstLine="352"/>
      </w:pPr>
      <w:rPr>
        <w:rFonts w:hint="default" w:ascii="Times New Roman" w:hAnsi="Times New Roman"/>
        <w:b/>
        <w:i w:val="0"/>
        <w:sz w:val="24"/>
      </w:rPr>
    </w:lvl>
    <w:lvl w:ilvl="5" w:tentative="0">
      <w:start w:val="1"/>
      <w:numFmt w:val="decimal"/>
      <w:suff w:val="space"/>
      <w:lvlText w:val="%1.%2.%3.%4.%5.%6."/>
      <w:lvlJc w:val="left"/>
      <w:pPr>
        <w:ind w:left="357" w:firstLine="352"/>
      </w:pPr>
      <w:rPr>
        <w:rFonts w:hint="default" w:ascii="Times New Roman" w:hAnsi="Times New Roman"/>
        <w:b/>
        <w:i w:val="0"/>
        <w:sz w:val="24"/>
      </w:rPr>
    </w:lvl>
    <w:lvl w:ilvl="6" w:tentative="0">
      <w:start w:val="1"/>
      <w:numFmt w:val="none"/>
      <w:lvlText w:val="%7"/>
      <w:lvlJc w:val="left"/>
      <w:pPr>
        <w:tabs>
          <w:tab w:val="left" w:pos="1021"/>
        </w:tabs>
        <w:ind w:left="357" w:firstLine="352"/>
      </w:pPr>
      <w:rPr>
        <w:rFonts w:hint="default"/>
      </w:rPr>
    </w:lvl>
    <w:lvl w:ilvl="7" w:tentative="0">
      <w:start w:val="1"/>
      <w:numFmt w:val="none"/>
      <w:lvlText w:val="%8"/>
      <w:lvlJc w:val="left"/>
      <w:pPr>
        <w:tabs>
          <w:tab w:val="left" w:pos="1021"/>
        </w:tabs>
        <w:ind w:left="357" w:firstLine="352"/>
      </w:pPr>
      <w:rPr>
        <w:rFonts w:hint="default"/>
      </w:rPr>
    </w:lvl>
    <w:lvl w:ilvl="8" w:tentative="0">
      <w:start w:val="1"/>
      <w:numFmt w:val="none"/>
      <w:lvlText w:val="%9"/>
      <w:lvlJc w:val="left"/>
      <w:pPr>
        <w:tabs>
          <w:tab w:val="left" w:pos="1021"/>
        </w:tabs>
        <w:ind w:left="357" w:firstLine="352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1DE"/>
    <w:rsid w:val="00007C0B"/>
    <w:rsid w:val="00026AEC"/>
    <w:rsid w:val="00034345"/>
    <w:rsid w:val="000634AA"/>
    <w:rsid w:val="00066DA6"/>
    <w:rsid w:val="00093B45"/>
    <w:rsid w:val="000C4D65"/>
    <w:rsid w:val="000D00B0"/>
    <w:rsid w:val="000F41CE"/>
    <w:rsid w:val="00102816"/>
    <w:rsid w:val="00110295"/>
    <w:rsid w:val="00115811"/>
    <w:rsid w:val="00117F67"/>
    <w:rsid w:val="00124E70"/>
    <w:rsid w:val="001731D7"/>
    <w:rsid w:val="001917F9"/>
    <w:rsid w:val="001B3CC1"/>
    <w:rsid w:val="001B7B20"/>
    <w:rsid w:val="001D6407"/>
    <w:rsid w:val="002031DE"/>
    <w:rsid w:val="00215ADF"/>
    <w:rsid w:val="002247CF"/>
    <w:rsid w:val="002271F2"/>
    <w:rsid w:val="00230C10"/>
    <w:rsid w:val="00236B33"/>
    <w:rsid w:val="0029102F"/>
    <w:rsid w:val="00293A62"/>
    <w:rsid w:val="002A18BF"/>
    <w:rsid w:val="002A3BC2"/>
    <w:rsid w:val="002A3C0E"/>
    <w:rsid w:val="002A51DE"/>
    <w:rsid w:val="002C24DE"/>
    <w:rsid w:val="002D1251"/>
    <w:rsid w:val="002F10B3"/>
    <w:rsid w:val="00302442"/>
    <w:rsid w:val="00316E0A"/>
    <w:rsid w:val="003434E1"/>
    <w:rsid w:val="0038400B"/>
    <w:rsid w:val="003B55E4"/>
    <w:rsid w:val="003C1F44"/>
    <w:rsid w:val="003D6106"/>
    <w:rsid w:val="003E53E7"/>
    <w:rsid w:val="00416631"/>
    <w:rsid w:val="00416F29"/>
    <w:rsid w:val="0044725E"/>
    <w:rsid w:val="004743FE"/>
    <w:rsid w:val="00492B63"/>
    <w:rsid w:val="004970F7"/>
    <w:rsid w:val="004A169E"/>
    <w:rsid w:val="004B2C2B"/>
    <w:rsid w:val="004D0CFC"/>
    <w:rsid w:val="004D1EAA"/>
    <w:rsid w:val="004D69E1"/>
    <w:rsid w:val="0050651C"/>
    <w:rsid w:val="00506570"/>
    <w:rsid w:val="00582144"/>
    <w:rsid w:val="005A0329"/>
    <w:rsid w:val="005A0550"/>
    <w:rsid w:val="005C0047"/>
    <w:rsid w:val="005C067B"/>
    <w:rsid w:val="005C612C"/>
    <w:rsid w:val="005D1692"/>
    <w:rsid w:val="005E60BB"/>
    <w:rsid w:val="005F136B"/>
    <w:rsid w:val="006004C4"/>
    <w:rsid w:val="0068684B"/>
    <w:rsid w:val="006A0279"/>
    <w:rsid w:val="006A049B"/>
    <w:rsid w:val="006C309E"/>
    <w:rsid w:val="006C4445"/>
    <w:rsid w:val="006E066C"/>
    <w:rsid w:val="00721D62"/>
    <w:rsid w:val="007674BA"/>
    <w:rsid w:val="00770B1B"/>
    <w:rsid w:val="00772D42"/>
    <w:rsid w:val="00790A5B"/>
    <w:rsid w:val="007A1DBD"/>
    <w:rsid w:val="007B6874"/>
    <w:rsid w:val="00816DF9"/>
    <w:rsid w:val="0083166D"/>
    <w:rsid w:val="00865CB6"/>
    <w:rsid w:val="00882621"/>
    <w:rsid w:val="008B0756"/>
    <w:rsid w:val="008C40A8"/>
    <w:rsid w:val="008C7095"/>
    <w:rsid w:val="008D1BD1"/>
    <w:rsid w:val="008F050A"/>
    <w:rsid w:val="009828E8"/>
    <w:rsid w:val="009976C3"/>
    <w:rsid w:val="00A16EA8"/>
    <w:rsid w:val="00A27E57"/>
    <w:rsid w:val="00A47BFB"/>
    <w:rsid w:val="00AB78CA"/>
    <w:rsid w:val="00AD174E"/>
    <w:rsid w:val="00AF7E5B"/>
    <w:rsid w:val="00B65C13"/>
    <w:rsid w:val="00B859CB"/>
    <w:rsid w:val="00B93464"/>
    <w:rsid w:val="00BA3741"/>
    <w:rsid w:val="00C13D64"/>
    <w:rsid w:val="00C2797F"/>
    <w:rsid w:val="00C4624E"/>
    <w:rsid w:val="00C46D2E"/>
    <w:rsid w:val="00C63428"/>
    <w:rsid w:val="00C854C6"/>
    <w:rsid w:val="00CA5EAA"/>
    <w:rsid w:val="00CB324F"/>
    <w:rsid w:val="00CE0A12"/>
    <w:rsid w:val="00D346A8"/>
    <w:rsid w:val="00D72217"/>
    <w:rsid w:val="00D77778"/>
    <w:rsid w:val="00D86F64"/>
    <w:rsid w:val="00DC5326"/>
    <w:rsid w:val="00DC6FE0"/>
    <w:rsid w:val="00DD6993"/>
    <w:rsid w:val="00DE0D78"/>
    <w:rsid w:val="00DE5E36"/>
    <w:rsid w:val="00DF070F"/>
    <w:rsid w:val="00DF7CC0"/>
    <w:rsid w:val="00DF7FFE"/>
    <w:rsid w:val="00E439C4"/>
    <w:rsid w:val="00E52266"/>
    <w:rsid w:val="00E60A27"/>
    <w:rsid w:val="00E64B73"/>
    <w:rsid w:val="00E902C2"/>
    <w:rsid w:val="00EA39CB"/>
    <w:rsid w:val="00EE6BA7"/>
    <w:rsid w:val="00F30BBB"/>
    <w:rsid w:val="00F30CDA"/>
    <w:rsid w:val="00F410FB"/>
    <w:rsid w:val="00F611D7"/>
    <w:rsid w:val="00F83E7A"/>
    <w:rsid w:val="00F9437D"/>
    <w:rsid w:val="00FA6D7B"/>
    <w:rsid w:val="00FB418C"/>
    <w:rsid w:val="00FE1FCF"/>
    <w:rsid w:val="00FF1BC5"/>
    <w:rsid w:val="1EA1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3"/>
    <w:next w:val="1"/>
    <w:link w:val="11"/>
    <w:qFormat/>
    <w:uiPriority w:val="9"/>
    <w:pPr>
      <w:numPr>
        <w:numId w:val="0"/>
      </w:numPr>
      <w:ind w:left="357" w:firstLine="352"/>
    </w:p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_заголовок 1ур"/>
    <w:basedOn w:val="1"/>
    <w:next w:val="1"/>
    <w:link w:val="12"/>
    <w:qFormat/>
    <w:uiPriority w:val="0"/>
    <w:pPr>
      <w:keepNext/>
      <w:keepLines/>
      <w:numPr>
        <w:ilvl w:val="0"/>
        <w:numId w:val="1"/>
      </w:numPr>
      <w:spacing w:before="60" w:after="60" w:line="312" w:lineRule="auto"/>
      <w:contextualSpacing/>
      <w:outlineLvl w:val="0"/>
    </w:pPr>
    <w:rPr>
      <w:rFonts w:ascii="Times New Roman Полужирный" w:hAnsi="Times New Roman Полужирный" w:cs="Times New Roman"/>
      <w:b/>
      <w:bCs/>
      <w:sz w:val="26"/>
      <w:szCs w:val="26"/>
    </w:rPr>
  </w:style>
  <w:style w:type="paragraph" w:styleId="6">
    <w:name w:val="Balloon Text"/>
    <w:basedOn w:val="1"/>
    <w:link w:val="28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caption"/>
    <w:basedOn w:val="1"/>
    <w:next w:val="1"/>
    <w:unhideWhenUsed/>
    <w:qFormat/>
    <w:uiPriority w:val="35"/>
    <w:pPr>
      <w:spacing w:after="200" w:line="240" w:lineRule="auto"/>
    </w:pPr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paragraph" w:styleId="8">
    <w:name w:val="header"/>
    <w:basedOn w:val="1"/>
    <w:link w:val="2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footer"/>
    <w:basedOn w:val="1"/>
    <w:link w:val="27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0">
    <w:name w:val="_без отступа"/>
    <w:next w:val="1"/>
    <w:qFormat/>
    <w:uiPriority w:val="0"/>
    <w:pPr>
      <w:spacing w:after="0" w:line="276" w:lineRule="auto"/>
      <w:contextualSpacing/>
      <w:jc w:val="center"/>
    </w:pPr>
    <w:rPr>
      <w:rFonts w:ascii="Times New Roman" w:hAnsi="Times New Roman" w:cs="Times New Roman" w:eastAsiaTheme="minorHAnsi"/>
      <w:b/>
      <w:bCs/>
      <w:sz w:val="26"/>
      <w:szCs w:val="26"/>
      <w:lang w:val="ru-RU" w:eastAsia="en-US" w:bidi="ar-SA"/>
    </w:rPr>
  </w:style>
  <w:style w:type="character" w:customStyle="1" w:styleId="11">
    <w:name w:val="Заголовок 1 Знак"/>
    <w:basedOn w:val="4"/>
    <w:link w:val="2"/>
    <w:qFormat/>
    <w:uiPriority w:val="9"/>
    <w:rPr>
      <w:rFonts w:ascii="Times New Roman Полужирный" w:hAnsi="Times New Roman Полужирный" w:cs="Times New Roman"/>
      <w:b/>
      <w:bCs/>
      <w:sz w:val="26"/>
      <w:szCs w:val="26"/>
    </w:rPr>
  </w:style>
  <w:style w:type="character" w:customStyle="1" w:styleId="12">
    <w:name w:val="_заголовок 1ур Знак"/>
    <w:basedOn w:val="4"/>
    <w:link w:val="3"/>
    <w:qFormat/>
    <w:uiPriority w:val="0"/>
    <w:rPr>
      <w:rFonts w:ascii="Times New Roman Полужирный" w:hAnsi="Times New Roman Полужирный" w:cs="Times New Roman"/>
      <w:b/>
      <w:bCs/>
      <w:sz w:val="26"/>
      <w:szCs w:val="26"/>
    </w:rPr>
  </w:style>
  <w:style w:type="paragraph" w:customStyle="1" w:styleId="13">
    <w:name w:val="_заголовок 2ур"/>
    <w:next w:val="1"/>
    <w:qFormat/>
    <w:uiPriority w:val="0"/>
    <w:pPr>
      <w:keepNext/>
      <w:keepLines/>
      <w:numPr>
        <w:ilvl w:val="1"/>
        <w:numId w:val="1"/>
      </w:numPr>
      <w:spacing w:before="120" w:after="60" w:line="312" w:lineRule="auto"/>
      <w:contextualSpacing/>
      <w:outlineLvl w:val="1"/>
    </w:pPr>
    <w:rPr>
      <w:rFonts w:ascii="Times New Roman" w:hAnsi="Times New Roman" w:cs="Times New Roman" w:eastAsiaTheme="minorHAnsi"/>
      <w:b/>
      <w:bCs/>
      <w:sz w:val="24"/>
      <w:szCs w:val="24"/>
      <w:lang w:val="ru-RU" w:eastAsia="en-US" w:bidi="ar-SA"/>
    </w:rPr>
  </w:style>
  <w:style w:type="paragraph" w:customStyle="1" w:styleId="14">
    <w:name w:val="_заголовок 3ур"/>
    <w:next w:val="1"/>
    <w:qFormat/>
    <w:uiPriority w:val="0"/>
    <w:pPr>
      <w:keepNext/>
      <w:keepLines/>
      <w:spacing w:before="120" w:after="60" w:line="312" w:lineRule="auto"/>
      <w:ind w:left="1066" w:firstLine="352"/>
      <w:contextualSpacing/>
      <w:outlineLvl w:val="2"/>
    </w:pPr>
    <w:rPr>
      <w:rFonts w:ascii="Times New Roman" w:hAnsi="Times New Roman" w:cs="Times New Roman" w:eastAsiaTheme="minorHAnsi"/>
      <w:b/>
      <w:sz w:val="24"/>
      <w:szCs w:val="24"/>
      <w:lang w:val="ru-RU" w:eastAsia="en-US" w:bidi="ar-SA"/>
    </w:rPr>
  </w:style>
  <w:style w:type="paragraph" w:customStyle="1" w:styleId="15">
    <w:name w:val="_заголовок 4ур"/>
    <w:next w:val="1"/>
    <w:qFormat/>
    <w:uiPriority w:val="0"/>
    <w:pPr>
      <w:keepNext/>
      <w:keepLines/>
      <w:spacing w:before="120" w:after="60" w:line="312" w:lineRule="auto"/>
      <w:ind w:left="357" w:firstLine="352"/>
      <w:contextualSpacing/>
      <w:outlineLvl w:val="3"/>
    </w:pPr>
    <w:rPr>
      <w:rFonts w:ascii="Times New Roman" w:hAnsi="Times New Roman" w:cs="Times New Roman" w:eastAsiaTheme="minorHAnsi"/>
      <w:b/>
      <w:bCs/>
      <w:sz w:val="24"/>
      <w:szCs w:val="24"/>
      <w:lang w:val="ru-RU" w:eastAsia="en-US" w:bidi="ar-SA"/>
    </w:rPr>
  </w:style>
  <w:style w:type="paragraph" w:customStyle="1" w:styleId="16">
    <w:name w:val="_заголовок 5ур"/>
    <w:next w:val="1"/>
    <w:qFormat/>
    <w:uiPriority w:val="0"/>
    <w:pPr>
      <w:keepNext/>
      <w:keepLines/>
      <w:spacing w:before="120" w:after="60" w:line="312" w:lineRule="auto"/>
      <w:ind w:left="1350" w:firstLine="352"/>
      <w:contextualSpacing/>
      <w:outlineLvl w:val="4"/>
    </w:pPr>
    <w:rPr>
      <w:rFonts w:ascii="Times New Roman" w:hAnsi="Times New Roman" w:cs="Times New Roman" w:eastAsiaTheme="minorHAnsi"/>
      <w:b/>
      <w:bCs/>
      <w:sz w:val="24"/>
      <w:szCs w:val="24"/>
      <w:lang w:val="ru-RU" w:eastAsia="en-US" w:bidi="ar-SA"/>
    </w:rPr>
  </w:style>
  <w:style w:type="paragraph" w:customStyle="1" w:styleId="17">
    <w:name w:val="_заголовок 6ур"/>
    <w:basedOn w:val="16"/>
    <w:next w:val="1"/>
    <w:qFormat/>
    <w:uiPriority w:val="0"/>
    <w:pPr>
      <w:ind w:left="357"/>
    </w:pPr>
  </w:style>
  <w:style w:type="paragraph" w:customStyle="1" w:styleId="18">
    <w:name w:val="_текст основной"/>
    <w:link w:val="19"/>
    <w:qFormat/>
    <w:uiPriority w:val="0"/>
    <w:pPr>
      <w:spacing w:after="0" w:line="276" w:lineRule="auto"/>
      <w:ind w:firstLine="709"/>
      <w:contextualSpacing/>
      <w:jc w:val="both"/>
    </w:pPr>
    <w:rPr>
      <w:rFonts w:ascii="Times New Roman" w:hAnsi="Times New Roman" w:cs="Times New Roman" w:eastAsiaTheme="minorHAnsi"/>
      <w:sz w:val="24"/>
      <w:szCs w:val="24"/>
      <w:lang w:val="ru-RU" w:eastAsia="en-US" w:bidi="ar-SA"/>
    </w:rPr>
  </w:style>
  <w:style w:type="character" w:customStyle="1" w:styleId="19">
    <w:name w:val="_текст основной Знак"/>
    <w:link w:val="18"/>
    <w:qFormat/>
    <w:uiPriority w:val="0"/>
    <w:rPr>
      <w:rFonts w:ascii="Times New Roman" w:hAnsi="Times New Roman" w:cs="Times New Roman"/>
      <w:sz w:val="24"/>
      <w:szCs w:val="24"/>
    </w:rPr>
  </w:style>
  <w:style w:type="paragraph" w:customStyle="1" w:styleId="20">
    <w:name w:val="_список маркер 1ур"/>
    <w:basedOn w:val="1"/>
    <w:qFormat/>
    <w:uiPriority w:val="0"/>
    <w:pPr>
      <w:numPr>
        <w:ilvl w:val="0"/>
        <w:numId w:val="2"/>
      </w:numPr>
      <w:spacing w:after="0" w:line="276" w:lineRule="auto"/>
      <w:ind w:left="0" w:firstLine="709"/>
      <w:contextualSpacing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1">
    <w:name w:val="_таблица название"/>
    <w:qFormat/>
    <w:uiPriority w:val="0"/>
    <w:pPr>
      <w:keepNext/>
      <w:spacing w:after="0" w:line="312" w:lineRule="auto"/>
      <w:contextualSpacing/>
    </w:pPr>
    <w:rPr>
      <w:rFonts w:ascii="Times New Roman" w:hAnsi="Times New Roman" w:cs="Times New Roman" w:eastAsiaTheme="minorHAnsi"/>
      <w:sz w:val="24"/>
      <w:szCs w:val="24"/>
      <w:lang w:val="ru-RU" w:eastAsia="en-US" w:bidi="ar-SA"/>
    </w:rPr>
  </w:style>
  <w:style w:type="paragraph" w:customStyle="1" w:styleId="22">
    <w:name w:val="_таблица заголовок"/>
    <w:qFormat/>
    <w:uiPriority w:val="0"/>
    <w:pPr>
      <w:spacing w:after="0" w:line="312" w:lineRule="auto"/>
      <w:contextualSpacing/>
      <w:jc w:val="center"/>
    </w:pPr>
    <w:rPr>
      <w:rFonts w:ascii="Times New Roman" w:hAnsi="Times New Roman" w:cs="Times New Roman" w:eastAsiaTheme="minorHAnsi"/>
      <w:b/>
      <w:sz w:val="24"/>
      <w:szCs w:val="24"/>
      <w:lang w:val="ru-RU" w:eastAsia="en-US" w:bidi="ar-SA"/>
    </w:rPr>
  </w:style>
  <w:style w:type="paragraph" w:customStyle="1" w:styleId="23">
    <w:name w:val="_таблица текст"/>
    <w:qFormat/>
    <w:uiPriority w:val="0"/>
    <w:pPr>
      <w:spacing w:after="0" w:line="312" w:lineRule="auto"/>
      <w:contextualSpacing/>
    </w:pPr>
    <w:rPr>
      <w:rFonts w:ascii="Times New Roman" w:hAnsi="Times New Roman" w:cs="Times New Roman" w:eastAsiaTheme="minorHAnsi"/>
      <w:sz w:val="24"/>
      <w:szCs w:val="24"/>
      <w:lang w:val="ru-RU" w:eastAsia="en-US" w:bidi="ar-SA"/>
    </w:rPr>
  </w:style>
  <w:style w:type="paragraph" w:customStyle="1" w:styleId="24">
    <w:name w:val="_список маркер 2ур"/>
    <w:basedOn w:val="1"/>
    <w:qFormat/>
    <w:uiPriority w:val="0"/>
    <w:pPr>
      <w:numPr>
        <w:ilvl w:val="0"/>
        <w:numId w:val="3"/>
      </w:numPr>
      <w:spacing w:after="0" w:line="312" w:lineRule="auto"/>
      <w:contextualSpacing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5">
    <w:name w:val="_список маркер 3ур"/>
    <w:basedOn w:val="1"/>
    <w:qFormat/>
    <w:uiPriority w:val="0"/>
    <w:pPr>
      <w:spacing w:after="0" w:line="312" w:lineRule="auto"/>
      <w:ind w:left="1758" w:hanging="199"/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6">
    <w:name w:val="Верхний колонтитул Знак"/>
    <w:basedOn w:val="4"/>
    <w:link w:val="8"/>
    <w:uiPriority w:val="99"/>
  </w:style>
  <w:style w:type="character" w:customStyle="1" w:styleId="27">
    <w:name w:val="Нижний колонтитул Знак"/>
    <w:basedOn w:val="4"/>
    <w:link w:val="9"/>
    <w:uiPriority w:val="99"/>
  </w:style>
  <w:style w:type="character" w:customStyle="1" w:styleId="28">
    <w:name w:val="Текст выноски Знак"/>
    <w:basedOn w:val="4"/>
    <w:link w:val="6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379C9-F95A-429A-9679-492D312C5D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908</Words>
  <Characters>6934</Characters>
  <Lines>56</Lines>
  <Paragraphs>15</Paragraphs>
  <TotalTime>1</TotalTime>
  <ScaleCrop>false</ScaleCrop>
  <LinksUpToDate>false</LinksUpToDate>
  <CharactersWithSpaces>7752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2026-09-14T10:23:00Z</dcterms:created>
  <dc:creator>NE</dc:creator>
  <cp:lastModifiedBy>Кристина Вейхель</cp:lastModifiedBy>
  <dcterms:modified xsi:type="dcterms:W3CDTF">2026-10-05T07:35:51Z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3806039CC11A4006B84AB0D995F79EA7_13</vt:lpwstr>
  </property>
</Properties>
</file>