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50563">
      <w:pPr>
        <w:autoSpaceDE w:val="0"/>
        <w:autoSpaceDN w:val="0"/>
        <w:adjustRightInd w:val="0"/>
        <w:spacing w:after="0" w:line="240" w:lineRule="auto"/>
        <w:ind w:firstLine="540"/>
        <w:jc w:val="center"/>
        <w:rPr>
          <w:rFonts w:ascii="Times New Roman" w:hAnsi="Times New Roman" w:eastAsia="Times New Roman" w:cs="Times New Roman"/>
          <w:b/>
          <w:bCs/>
          <w:sz w:val="24"/>
          <w:szCs w:val="24"/>
          <w:lang w:eastAsia="ru-RU"/>
        </w:rPr>
      </w:pPr>
    </w:p>
    <w:p w14:paraId="6D4931E5">
      <w:pPr>
        <w:autoSpaceDE w:val="0"/>
        <w:autoSpaceDN w:val="0"/>
        <w:adjustRightInd w:val="0"/>
        <w:spacing w:after="0" w:line="240" w:lineRule="auto"/>
        <w:ind w:firstLine="540"/>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КОНТРАКТ №______</w:t>
      </w:r>
    </w:p>
    <w:p w14:paraId="788A6AC6">
      <w:pPr>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НА ОКАЗАНИЕ УСЛУГ ПО СОПРОВОЖДЕНИЮ </w:t>
      </w:r>
    </w:p>
    <w:p w14:paraId="64818245">
      <w:pPr>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АВТОМАТИЗИРОВАННОЙ СИСТЕМЫ УПРАВЛЕНИЯ «УПРАВЛЕНИЕ СТАНЦИЕЙ СКОРОЙ МЕДИЦИНСКОЙ ПОМОЩИ» </w:t>
      </w:r>
    </w:p>
    <w:p w14:paraId="576F74B8">
      <w:pPr>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ИКЗ:</w:t>
      </w:r>
      <w:r>
        <w:rPr>
          <w:rFonts w:hint="default" w:ascii="Times New Roman" w:hAnsi="Times New Roman" w:eastAsia="Times New Roman"/>
          <w:b/>
          <w:bCs/>
          <w:sz w:val="24"/>
          <w:szCs w:val="24"/>
          <w:lang w:eastAsia="ru-RU"/>
        </w:rPr>
        <w:t>26 22622001927262201001 0035 001 6202 244</w:t>
      </w:r>
    </w:p>
    <w:p w14:paraId="69DDA702">
      <w:pPr>
        <w:spacing w:after="0" w:line="240" w:lineRule="auto"/>
        <w:jc w:val="center"/>
        <w:rPr>
          <w:rFonts w:ascii="Times New Roman" w:hAnsi="Times New Roman" w:eastAsia="Times New Roman" w:cs="Times New Roman"/>
          <w:b/>
          <w:bCs/>
          <w:sz w:val="24"/>
          <w:szCs w:val="24"/>
          <w:lang w:eastAsia="ru-RU"/>
        </w:rPr>
      </w:pPr>
    </w:p>
    <w:p w14:paraId="775CF4B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г._________                                                                                                         «    »                   202_ г.</w:t>
      </w:r>
    </w:p>
    <w:p w14:paraId="44249CB2">
      <w:pPr>
        <w:spacing w:after="0" w:line="240" w:lineRule="auto"/>
        <w:jc w:val="both"/>
        <w:rPr>
          <w:rFonts w:ascii="Times New Roman" w:hAnsi="Times New Roman" w:eastAsia="Times New Roman" w:cs="Times New Roman"/>
          <w:sz w:val="24"/>
          <w:szCs w:val="24"/>
          <w:lang w:eastAsia="ru-RU"/>
        </w:rPr>
      </w:pPr>
    </w:p>
    <w:p w14:paraId="4B9C2384">
      <w:pPr>
        <w:spacing w:after="0" w:line="240" w:lineRule="auto"/>
        <w:ind w:firstLine="567"/>
        <w:jc w:val="both"/>
        <w:rPr>
          <w:rFonts w:ascii="Times New Roman" w:hAnsi="Times New Roman" w:eastAsia="Times New Roman" w:cs="Times New Roman"/>
          <w:sz w:val="24"/>
          <w:szCs w:val="24"/>
          <w:lang w:eastAsia="ru-RU"/>
        </w:rPr>
      </w:pPr>
      <w:r>
        <w:rPr>
          <w:rFonts w:hint="default" w:ascii="Times New Roman" w:hAnsi="Times New Roman" w:eastAsia="Times New Roman"/>
          <w:bCs/>
          <w:sz w:val="24"/>
          <w:szCs w:val="24"/>
          <w:lang w:eastAsia="ru-RU"/>
        </w:rPr>
        <w:t>Государственное бюджетное учреждение здравоохранения Ставропольского края «Туркменская районная больница», именуемое в дальнейшем «Заказчик», выступающее от имени бюджетного учреждения,  в лице главного врача Гурбановой Ляли Русдамовны,, действующего на основании Устава</w:t>
      </w:r>
      <w:r>
        <w:rPr>
          <w:rFonts w:ascii="Times New Roman" w:hAnsi="Times New Roman" w:eastAsia="Times New Roman" w:cs="Times New Roman"/>
          <w:bCs/>
          <w:sz w:val="24"/>
          <w:szCs w:val="24"/>
          <w:lang w:eastAsia="ru-RU"/>
        </w:rPr>
        <w:t>, с одной стороны</w:t>
      </w:r>
      <w:r>
        <w:rPr>
          <w:rFonts w:ascii="Times New Roman" w:hAnsi="Times New Roman" w:eastAsia="Times New Roman" w:cs="Times New Roman"/>
          <w:sz w:val="24"/>
          <w:szCs w:val="24"/>
          <w:lang w:eastAsia="ru-RU"/>
        </w:rPr>
        <w:t>,</w:t>
      </w:r>
    </w:p>
    <w:p w14:paraId="400B6A67">
      <w:pPr>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 _____________________________, именуемое в дальнейшем «Исполнитель», в лице ____________________________, действующего на основании _______, с другой стороны, вместе именуемые в дальнейшем «Стороны»,  по итогам проведения электронного</w:t>
      </w:r>
      <w:r>
        <w:rPr>
          <w:rFonts w:hint="default" w:ascii="Times New Roman" w:hAnsi="Times New Roman" w:eastAsia="Times New Roman" w:cs="Times New Roman"/>
          <w:sz w:val="24"/>
          <w:szCs w:val="24"/>
          <w:lang w:val="en-US" w:eastAsia="ru-RU"/>
        </w:rPr>
        <w:t xml:space="preserve"> запроса котировок</w:t>
      </w:r>
      <w:r>
        <w:rPr>
          <w:rFonts w:ascii="Times New Roman" w:hAnsi="Times New Roman" w:eastAsia="Times New Roman" w:cs="Times New Roman"/>
          <w:sz w:val="24"/>
          <w:szCs w:val="24"/>
          <w:lang w:eastAsia="ru-RU"/>
        </w:rPr>
        <w:t xml:space="preserve">  № _______________ на основании </w:t>
      </w:r>
      <w:r>
        <w:rPr>
          <w:rFonts w:ascii="Times New Roman" w:hAnsi="Times New Roman" w:eastAsia="Calibri" w:cs="Times New Roman"/>
          <w:sz w:val="24"/>
          <w:szCs w:val="24"/>
        </w:rPr>
        <w:t>протокола подведения итогов определения поставщика (подрядчика, исполнителя) от _________________,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(далее – Контракт) о нижеследующем</w:t>
      </w:r>
      <w:r>
        <w:rPr>
          <w:rFonts w:ascii="Times New Roman" w:hAnsi="Times New Roman" w:eastAsia="Times New Roman" w:cs="Times New Roman"/>
          <w:sz w:val="24"/>
          <w:szCs w:val="24"/>
          <w:lang w:eastAsia="ru-RU"/>
        </w:rPr>
        <w:t>:</w:t>
      </w:r>
    </w:p>
    <w:p w14:paraId="10FDB708">
      <w:pPr>
        <w:spacing w:after="0" w:line="240" w:lineRule="auto"/>
        <w:ind w:firstLine="567"/>
        <w:jc w:val="both"/>
        <w:rPr>
          <w:rFonts w:ascii="Times New Roman" w:hAnsi="Times New Roman" w:eastAsia="Calibri" w:cs="Times New Roman"/>
          <w:sz w:val="24"/>
          <w:szCs w:val="24"/>
        </w:rPr>
      </w:pPr>
    </w:p>
    <w:p w14:paraId="70635790">
      <w:pPr>
        <w:widowControl w:val="0"/>
        <w:autoSpaceDE w:val="0"/>
        <w:autoSpaceDN w:val="0"/>
        <w:adjustRightInd w:val="0"/>
        <w:spacing w:after="0" w:line="240" w:lineRule="auto"/>
        <w:jc w:val="center"/>
        <w:rPr>
          <w:rFonts w:ascii="Times New Roman" w:hAnsi="Times New Roman" w:eastAsia="Times New Roman" w:cs="Times New Roman"/>
          <w:b/>
          <w:bCs/>
          <w:caps/>
          <w:sz w:val="24"/>
          <w:szCs w:val="24"/>
          <w:lang w:eastAsia="ru-RU"/>
        </w:rPr>
      </w:pPr>
      <w:r>
        <w:rPr>
          <w:rFonts w:ascii="Times New Roman" w:hAnsi="Times New Roman" w:eastAsia="Times New Roman" w:cs="Times New Roman"/>
          <w:b/>
          <w:bCs/>
          <w:caps/>
          <w:sz w:val="24"/>
          <w:szCs w:val="24"/>
          <w:lang w:eastAsia="ru-RU"/>
        </w:rPr>
        <w:t>1. Предмет КОНТРАКТА</w:t>
      </w:r>
    </w:p>
    <w:p w14:paraId="2E232F37">
      <w:pPr>
        <w:spacing w:after="0" w:line="240" w:lineRule="auto"/>
        <w:ind w:firstLine="851"/>
        <w:jc w:val="both"/>
        <w:rPr>
          <w:rFonts w:ascii="Times New Roman" w:hAnsi="Times New Roman" w:eastAsia="Times New Roman" w:cs="Times New Roman"/>
          <w:spacing w:val="2"/>
          <w:sz w:val="24"/>
          <w:szCs w:val="24"/>
          <w:lang w:eastAsia="ru-RU"/>
        </w:rPr>
      </w:pPr>
      <w:r>
        <w:rPr>
          <w:rFonts w:ascii="Times New Roman" w:hAnsi="Times New Roman" w:eastAsia="Times New Roman" w:cs="Times New Roman"/>
          <w:sz w:val="24"/>
          <w:szCs w:val="24"/>
          <w:lang w:eastAsia="ru-RU"/>
        </w:rPr>
        <w:t xml:space="preserve">1.1. В соответствии с условиями настоящего Контракта Исполнитель обязуется оказать услуги по </w:t>
      </w:r>
      <w:r>
        <w:rPr>
          <w:rFonts w:ascii="Times New Roman" w:hAnsi="Times New Roman" w:eastAsia="Times New Roman" w:cs="Times New Roman"/>
          <w:bCs/>
          <w:sz w:val="24"/>
          <w:szCs w:val="24"/>
          <w:lang w:eastAsia="ru-RU"/>
        </w:rPr>
        <w:t>сопровождению автоматизированной системы управления «Управление станцией скорой медицинской помощи»</w:t>
      </w:r>
      <w:r>
        <w:rPr>
          <w:rFonts w:ascii="Times New Roman" w:hAnsi="Times New Roman" w:eastAsia="Times New Roman" w:cs="Times New Roman"/>
          <w:sz w:val="24"/>
          <w:szCs w:val="24"/>
          <w:lang w:eastAsia="ru-RU"/>
        </w:rPr>
        <w:t xml:space="preserve"> (далее – услуги</w:t>
      </w:r>
      <w:r>
        <w:rPr>
          <w:rFonts w:hint="default" w:ascii="Times New Roman" w:hAnsi="Times New Roman" w:eastAsia="Times New Roman" w:cs="Times New Roman"/>
          <w:sz w:val="24"/>
          <w:szCs w:val="24"/>
          <w:lang w:val="en-US" w:eastAsia="ru-RU"/>
        </w:rPr>
        <w:t xml:space="preserve"> АСУ УССМП</w:t>
      </w:r>
      <w:r>
        <w:rPr>
          <w:rFonts w:ascii="Times New Roman" w:hAnsi="Times New Roman" w:eastAsia="Times New Roman" w:cs="Times New Roman"/>
          <w:sz w:val="24"/>
          <w:szCs w:val="24"/>
          <w:lang w:eastAsia="ru-RU"/>
        </w:rPr>
        <w:t xml:space="preserve">) согласно Спецификации (Приложение № 1 к Контракту) </w:t>
      </w:r>
      <w:r>
        <w:rPr>
          <w:rFonts w:ascii="Times New Roman" w:hAnsi="Times New Roman" w:cs="Times New Roman"/>
          <w:sz w:val="24"/>
          <w:szCs w:val="24"/>
          <w:lang w:eastAsia="ru-RU"/>
        </w:rPr>
        <w:t xml:space="preserve">и </w:t>
      </w:r>
      <w:r>
        <w:rPr>
          <w:rFonts w:ascii="Times New Roman" w:hAnsi="Times New Roman" w:cs="Times New Roman"/>
          <w:bCs/>
          <w:sz w:val="24"/>
          <w:szCs w:val="24"/>
        </w:rPr>
        <w:t xml:space="preserve">в соответствии с </w:t>
      </w:r>
      <w:r>
        <w:rPr>
          <w:rFonts w:ascii="Times New Roman" w:hAnsi="Times New Roman" w:cs="Times New Roman"/>
          <w:sz w:val="24"/>
          <w:szCs w:val="24"/>
          <w:lang w:eastAsia="ru-RU"/>
        </w:rPr>
        <w:t>Техническим заданием (Приложение №2 к Контракту)</w:t>
      </w:r>
      <w:r>
        <w:rPr>
          <w:rFonts w:ascii="Times New Roman" w:hAnsi="Times New Roman" w:eastAsia="Times New Roman" w:cs="Times New Roman"/>
          <w:sz w:val="24"/>
          <w:szCs w:val="24"/>
          <w:lang w:eastAsia="ru-RU"/>
        </w:rPr>
        <w:t>, являющимися неотъемлемой частью настоящего Контракта, а Заказчик обязуется обеспечить приемку оказанных услуг и оплатить их в порядке и на условиях, предусмотренных настоящим Контрактом</w:t>
      </w:r>
      <w:r>
        <w:rPr>
          <w:rFonts w:ascii="Times New Roman" w:hAnsi="Times New Roman" w:eastAsia="Times New Roman" w:cs="Times New Roman"/>
          <w:spacing w:val="2"/>
          <w:sz w:val="24"/>
          <w:szCs w:val="24"/>
          <w:lang w:eastAsia="ru-RU"/>
        </w:rPr>
        <w:t>.</w:t>
      </w:r>
    </w:p>
    <w:p w14:paraId="390C657C">
      <w:pPr>
        <w:pStyle w:val="13"/>
        <w:numPr>
          <w:ilvl w:val="1"/>
          <w:numId w:val="5"/>
        </w:numPr>
        <w:tabs>
          <w:tab w:val="left" w:pos="1190"/>
        </w:tabs>
        <w:spacing w:after="0" w:line="240" w:lineRule="auto"/>
        <w:ind w:left="0" w:firstLine="851"/>
        <w:contextualSpacing w:val="0"/>
        <w:jc w:val="both"/>
        <w:rPr>
          <w:rFonts w:ascii="Times New Roman" w:hAnsi="Times New Roman" w:eastAsia="Times New Roman"/>
          <w:sz w:val="24"/>
          <w:szCs w:val="24"/>
          <w:lang w:eastAsia="ru-RU"/>
        </w:rPr>
      </w:pPr>
      <w:r>
        <w:rPr>
          <w:rFonts w:ascii="Times New Roman" w:hAnsi="Times New Roman"/>
          <w:sz w:val="24"/>
          <w:szCs w:val="24"/>
        </w:rPr>
        <w:t>Оказание услуг осуществляется в удаленном режиме средствами информационных технологий и телекоммуникаций.</w:t>
      </w:r>
    </w:p>
    <w:p w14:paraId="46A5FE26">
      <w:pPr>
        <w:pStyle w:val="13"/>
        <w:tabs>
          <w:tab w:val="left" w:pos="1190"/>
        </w:tabs>
        <w:spacing w:after="0" w:line="240" w:lineRule="auto"/>
        <w:ind w:left="851"/>
        <w:contextualSpacing w:val="0"/>
        <w:jc w:val="both"/>
        <w:rPr>
          <w:rFonts w:ascii="Times New Roman" w:hAnsi="Times New Roman" w:eastAsia="Times New Roman"/>
          <w:sz w:val="24"/>
          <w:szCs w:val="24"/>
          <w:lang w:eastAsia="ru-RU"/>
        </w:rPr>
      </w:pPr>
    </w:p>
    <w:p w14:paraId="6E752830">
      <w:pPr>
        <w:widowControl w:val="0"/>
        <w:autoSpaceDE w:val="0"/>
        <w:autoSpaceDN w:val="0"/>
        <w:adjustRightInd w:val="0"/>
        <w:spacing w:after="0" w:line="240" w:lineRule="auto"/>
        <w:ind w:firstLine="851"/>
        <w:jc w:val="center"/>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2. ПРАВА И ОБЯЗАННОСТИ СТОРОН</w:t>
      </w:r>
    </w:p>
    <w:p w14:paraId="1F93ADF4">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 Исполнитель обязуется:</w:t>
      </w:r>
    </w:p>
    <w:p w14:paraId="7F852E7F">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2.1.1. Оказывать услуги Заказчику на условиях, изложенных в Контракте и </w:t>
      </w:r>
      <w:r>
        <w:rPr>
          <w:rFonts w:ascii="Times New Roman" w:hAnsi="Times New Roman" w:cs="Times New Roman"/>
          <w:sz w:val="24"/>
          <w:szCs w:val="24"/>
          <w:lang w:eastAsia="ru-RU"/>
        </w:rPr>
        <w:t>Техническом задании (Приложение №2 к Контракту)</w:t>
      </w:r>
      <w:r>
        <w:rPr>
          <w:rFonts w:ascii="Times New Roman" w:hAnsi="Times New Roman" w:eastAsia="Times New Roman" w:cs="Times New Roman"/>
          <w:sz w:val="24"/>
          <w:szCs w:val="24"/>
          <w:lang w:eastAsia="ru-RU"/>
        </w:rPr>
        <w:t xml:space="preserve">, в полном объеме и с надлежащим качеством. </w:t>
      </w:r>
    </w:p>
    <w:p w14:paraId="3355BB91">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2.1.2.</w:t>
      </w:r>
      <w:r>
        <w:rPr>
          <w:rFonts w:ascii="Times New Roman" w:hAnsi="Times New Roman" w:eastAsia="Calibri" w:cs="Times New Roman"/>
          <w:sz w:val="24"/>
          <w:szCs w:val="24"/>
          <w:lang w:eastAsia="ru-RU"/>
        </w:rPr>
        <w:t xml:space="preserve"> </w:t>
      </w:r>
      <w:r>
        <w:rPr>
          <w:rFonts w:ascii="Times New Roman" w:hAnsi="Times New Roman" w:eastAsia="Times New Roman" w:cs="Times New Roman"/>
          <w:sz w:val="24"/>
          <w:szCs w:val="24"/>
          <w:lang w:eastAsia="ru-RU"/>
        </w:rPr>
        <w:t>Оказывать услуги лично, без привлечения третьих лиц.</w:t>
      </w:r>
    </w:p>
    <w:p w14:paraId="7B098635">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2.1.3. Информировать Заказчика о необходимости замены комплектующих, препятствующих бесперебойной работе аппаратного комплекса Заказчика, либо снижающих производительность оборудования ниже требований, предъявляемых к нему Заказчиком.</w:t>
      </w:r>
    </w:p>
    <w:p w14:paraId="376EABF8">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2.1.4. Не разглашать третьим лицам информацию конфиденциального характера.</w:t>
      </w:r>
    </w:p>
    <w:p w14:paraId="2BC827BB">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2.1.5. Незамедлительно информировать Заказчика обо всех обстоятельствах, препятствующих исполнению Контракта.</w:t>
      </w:r>
    </w:p>
    <w:p w14:paraId="38A8F438">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2.1.6. Устранять своими силами и за свой счет допущенные недостатки при оказании услуг.</w:t>
      </w:r>
    </w:p>
    <w:p w14:paraId="5E71AF3E">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 Заказчик обязуется:</w:t>
      </w:r>
    </w:p>
    <w:p w14:paraId="4A5CD46F">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2.2.1. Обеспечить приемку оказанных услуг.</w:t>
      </w:r>
    </w:p>
    <w:p w14:paraId="664E8A47">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2.2.2. Для проверки предоставленных Исполнителем результатов, предусмотренных Контрактом, в части их соответствия условиям Контракта провести экспертизу в соответствии со статьей 94 Федерального закона о контрактной системе. </w:t>
      </w:r>
    </w:p>
    <w:p w14:paraId="6E1BAB78">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2.2.3. Оплатить услуги в порядке и сроки, предусмотренные разделом 4 настоящего Контракта.</w:t>
      </w:r>
    </w:p>
    <w:p w14:paraId="01B2D7CC">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2.2.4. Предоставлять по запросам Исполнителя информацию, необходимую для исполнения настоящего Контракта.</w:t>
      </w:r>
    </w:p>
    <w:p w14:paraId="450D69CD">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2.2.5. Обеспечивать сотрудникам Исполнителя условия, необходимые для оказания услуг, предусмотренных настоящим Контрактом.</w:t>
      </w:r>
    </w:p>
    <w:p w14:paraId="2EA0BC43">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2.3. Заказчик вправе:</w:t>
      </w:r>
    </w:p>
    <w:p w14:paraId="67631833">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2.3.1.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14:paraId="5FA44FC4">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2.3.2. Запрашивать у Исполнителя любые документы, необходимые для контроля за исполнением Контракта, а также информацию о ходе исполнения обязательств по Контракту.</w:t>
      </w:r>
    </w:p>
    <w:p w14:paraId="1746DB9E">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2.3.3. Отказаться от приемки оказанных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1463F02D">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2.4. Исполнитель вправе:</w:t>
      </w:r>
    </w:p>
    <w:p w14:paraId="5901B587">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2.4.1. Запрашивать и получать у Заказчика информацию, необходимую для исполнения настоящего Контракта.</w:t>
      </w:r>
    </w:p>
    <w:p w14:paraId="319DEB50">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2.4.2.  Требовать своевременной оплаты оказанных услуг.</w:t>
      </w:r>
    </w:p>
    <w:p w14:paraId="12592BCA">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2.5. Стороны имеют право требовать друг от друга своевременного и надлежащего исполнения обязательств по Контракту.</w:t>
      </w:r>
    </w:p>
    <w:p w14:paraId="01F1A20E">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 В случае перемены Заказчика права и обязанности Заказчика, предусмотренные Контрактом, переходят к новому Заказчику.</w:t>
      </w:r>
    </w:p>
    <w:p w14:paraId="2DE29302">
      <w:pPr>
        <w:widowControl w:val="0"/>
        <w:autoSpaceDE w:val="0"/>
        <w:autoSpaceDN w:val="0"/>
        <w:adjustRightInd w:val="0"/>
        <w:spacing w:after="0" w:line="240" w:lineRule="auto"/>
        <w:ind w:firstLine="851"/>
        <w:jc w:val="both"/>
        <w:rPr>
          <w:rFonts w:ascii="Times New Roman" w:hAnsi="Times New Roman" w:cs="Times New Roman"/>
          <w:sz w:val="24"/>
          <w:szCs w:val="24"/>
          <w:shd w:val="clear" w:color="auto" w:fill="FFFFFF"/>
        </w:rPr>
      </w:pPr>
      <w:r>
        <w:rPr>
          <w:rFonts w:ascii="Times New Roman" w:hAnsi="Times New Roman" w:eastAsia="Times New Roman" w:cs="Times New Roman"/>
          <w:sz w:val="24"/>
          <w:szCs w:val="24"/>
          <w:lang w:eastAsia="ru-RU"/>
        </w:rPr>
        <w:t>2.7.</w:t>
      </w:r>
      <w:r>
        <w:rPr>
          <w:rFonts w:ascii="Times New Roman" w:hAnsi="Times New Roman" w:cs="Times New Roman"/>
          <w:sz w:val="24"/>
          <w:szCs w:val="24"/>
          <w:shd w:val="clear" w:color="auto" w:fill="FFFFFF"/>
        </w:rPr>
        <w:t xml:space="preserve">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18EE38EC">
      <w:pPr>
        <w:widowControl w:val="0"/>
        <w:autoSpaceDE w:val="0"/>
        <w:autoSpaceDN w:val="0"/>
        <w:adjustRightInd w:val="0"/>
        <w:spacing w:after="0" w:line="240" w:lineRule="auto"/>
        <w:ind w:firstLine="851"/>
        <w:jc w:val="both"/>
        <w:rPr>
          <w:rFonts w:ascii="Times New Roman" w:hAnsi="Times New Roman" w:cs="Times New Roman"/>
          <w:sz w:val="24"/>
          <w:szCs w:val="24"/>
          <w:shd w:val="clear" w:color="auto" w:fill="FFFFFF"/>
        </w:rPr>
      </w:pPr>
    </w:p>
    <w:p w14:paraId="682E75BD">
      <w:pPr>
        <w:widowControl w:val="0"/>
        <w:autoSpaceDE w:val="0"/>
        <w:autoSpaceDN w:val="0"/>
        <w:adjustRightInd w:val="0"/>
        <w:spacing w:after="0" w:line="240" w:lineRule="auto"/>
        <w:ind w:firstLine="851"/>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3. СРОКИ, УСЛОВИЯ, ПОРЯДОК ОКАЗАНИЯ И ПРИЕМКИ УСЛУГ</w:t>
      </w:r>
    </w:p>
    <w:p w14:paraId="34A3E010">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3.1. Исполнитель оказывает услуги с 01.01.202</w:t>
      </w:r>
      <w:r>
        <w:rPr>
          <w:rFonts w:hint="default" w:ascii="Times New Roman" w:hAnsi="Times New Roman" w:eastAsia="Times New Roman" w:cs="Times New Roman"/>
          <w:sz w:val="24"/>
          <w:szCs w:val="24"/>
          <w:lang w:val="en-US" w:eastAsia="ru-RU"/>
        </w:rPr>
        <w:t>7</w:t>
      </w:r>
      <w:r>
        <w:rPr>
          <w:rFonts w:ascii="Times New Roman" w:hAnsi="Times New Roman" w:eastAsia="Times New Roman" w:cs="Times New Roman"/>
          <w:sz w:val="24"/>
          <w:szCs w:val="24"/>
          <w:lang w:eastAsia="ru-RU"/>
        </w:rPr>
        <w:t xml:space="preserve"> года по 31.12.202</w:t>
      </w:r>
      <w:r>
        <w:rPr>
          <w:rFonts w:hint="default" w:ascii="Times New Roman" w:hAnsi="Times New Roman" w:eastAsia="Times New Roman" w:cs="Times New Roman"/>
          <w:sz w:val="24"/>
          <w:szCs w:val="24"/>
          <w:lang w:val="en-US" w:eastAsia="ru-RU"/>
        </w:rPr>
        <w:t>7</w:t>
      </w:r>
      <w:r>
        <w:rPr>
          <w:rFonts w:ascii="Times New Roman" w:hAnsi="Times New Roman" w:eastAsia="Times New Roman" w:cs="Times New Roman"/>
          <w:sz w:val="24"/>
          <w:szCs w:val="24"/>
          <w:lang w:eastAsia="ru-RU"/>
        </w:rPr>
        <w:t xml:space="preserve"> г.</w:t>
      </w:r>
    </w:p>
    <w:p w14:paraId="0DD78A27">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3.2. Исполнитель обеспечивает оказание услуг надлежащего качества и в надлежащем объеме.</w:t>
      </w:r>
    </w:p>
    <w:p w14:paraId="20DBA075">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3.3. После завершения оказания услуг в истекшем месяце в соответствии с требованиями Контракта в течение трех рабочих дней Исполнитель направляет Заказчику документ о приемке в единой информационной системе. </w:t>
      </w:r>
    </w:p>
    <w:p w14:paraId="24A77B60">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3.4.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Заказчиком проводится экспертиза оказанных услуг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4834E7AB">
      <w:pPr>
        <w:pStyle w:val="17"/>
        <w:ind w:firstLine="851"/>
        <w:jc w:val="both"/>
        <w:rPr>
          <w:rFonts w:cs="Times New Roman"/>
        </w:rPr>
      </w:pPr>
      <w:r>
        <w:rPr>
          <w:rFonts w:cs="Times New Roman"/>
        </w:rPr>
        <w:t xml:space="preserve">3.7. </w:t>
      </w:r>
      <w:r>
        <w:rPr>
          <w:rFonts w:eastAsia="Times New Roman" w:cs="Times New Roman"/>
          <w:lang w:eastAsia="ru-RU"/>
        </w:rPr>
        <w:t>Документ о приемке за фактически оказанные услуги формируется Исполнителем в соответствии с требованиями Федерального закона о контрактной системе (в том числе, в соответствии с подпунктом "а" пункта 1 части 2 статьи 51 Федерального закона о контрактной системе), с использованием единой информационной системы, подписывается усиленной электронной подписью лица, имеющего право действовать от имени Исполнителя, и размещается в единой информационной системе</w:t>
      </w:r>
      <w:r>
        <w:rPr>
          <w:rFonts w:cs="Times New Roman"/>
        </w:rPr>
        <w:t>.</w:t>
      </w:r>
    </w:p>
    <w:p w14:paraId="30A86423">
      <w:pPr>
        <w:pStyle w:val="17"/>
        <w:ind w:firstLine="851"/>
        <w:jc w:val="both"/>
        <w:rPr>
          <w:rFonts w:cs="Times New Roman"/>
        </w:rPr>
      </w:pPr>
      <w:r>
        <w:rPr>
          <w:rFonts w:cs="Times New Roman"/>
        </w:rPr>
        <w:t xml:space="preserve">3.8. </w:t>
      </w:r>
      <w:r>
        <w:rPr>
          <w:rFonts w:eastAsia="Times New Roman" w:cs="Times New Roman"/>
          <w:lang w:eastAsia="ru-RU"/>
        </w:rPr>
        <w:t>К документу о приемке должен прилагаться счет. К документу о приемке могут прилагаться и иные документы.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 Федерального закона о контрактной системе информация, содержащаяся в документе о приемке</w:t>
      </w:r>
      <w:r>
        <w:rPr>
          <w:rFonts w:cs="Times New Roman"/>
        </w:rPr>
        <w:t>.</w:t>
      </w:r>
    </w:p>
    <w:p w14:paraId="47166476">
      <w:pPr>
        <w:pStyle w:val="17"/>
        <w:ind w:firstLine="851"/>
        <w:jc w:val="both"/>
        <w:rPr>
          <w:rFonts w:cs="Times New Roman"/>
        </w:rPr>
      </w:pPr>
      <w:r>
        <w:rPr>
          <w:rFonts w:cs="Times New Roman"/>
        </w:rPr>
        <w:t xml:space="preserve">3.9. </w:t>
      </w:r>
      <w:r>
        <w:rPr>
          <w:rFonts w:eastAsia="Times New Roman" w:cs="Times New Roman"/>
          <w:lang w:eastAsia="ru-RU"/>
        </w:rPr>
        <w:t xml:space="preserve">В срок не позднее </w:t>
      </w:r>
      <w:r>
        <w:rPr>
          <w:rFonts w:hint="default" w:eastAsia="Times New Roman" w:cs="Times New Roman"/>
          <w:lang w:val="en-US" w:eastAsia="ru-RU"/>
        </w:rPr>
        <w:t>20</w:t>
      </w:r>
      <w:r>
        <w:rPr>
          <w:rFonts w:eastAsia="Times New Roman" w:cs="Times New Roman"/>
          <w:lang w:eastAsia="ru-RU"/>
        </w:rPr>
        <w:t xml:space="preserve"> (двадцати) рабочих дней, следующих за днем поступления документа о приемке, и на основании</w:t>
      </w:r>
      <w:r>
        <w:rPr>
          <w:rFonts w:cs="Times New Roman"/>
        </w:rPr>
        <w:t xml:space="preserve"> </w:t>
      </w:r>
      <w:r>
        <w:rPr>
          <w:rFonts w:eastAsia="Times New Roman" w:cs="Times New Roman"/>
          <w:lang w:eastAsia="ru-RU"/>
        </w:rPr>
        <w:t>результатов экспертизы, проведенной в соответствии с пунктом 3.6 Контракта,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r>
        <w:rPr>
          <w:rFonts w:cs="Times New Roman"/>
        </w:rPr>
        <w:t>.</w:t>
      </w:r>
    </w:p>
    <w:p w14:paraId="66AAC1C2">
      <w:pPr>
        <w:pStyle w:val="17"/>
        <w:ind w:firstLine="851"/>
        <w:jc w:val="both"/>
        <w:rPr>
          <w:rFonts w:eastAsia="Times New Roman" w:cs="Times New Roman"/>
          <w:lang w:eastAsia="ru-RU"/>
        </w:rPr>
      </w:pPr>
      <w:r>
        <w:rPr>
          <w:rFonts w:cs="Times New Roman"/>
        </w:rPr>
        <w:t xml:space="preserve">3.10. </w:t>
      </w:r>
      <w:r>
        <w:rPr>
          <w:rFonts w:eastAsia="Times New Roman" w:cs="Times New Roman"/>
          <w:lang w:eastAsia="ru-RU"/>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Федерального закона о контрактной системе.</w:t>
      </w:r>
    </w:p>
    <w:p w14:paraId="703682A4">
      <w:pPr>
        <w:pStyle w:val="17"/>
        <w:ind w:firstLine="851"/>
        <w:jc w:val="both"/>
        <w:rPr>
          <w:rFonts w:cs="Times New Roman"/>
        </w:rPr>
      </w:pPr>
      <w:r>
        <w:rPr>
          <w:rFonts w:cs="Times New Roman"/>
        </w:rPr>
        <w:t xml:space="preserve">3.11. </w:t>
      </w:r>
      <w:r>
        <w:rPr>
          <w:rFonts w:eastAsia="Times New Roman" w:cs="Times New Roman"/>
          <w:lang w:eastAsia="ru-RU"/>
        </w:rPr>
        <w:t>Внесение исправлений в документ о приемке, оформленный в соответствии с частью 13 статьи 94 Федерального закона о контрактной системе,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r>
        <w:rPr>
          <w:rFonts w:cs="Times New Roman"/>
        </w:rPr>
        <w:t>.</w:t>
      </w:r>
    </w:p>
    <w:p w14:paraId="763ED14D">
      <w:pPr>
        <w:pStyle w:val="17"/>
        <w:ind w:firstLine="851"/>
        <w:jc w:val="both"/>
        <w:rPr>
          <w:rFonts w:cs="Times New Roman"/>
        </w:rPr>
      </w:pPr>
      <w:r>
        <w:rPr>
          <w:rFonts w:cs="Times New Roman"/>
        </w:rPr>
        <w:t xml:space="preserve">3.12. </w:t>
      </w:r>
      <w:r>
        <w:rPr>
          <w:rFonts w:eastAsia="Times New Roman" w:cs="Times New Roman"/>
          <w:lang w:eastAsia="ru-RU"/>
        </w:rPr>
        <w:t>Услуги считаются принятыми со дня размещения в единой информационной системе документа о приемке, подписанного Заказчиком</w:t>
      </w:r>
      <w:r>
        <w:rPr>
          <w:rFonts w:cs="Times New Roman"/>
        </w:rPr>
        <w:t>.</w:t>
      </w:r>
    </w:p>
    <w:p w14:paraId="3F186F01">
      <w:pPr>
        <w:pStyle w:val="17"/>
        <w:ind w:firstLine="851"/>
        <w:jc w:val="both"/>
        <w:rPr>
          <w:rFonts w:cs="Times New Roman"/>
        </w:rPr>
      </w:pPr>
    </w:p>
    <w:p w14:paraId="62F05D66">
      <w:pPr>
        <w:widowControl w:val="0"/>
        <w:autoSpaceDE w:val="0"/>
        <w:autoSpaceDN w:val="0"/>
        <w:adjustRightInd w:val="0"/>
        <w:spacing w:after="0" w:line="240" w:lineRule="auto"/>
        <w:ind w:firstLine="851"/>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4. ЦЕНА КОНТРАКТА И ПОРЯДОК РАСЧЕТОВ</w:t>
      </w:r>
    </w:p>
    <w:p w14:paraId="3A3BF795">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4.1. Цена настоящего Контракта, в соответствии со Спецификацией (Приложение №1 к Контракту) составляет _______(_______________) рублей 00 копеек, в том числе НДС - ___% (_____________), и включает все расходы, связанные с оказанием услуг в полном объеме в соответствии с требованиями Контракта, в том числе расходы Исполнителя на страхование, уплату налогов, пошлин, сборов и других обязательных платежей, влияющих на стоимость Контракта. </w:t>
      </w:r>
    </w:p>
    <w:p w14:paraId="2FA36116">
      <w:pPr>
        <w:pStyle w:val="24"/>
        <w:numPr>
          <w:ilvl w:val="0"/>
          <w:numId w:val="0"/>
        </w:numPr>
        <w:tabs>
          <w:tab w:val="left" w:pos="708"/>
        </w:tabs>
        <w:ind w:firstLine="709"/>
        <w:contextualSpacing/>
        <w:rPr>
          <w:iCs/>
        </w:rPr>
      </w:pPr>
      <w:r>
        <w:t>Стоимость услуг в месяц составляет ______</w:t>
      </w:r>
      <w:r>
        <w:rPr>
          <w:iCs/>
        </w:rPr>
        <w:t xml:space="preserve"> (_______________) рублей</w:t>
      </w:r>
      <w:r>
        <w:rPr>
          <w:iCs/>
        </w:rPr>
        <w:br w:type="textWrapping"/>
      </w:r>
      <w:r>
        <w:rPr>
          <w:iCs/>
        </w:rPr>
        <w:t>00 копеек, в том числе НДС – _____%.</w:t>
      </w:r>
    </w:p>
    <w:p w14:paraId="43467227">
      <w:pPr>
        <w:spacing w:after="0" w:line="240" w:lineRule="auto"/>
        <w:ind w:firstLine="851"/>
        <w:jc w:val="both"/>
        <w:rPr>
          <w:rFonts w:ascii="Times New Roman" w:hAnsi="Times New Roman" w:cs="Times New Roman"/>
          <w:b/>
          <w:bCs/>
          <w:iCs/>
          <w:sz w:val="24"/>
          <w:szCs w:val="24"/>
        </w:rPr>
      </w:pPr>
      <w:r>
        <w:rPr>
          <w:rFonts w:ascii="Times New Roman" w:hAnsi="Times New Roman" w:cs="Times New Roman"/>
          <w:b/>
          <w:bCs/>
          <w:iCs/>
          <w:sz w:val="24"/>
          <w:szCs w:val="24"/>
        </w:rPr>
        <w:t xml:space="preserve">Начальная (максимальная) цена Контракта составляет </w:t>
      </w:r>
      <w:r>
        <w:rPr>
          <w:rFonts w:hint="default" w:ascii="Times New Roman" w:hAnsi="Times New Roman"/>
          <w:b/>
          <w:bCs/>
          <w:iCs/>
          <w:sz w:val="24"/>
          <w:szCs w:val="24"/>
          <w:lang w:val="ru-RU"/>
        </w:rPr>
        <w:t>168000</w:t>
      </w:r>
      <w:r>
        <w:rPr>
          <w:rFonts w:hint="default" w:ascii="Times New Roman" w:hAnsi="Times New Roman"/>
          <w:b/>
          <w:bCs/>
          <w:iCs/>
          <w:sz w:val="24"/>
          <w:szCs w:val="24"/>
        </w:rPr>
        <w:t>,00</w:t>
      </w:r>
      <w:r>
        <w:rPr>
          <w:rFonts w:ascii="Times New Roman" w:hAnsi="Times New Roman" w:cs="Times New Roman"/>
          <w:b/>
          <w:bCs/>
          <w:iCs/>
          <w:sz w:val="24"/>
          <w:szCs w:val="24"/>
        </w:rPr>
        <w:t xml:space="preserve"> (</w:t>
      </w:r>
      <w:r>
        <w:rPr>
          <w:rFonts w:ascii="Times New Roman" w:hAnsi="Times New Roman" w:cs="Times New Roman"/>
          <w:b/>
          <w:bCs/>
          <w:iCs/>
          <w:sz w:val="24"/>
          <w:szCs w:val="24"/>
          <w:lang w:val="ru-RU"/>
        </w:rPr>
        <w:t>сто</w:t>
      </w:r>
      <w:r>
        <w:rPr>
          <w:rFonts w:hint="default" w:ascii="Times New Roman" w:hAnsi="Times New Roman" w:cs="Times New Roman"/>
          <w:b/>
          <w:bCs/>
          <w:iCs/>
          <w:sz w:val="24"/>
          <w:szCs w:val="24"/>
          <w:lang w:val="ru-RU"/>
        </w:rPr>
        <w:t xml:space="preserve"> шестьдесят восемь тысяч</w:t>
      </w:r>
      <w:r>
        <w:rPr>
          <w:rFonts w:ascii="Times New Roman" w:hAnsi="Times New Roman" w:cs="Times New Roman"/>
          <w:b/>
          <w:bCs/>
          <w:iCs/>
          <w:sz w:val="24"/>
          <w:szCs w:val="24"/>
        </w:rPr>
        <w:t>) рублей 00 копеек.</w:t>
      </w:r>
    </w:p>
    <w:p w14:paraId="77CC5B9D">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 Цена контракта является твердой и определяется на весь срок исполнения Контракта и изменению не подлежит, за исключением случаев, предусмотренных статьями 34, 95 Федерального закона о контрактной системе.</w:t>
      </w:r>
    </w:p>
    <w:p w14:paraId="75E39EB4">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4.2.1. при снижении цены Контракта без изменения предусмотренных Контрактом объема услуг, качества оказываемой услуги и иных условий настоящего Контракта;</w:t>
      </w:r>
    </w:p>
    <w:p w14:paraId="384C4538">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4.2.2. если по предложению Заказчика увеличивается предусмотренный Контрактом объем услуги не более чем на десять процентов или уменьшаются предусмотренный Контрактом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услуги Стороны Контракта обязаны уменьшить цену Контракта исходя из цены единицы услуги. </w:t>
      </w:r>
    </w:p>
    <w:p w14:paraId="6108497D">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4.3. В случае заключения Контракта с юридическим лицом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5F81994">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4.4. Оплата по Контракту производится ежемесячно, в российских рублях по безналичному расчету путем перечисления денежных средств на расчетный счет Исполнителя, указанный в Контракте. Оплата производится в срок не более 7 (семи) рабочих дней с даты подписания Заказчиком документа о приемке.</w:t>
      </w:r>
    </w:p>
    <w:p w14:paraId="69F9FC15">
      <w:pPr>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4.5. Источник финансирования закупки: </w:t>
      </w:r>
      <w:r>
        <w:rPr>
          <w:rFonts w:hint="default" w:ascii="Times New Roman" w:hAnsi="Times New Roman" w:eastAsia="Times New Roman"/>
          <w:sz w:val="24"/>
          <w:szCs w:val="24"/>
          <w:lang w:eastAsia="ru-RU"/>
        </w:rPr>
        <w:t>средства бюджетных учреждений на 202</w:t>
      </w:r>
      <w:r>
        <w:rPr>
          <w:rFonts w:hint="default" w:ascii="Times New Roman" w:hAnsi="Times New Roman" w:eastAsia="Times New Roman"/>
          <w:sz w:val="24"/>
          <w:szCs w:val="24"/>
          <w:lang w:val="en-US" w:eastAsia="ru-RU"/>
        </w:rPr>
        <w:t>7</w:t>
      </w:r>
      <w:r>
        <w:rPr>
          <w:rFonts w:hint="default" w:ascii="Times New Roman" w:hAnsi="Times New Roman" w:eastAsia="Times New Roman"/>
          <w:sz w:val="24"/>
          <w:szCs w:val="24"/>
          <w:lang w:eastAsia="ru-RU"/>
        </w:rPr>
        <w:t xml:space="preserve"> год.</w:t>
      </w:r>
    </w:p>
    <w:p w14:paraId="3648B01C">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4.6. Авансовые платежи по Контракту не предусмотрены.</w:t>
      </w:r>
    </w:p>
    <w:p w14:paraId="25E6AA80">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p>
    <w:p w14:paraId="1D98ED07">
      <w:pPr>
        <w:widowControl w:val="0"/>
        <w:autoSpaceDE w:val="0"/>
        <w:autoSpaceDN w:val="0"/>
        <w:adjustRightInd w:val="0"/>
        <w:spacing w:after="0" w:line="240" w:lineRule="auto"/>
        <w:ind w:firstLine="851"/>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5. ОТВЕТСТВЕННОСТЬ СТОРОН</w:t>
      </w:r>
    </w:p>
    <w:p w14:paraId="0EC9EAA1">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5.1. За неисполнение или ненадлежащее исполнение взятых на себя обязательств Стороны несут ответственность в соответствии с действующим законодательством Российской Федерации.</w:t>
      </w:r>
    </w:p>
    <w:p w14:paraId="733AE818">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определения размера штрафа).</w:t>
      </w:r>
    </w:p>
    <w:p w14:paraId="35E6D71B">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5.3.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3D70058">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05DEF5CD">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Заказчика штраф в следующем порядке:</w:t>
      </w:r>
    </w:p>
    <w:p w14:paraId="55886DC6">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1000 рублей, если цена Контракта не превышает 3 млн. рублей (включительно).</w:t>
      </w:r>
    </w:p>
    <w:p w14:paraId="6DE81686">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5000 рублей, если цена контракта составляет от 3 млн. рублей до 50 млн. рублей (включительно);</w:t>
      </w:r>
    </w:p>
    <w:p w14:paraId="7BB50B76">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10000 рублей, если цена контракта составляет от 50 млн. рублей до 100 млн. рублей (включительно);</w:t>
      </w:r>
    </w:p>
    <w:p w14:paraId="6B85A693">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 100000 рублей, если цена контракта превышает 100 млн. рублей.</w:t>
      </w:r>
    </w:p>
    <w:p w14:paraId="01544739">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93D05E3">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517A770">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077F4E18">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14:paraId="39E394C8">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Заказчик вправе взыскать с Исполнителя штраф.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6ACFA0FC">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5.8.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3A5FC5B4">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5.9.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Правилами определения размера штрафа, за исключением просрочки исполнения обязательств (в том числе гарантийного обязательства), предусмотренных контрактом, и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w:t>
      </w:r>
    </w:p>
    <w:p w14:paraId="0730626F">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в случае, если цена контракта не превышает начальную (максимальную) цену контракта:</w:t>
      </w:r>
    </w:p>
    <w:p w14:paraId="663D0035">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процентов начальной (максимальной) цены контракта, если цена контракта не превышает 3 млн. рублей;</w:t>
      </w:r>
    </w:p>
    <w:p w14:paraId="4D3DE0D2">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14:paraId="59E6C3E3">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процент начальной (максимальной) цены контракта, если цена контракта составляет от 50 млн. рублей до 100 млн. рублей (включительно);</w:t>
      </w:r>
    </w:p>
    <w:p w14:paraId="04F5AF04">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в случае, если цена контракта превышает начальную (максимальную) цену контракта:</w:t>
      </w:r>
    </w:p>
    <w:p w14:paraId="6047CDDF">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процентов цены контракта, если цена контракта не превышает 3 млн. рублей;</w:t>
      </w:r>
    </w:p>
    <w:p w14:paraId="3DB1BE4D">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процентов цены контракта, если цена контракта составляет от 3 млн. рублей до 50 млн. рублей (включительно);</w:t>
      </w:r>
    </w:p>
    <w:p w14:paraId="66DE6517">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 процент цены контракта, если цена контракта составляет от 50 млн. рублей до 100 млн. рублей (включительно). </w:t>
      </w:r>
    </w:p>
    <w:p w14:paraId="7CD90A61">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2D702213">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1000 рублей, если цена контракта не превышает 3 млн. рублей;</w:t>
      </w:r>
    </w:p>
    <w:p w14:paraId="41D8100A">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5000 рублей, если цена контракта составляет от 3 млн. рублей до 50 млн. рублей (включительно);</w:t>
      </w:r>
    </w:p>
    <w:p w14:paraId="18EC2102">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10000 рублей, если цена контракта составляет от 50 млн. рублей до 100 млн. рублей (включительно);</w:t>
      </w:r>
    </w:p>
    <w:p w14:paraId="35BB073E">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 100000 рублей, если цена контракта превышает 100 млн. рублей.</w:t>
      </w:r>
    </w:p>
    <w:p w14:paraId="6311B43B">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5.11.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w:t>
      </w:r>
    </w:p>
    <w:p w14:paraId="393C2C0D">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472C8C9">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5.13. Уплата неустойки не освобождает виновную сторону от выполнения принятых на себя обязательств по настоящему контракту.</w:t>
      </w:r>
    </w:p>
    <w:p w14:paraId="1060684B">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p>
    <w:p w14:paraId="38729E5E">
      <w:pPr>
        <w:pStyle w:val="18"/>
        <w:ind w:firstLine="709"/>
        <w:jc w:val="center"/>
        <w:rPr>
          <w:rFonts w:ascii="Times New Roman" w:hAnsi="Times New Roman"/>
          <w:b/>
          <w:szCs w:val="24"/>
        </w:rPr>
      </w:pPr>
      <w:r>
        <w:rPr>
          <w:rFonts w:ascii="Times New Roman" w:hAnsi="Times New Roman"/>
          <w:b/>
          <w:szCs w:val="24"/>
        </w:rPr>
        <w:t>6. ОБЕСПЕЧЕНИЕ ИСПОЛНЕНИЯ КОНТРАКТА</w:t>
      </w:r>
    </w:p>
    <w:p w14:paraId="7564E3A3">
      <w:pPr>
        <w:widowControl w:val="0"/>
        <w:autoSpaceDE w:val="0"/>
        <w:autoSpaceDN w:val="0"/>
        <w:adjustRightInd w:val="0"/>
        <w:spacing w:after="0" w:line="240" w:lineRule="auto"/>
        <w:ind w:firstLine="851"/>
        <w:jc w:val="both"/>
        <w:rPr>
          <w:rFonts w:hint="default"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6.1. Не</w:t>
      </w:r>
      <w:r>
        <w:rPr>
          <w:rFonts w:hint="default" w:ascii="Times New Roman" w:hAnsi="Times New Roman" w:eastAsia="Times New Roman" w:cs="Times New Roman"/>
          <w:sz w:val="24"/>
          <w:szCs w:val="24"/>
          <w:lang w:val="en-US" w:eastAsia="ru-RU"/>
        </w:rPr>
        <w:t xml:space="preserve"> предусмотрено.</w:t>
      </w:r>
    </w:p>
    <w:p w14:paraId="43EAA3C8">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p>
    <w:p w14:paraId="528DAD98">
      <w:pPr>
        <w:widowControl w:val="0"/>
        <w:autoSpaceDE w:val="0"/>
        <w:autoSpaceDN w:val="0"/>
        <w:adjustRightInd w:val="0"/>
        <w:spacing w:after="0" w:line="240" w:lineRule="auto"/>
        <w:ind w:firstLine="851"/>
        <w:jc w:val="center"/>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7. ПОРЯДОК РАЗРЕШЕНИЯ СПОРОВ</w:t>
      </w:r>
    </w:p>
    <w:p w14:paraId="2049939C">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7.1. В случае возникновения споров и (или) разногласий между Сторонами в связи с заключением, исполнением, изменением, расторжением настоящего Контракта, Стороны принимают меры для разрешения их с использованием досудебного претензионного порядка.</w:t>
      </w:r>
    </w:p>
    <w:p w14:paraId="41B09705">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7.2. В случае невозможности разрешения разногласий с использованием досудебного претензионного порядка, они подлежат рассмотрению в Арбитражном суде Ставропольского края согласно установленному законодательством Российской Федерации порядку.</w:t>
      </w:r>
    </w:p>
    <w:p w14:paraId="2E9E825E">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cs="Times New Roman" w:eastAsiaTheme="minorEastAsia"/>
          <w:sz w:val="24"/>
          <w:szCs w:val="24"/>
          <w:lang w:eastAsia="ru-RU"/>
        </w:rPr>
        <w:t xml:space="preserve">7.3. </w:t>
      </w:r>
      <w:r>
        <w:rPr>
          <w:rFonts w:ascii="Times New Roman" w:hAnsi="Times New Roman" w:eastAsia="Times New Roman" w:cs="Times New Roman"/>
          <w:sz w:val="24"/>
          <w:szCs w:val="24"/>
          <w:lang w:eastAsia="ru-RU"/>
        </w:rPr>
        <w:t>В случае наличия претензий, споров, разногласий относительно исполнения одной из Сторон своих обязательств, другая Сторона направляет претензионное письмо. Срок рассмотрения претензионного письма и направления ответа на него составляет 5 (пять) рабочих дней со дня его получения адресатом.</w:t>
      </w:r>
    </w:p>
    <w:p w14:paraId="50AD2FCB">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7.4. Претензионные письма направляются Сторонами посредством Единой информационной системы путем направления электронных уведомлений в соответствии со ст. 94 Федерального закона о контрактной системе.</w:t>
      </w:r>
    </w:p>
    <w:p w14:paraId="1B99FE1C">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p>
    <w:p w14:paraId="11FC2B0A">
      <w:pPr>
        <w:widowControl w:val="0"/>
        <w:autoSpaceDE w:val="0"/>
        <w:autoSpaceDN w:val="0"/>
        <w:adjustRightInd w:val="0"/>
        <w:spacing w:after="0" w:line="240" w:lineRule="auto"/>
        <w:ind w:firstLine="851"/>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8. ОБСТОЯТЕЛЬСТВА НЕПРЕОДОЛИМОЙ СИЛЫ</w:t>
      </w:r>
    </w:p>
    <w:p w14:paraId="120BDEC6">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8.1. Стороны освобождаются от ответственности за частичное или полное неисполнение своих обязательств по настоящему контракту, если оно явилось следствием обстоятельств непреодолимой силы, а именно: землетрясения, наводнения, пожара, войны, блокады, правительственных ограничений или любых иных обстоятельств непреодолимой силы, признаваемых таковыми гражданским кодексом РФ и находящихся вне контроля сторон, возникших после заключения настоящего контракта.</w:t>
      </w:r>
    </w:p>
    <w:p w14:paraId="569B1861">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8.2. Сторона, для которой создалась невозможность исполнения обязательств, обязана немедленно (в течение 3 дней) в письменной форме уведомить другую сторону о наступлении, предполагаемом сроке действия и прекращении вышеуказанного обстоятельства. Факты, изложенные в уведомлении, должны быть подтверждены компетентным органом или организацией.</w:t>
      </w:r>
    </w:p>
    <w:p w14:paraId="17032891">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8.3. Не уведомление или несвоевременное уведомление лишает права ссылаться на любое вышеуказанное обстоятельство как на основание, освобождающее от ответственности за неисполнение обязательств по настоящему Контракту.</w:t>
      </w:r>
    </w:p>
    <w:p w14:paraId="7DB63276">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p>
    <w:p w14:paraId="6F3808A8">
      <w:pPr>
        <w:widowControl w:val="0"/>
        <w:autoSpaceDE w:val="0"/>
        <w:autoSpaceDN w:val="0"/>
        <w:adjustRightInd w:val="0"/>
        <w:spacing w:after="0" w:line="240" w:lineRule="auto"/>
        <w:ind w:firstLine="851"/>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9. СРОК ДЕЙСТВИЯ КОНТРАКТА</w:t>
      </w:r>
    </w:p>
    <w:p w14:paraId="3742004A">
      <w:pPr>
        <w:pStyle w:val="27"/>
        <w:spacing w:line="264" w:lineRule="auto"/>
        <w:ind w:firstLine="851"/>
        <w:jc w:val="both"/>
        <w:rPr>
          <w:shd w:val="clear" w:color="auto" w:fill="FFFFFF"/>
        </w:rPr>
      </w:pPr>
      <w:r>
        <w:rPr>
          <w:shd w:val="clear" w:color="auto" w:fill="FFFFFF"/>
        </w:rPr>
        <w:t xml:space="preserve">9.1. Срок действия Контракта: с </w:t>
      </w:r>
      <w:r>
        <w:rPr>
          <w:rFonts w:hint="default"/>
          <w:shd w:val="clear" w:color="auto" w:fill="FFFFFF"/>
          <w:lang w:val="ru-RU"/>
        </w:rPr>
        <w:t>01.01.2027 г.</w:t>
      </w:r>
      <w:r>
        <w:rPr>
          <w:shd w:val="clear" w:color="auto" w:fill="FFFFFF"/>
        </w:rPr>
        <w:t xml:space="preserve"> по 31.</w:t>
      </w:r>
      <w:r>
        <w:rPr>
          <w:rFonts w:hint="default"/>
          <w:shd w:val="clear" w:color="auto" w:fill="FFFFFF"/>
          <w:lang w:val="ru-RU"/>
        </w:rPr>
        <w:t>12</w:t>
      </w:r>
      <w:r>
        <w:rPr>
          <w:shd w:val="clear" w:color="auto" w:fill="FFFFFF"/>
        </w:rPr>
        <w:t>.202</w:t>
      </w:r>
      <w:r>
        <w:rPr>
          <w:rFonts w:hint="default"/>
          <w:shd w:val="clear" w:color="auto" w:fill="FFFFFF"/>
          <w:lang w:val="ru-RU"/>
        </w:rPr>
        <w:t>7 г</w:t>
      </w:r>
      <w:r>
        <w:rPr>
          <w:shd w:val="clear" w:color="auto" w:fill="FFFFFF"/>
        </w:rPr>
        <w:t>, за исключением обязательств по оплате, выплате неустойки, исполнения гарантийных обязательств.</w:t>
      </w:r>
    </w:p>
    <w:p w14:paraId="7A11D73E">
      <w:pPr>
        <w:pStyle w:val="27"/>
        <w:spacing w:line="264" w:lineRule="auto"/>
        <w:ind w:firstLine="851"/>
        <w:jc w:val="both"/>
        <w:rPr>
          <w:shd w:val="clear" w:color="auto" w:fill="FFFFFF"/>
        </w:rPr>
      </w:pPr>
      <w:r>
        <w:rPr>
          <w:shd w:val="clear" w:color="auto" w:fill="FFFFFF"/>
        </w:rPr>
        <w:t>9.2. Окончание срока действия Контракта не освобождает Стороны от выполнения обязательств, предусмотренных настоящим Контрактом, и от ответственности за его нарушение, которое имело место во время действия Контракта.</w:t>
      </w:r>
    </w:p>
    <w:p w14:paraId="06617EA7">
      <w:pPr>
        <w:widowControl w:val="0"/>
        <w:autoSpaceDE w:val="0"/>
        <w:autoSpaceDN w:val="0"/>
        <w:adjustRightInd w:val="0"/>
        <w:spacing w:after="0" w:line="240" w:lineRule="auto"/>
        <w:jc w:val="both"/>
        <w:rPr>
          <w:rFonts w:ascii="Times New Roman" w:hAnsi="Times New Roman" w:eastAsia="Times New Roman" w:cs="Times New Roman"/>
          <w:sz w:val="24"/>
          <w:szCs w:val="24"/>
          <w:lang w:eastAsia="ru-RU"/>
        </w:rPr>
      </w:pPr>
    </w:p>
    <w:p w14:paraId="1F5CC451">
      <w:pPr>
        <w:widowControl w:val="0"/>
        <w:autoSpaceDE w:val="0"/>
        <w:autoSpaceDN w:val="0"/>
        <w:adjustRightInd w:val="0"/>
        <w:spacing w:after="0" w:line="240" w:lineRule="auto"/>
        <w:ind w:firstLine="851"/>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10. ЗАКЛЮЧИТЕЛЬНЫЕ ПОЛОЖЕНИЯ</w:t>
      </w:r>
    </w:p>
    <w:p w14:paraId="2E431EDF">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10.1.  Настоящий Контракт заключается в форме электронного документа, подписанного усиленными электронными подписями, уполномоченных на подписание Контракта лиц каждой из Сторон.</w:t>
      </w:r>
    </w:p>
    <w:p w14:paraId="44E42B92">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10.2. Все изменения и дополнения к настоящему Контракту действительны только в том случае, если они имеют ссылку на Контракт, оформлены в письменном виде и подписаны уполномоченными на то представителями Сторон, и не противоречат действующему законодательству.</w:t>
      </w:r>
    </w:p>
    <w:p w14:paraId="00685935">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10.3. По всем вопросам, вытекающим из настоящего Контракта и неурегулированным им, Стороны руководствуются законодательством Российской Федерации.</w:t>
      </w:r>
    </w:p>
    <w:p w14:paraId="3E32FF93">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10.4. В случае изменения у какой-либо из Сторон адреса, названия, банковских реквизитов и прочего она обязана в срок, не позднее 5 (пяти) рабочих дней, письменно известить об этом другую Сторону.</w:t>
      </w:r>
    </w:p>
    <w:p w14:paraId="45838285">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10.5. </w:t>
      </w:r>
      <w:r>
        <w:rPr>
          <w:rFonts w:ascii="Times New Roman" w:hAnsi="Times New Roman" w:eastAsia="Times New Roman" w:cs="Times New Roman"/>
          <w:bCs/>
          <w:sz w:val="24"/>
          <w:szCs w:val="24"/>
          <w:lang w:eastAsia="ru-RU"/>
        </w:rPr>
        <w:t xml:space="preserve">Расторжение настоящего </w:t>
      </w:r>
      <w:r>
        <w:rPr>
          <w:rFonts w:ascii="Times New Roman" w:hAnsi="Times New Roman" w:eastAsia="Times New Roman" w:cs="Times New Roman"/>
          <w:sz w:val="24"/>
          <w:szCs w:val="24"/>
          <w:lang w:eastAsia="ru-RU"/>
        </w:rPr>
        <w:t xml:space="preserve">Контракта </w:t>
      </w:r>
      <w:r>
        <w:rPr>
          <w:rFonts w:ascii="Times New Roman" w:hAnsi="Times New Roman" w:eastAsia="Times New Roman" w:cs="Times New Roman"/>
          <w:bCs/>
          <w:sz w:val="24"/>
          <w:szCs w:val="24"/>
          <w:lang w:eastAsia="ru-RU"/>
        </w:rPr>
        <w:t xml:space="preserve">допускается по соглашению сторон, по решению суда, в случае одностороннего отказа стороны </w:t>
      </w:r>
      <w:r>
        <w:rPr>
          <w:rFonts w:ascii="Times New Roman" w:hAnsi="Times New Roman" w:eastAsia="Times New Roman" w:cs="Times New Roman"/>
          <w:sz w:val="24"/>
          <w:szCs w:val="24"/>
          <w:lang w:eastAsia="ru-RU"/>
        </w:rPr>
        <w:t xml:space="preserve">Контракта </w:t>
      </w:r>
      <w:r>
        <w:rPr>
          <w:rFonts w:ascii="Times New Roman" w:hAnsi="Times New Roman" w:eastAsia="Times New Roman" w:cs="Times New Roman"/>
          <w:bCs/>
          <w:sz w:val="24"/>
          <w:szCs w:val="24"/>
          <w:lang w:eastAsia="ru-RU"/>
        </w:rPr>
        <w:t xml:space="preserve">от исполнения в соответствии с </w:t>
      </w:r>
      <w:r>
        <w:rPr>
          <w:rFonts w:ascii="Times New Roman" w:hAnsi="Times New Roman" w:eastAsia="Times New Roman" w:cs="Times New Roman"/>
          <w:sz w:val="24"/>
          <w:szCs w:val="24"/>
          <w:lang w:eastAsia="ru-RU"/>
        </w:rPr>
        <w:t>Федеральным законом о контрактной системе.</w:t>
      </w:r>
    </w:p>
    <w:p w14:paraId="05BBDE84">
      <w:pPr>
        <w:widowControl w:val="0"/>
        <w:autoSpaceDE w:val="0"/>
        <w:autoSpaceDN w:val="0"/>
        <w:adjustRightInd w:val="0"/>
        <w:spacing w:after="0" w:line="240" w:lineRule="auto"/>
        <w:ind w:firstLine="851"/>
        <w:jc w:val="both"/>
        <w:rPr>
          <w:rFonts w:ascii="Times New Roman" w:hAnsi="Times New Roman" w:eastAsia="Times New Roman" w:cs="Times New Roman"/>
          <w:sz w:val="24"/>
          <w:szCs w:val="24"/>
          <w:lang w:eastAsia="ru-RU"/>
        </w:rPr>
      </w:pPr>
    </w:p>
    <w:p w14:paraId="6133018E">
      <w:pPr>
        <w:tabs>
          <w:tab w:val="left" w:pos="993"/>
        </w:tabs>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11. АДРЕСА, БАНКОВСКИЕ РЕКВИЗИТЫ И ПОДПИСИ СТОРОН</w:t>
      </w:r>
    </w:p>
    <w:p w14:paraId="65C1378B">
      <w:pPr>
        <w:tabs>
          <w:tab w:val="left" w:pos="993"/>
        </w:tabs>
        <w:spacing w:after="0" w:line="240" w:lineRule="auto"/>
        <w:jc w:val="center"/>
        <w:rPr>
          <w:rFonts w:ascii="Times New Roman" w:hAnsi="Times New Roman" w:eastAsia="Times New Roman" w:cs="Times New Roman"/>
          <w:b/>
          <w:bCs/>
          <w:sz w:val="24"/>
          <w:szCs w:val="24"/>
          <w:lang w:eastAsia="ru-RU"/>
        </w:rPr>
      </w:pPr>
    </w:p>
    <w:tbl>
      <w:tblPr>
        <w:tblStyle w:val="11"/>
        <w:tblW w:w="1020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3"/>
        <w:gridCol w:w="5105"/>
      </w:tblGrid>
      <w:tr w14:paraId="46DB1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03" w:type="dxa"/>
          </w:tcPr>
          <w:p w14:paraId="7CCF8B3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ЗАКАЗЧИК:</w:t>
            </w:r>
          </w:p>
          <w:p w14:paraId="7298234B">
            <w:pPr>
              <w:spacing w:after="0" w:line="240" w:lineRule="auto"/>
              <w:rPr>
                <w:rFonts w:ascii="Times New Roman" w:hAnsi="Times New Roman" w:cs="Times New Roman"/>
                <w:sz w:val="24"/>
                <w:szCs w:val="24"/>
              </w:rPr>
            </w:pPr>
          </w:p>
          <w:p w14:paraId="53A43C72">
            <w:pPr>
              <w:pStyle w:val="28"/>
              <w:adjustRightInd w:val="0"/>
              <w:snapToGrid w:val="0"/>
              <w:ind w:firstLine="0"/>
              <w:jc w:val="left"/>
              <w:rPr>
                <w:rFonts w:ascii="Times New Roman" w:hAnsi="Times New Roman" w:cs="Times New Roman"/>
                <w:sz w:val="22"/>
                <w:szCs w:val="22"/>
              </w:rPr>
            </w:pPr>
            <w:r>
              <w:rPr>
                <w:rFonts w:ascii="Times New Roman" w:hAnsi="Times New Roman" w:cs="Times New Roman"/>
                <w:sz w:val="22"/>
                <w:szCs w:val="22"/>
              </w:rPr>
              <w:t>ГБУЗ СК «Туркменская районная больница»</w:t>
            </w:r>
          </w:p>
          <w:p w14:paraId="17C18149">
            <w:pPr>
              <w:pStyle w:val="29"/>
              <w:spacing w:after="0" w:line="240" w:lineRule="auto"/>
              <w:jc w:val="left"/>
              <w:rPr>
                <w:rFonts w:hint="default" w:ascii="Times New Roman" w:hAnsi="Times New Roman"/>
                <w:sz w:val="24"/>
                <w:szCs w:val="24"/>
                <w:lang w:val="ru-RU"/>
              </w:rPr>
            </w:pPr>
            <w:r>
              <w:rPr>
                <w:rFonts w:hint="default" w:ascii="Times New Roman" w:hAnsi="Times New Roman"/>
                <w:sz w:val="24"/>
                <w:szCs w:val="24"/>
                <w:lang w:val="ru-RU"/>
              </w:rPr>
              <w:t>Юридический адрес : Ставропольский край, Туркменский район, с. Летняя Ставка, ул. Больничная, 5.</w:t>
            </w:r>
          </w:p>
          <w:p w14:paraId="6CA7DFD2">
            <w:pPr>
              <w:pStyle w:val="29"/>
              <w:spacing w:after="0" w:line="240" w:lineRule="auto"/>
              <w:jc w:val="left"/>
              <w:rPr>
                <w:rFonts w:hint="default" w:ascii="Times New Roman" w:hAnsi="Times New Roman"/>
                <w:sz w:val="24"/>
                <w:szCs w:val="24"/>
                <w:lang w:val="ru-RU"/>
              </w:rPr>
            </w:pPr>
            <w:r>
              <w:rPr>
                <w:rFonts w:hint="default" w:ascii="Times New Roman" w:hAnsi="Times New Roman"/>
                <w:sz w:val="24"/>
                <w:szCs w:val="24"/>
                <w:lang w:val="ru-RU"/>
              </w:rPr>
              <w:t>Тел. 8-(865-65) 2-01-88)</w:t>
            </w:r>
          </w:p>
          <w:p w14:paraId="18AF8901">
            <w:pPr>
              <w:pStyle w:val="29"/>
              <w:spacing w:after="0" w:line="240" w:lineRule="auto"/>
              <w:jc w:val="left"/>
              <w:rPr>
                <w:rFonts w:hint="default" w:ascii="Times New Roman" w:hAnsi="Times New Roman"/>
                <w:sz w:val="24"/>
                <w:szCs w:val="24"/>
                <w:lang w:val="ru-RU"/>
              </w:rPr>
            </w:pPr>
            <w:r>
              <w:rPr>
                <w:rFonts w:hint="default" w:ascii="Times New Roman" w:hAnsi="Times New Roman"/>
                <w:sz w:val="24"/>
                <w:szCs w:val="24"/>
                <w:lang w:val="ru-RU"/>
              </w:rPr>
              <w:t>ИНН -2622001927</w:t>
            </w:r>
          </w:p>
          <w:p w14:paraId="2849DB5F">
            <w:pPr>
              <w:pStyle w:val="29"/>
              <w:spacing w:after="0" w:line="240" w:lineRule="auto"/>
              <w:jc w:val="left"/>
              <w:rPr>
                <w:rFonts w:hint="default" w:ascii="Times New Roman" w:hAnsi="Times New Roman"/>
                <w:sz w:val="24"/>
                <w:szCs w:val="24"/>
                <w:lang w:val="ru-RU"/>
              </w:rPr>
            </w:pPr>
            <w:r>
              <w:rPr>
                <w:rFonts w:hint="default" w:ascii="Times New Roman" w:hAnsi="Times New Roman"/>
                <w:sz w:val="24"/>
                <w:szCs w:val="24"/>
                <w:lang w:val="ru-RU"/>
              </w:rPr>
              <w:t>КПП - 262201001</w:t>
            </w:r>
          </w:p>
          <w:p w14:paraId="6EDC6415">
            <w:pPr>
              <w:pStyle w:val="29"/>
              <w:spacing w:after="0" w:line="240" w:lineRule="auto"/>
              <w:jc w:val="left"/>
              <w:rPr>
                <w:rFonts w:hint="default" w:ascii="Times New Roman" w:hAnsi="Times New Roman"/>
                <w:sz w:val="24"/>
                <w:szCs w:val="24"/>
                <w:lang w:val="ru-RU"/>
              </w:rPr>
            </w:pPr>
            <w:r>
              <w:rPr>
                <w:rFonts w:hint="default" w:ascii="Times New Roman" w:hAnsi="Times New Roman"/>
                <w:sz w:val="24"/>
                <w:szCs w:val="24"/>
                <w:lang w:val="ru-RU"/>
              </w:rPr>
              <w:t>л/с 045.77.136.7</w:t>
            </w:r>
          </w:p>
          <w:p w14:paraId="5ADC0C44">
            <w:pPr>
              <w:pStyle w:val="29"/>
              <w:spacing w:after="0" w:line="240" w:lineRule="auto"/>
              <w:jc w:val="left"/>
              <w:rPr>
                <w:rFonts w:hint="default" w:ascii="Times New Roman" w:hAnsi="Times New Roman"/>
                <w:sz w:val="24"/>
                <w:szCs w:val="24"/>
                <w:lang w:val="ru-RU"/>
              </w:rPr>
            </w:pPr>
            <w:r>
              <w:rPr>
                <w:rFonts w:hint="default" w:ascii="Times New Roman" w:hAnsi="Times New Roman"/>
                <w:sz w:val="24"/>
                <w:szCs w:val="24"/>
                <w:lang w:val="ru-RU"/>
              </w:rPr>
              <w:t>Банковские реквизиты:</w:t>
            </w:r>
          </w:p>
          <w:p w14:paraId="669B8ECC">
            <w:pPr>
              <w:pStyle w:val="29"/>
              <w:spacing w:after="0" w:line="240" w:lineRule="auto"/>
              <w:jc w:val="left"/>
              <w:rPr>
                <w:rFonts w:hint="default" w:ascii="Times New Roman" w:hAnsi="Times New Roman"/>
                <w:sz w:val="24"/>
                <w:szCs w:val="24"/>
                <w:lang w:val="ru-RU"/>
              </w:rPr>
            </w:pPr>
            <w:r>
              <w:rPr>
                <w:rFonts w:hint="default" w:ascii="Times New Roman" w:hAnsi="Times New Roman"/>
                <w:sz w:val="24"/>
                <w:szCs w:val="24"/>
                <w:lang w:val="ru-RU"/>
              </w:rPr>
              <w:t>Единый казначейский счет: 40102810345370000013</w:t>
            </w:r>
          </w:p>
          <w:p w14:paraId="3A7613E4">
            <w:pPr>
              <w:pStyle w:val="29"/>
              <w:spacing w:after="0" w:line="240" w:lineRule="auto"/>
              <w:jc w:val="left"/>
              <w:rPr>
                <w:rFonts w:hint="default" w:ascii="Times New Roman" w:hAnsi="Times New Roman"/>
                <w:sz w:val="24"/>
                <w:szCs w:val="24"/>
                <w:lang w:val="ru-RU"/>
              </w:rPr>
            </w:pPr>
            <w:r>
              <w:rPr>
                <w:rFonts w:hint="default" w:ascii="Times New Roman" w:hAnsi="Times New Roman"/>
                <w:sz w:val="24"/>
                <w:szCs w:val="24"/>
                <w:lang w:val="ru-RU"/>
              </w:rPr>
              <w:t>Казначейский счет: 03224643070000002101</w:t>
            </w:r>
          </w:p>
          <w:p w14:paraId="6CA182B2">
            <w:pPr>
              <w:pStyle w:val="29"/>
              <w:spacing w:after="0" w:line="240" w:lineRule="auto"/>
              <w:jc w:val="left"/>
              <w:rPr>
                <w:rFonts w:hint="default" w:ascii="Times New Roman" w:hAnsi="Times New Roman"/>
                <w:sz w:val="24"/>
                <w:szCs w:val="24"/>
                <w:lang w:val="ru-RU"/>
              </w:rPr>
            </w:pPr>
            <w:r>
              <w:rPr>
                <w:rFonts w:hint="default" w:ascii="Times New Roman" w:hAnsi="Times New Roman"/>
                <w:sz w:val="24"/>
                <w:szCs w:val="24"/>
                <w:lang w:val="ru-RU"/>
              </w:rPr>
              <w:t>БАНК:   ОКЦ №2 ЮГУ БАНКА РОССИИ// УФК по Ставропольскому краю г.Ставрополь</w:t>
            </w:r>
          </w:p>
          <w:p w14:paraId="1515DCEB">
            <w:pPr>
              <w:pStyle w:val="29"/>
              <w:spacing w:after="0" w:line="240" w:lineRule="auto"/>
              <w:jc w:val="left"/>
              <w:rPr>
                <w:rFonts w:hint="default" w:ascii="Times New Roman" w:hAnsi="Times New Roman"/>
                <w:sz w:val="24"/>
                <w:szCs w:val="24"/>
                <w:lang w:val="en-US"/>
              </w:rPr>
            </w:pPr>
            <w:r>
              <w:rPr>
                <w:rFonts w:hint="default" w:ascii="Times New Roman" w:hAnsi="Times New Roman"/>
                <w:sz w:val="24"/>
                <w:szCs w:val="24"/>
                <w:lang w:val="ru-RU"/>
              </w:rPr>
              <w:t>БИК</w:t>
            </w:r>
            <w:r>
              <w:rPr>
                <w:rFonts w:hint="default" w:ascii="Times New Roman" w:hAnsi="Times New Roman"/>
                <w:sz w:val="24"/>
                <w:szCs w:val="24"/>
                <w:lang w:val="en-US"/>
              </w:rPr>
              <w:t xml:space="preserve"> 010702101</w:t>
            </w:r>
          </w:p>
          <w:p w14:paraId="22EF6929">
            <w:pPr>
              <w:snapToGrid w:val="0"/>
              <w:spacing w:line="240" w:lineRule="atLeast"/>
              <w:jc w:val="both"/>
              <w:rPr>
                <w:rFonts w:hint="default" w:ascii="Times New Roman" w:hAnsi="Times New Roman"/>
                <w:sz w:val="24"/>
                <w:szCs w:val="24"/>
                <w:lang w:val="ru-RU"/>
              </w:rPr>
            </w:pPr>
            <w:r>
              <w:rPr>
                <w:rFonts w:hint="default" w:ascii="Times New Roman" w:hAnsi="Times New Roman"/>
                <w:sz w:val="24"/>
                <w:szCs w:val="24"/>
                <w:lang w:val="ru-RU"/>
              </w:rPr>
              <w:t>тел. 8-86565-21869</w:t>
            </w:r>
          </w:p>
          <w:p w14:paraId="67ED4D3A">
            <w:pPr>
              <w:snapToGrid w:val="0"/>
              <w:spacing w:line="240" w:lineRule="atLeast"/>
              <w:jc w:val="both"/>
              <w:rPr>
                <w:rFonts w:hint="default" w:ascii="Times New Roman" w:hAnsi="Times New Roman"/>
                <w:sz w:val="24"/>
                <w:szCs w:val="24"/>
                <w:lang w:val="ru-RU"/>
              </w:rPr>
            </w:pPr>
            <w:r>
              <w:rPr>
                <w:rFonts w:hint="default" w:ascii="Times New Roman" w:hAnsi="Times New Roman"/>
                <w:sz w:val="24"/>
                <w:szCs w:val="24"/>
                <w:lang w:val="ru-RU"/>
              </w:rPr>
              <w:t>Эл.адрес:turkcrb@yandex.ru, Turk-zakupki.260027.2@yandex.ru</w:t>
            </w:r>
          </w:p>
          <w:p w14:paraId="5A9FB3E6">
            <w:pPr>
              <w:snapToGrid w:val="0"/>
              <w:spacing w:line="240" w:lineRule="atLeast"/>
              <w:jc w:val="both"/>
              <w:rPr>
                <w:rFonts w:hint="default" w:ascii="Times New Roman" w:hAnsi="Times New Roman"/>
                <w:sz w:val="24"/>
                <w:szCs w:val="24"/>
                <w:lang w:val="ru-RU"/>
              </w:rPr>
            </w:pPr>
          </w:p>
          <w:tbl>
            <w:tblPr>
              <w:tblStyle w:val="5"/>
              <w:tblW w:w="0" w:type="auto"/>
              <w:tblInd w:w="0" w:type="dxa"/>
              <w:tblLayout w:type="autofit"/>
              <w:tblCellMar>
                <w:top w:w="102" w:type="dxa"/>
                <w:left w:w="62" w:type="dxa"/>
                <w:bottom w:w="102" w:type="dxa"/>
                <w:right w:w="62" w:type="dxa"/>
              </w:tblCellMar>
            </w:tblPr>
            <w:tblGrid>
              <w:gridCol w:w="4365"/>
            </w:tblGrid>
            <w:tr w14:paraId="520FB130">
              <w:tblPrEx>
                <w:tblCellMar>
                  <w:top w:w="102" w:type="dxa"/>
                  <w:left w:w="62" w:type="dxa"/>
                  <w:bottom w:w="102" w:type="dxa"/>
                  <w:right w:w="62" w:type="dxa"/>
                </w:tblCellMar>
              </w:tblPrEx>
              <w:tc>
                <w:tcPr>
                  <w:tcW w:w="4365" w:type="dxa"/>
                </w:tcPr>
                <w:p w14:paraId="726AFEA3">
                  <w:pPr>
                    <w:keepNext/>
                    <w:keepLines/>
                    <w:shd w:val="clear" w:color="auto" w:fill="FFFFFF"/>
                    <w:rPr>
                      <w:b/>
                      <w:szCs w:val="24"/>
                    </w:rPr>
                  </w:pPr>
                  <w:r>
                    <w:rPr>
                      <w:b/>
                      <w:szCs w:val="24"/>
                    </w:rPr>
                    <w:t>Главный врач</w:t>
                  </w:r>
                </w:p>
                <w:p w14:paraId="0DB7A988">
                  <w:pPr>
                    <w:pStyle w:val="29"/>
                    <w:rPr>
                      <w:rFonts w:ascii="Times New Roman" w:hAnsi="Times New Roman" w:cs="Times New Roman"/>
                      <w:sz w:val="24"/>
                      <w:szCs w:val="24"/>
                    </w:rPr>
                  </w:pPr>
                  <w:r>
                    <w:rPr>
                      <w:szCs w:val="24"/>
                    </w:rPr>
                    <w:t>________________</w:t>
                  </w:r>
                  <w:r>
                    <w:rPr>
                      <w:szCs w:val="22"/>
                    </w:rPr>
                    <w:t>Л.Р. Гурбанова</w:t>
                  </w:r>
                </w:p>
              </w:tc>
            </w:tr>
          </w:tbl>
          <w:p w14:paraId="65758FE4">
            <w:pPr>
              <w:spacing w:after="0" w:line="240" w:lineRule="auto"/>
              <w:rPr>
                <w:rFonts w:ascii="Times New Roman" w:hAnsi="Times New Roman" w:cs="Times New Roman"/>
                <w:sz w:val="24"/>
                <w:szCs w:val="24"/>
              </w:rPr>
            </w:pPr>
          </w:p>
        </w:tc>
        <w:tc>
          <w:tcPr>
            <w:tcW w:w="5105" w:type="dxa"/>
          </w:tcPr>
          <w:p w14:paraId="52D6CBAA">
            <w:pPr>
              <w:spacing w:after="0" w:line="240" w:lineRule="auto"/>
              <w:rPr>
                <w:rFonts w:ascii="Times New Roman" w:hAnsi="Times New Roman" w:cs="Times New Roman"/>
                <w:bCs/>
                <w:sz w:val="24"/>
                <w:szCs w:val="24"/>
              </w:rPr>
            </w:pPr>
            <w:r>
              <w:rPr>
                <w:rFonts w:ascii="Times New Roman" w:hAnsi="Times New Roman" w:cs="Times New Roman"/>
                <w:b/>
                <w:caps/>
                <w:sz w:val="24"/>
                <w:szCs w:val="24"/>
              </w:rPr>
              <w:t>ИСПОЛНИТЕЛЬ</w:t>
            </w:r>
            <w:r>
              <w:rPr>
                <w:rFonts w:ascii="Times New Roman" w:hAnsi="Times New Roman" w:cs="Times New Roman"/>
                <w:bCs/>
                <w:sz w:val="24"/>
                <w:szCs w:val="24"/>
              </w:rPr>
              <w:t>:</w:t>
            </w:r>
          </w:p>
          <w:p w14:paraId="78170405">
            <w:pPr>
              <w:spacing w:after="0" w:line="240" w:lineRule="auto"/>
              <w:jc w:val="both"/>
              <w:rPr>
                <w:rFonts w:ascii="Times New Roman" w:hAnsi="Times New Roman" w:cs="Times New Roman"/>
                <w:sz w:val="24"/>
                <w:szCs w:val="24"/>
              </w:rPr>
            </w:pPr>
          </w:p>
          <w:p w14:paraId="29ECE3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w:t>
            </w:r>
          </w:p>
          <w:p w14:paraId="2E6C0F68">
            <w:pPr>
              <w:spacing w:after="0" w:line="240" w:lineRule="auto"/>
              <w:jc w:val="both"/>
              <w:rPr>
                <w:rFonts w:ascii="Times New Roman" w:hAnsi="Times New Roman" w:cs="Times New Roman"/>
                <w:sz w:val="24"/>
                <w:szCs w:val="24"/>
              </w:rPr>
            </w:pPr>
          </w:p>
          <w:p w14:paraId="618503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w:t>
            </w:r>
          </w:p>
        </w:tc>
      </w:tr>
    </w:tbl>
    <w:p w14:paraId="2A68FC1D">
      <w:pPr>
        <w:tabs>
          <w:tab w:val="left" w:pos="993"/>
          <w:tab w:val="left" w:pos="4962"/>
          <w:tab w:val="left" w:pos="5245"/>
        </w:tabs>
        <w:spacing w:after="0" w:line="240" w:lineRule="auto"/>
        <w:rPr>
          <w:rFonts w:ascii="Times New Roman" w:hAnsi="Times New Roman" w:eastAsia="Times New Roman" w:cs="Times New Roman"/>
          <w:sz w:val="24"/>
          <w:szCs w:val="24"/>
          <w:lang w:eastAsia="ru-RU"/>
        </w:rPr>
      </w:pPr>
    </w:p>
    <w:p w14:paraId="63740B10">
      <w:pPr>
        <w:tabs>
          <w:tab w:val="left" w:pos="993"/>
          <w:tab w:val="left" w:pos="4962"/>
          <w:tab w:val="left" w:pos="5245"/>
        </w:tabs>
        <w:spacing w:after="0" w:line="240" w:lineRule="auto"/>
        <w:rPr>
          <w:rFonts w:ascii="Times New Roman" w:hAnsi="Times New Roman" w:eastAsia="Times New Roman" w:cs="Times New Roman"/>
          <w:sz w:val="24"/>
          <w:szCs w:val="24"/>
          <w:lang w:eastAsia="ru-RU"/>
        </w:rPr>
      </w:pPr>
    </w:p>
    <w:p w14:paraId="2FAC0023">
      <w:pPr>
        <w:tabs>
          <w:tab w:val="left" w:pos="993"/>
          <w:tab w:val="left" w:pos="4962"/>
          <w:tab w:val="left" w:pos="5245"/>
        </w:tabs>
        <w:spacing w:after="0" w:line="240" w:lineRule="auto"/>
        <w:rPr>
          <w:rFonts w:ascii="Times New Roman" w:hAnsi="Times New Roman" w:eastAsia="Times New Roman" w:cs="Times New Roman"/>
          <w:sz w:val="24"/>
          <w:szCs w:val="24"/>
          <w:lang w:eastAsia="ru-RU"/>
        </w:rPr>
      </w:pPr>
    </w:p>
    <w:p w14:paraId="0B8C0F05">
      <w:pPr>
        <w:tabs>
          <w:tab w:val="left" w:pos="993"/>
          <w:tab w:val="left" w:pos="4962"/>
          <w:tab w:val="left" w:pos="5245"/>
        </w:tabs>
        <w:spacing w:after="0" w:line="240" w:lineRule="auto"/>
        <w:rPr>
          <w:rFonts w:ascii="Times New Roman" w:hAnsi="Times New Roman" w:eastAsia="Times New Roman" w:cs="Times New Roman"/>
          <w:sz w:val="24"/>
          <w:szCs w:val="24"/>
          <w:lang w:eastAsia="ru-RU"/>
        </w:rPr>
      </w:pPr>
    </w:p>
    <w:p w14:paraId="5DE72976">
      <w:pPr>
        <w:tabs>
          <w:tab w:val="left" w:pos="993"/>
          <w:tab w:val="left" w:pos="4962"/>
          <w:tab w:val="left" w:pos="5245"/>
        </w:tabs>
        <w:spacing w:after="0" w:line="240" w:lineRule="auto"/>
        <w:rPr>
          <w:rFonts w:ascii="Times New Roman" w:hAnsi="Times New Roman" w:eastAsia="Times New Roman" w:cs="Times New Roman"/>
          <w:sz w:val="24"/>
          <w:szCs w:val="24"/>
          <w:lang w:eastAsia="ru-RU"/>
        </w:rPr>
      </w:pPr>
    </w:p>
    <w:p w14:paraId="5261A225">
      <w:pPr>
        <w:tabs>
          <w:tab w:val="left" w:pos="993"/>
          <w:tab w:val="left" w:pos="4962"/>
          <w:tab w:val="left" w:pos="5245"/>
        </w:tabs>
        <w:spacing w:after="0" w:line="240" w:lineRule="auto"/>
        <w:rPr>
          <w:rFonts w:ascii="Times New Roman" w:hAnsi="Times New Roman" w:eastAsia="Times New Roman" w:cs="Times New Roman"/>
          <w:sz w:val="24"/>
          <w:szCs w:val="24"/>
          <w:lang w:eastAsia="ru-RU"/>
        </w:rPr>
      </w:pPr>
    </w:p>
    <w:p w14:paraId="565F8FCF">
      <w:pPr>
        <w:tabs>
          <w:tab w:val="left" w:pos="993"/>
          <w:tab w:val="left" w:pos="4962"/>
          <w:tab w:val="left" w:pos="5245"/>
        </w:tabs>
        <w:spacing w:after="0" w:line="240" w:lineRule="auto"/>
        <w:rPr>
          <w:rFonts w:ascii="Times New Roman" w:hAnsi="Times New Roman" w:eastAsia="Times New Roman" w:cs="Times New Roman"/>
          <w:sz w:val="24"/>
          <w:szCs w:val="24"/>
          <w:lang w:eastAsia="ru-RU"/>
        </w:rPr>
      </w:pPr>
    </w:p>
    <w:p w14:paraId="5256AC5A">
      <w:pPr>
        <w:tabs>
          <w:tab w:val="left" w:pos="993"/>
          <w:tab w:val="left" w:pos="4962"/>
          <w:tab w:val="left" w:pos="5245"/>
        </w:tabs>
        <w:spacing w:after="0" w:line="240" w:lineRule="auto"/>
        <w:rPr>
          <w:rFonts w:ascii="Times New Roman" w:hAnsi="Times New Roman" w:eastAsia="Times New Roman" w:cs="Times New Roman"/>
          <w:sz w:val="24"/>
          <w:szCs w:val="24"/>
          <w:lang w:eastAsia="ru-RU"/>
        </w:rPr>
      </w:pPr>
    </w:p>
    <w:p w14:paraId="76D1AD13">
      <w:pPr>
        <w:tabs>
          <w:tab w:val="left" w:pos="993"/>
          <w:tab w:val="left" w:pos="4962"/>
          <w:tab w:val="left" w:pos="5245"/>
        </w:tabs>
        <w:spacing w:after="0" w:line="240" w:lineRule="auto"/>
        <w:rPr>
          <w:rFonts w:ascii="Times New Roman" w:hAnsi="Times New Roman" w:eastAsia="Times New Roman" w:cs="Times New Roman"/>
          <w:sz w:val="24"/>
          <w:szCs w:val="24"/>
          <w:lang w:eastAsia="ru-RU"/>
        </w:rPr>
      </w:pPr>
    </w:p>
    <w:p w14:paraId="72EE4D87">
      <w:pPr>
        <w:tabs>
          <w:tab w:val="left" w:pos="993"/>
          <w:tab w:val="left" w:pos="4962"/>
          <w:tab w:val="left" w:pos="5245"/>
        </w:tabs>
        <w:spacing w:after="0" w:line="240" w:lineRule="auto"/>
        <w:rPr>
          <w:rFonts w:ascii="Times New Roman" w:hAnsi="Times New Roman" w:eastAsia="Times New Roman" w:cs="Times New Roman"/>
          <w:sz w:val="24"/>
          <w:szCs w:val="24"/>
          <w:lang w:eastAsia="ru-RU"/>
        </w:rPr>
      </w:pPr>
    </w:p>
    <w:p w14:paraId="189CB456">
      <w:pPr>
        <w:tabs>
          <w:tab w:val="left" w:pos="993"/>
          <w:tab w:val="left" w:pos="4962"/>
          <w:tab w:val="left" w:pos="5245"/>
        </w:tabs>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Приложение № 1  </w:t>
      </w:r>
    </w:p>
    <w:p w14:paraId="188ECAB9">
      <w:pPr>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 контракту № _ </w:t>
      </w:r>
    </w:p>
    <w:p w14:paraId="4EBF0BE0">
      <w:pPr>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от «___» ______20__ г.</w:t>
      </w:r>
    </w:p>
    <w:p w14:paraId="123778E7">
      <w:pPr>
        <w:spacing w:after="0" w:line="240" w:lineRule="auto"/>
        <w:jc w:val="center"/>
        <w:rPr>
          <w:rFonts w:ascii="Times New Roman" w:hAnsi="Times New Roman" w:eastAsia="Times New Roman" w:cs="Times New Roman"/>
          <w:b/>
          <w:sz w:val="24"/>
          <w:szCs w:val="24"/>
          <w:lang w:eastAsia="ru-RU"/>
        </w:rPr>
      </w:pPr>
    </w:p>
    <w:p w14:paraId="4CB39FA1">
      <w:pPr>
        <w:spacing w:after="0" w:line="240" w:lineRule="auto"/>
        <w:rPr>
          <w:rFonts w:ascii="Times New Roman" w:hAnsi="Times New Roman" w:eastAsia="Times New Roman" w:cs="Times New Roman"/>
          <w:b/>
          <w:sz w:val="24"/>
          <w:szCs w:val="24"/>
          <w:lang w:eastAsia="ru-RU"/>
        </w:rPr>
      </w:pPr>
    </w:p>
    <w:p w14:paraId="21FFAE7E">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Спецификация </w:t>
      </w:r>
    </w:p>
    <w:p w14:paraId="68D5EACB">
      <w:pPr>
        <w:spacing w:after="0" w:line="240" w:lineRule="auto"/>
        <w:jc w:val="both"/>
        <w:rPr>
          <w:rFonts w:ascii="Times New Roman" w:hAnsi="Times New Roman" w:eastAsia="Times New Roman" w:cs="Times New Roman"/>
          <w:sz w:val="24"/>
          <w:szCs w:val="24"/>
          <w:lang w:eastAsia="ru-RU"/>
        </w:rPr>
      </w:pPr>
    </w:p>
    <w:tbl>
      <w:tblPr>
        <w:tblStyle w:val="5"/>
        <w:tblW w:w="5278" w:type="pct"/>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1597"/>
        <w:gridCol w:w="3748"/>
        <w:gridCol w:w="852"/>
        <w:gridCol w:w="901"/>
        <w:gridCol w:w="1496"/>
        <w:gridCol w:w="1498"/>
      </w:tblGrid>
      <w:tr w14:paraId="4AD0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20" w:hRule="atLeast"/>
        </w:trPr>
        <w:tc>
          <w:tcPr>
            <w:tcW w:w="285" w:type="pct"/>
          </w:tcPr>
          <w:p w14:paraId="719D5179">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п/п</w:t>
            </w:r>
          </w:p>
        </w:tc>
        <w:tc>
          <w:tcPr>
            <w:tcW w:w="746" w:type="pct"/>
          </w:tcPr>
          <w:p w14:paraId="3B4B8618">
            <w:pPr>
              <w:tabs>
                <w:tab w:val="left" w:pos="99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 ОКПД2</w:t>
            </w:r>
          </w:p>
        </w:tc>
        <w:tc>
          <w:tcPr>
            <w:tcW w:w="1751" w:type="pct"/>
          </w:tcPr>
          <w:p w14:paraId="5B6419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услуг</w:t>
            </w:r>
          </w:p>
        </w:tc>
        <w:tc>
          <w:tcPr>
            <w:tcW w:w="398" w:type="pct"/>
          </w:tcPr>
          <w:p w14:paraId="2A2DEC0A">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Ед. изм.</w:t>
            </w:r>
          </w:p>
        </w:tc>
        <w:tc>
          <w:tcPr>
            <w:tcW w:w="421" w:type="pct"/>
          </w:tcPr>
          <w:p w14:paraId="3EC4FAA6">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Кол-во</w:t>
            </w:r>
          </w:p>
        </w:tc>
        <w:tc>
          <w:tcPr>
            <w:tcW w:w="699" w:type="pct"/>
          </w:tcPr>
          <w:p w14:paraId="25D082EE">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Цена за ед., руб., в т.ч. __%НДС</w:t>
            </w:r>
          </w:p>
        </w:tc>
        <w:tc>
          <w:tcPr>
            <w:tcW w:w="700" w:type="pct"/>
          </w:tcPr>
          <w:p w14:paraId="4B3BA905">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Общая сумма, руб, в т.ч. __%НДС.</w:t>
            </w:r>
          </w:p>
        </w:tc>
      </w:tr>
      <w:tr w14:paraId="15C6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5" w:type="pct"/>
          </w:tcPr>
          <w:p w14:paraId="29915762">
            <w:pPr>
              <w:widowControl w:val="0"/>
              <w:autoSpaceDE w:val="0"/>
              <w:autoSpaceDN w:val="0"/>
              <w:adjustRightInd w:val="0"/>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746" w:type="pct"/>
          </w:tcPr>
          <w:p w14:paraId="47D22185">
            <w:pPr>
              <w:spacing w:after="0" w:line="240" w:lineRule="auto"/>
              <w:rPr>
                <w:rFonts w:ascii="Times New Roman" w:hAnsi="Times New Roman" w:eastAsia="Times New Roman" w:cs="Times New Roman"/>
                <w:sz w:val="24"/>
                <w:szCs w:val="24"/>
              </w:rPr>
            </w:pPr>
            <w:r>
              <w:rPr>
                <w:rFonts w:ascii="Segoe UI" w:hAnsi="Segoe UI" w:eastAsia="Segoe UI" w:cs="Segoe UI"/>
                <w:i w:val="0"/>
                <w:iCs w:val="0"/>
                <w:caps w:val="0"/>
                <w:color w:val="000000"/>
                <w:spacing w:val="0"/>
                <w:sz w:val="18"/>
                <w:szCs w:val="18"/>
                <w:shd w:val="clear" w:fill="F5F5F5"/>
              </w:rPr>
              <w:t>62.02.30.000</w:t>
            </w:r>
          </w:p>
        </w:tc>
        <w:tc>
          <w:tcPr>
            <w:tcW w:w="1751" w:type="pct"/>
            <w:vAlign w:val="center"/>
          </w:tcPr>
          <w:p w14:paraId="635CB9C4">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сопровождение автоматизированной системы управления «Управление станцией скорой медицинской помощи»</w:t>
            </w:r>
          </w:p>
        </w:tc>
        <w:tc>
          <w:tcPr>
            <w:tcW w:w="398" w:type="pct"/>
          </w:tcPr>
          <w:p w14:paraId="774F74D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месяц</w:t>
            </w:r>
          </w:p>
        </w:tc>
        <w:tc>
          <w:tcPr>
            <w:tcW w:w="421" w:type="pct"/>
          </w:tcPr>
          <w:p w14:paraId="3E4301E6">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w:t>
            </w:r>
          </w:p>
        </w:tc>
        <w:tc>
          <w:tcPr>
            <w:tcW w:w="699" w:type="pct"/>
          </w:tcPr>
          <w:p w14:paraId="2BACB6A3">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c>
          <w:tcPr>
            <w:tcW w:w="700" w:type="pct"/>
          </w:tcPr>
          <w:p w14:paraId="1BE75C24">
            <w:pPr>
              <w:widowControl w:val="0"/>
              <w:autoSpaceDE w:val="0"/>
              <w:autoSpaceDN w:val="0"/>
              <w:adjustRightInd w:val="0"/>
              <w:spacing w:after="0" w:line="240" w:lineRule="auto"/>
              <w:jc w:val="center"/>
              <w:rPr>
                <w:rFonts w:ascii="Times New Roman" w:hAnsi="Times New Roman" w:eastAsia="Times New Roman" w:cs="Times New Roman"/>
                <w:sz w:val="24"/>
                <w:szCs w:val="24"/>
                <w:lang w:eastAsia="ru-RU"/>
              </w:rPr>
            </w:pPr>
          </w:p>
        </w:tc>
      </w:tr>
      <w:tr w14:paraId="4CE8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5000" w:type="pct"/>
            <w:gridSpan w:val="7"/>
          </w:tcPr>
          <w:p w14:paraId="5382684E">
            <w:pPr>
              <w:widowControl w:val="0"/>
              <w:autoSpaceDE w:val="0"/>
              <w:autoSpaceDN w:val="0"/>
              <w:adjustRightInd w:val="0"/>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ИТОГО: 00,00 (_________________) рублей 00 копеек, в том числе НДС - ___%</w:t>
            </w:r>
          </w:p>
        </w:tc>
      </w:tr>
    </w:tbl>
    <w:p w14:paraId="7CD501E0">
      <w:pPr>
        <w:spacing w:after="0" w:line="240" w:lineRule="auto"/>
        <w:jc w:val="both"/>
        <w:rPr>
          <w:rFonts w:ascii="Times New Roman" w:hAnsi="Times New Roman" w:eastAsia="Times New Roman" w:cs="Times New Roman"/>
          <w:sz w:val="24"/>
          <w:szCs w:val="24"/>
          <w:lang w:eastAsia="ru-RU"/>
        </w:rPr>
      </w:pPr>
    </w:p>
    <w:p w14:paraId="12B5DCBF">
      <w:pPr>
        <w:spacing w:after="0" w:line="240" w:lineRule="auto"/>
        <w:jc w:val="both"/>
        <w:rPr>
          <w:rFonts w:ascii="Times New Roman" w:hAnsi="Times New Roman" w:eastAsia="Times New Roman" w:cs="Times New Roman"/>
          <w:sz w:val="24"/>
          <w:szCs w:val="24"/>
          <w:lang w:eastAsia="ru-RU"/>
        </w:rPr>
      </w:pPr>
    </w:p>
    <w:tbl>
      <w:tblPr>
        <w:tblStyle w:val="11"/>
        <w:tblW w:w="10951" w:type="dxa"/>
        <w:tblInd w:w="-60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846"/>
        <w:gridCol w:w="5105"/>
      </w:tblGrid>
      <w:tr w14:paraId="157D7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46" w:type="dxa"/>
          </w:tcPr>
          <w:p w14:paraId="65E2544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ЗАКАЗЧИК:</w:t>
            </w:r>
          </w:p>
          <w:p w14:paraId="234E9806">
            <w:pPr>
              <w:spacing w:after="0" w:line="240" w:lineRule="auto"/>
              <w:rPr>
                <w:rFonts w:ascii="Times New Roman" w:hAnsi="Times New Roman" w:cs="Times New Roman"/>
                <w:sz w:val="24"/>
                <w:szCs w:val="24"/>
              </w:rPr>
            </w:pPr>
          </w:p>
          <w:p w14:paraId="192AF2C7">
            <w:pPr>
              <w:spacing w:after="0" w:line="240" w:lineRule="auto"/>
              <w:rPr>
                <w:rFonts w:ascii="Times New Roman" w:hAnsi="Times New Roman" w:cs="Times New Roman"/>
                <w:sz w:val="24"/>
                <w:szCs w:val="24"/>
              </w:rPr>
            </w:pPr>
            <w:r>
              <w:rPr>
                <w:rFonts w:ascii="Times New Roman" w:hAnsi="Times New Roman" w:cs="Times New Roman"/>
                <w:sz w:val="24"/>
                <w:szCs w:val="24"/>
              </w:rPr>
              <w:t>____________</w:t>
            </w:r>
          </w:p>
          <w:p w14:paraId="1FB0728B">
            <w:pPr>
              <w:spacing w:after="0" w:line="240" w:lineRule="auto"/>
              <w:rPr>
                <w:rFonts w:ascii="Times New Roman" w:hAnsi="Times New Roman" w:cs="Times New Roman"/>
                <w:sz w:val="24"/>
                <w:szCs w:val="24"/>
              </w:rPr>
            </w:pPr>
          </w:p>
          <w:p w14:paraId="4F27057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 /</w:t>
            </w:r>
          </w:p>
          <w:p w14:paraId="27090D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М.П.</w:t>
            </w:r>
          </w:p>
        </w:tc>
        <w:tc>
          <w:tcPr>
            <w:tcW w:w="5105" w:type="dxa"/>
          </w:tcPr>
          <w:p w14:paraId="2157E9F4">
            <w:pPr>
              <w:spacing w:after="0" w:line="240" w:lineRule="auto"/>
              <w:rPr>
                <w:rFonts w:ascii="Times New Roman" w:hAnsi="Times New Roman" w:cs="Times New Roman"/>
                <w:bCs/>
                <w:sz w:val="24"/>
                <w:szCs w:val="24"/>
              </w:rPr>
            </w:pPr>
            <w:r>
              <w:rPr>
                <w:rFonts w:ascii="Times New Roman" w:hAnsi="Times New Roman" w:cs="Times New Roman"/>
                <w:b/>
                <w:caps/>
                <w:sz w:val="24"/>
                <w:szCs w:val="24"/>
              </w:rPr>
              <w:t>ИСПОЛНИТЕЛЬ</w:t>
            </w:r>
            <w:r>
              <w:rPr>
                <w:rFonts w:ascii="Times New Roman" w:hAnsi="Times New Roman" w:cs="Times New Roman"/>
                <w:bCs/>
                <w:sz w:val="24"/>
                <w:szCs w:val="24"/>
              </w:rPr>
              <w:t>:</w:t>
            </w:r>
          </w:p>
          <w:p w14:paraId="177F4185">
            <w:pPr>
              <w:spacing w:after="0" w:line="240" w:lineRule="auto"/>
              <w:rPr>
                <w:rFonts w:ascii="Times New Roman" w:hAnsi="Times New Roman" w:cs="Times New Roman"/>
                <w:bCs/>
                <w:sz w:val="24"/>
                <w:szCs w:val="24"/>
              </w:rPr>
            </w:pPr>
          </w:p>
          <w:p w14:paraId="139A43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w:t>
            </w:r>
          </w:p>
          <w:p w14:paraId="2024AB8F">
            <w:pPr>
              <w:spacing w:after="0" w:line="240" w:lineRule="auto"/>
              <w:jc w:val="both"/>
              <w:rPr>
                <w:rFonts w:ascii="Times New Roman" w:hAnsi="Times New Roman" w:cs="Times New Roman"/>
                <w:sz w:val="24"/>
                <w:szCs w:val="24"/>
              </w:rPr>
            </w:pPr>
          </w:p>
          <w:p w14:paraId="33991A7F">
            <w:pPr>
              <w:spacing w:after="0" w:line="240" w:lineRule="auto"/>
              <w:rPr>
                <w:rFonts w:ascii="Times New Roman" w:hAnsi="Times New Roman" w:cs="Times New Roman"/>
                <w:bCs/>
                <w:sz w:val="24"/>
                <w:szCs w:val="24"/>
              </w:rPr>
            </w:pPr>
            <w:r>
              <w:rPr>
                <w:rFonts w:ascii="Times New Roman" w:hAnsi="Times New Roman" w:cs="Times New Roman"/>
                <w:sz w:val="24"/>
                <w:szCs w:val="24"/>
              </w:rPr>
              <w:t>__________________/ /</w:t>
            </w:r>
          </w:p>
          <w:p w14:paraId="5A2340E5">
            <w:pPr>
              <w:spacing w:after="0" w:line="240" w:lineRule="auto"/>
              <w:ind w:left="671" w:hanging="671"/>
              <w:jc w:val="both"/>
              <w:rPr>
                <w:rFonts w:ascii="Times New Roman" w:hAnsi="Times New Roman" w:cs="Times New Roman"/>
                <w:sz w:val="24"/>
                <w:szCs w:val="24"/>
              </w:rPr>
            </w:pPr>
          </w:p>
        </w:tc>
      </w:tr>
    </w:tbl>
    <w:p w14:paraId="0A90A047">
      <w:pPr>
        <w:spacing w:after="0" w:line="240" w:lineRule="auto"/>
        <w:jc w:val="both"/>
        <w:rPr>
          <w:rFonts w:ascii="Times New Roman" w:hAnsi="Times New Roman" w:eastAsia="Times New Roman" w:cs="Times New Roman"/>
          <w:sz w:val="24"/>
          <w:szCs w:val="24"/>
          <w:lang w:eastAsia="ru-RU"/>
        </w:rPr>
      </w:pPr>
    </w:p>
    <w:p w14:paraId="0F484AE2">
      <w:pPr>
        <w:spacing w:after="0" w:line="240" w:lineRule="auto"/>
        <w:jc w:val="both"/>
        <w:rPr>
          <w:rFonts w:ascii="Times New Roman" w:hAnsi="Times New Roman" w:eastAsia="Times New Roman" w:cs="Times New Roman"/>
          <w:sz w:val="24"/>
          <w:szCs w:val="24"/>
          <w:lang w:eastAsia="ru-RU"/>
        </w:rPr>
      </w:pPr>
    </w:p>
    <w:p w14:paraId="636D8855">
      <w:pPr>
        <w:spacing w:after="0" w:line="240" w:lineRule="auto"/>
        <w:jc w:val="both"/>
        <w:rPr>
          <w:rFonts w:ascii="Times New Roman" w:hAnsi="Times New Roman" w:eastAsia="Times New Roman" w:cs="Times New Roman"/>
          <w:sz w:val="24"/>
          <w:szCs w:val="24"/>
          <w:lang w:eastAsia="ru-RU"/>
        </w:rPr>
      </w:pPr>
    </w:p>
    <w:p w14:paraId="7C14029C">
      <w:pPr>
        <w:spacing w:after="0" w:line="240" w:lineRule="auto"/>
        <w:jc w:val="both"/>
        <w:rPr>
          <w:rFonts w:ascii="Times New Roman" w:hAnsi="Times New Roman" w:eastAsia="Times New Roman" w:cs="Times New Roman"/>
          <w:sz w:val="24"/>
          <w:szCs w:val="24"/>
          <w:lang w:eastAsia="ru-RU"/>
        </w:rPr>
      </w:pPr>
    </w:p>
    <w:p w14:paraId="26B523CB">
      <w:pPr>
        <w:spacing w:after="0" w:line="240" w:lineRule="auto"/>
        <w:jc w:val="both"/>
        <w:rPr>
          <w:rFonts w:ascii="Times New Roman" w:hAnsi="Times New Roman" w:eastAsia="Times New Roman" w:cs="Times New Roman"/>
          <w:sz w:val="24"/>
          <w:szCs w:val="24"/>
          <w:lang w:eastAsia="ru-RU"/>
        </w:rPr>
      </w:pPr>
    </w:p>
    <w:p w14:paraId="0E2AE5CF">
      <w:pPr>
        <w:spacing w:after="0" w:line="240" w:lineRule="auto"/>
        <w:jc w:val="both"/>
        <w:rPr>
          <w:rFonts w:ascii="Times New Roman" w:hAnsi="Times New Roman" w:eastAsia="Times New Roman" w:cs="Times New Roman"/>
          <w:sz w:val="24"/>
          <w:szCs w:val="24"/>
          <w:lang w:eastAsia="ru-RU"/>
        </w:rPr>
      </w:pPr>
    </w:p>
    <w:p w14:paraId="1EBEFF7B">
      <w:pPr>
        <w:spacing w:after="0" w:line="240" w:lineRule="auto"/>
        <w:jc w:val="both"/>
        <w:rPr>
          <w:rFonts w:ascii="Times New Roman" w:hAnsi="Times New Roman" w:eastAsia="Times New Roman" w:cs="Times New Roman"/>
          <w:sz w:val="24"/>
          <w:szCs w:val="24"/>
          <w:lang w:eastAsia="ru-RU"/>
        </w:rPr>
      </w:pPr>
    </w:p>
    <w:p w14:paraId="205BDDE3">
      <w:pPr>
        <w:spacing w:after="0" w:line="240" w:lineRule="auto"/>
        <w:jc w:val="both"/>
        <w:rPr>
          <w:rFonts w:ascii="Times New Roman" w:hAnsi="Times New Roman" w:eastAsia="Times New Roman" w:cs="Times New Roman"/>
          <w:sz w:val="24"/>
          <w:szCs w:val="24"/>
          <w:lang w:eastAsia="ru-RU"/>
        </w:rPr>
      </w:pPr>
    </w:p>
    <w:p w14:paraId="7F5C1CE3">
      <w:pPr>
        <w:spacing w:after="0" w:line="240" w:lineRule="auto"/>
        <w:jc w:val="both"/>
        <w:rPr>
          <w:rFonts w:ascii="Times New Roman" w:hAnsi="Times New Roman" w:eastAsia="Times New Roman" w:cs="Times New Roman"/>
          <w:sz w:val="24"/>
          <w:szCs w:val="24"/>
          <w:lang w:eastAsia="ru-RU"/>
        </w:rPr>
      </w:pPr>
    </w:p>
    <w:p w14:paraId="0BCD1EFD">
      <w:pPr>
        <w:spacing w:after="0" w:line="240" w:lineRule="auto"/>
        <w:jc w:val="both"/>
        <w:rPr>
          <w:rFonts w:ascii="Times New Roman" w:hAnsi="Times New Roman" w:eastAsia="Times New Roman" w:cs="Times New Roman"/>
          <w:sz w:val="24"/>
          <w:szCs w:val="24"/>
          <w:lang w:eastAsia="ru-RU"/>
        </w:rPr>
      </w:pPr>
    </w:p>
    <w:p w14:paraId="572A8063">
      <w:pPr>
        <w:spacing w:after="0" w:line="240" w:lineRule="auto"/>
        <w:jc w:val="both"/>
        <w:rPr>
          <w:rFonts w:ascii="Times New Roman" w:hAnsi="Times New Roman" w:eastAsia="Times New Roman" w:cs="Times New Roman"/>
          <w:sz w:val="24"/>
          <w:szCs w:val="24"/>
          <w:lang w:eastAsia="ru-RU"/>
        </w:rPr>
      </w:pPr>
    </w:p>
    <w:p w14:paraId="148C43D0">
      <w:pPr>
        <w:spacing w:after="0" w:line="240" w:lineRule="auto"/>
        <w:jc w:val="both"/>
        <w:rPr>
          <w:rFonts w:ascii="Times New Roman" w:hAnsi="Times New Roman" w:eastAsia="Times New Roman" w:cs="Times New Roman"/>
          <w:sz w:val="24"/>
          <w:szCs w:val="24"/>
          <w:lang w:eastAsia="ru-RU"/>
        </w:rPr>
      </w:pPr>
    </w:p>
    <w:p w14:paraId="641240FA">
      <w:pPr>
        <w:spacing w:after="0" w:line="240" w:lineRule="auto"/>
        <w:jc w:val="both"/>
        <w:rPr>
          <w:rFonts w:ascii="Times New Roman" w:hAnsi="Times New Roman" w:eastAsia="Times New Roman" w:cs="Times New Roman"/>
          <w:sz w:val="24"/>
          <w:szCs w:val="24"/>
          <w:lang w:eastAsia="ru-RU"/>
        </w:rPr>
      </w:pPr>
    </w:p>
    <w:p w14:paraId="2B539C6D">
      <w:pPr>
        <w:spacing w:after="0" w:line="240" w:lineRule="auto"/>
        <w:jc w:val="both"/>
        <w:rPr>
          <w:rFonts w:ascii="Times New Roman" w:hAnsi="Times New Roman" w:eastAsia="Times New Roman" w:cs="Times New Roman"/>
          <w:sz w:val="24"/>
          <w:szCs w:val="24"/>
          <w:lang w:eastAsia="ru-RU"/>
        </w:rPr>
      </w:pPr>
    </w:p>
    <w:p w14:paraId="41A4C0C3">
      <w:pPr>
        <w:spacing w:after="0" w:line="240" w:lineRule="auto"/>
        <w:jc w:val="both"/>
        <w:rPr>
          <w:rFonts w:ascii="Times New Roman" w:hAnsi="Times New Roman" w:eastAsia="Times New Roman" w:cs="Times New Roman"/>
          <w:sz w:val="24"/>
          <w:szCs w:val="24"/>
          <w:lang w:eastAsia="ru-RU"/>
        </w:rPr>
      </w:pPr>
    </w:p>
    <w:p w14:paraId="6883D766">
      <w:pPr>
        <w:spacing w:after="0" w:line="240" w:lineRule="auto"/>
        <w:jc w:val="both"/>
        <w:rPr>
          <w:rFonts w:ascii="Times New Roman" w:hAnsi="Times New Roman" w:eastAsia="Times New Roman" w:cs="Times New Roman"/>
          <w:sz w:val="24"/>
          <w:szCs w:val="24"/>
          <w:lang w:eastAsia="ru-RU"/>
        </w:rPr>
      </w:pPr>
    </w:p>
    <w:p w14:paraId="24EB46BD">
      <w:pPr>
        <w:spacing w:after="0" w:line="240" w:lineRule="auto"/>
        <w:jc w:val="both"/>
        <w:rPr>
          <w:rFonts w:ascii="Times New Roman" w:hAnsi="Times New Roman" w:eastAsia="Times New Roman" w:cs="Times New Roman"/>
          <w:sz w:val="24"/>
          <w:szCs w:val="24"/>
          <w:lang w:eastAsia="ru-RU"/>
        </w:rPr>
      </w:pPr>
    </w:p>
    <w:p w14:paraId="71057C9A">
      <w:pPr>
        <w:spacing w:after="0" w:line="240" w:lineRule="auto"/>
        <w:jc w:val="both"/>
        <w:rPr>
          <w:rFonts w:ascii="Times New Roman" w:hAnsi="Times New Roman" w:eastAsia="Times New Roman" w:cs="Times New Roman"/>
          <w:sz w:val="24"/>
          <w:szCs w:val="24"/>
          <w:lang w:eastAsia="ru-RU"/>
        </w:rPr>
      </w:pPr>
    </w:p>
    <w:p w14:paraId="7A8A05C5">
      <w:pPr>
        <w:spacing w:after="0" w:line="240" w:lineRule="auto"/>
        <w:jc w:val="both"/>
        <w:rPr>
          <w:rFonts w:ascii="Times New Roman" w:hAnsi="Times New Roman" w:eastAsia="Times New Roman" w:cs="Times New Roman"/>
          <w:sz w:val="24"/>
          <w:szCs w:val="24"/>
          <w:lang w:eastAsia="ru-RU"/>
        </w:rPr>
      </w:pPr>
    </w:p>
    <w:p w14:paraId="1C0C5114">
      <w:pPr>
        <w:spacing w:after="0" w:line="240" w:lineRule="auto"/>
        <w:jc w:val="both"/>
        <w:rPr>
          <w:rFonts w:ascii="Times New Roman" w:hAnsi="Times New Roman" w:eastAsia="Times New Roman" w:cs="Times New Roman"/>
          <w:sz w:val="24"/>
          <w:szCs w:val="24"/>
          <w:lang w:eastAsia="ru-RU"/>
        </w:rPr>
      </w:pPr>
    </w:p>
    <w:p w14:paraId="1F8F1F25">
      <w:pPr>
        <w:spacing w:after="0" w:line="240" w:lineRule="auto"/>
        <w:jc w:val="both"/>
        <w:rPr>
          <w:rFonts w:ascii="Times New Roman" w:hAnsi="Times New Roman" w:eastAsia="Times New Roman" w:cs="Times New Roman"/>
          <w:sz w:val="24"/>
          <w:szCs w:val="24"/>
          <w:lang w:eastAsia="ru-RU"/>
        </w:rPr>
      </w:pPr>
    </w:p>
    <w:p w14:paraId="50AA8EBB">
      <w:pPr>
        <w:spacing w:after="0" w:line="240" w:lineRule="auto"/>
        <w:jc w:val="both"/>
        <w:rPr>
          <w:rFonts w:ascii="Times New Roman" w:hAnsi="Times New Roman" w:eastAsia="Times New Roman" w:cs="Times New Roman"/>
          <w:sz w:val="24"/>
          <w:szCs w:val="24"/>
          <w:lang w:eastAsia="ru-RU"/>
        </w:rPr>
      </w:pPr>
    </w:p>
    <w:p w14:paraId="3A326FEE">
      <w:pPr>
        <w:spacing w:after="0" w:line="240" w:lineRule="auto"/>
        <w:jc w:val="both"/>
        <w:rPr>
          <w:rFonts w:ascii="Times New Roman" w:hAnsi="Times New Roman" w:eastAsia="Times New Roman" w:cs="Times New Roman"/>
          <w:sz w:val="24"/>
          <w:szCs w:val="24"/>
          <w:lang w:eastAsia="ru-RU"/>
        </w:rPr>
      </w:pPr>
    </w:p>
    <w:p w14:paraId="3BFCC8B1">
      <w:pPr>
        <w:spacing w:after="0" w:line="240" w:lineRule="auto"/>
        <w:jc w:val="both"/>
        <w:rPr>
          <w:rFonts w:ascii="Times New Roman" w:hAnsi="Times New Roman" w:eastAsia="Times New Roman" w:cs="Times New Roman"/>
          <w:sz w:val="24"/>
          <w:szCs w:val="24"/>
          <w:lang w:eastAsia="ru-RU"/>
        </w:rPr>
      </w:pPr>
    </w:p>
    <w:p w14:paraId="17A780B8">
      <w:pPr>
        <w:spacing w:after="0" w:line="240" w:lineRule="auto"/>
        <w:jc w:val="both"/>
        <w:rPr>
          <w:rFonts w:ascii="Times New Roman" w:hAnsi="Times New Roman" w:eastAsia="Times New Roman" w:cs="Times New Roman"/>
          <w:sz w:val="24"/>
          <w:szCs w:val="24"/>
          <w:lang w:eastAsia="ru-RU"/>
        </w:rPr>
      </w:pPr>
    </w:p>
    <w:p w14:paraId="6599F64A">
      <w:pPr>
        <w:spacing w:after="0" w:line="240" w:lineRule="auto"/>
        <w:jc w:val="both"/>
        <w:rPr>
          <w:rFonts w:ascii="Times New Roman" w:hAnsi="Times New Roman" w:eastAsia="Times New Roman" w:cs="Times New Roman"/>
          <w:sz w:val="24"/>
          <w:szCs w:val="24"/>
          <w:lang w:eastAsia="ru-RU"/>
        </w:rPr>
      </w:pPr>
    </w:p>
    <w:p w14:paraId="1001C25A">
      <w:pPr>
        <w:spacing w:after="0" w:line="240" w:lineRule="auto"/>
        <w:jc w:val="both"/>
        <w:rPr>
          <w:rFonts w:ascii="Times New Roman" w:hAnsi="Times New Roman" w:eastAsia="Times New Roman" w:cs="Times New Roman"/>
          <w:sz w:val="24"/>
          <w:szCs w:val="24"/>
          <w:lang w:eastAsia="ru-RU"/>
        </w:rPr>
      </w:pPr>
    </w:p>
    <w:p w14:paraId="2E082F6C">
      <w:pPr>
        <w:widowControl w:val="0"/>
        <w:autoSpaceDE w:val="0"/>
        <w:autoSpaceDN w:val="0"/>
        <w:adjustRightInd w:val="0"/>
        <w:spacing w:after="0" w:line="240" w:lineRule="auto"/>
        <w:ind w:left="5670"/>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Приложение 2 </w:t>
      </w:r>
    </w:p>
    <w:p w14:paraId="7B790D3A">
      <w:pPr>
        <w:widowControl w:val="0"/>
        <w:autoSpaceDE w:val="0"/>
        <w:autoSpaceDN w:val="0"/>
        <w:adjustRightInd w:val="0"/>
        <w:spacing w:after="0" w:line="240" w:lineRule="auto"/>
        <w:ind w:left="5670"/>
        <w:jc w:val="right"/>
        <w:rPr>
          <w:rFonts w:ascii="Times New Roman" w:hAnsi="Times New Roman" w:cs="Times New Roman"/>
          <w:bCs/>
          <w:sz w:val="24"/>
          <w:szCs w:val="24"/>
          <w:lang w:eastAsia="ru-RU"/>
        </w:rPr>
      </w:pPr>
      <w:r>
        <w:rPr>
          <w:rFonts w:ascii="Times New Roman" w:hAnsi="Times New Roman" w:cs="Times New Roman"/>
          <w:bCs/>
          <w:sz w:val="24"/>
          <w:szCs w:val="24"/>
          <w:lang w:eastAsia="ru-RU"/>
        </w:rPr>
        <w:t xml:space="preserve">к контракту № _ </w:t>
      </w:r>
    </w:p>
    <w:p w14:paraId="2C859F2A">
      <w:pPr>
        <w:widowControl w:val="0"/>
        <w:autoSpaceDE w:val="0"/>
        <w:autoSpaceDN w:val="0"/>
        <w:adjustRightInd w:val="0"/>
        <w:spacing w:after="0" w:line="240" w:lineRule="auto"/>
        <w:ind w:left="5670"/>
        <w:jc w:val="right"/>
        <w:rPr>
          <w:rFonts w:ascii="Times New Roman" w:hAnsi="Times New Roman" w:cs="Times New Roman"/>
          <w:bCs/>
          <w:sz w:val="24"/>
          <w:szCs w:val="24"/>
          <w:lang w:eastAsia="ru-RU"/>
        </w:rPr>
      </w:pPr>
      <w:r>
        <w:rPr>
          <w:rFonts w:ascii="Times New Roman" w:hAnsi="Times New Roman" w:cs="Times New Roman"/>
          <w:bCs/>
          <w:sz w:val="24"/>
          <w:szCs w:val="24"/>
          <w:lang w:eastAsia="ru-RU"/>
        </w:rPr>
        <w:t>от «___» __________202_ г.</w:t>
      </w:r>
    </w:p>
    <w:p w14:paraId="6434DF0E">
      <w:pPr>
        <w:widowControl w:val="0"/>
        <w:autoSpaceDE w:val="0"/>
        <w:autoSpaceDN w:val="0"/>
        <w:adjustRightInd w:val="0"/>
        <w:spacing w:after="0" w:line="240" w:lineRule="auto"/>
        <w:ind w:left="5670"/>
        <w:jc w:val="right"/>
        <w:rPr>
          <w:rFonts w:ascii="Times New Roman" w:hAnsi="Times New Roman" w:cs="Times New Roman"/>
          <w:bCs/>
          <w:sz w:val="24"/>
          <w:szCs w:val="24"/>
          <w:lang w:eastAsia="ru-RU"/>
        </w:rPr>
      </w:pPr>
    </w:p>
    <w:p w14:paraId="7D1475CB">
      <w:pPr>
        <w:widowControl w:val="0"/>
        <w:autoSpaceDE w:val="0"/>
        <w:autoSpaceDN w:val="0"/>
        <w:adjustRightInd w:val="0"/>
        <w:spacing w:after="0" w:line="240" w:lineRule="auto"/>
        <w:ind w:left="5670"/>
        <w:jc w:val="right"/>
        <w:rPr>
          <w:rFonts w:ascii="Times New Roman" w:hAnsi="Times New Roman" w:cs="Times New Roman"/>
          <w:bCs/>
          <w:sz w:val="24"/>
          <w:szCs w:val="24"/>
          <w:lang w:eastAsia="ru-RU"/>
        </w:rPr>
      </w:pPr>
    </w:p>
    <w:p w14:paraId="082A0281">
      <w:pPr>
        <w:widowControl w:val="0"/>
        <w:autoSpaceDE w:val="0"/>
        <w:autoSpaceDN w:val="0"/>
        <w:adjustRightInd w:val="0"/>
        <w:spacing w:after="0" w:line="240" w:lineRule="auto"/>
        <w:ind w:left="5670"/>
        <w:jc w:val="right"/>
        <w:rPr>
          <w:rFonts w:ascii="Times New Roman" w:hAnsi="Times New Roman" w:cs="Times New Roman"/>
          <w:bCs/>
          <w:sz w:val="24"/>
          <w:szCs w:val="24"/>
          <w:lang w:eastAsia="ru-RU"/>
        </w:rPr>
      </w:pPr>
    </w:p>
    <w:p w14:paraId="61061A15">
      <w:pPr>
        <w:widowControl w:val="0"/>
        <w:autoSpaceDE w:val="0"/>
        <w:autoSpaceDN w:val="0"/>
        <w:adjustRightInd w:val="0"/>
        <w:spacing w:after="0" w:line="240" w:lineRule="auto"/>
        <w:ind w:left="5670"/>
        <w:jc w:val="right"/>
        <w:rPr>
          <w:rFonts w:ascii="Times New Roman" w:hAnsi="Times New Roman" w:cs="Times New Roman"/>
          <w:bCs/>
          <w:sz w:val="24"/>
          <w:szCs w:val="24"/>
          <w:lang w:eastAsia="ru-RU"/>
        </w:rPr>
      </w:pPr>
    </w:p>
    <w:p w14:paraId="34AA7E52">
      <w:pPr>
        <w:widowControl w:val="0"/>
        <w:autoSpaceDE w:val="0"/>
        <w:autoSpaceDN w:val="0"/>
        <w:adjustRightInd w:val="0"/>
        <w:spacing w:after="0" w:line="240" w:lineRule="auto"/>
        <w:ind w:left="5670"/>
        <w:jc w:val="right"/>
        <w:rPr>
          <w:rFonts w:ascii="Times New Roman" w:hAnsi="Times New Roman" w:cs="Times New Roman"/>
          <w:bCs/>
          <w:sz w:val="24"/>
          <w:szCs w:val="24"/>
          <w:lang w:eastAsia="ru-RU"/>
        </w:rPr>
      </w:pPr>
    </w:p>
    <w:p w14:paraId="67A085A0">
      <w:pPr>
        <w:pStyle w:val="38"/>
      </w:pPr>
      <w:r>
        <w:t>ТЕХНИЧЕСКОЕ ЗАДАНИЕ</w:t>
      </w:r>
    </w:p>
    <w:p w14:paraId="2C881F1E">
      <w:pPr>
        <w:pStyle w:val="38"/>
      </w:pPr>
      <w:r>
        <w:t xml:space="preserve">на оказание услуг по сопровождению автоматизированной системы управления «Управление станцией скорой медицинской помощи» </w:t>
      </w:r>
    </w:p>
    <w:p w14:paraId="578E9A7F">
      <w:pPr>
        <w:pStyle w:val="32"/>
      </w:pPr>
    </w:p>
    <w:p w14:paraId="6252D4F6">
      <w:pPr>
        <w:pStyle w:val="30"/>
      </w:pPr>
      <w:r>
        <w:t>Общие сведения</w:t>
      </w:r>
    </w:p>
    <w:p w14:paraId="3B791F5F">
      <w:pPr>
        <w:pStyle w:val="31"/>
      </w:pPr>
      <w:r>
        <w:t>Наименование системы и ее условное обозначение</w:t>
      </w:r>
    </w:p>
    <w:p w14:paraId="75ADC1A9">
      <w:pPr>
        <w:pStyle w:val="32"/>
      </w:pPr>
      <w:r>
        <w:t xml:space="preserve">Полное наименование: автоматизированная система управления «Управление станцией скорой медицинской помощи». </w:t>
      </w:r>
    </w:p>
    <w:p w14:paraId="41E30248">
      <w:pPr>
        <w:pStyle w:val="32"/>
      </w:pPr>
      <w:r>
        <w:t>Условное обозначение: Система.</w:t>
      </w:r>
    </w:p>
    <w:p w14:paraId="709788E2">
      <w:pPr>
        <w:pStyle w:val="31"/>
      </w:pPr>
      <w:r>
        <w:t>Наименование услуг</w:t>
      </w:r>
    </w:p>
    <w:p w14:paraId="27259990">
      <w:pPr>
        <w:pStyle w:val="32"/>
      </w:pPr>
      <w:r>
        <w:t>Полное наименование услуг: сопровождение работы пользователей автоматизированной системы управления «Управление станцией скорой медицинской помощи» (далее – Услуги).</w:t>
      </w:r>
    </w:p>
    <w:p w14:paraId="59BF6B01">
      <w:pPr>
        <w:pStyle w:val="32"/>
      </w:pPr>
      <w:r>
        <w:t>Код ОКПД2: 62.02.30.000 «Услуги по технической поддержке информационных технологий».</w:t>
      </w:r>
    </w:p>
    <w:p w14:paraId="6D1BA38D">
      <w:pPr>
        <w:pStyle w:val="31"/>
      </w:pPr>
      <w:r>
        <w:t>Сведения о Заказчике</w:t>
      </w:r>
    </w:p>
    <w:p w14:paraId="0CE865AE">
      <w:pPr>
        <w:pStyle w:val="32"/>
      </w:pPr>
      <w:r>
        <w:t>Заказчик: Государственное бюджетное учреждение здравоохранения Ставропольского края «Туркменская районная больница».</w:t>
      </w:r>
    </w:p>
    <w:p w14:paraId="3C2CF3D1">
      <w:pPr>
        <w:pStyle w:val="32"/>
      </w:pPr>
      <w:r>
        <w:t xml:space="preserve">Адрес: Ставропольский край, Туркменский район, сл. Летняя Ставка, ул. Больничная, 5. </w:t>
      </w:r>
    </w:p>
    <w:p w14:paraId="42E96EEA">
      <w:pPr>
        <w:pStyle w:val="31"/>
      </w:pPr>
      <w:r>
        <w:t>Место оказания услуг</w:t>
      </w:r>
    </w:p>
    <w:p w14:paraId="11EB4308">
      <w:pPr>
        <w:pStyle w:val="32"/>
      </w:pPr>
      <w:r>
        <w:t xml:space="preserve">Оказание услуг осуществляется в удаленном режиме средствами информационных технологий и телекоммуникаций. </w:t>
      </w:r>
    </w:p>
    <w:p w14:paraId="6B0425BF">
      <w:pPr>
        <w:pStyle w:val="31"/>
      </w:pPr>
      <w:r>
        <w:t>Используемые термины и сокращения</w:t>
      </w:r>
    </w:p>
    <w:p w14:paraId="35F6D629">
      <w:pPr>
        <w:pStyle w:val="32"/>
      </w:pPr>
      <w:r>
        <w:t xml:space="preserve">В данном разделе представлен перечень сокращений, используемых в настоящем документе (см. </w:t>
      </w:r>
      <w:r>
        <w:fldChar w:fldCharType="begin"/>
      </w:r>
      <w:r>
        <w:instrText xml:space="preserve"> REF _Ref64463985 \h </w:instrText>
      </w:r>
      <w:r>
        <w:fldChar w:fldCharType="separate"/>
      </w:r>
      <w:r>
        <w:t>Таблица 1</w:t>
      </w:r>
      <w:r>
        <w:fldChar w:fldCharType="end"/>
      </w:r>
      <w:r>
        <w:t>).</w:t>
      </w:r>
    </w:p>
    <w:p w14:paraId="7FCFB91A">
      <w:pPr>
        <w:pStyle w:val="33"/>
      </w:pPr>
      <w:bookmarkStart w:id="0" w:name="_Ref64463985"/>
      <w:r>
        <w:t xml:space="preserve">Таблица </w:t>
      </w:r>
      <w:r>
        <w:fldChar w:fldCharType="begin"/>
      </w:r>
      <w:r>
        <w:instrText xml:space="preserve">SEQ Таблица \* ARABIC</w:instrText>
      </w:r>
      <w:r>
        <w:fldChar w:fldCharType="separate"/>
      </w:r>
      <w:r>
        <w:t>1</w:t>
      </w:r>
      <w:r>
        <w:fldChar w:fldCharType="end"/>
      </w:r>
      <w:bookmarkEnd w:id="0"/>
      <w:r>
        <w:t xml:space="preserve"> – Перечень терминов и сокращений</w:t>
      </w:r>
    </w:p>
    <w:tbl>
      <w:tblPr>
        <w:tblStyle w:val="5"/>
        <w:tblW w:w="5000" w:type="pct"/>
        <w:jc w:val="center"/>
        <w:tblLayout w:type="autofit"/>
        <w:tblCellMar>
          <w:top w:w="0" w:type="dxa"/>
          <w:left w:w="108" w:type="dxa"/>
          <w:bottom w:w="0" w:type="dxa"/>
          <w:right w:w="108" w:type="dxa"/>
        </w:tblCellMar>
      </w:tblPr>
      <w:tblGrid>
        <w:gridCol w:w="2657"/>
        <w:gridCol w:w="7494"/>
      </w:tblGrid>
      <w:tr w14:paraId="3F9D955E">
        <w:tblPrEx>
          <w:tblCellMar>
            <w:top w:w="0" w:type="dxa"/>
            <w:left w:w="108" w:type="dxa"/>
            <w:bottom w:w="0" w:type="dxa"/>
            <w:right w:w="108" w:type="dxa"/>
          </w:tblCellMar>
        </w:tblPrEx>
        <w:trPr>
          <w:trHeight w:val="284" w:hRule="atLeast"/>
          <w:tblHeader/>
          <w:jc w:val="center"/>
        </w:trPr>
        <w:tc>
          <w:tcPr>
            <w:tcW w:w="2446"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Mar>
              <w:left w:w="115" w:type="dxa"/>
              <w:right w:w="115" w:type="dxa"/>
            </w:tcMar>
            <w:vAlign w:val="center"/>
          </w:tcPr>
          <w:p w14:paraId="2643A0C4">
            <w:pPr>
              <w:pStyle w:val="34"/>
            </w:pPr>
            <w:r>
              <w:t>Сокращение</w:t>
            </w:r>
          </w:p>
        </w:tc>
        <w:tc>
          <w:tcPr>
            <w:tcW w:w="6899" w:type="dxa"/>
            <w:tcBorders>
              <w:top w:val="single" w:color="000000" w:sz="4" w:space="0"/>
              <w:left w:val="nil"/>
              <w:bottom w:val="single" w:color="000000" w:sz="4" w:space="0"/>
              <w:right w:val="single" w:color="000000" w:sz="4" w:space="0"/>
            </w:tcBorders>
            <w:shd w:val="clear" w:color="auto" w:fill="D8D8D8" w:themeFill="background1" w:themeFillShade="D9"/>
            <w:tcMar>
              <w:left w:w="115" w:type="dxa"/>
              <w:right w:w="115" w:type="dxa"/>
            </w:tcMar>
            <w:vAlign w:val="center"/>
          </w:tcPr>
          <w:p w14:paraId="3510E030">
            <w:pPr>
              <w:pStyle w:val="34"/>
            </w:pPr>
            <w:r>
              <w:t>Определение</w:t>
            </w:r>
          </w:p>
        </w:tc>
      </w:tr>
      <w:tr w14:paraId="28172A79">
        <w:tblPrEx>
          <w:tblCellMar>
            <w:top w:w="0" w:type="dxa"/>
            <w:left w:w="108" w:type="dxa"/>
            <w:bottom w:w="0" w:type="dxa"/>
            <w:right w:w="108" w:type="dxa"/>
          </w:tblCellMar>
        </w:tblPrEx>
        <w:trPr>
          <w:trHeight w:val="284" w:hRule="atLeast"/>
          <w:jc w:val="center"/>
        </w:trPr>
        <w:tc>
          <w:tcPr>
            <w:tcW w:w="2446" w:type="dxa"/>
            <w:tcBorders>
              <w:top w:val="nil"/>
              <w:left w:val="single" w:color="000000" w:sz="4" w:space="0"/>
              <w:bottom w:val="single" w:color="000000" w:sz="4" w:space="0"/>
              <w:right w:val="single" w:color="000000" w:sz="4" w:space="0"/>
            </w:tcBorders>
            <w:tcMar>
              <w:left w:w="115" w:type="dxa"/>
              <w:right w:w="115" w:type="dxa"/>
            </w:tcMar>
            <w:vAlign w:val="center"/>
          </w:tcPr>
          <w:p w14:paraId="14D06DBB">
            <w:pPr>
              <w:pStyle w:val="35"/>
              <w:rPr>
                <w:b/>
              </w:rPr>
            </w:pPr>
            <w:r>
              <w:rPr>
                <w:b/>
              </w:rPr>
              <w:t>АРМ</w:t>
            </w:r>
          </w:p>
        </w:tc>
        <w:tc>
          <w:tcPr>
            <w:tcW w:w="6899" w:type="dxa"/>
            <w:tcBorders>
              <w:top w:val="nil"/>
              <w:left w:val="nil"/>
              <w:bottom w:val="single" w:color="000000" w:sz="4" w:space="0"/>
              <w:right w:val="single" w:color="000000" w:sz="4" w:space="0"/>
            </w:tcBorders>
            <w:tcMar>
              <w:left w:w="115" w:type="dxa"/>
              <w:right w:w="115" w:type="dxa"/>
            </w:tcMar>
            <w:vAlign w:val="center"/>
          </w:tcPr>
          <w:p w14:paraId="17F123DC">
            <w:pPr>
              <w:pStyle w:val="35"/>
              <w:rPr>
                <w:rFonts w:eastAsia="Calibri"/>
                <w:bCs/>
              </w:rPr>
            </w:pPr>
            <w:r>
              <w:rPr>
                <w:rFonts w:eastAsia="Calibri"/>
                <w:bCs/>
              </w:rPr>
              <w:t>Автоматизированное рабочее место</w:t>
            </w:r>
          </w:p>
        </w:tc>
      </w:tr>
      <w:tr w14:paraId="794D0147">
        <w:tblPrEx>
          <w:tblCellMar>
            <w:top w:w="0" w:type="dxa"/>
            <w:left w:w="108" w:type="dxa"/>
            <w:bottom w:w="0" w:type="dxa"/>
            <w:right w:w="108" w:type="dxa"/>
          </w:tblCellMar>
        </w:tblPrEx>
        <w:trPr>
          <w:trHeight w:val="284" w:hRule="atLeast"/>
          <w:jc w:val="center"/>
        </w:trPr>
        <w:tc>
          <w:tcPr>
            <w:tcW w:w="2446" w:type="dxa"/>
            <w:tcBorders>
              <w:top w:val="nil"/>
              <w:left w:val="single" w:color="000000" w:sz="4" w:space="0"/>
              <w:bottom w:val="single" w:color="000000" w:sz="4" w:space="0"/>
              <w:right w:val="single" w:color="000000" w:sz="4" w:space="0"/>
            </w:tcBorders>
            <w:tcMar>
              <w:left w:w="115" w:type="dxa"/>
              <w:right w:w="115" w:type="dxa"/>
            </w:tcMar>
            <w:vAlign w:val="center"/>
          </w:tcPr>
          <w:p w14:paraId="31D7F192">
            <w:pPr>
              <w:pStyle w:val="35"/>
              <w:rPr>
                <w:rFonts w:eastAsia="Calibri"/>
                <w:b/>
                <w:bCs/>
              </w:rPr>
            </w:pPr>
            <w:r>
              <w:rPr>
                <w:rFonts w:eastAsia="Calibri"/>
                <w:b/>
                <w:bCs/>
              </w:rPr>
              <w:t>АСУ УССМП</w:t>
            </w:r>
          </w:p>
        </w:tc>
        <w:tc>
          <w:tcPr>
            <w:tcW w:w="6899" w:type="dxa"/>
            <w:tcBorders>
              <w:top w:val="nil"/>
              <w:left w:val="nil"/>
              <w:bottom w:val="single" w:color="000000" w:sz="4" w:space="0"/>
              <w:right w:val="single" w:color="000000" w:sz="4" w:space="0"/>
            </w:tcBorders>
            <w:tcMar>
              <w:left w:w="115" w:type="dxa"/>
              <w:right w:w="115" w:type="dxa"/>
            </w:tcMar>
            <w:vAlign w:val="center"/>
          </w:tcPr>
          <w:p w14:paraId="25F69332">
            <w:pPr>
              <w:pStyle w:val="35"/>
              <w:rPr>
                <w:rFonts w:eastAsia="Calibri"/>
                <w:bCs/>
              </w:rPr>
            </w:pPr>
            <w:r>
              <w:rPr>
                <w:rFonts w:eastAsia="Calibri"/>
                <w:bCs/>
              </w:rPr>
              <w:t>Автоматизированная система управления «Управление станцией скорой медицинской помощи»</w:t>
            </w:r>
          </w:p>
        </w:tc>
      </w:tr>
      <w:tr w14:paraId="699ED00E">
        <w:tblPrEx>
          <w:tblCellMar>
            <w:top w:w="0" w:type="dxa"/>
            <w:left w:w="108" w:type="dxa"/>
            <w:bottom w:w="0" w:type="dxa"/>
            <w:right w:w="108" w:type="dxa"/>
          </w:tblCellMar>
        </w:tblPrEx>
        <w:trPr>
          <w:trHeight w:val="284" w:hRule="atLeast"/>
          <w:jc w:val="center"/>
        </w:trPr>
        <w:tc>
          <w:tcPr>
            <w:tcW w:w="2446" w:type="dxa"/>
            <w:tcBorders>
              <w:top w:val="nil"/>
              <w:left w:val="single" w:color="000000" w:sz="4" w:space="0"/>
              <w:bottom w:val="single" w:color="000000" w:sz="4" w:space="0"/>
              <w:right w:val="single" w:color="000000" w:sz="4" w:space="0"/>
            </w:tcBorders>
            <w:tcMar>
              <w:left w:w="115" w:type="dxa"/>
              <w:right w:w="115" w:type="dxa"/>
            </w:tcMar>
            <w:vAlign w:val="center"/>
          </w:tcPr>
          <w:p w14:paraId="0A429EB8">
            <w:pPr>
              <w:pStyle w:val="35"/>
              <w:rPr>
                <w:rFonts w:eastAsia="Calibri"/>
                <w:b/>
                <w:bCs/>
              </w:rPr>
            </w:pPr>
            <w:r>
              <w:rPr>
                <w:b/>
              </w:rPr>
              <w:t xml:space="preserve">ГБУЗ СК «Туркменская РБ»  </w:t>
            </w:r>
          </w:p>
        </w:tc>
        <w:tc>
          <w:tcPr>
            <w:tcW w:w="6899" w:type="dxa"/>
            <w:tcBorders>
              <w:top w:val="nil"/>
              <w:left w:val="nil"/>
              <w:bottom w:val="single" w:color="000000" w:sz="4" w:space="0"/>
              <w:right w:val="single" w:color="000000" w:sz="4" w:space="0"/>
            </w:tcBorders>
            <w:tcMar>
              <w:left w:w="115" w:type="dxa"/>
              <w:right w:w="115" w:type="dxa"/>
            </w:tcMar>
            <w:vAlign w:val="center"/>
          </w:tcPr>
          <w:p w14:paraId="35F3D33A">
            <w:pPr>
              <w:pStyle w:val="35"/>
              <w:rPr>
                <w:rFonts w:eastAsia="Calibri"/>
                <w:bCs/>
              </w:rPr>
            </w:pPr>
            <w:r>
              <w:rPr>
                <w:rFonts w:eastAsia="Calibri"/>
                <w:bCs/>
              </w:rPr>
              <w:t>Государственное бюджетное учреждение здравоохранения Ставропольского края «Туркменская районная больница»</w:t>
            </w:r>
          </w:p>
        </w:tc>
      </w:tr>
      <w:tr w14:paraId="4FB49A0B">
        <w:tblPrEx>
          <w:tblCellMar>
            <w:top w:w="0" w:type="dxa"/>
            <w:left w:w="108" w:type="dxa"/>
            <w:bottom w:w="0" w:type="dxa"/>
            <w:right w:w="108" w:type="dxa"/>
          </w:tblCellMar>
        </w:tblPrEx>
        <w:trPr>
          <w:trHeight w:val="284" w:hRule="atLeast"/>
          <w:jc w:val="center"/>
        </w:trPr>
        <w:tc>
          <w:tcPr>
            <w:tcW w:w="2446"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2E64C8DC">
            <w:pPr>
              <w:pStyle w:val="35"/>
              <w:rPr>
                <w:rFonts w:eastAsia="Calibri"/>
                <w:b/>
                <w:bCs/>
              </w:rPr>
            </w:pPr>
            <w:r>
              <w:rPr>
                <w:rFonts w:eastAsia="Calibri"/>
                <w:b/>
                <w:bCs/>
              </w:rPr>
              <w:t>ГБУЗ СК «СККССМП»</w:t>
            </w:r>
          </w:p>
        </w:tc>
        <w:tc>
          <w:tcPr>
            <w:tcW w:w="6899"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3EEB23D1">
            <w:pPr>
              <w:pStyle w:val="35"/>
              <w:rPr>
                <w:rFonts w:eastAsia="Calibri"/>
                <w:bCs/>
              </w:rPr>
            </w:pPr>
            <w:r>
              <w:rPr>
                <w:rFonts w:eastAsia="Calibri"/>
                <w:bCs/>
              </w:rPr>
              <w:t>Государственное бюджетное учреждение здравоохранения Ставропольского края «Ставропольская краевая клиническая станция скорой медицинской помощи»</w:t>
            </w:r>
          </w:p>
        </w:tc>
      </w:tr>
      <w:tr w14:paraId="20622C9C">
        <w:tblPrEx>
          <w:tblCellMar>
            <w:top w:w="0" w:type="dxa"/>
            <w:left w:w="108" w:type="dxa"/>
            <w:bottom w:w="0" w:type="dxa"/>
            <w:right w:w="108" w:type="dxa"/>
          </w:tblCellMar>
        </w:tblPrEx>
        <w:trPr>
          <w:trHeight w:val="284" w:hRule="atLeast"/>
          <w:jc w:val="center"/>
        </w:trPr>
        <w:tc>
          <w:tcPr>
            <w:tcW w:w="2446"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33BBED06">
            <w:pPr>
              <w:pStyle w:val="35"/>
              <w:rPr>
                <w:rFonts w:eastAsia="Calibri"/>
                <w:b/>
                <w:bCs/>
              </w:rPr>
            </w:pPr>
            <w:r>
              <w:rPr>
                <w:rFonts w:eastAsia="Calibri"/>
                <w:b/>
                <w:bCs/>
              </w:rPr>
              <w:t>ГЛОНАСС</w:t>
            </w:r>
          </w:p>
        </w:tc>
        <w:tc>
          <w:tcPr>
            <w:tcW w:w="6899"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70CCA81F">
            <w:pPr>
              <w:pStyle w:val="35"/>
              <w:rPr>
                <w:rFonts w:eastAsia="Calibri"/>
                <w:bCs/>
              </w:rPr>
            </w:pPr>
            <w:r>
              <w:rPr>
                <w:rFonts w:eastAsia="Calibri"/>
                <w:bCs/>
              </w:rPr>
              <w:t>Глобальная навигационная спутниковая система</w:t>
            </w:r>
          </w:p>
        </w:tc>
      </w:tr>
      <w:tr w14:paraId="3474AF9F">
        <w:tblPrEx>
          <w:tblCellMar>
            <w:top w:w="0" w:type="dxa"/>
            <w:left w:w="108" w:type="dxa"/>
            <w:bottom w:w="0" w:type="dxa"/>
            <w:right w:w="108" w:type="dxa"/>
          </w:tblCellMar>
        </w:tblPrEx>
        <w:trPr>
          <w:trHeight w:val="284" w:hRule="atLeast"/>
          <w:jc w:val="center"/>
        </w:trPr>
        <w:tc>
          <w:tcPr>
            <w:tcW w:w="2446"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5287A45A">
            <w:pPr>
              <w:pStyle w:val="35"/>
              <w:rPr>
                <w:rFonts w:eastAsia="Calibri"/>
                <w:b/>
                <w:bCs/>
              </w:rPr>
            </w:pPr>
            <w:r>
              <w:rPr>
                <w:rFonts w:eastAsia="Calibri"/>
                <w:b/>
                <w:bCs/>
              </w:rPr>
              <w:t>ЕГИСЗ</w:t>
            </w:r>
          </w:p>
        </w:tc>
        <w:tc>
          <w:tcPr>
            <w:tcW w:w="6899"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7BA5632F">
            <w:pPr>
              <w:pStyle w:val="35"/>
              <w:rPr>
                <w:rFonts w:eastAsia="Calibri"/>
                <w:bCs/>
              </w:rPr>
            </w:pPr>
            <w:r>
              <w:rPr>
                <w:rFonts w:eastAsia="Calibri"/>
                <w:bCs/>
              </w:rPr>
              <w:t>Единая государственная информационная система здравоохранения</w:t>
            </w:r>
          </w:p>
        </w:tc>
      </w:tr>
      <w:tr w14:paraId="4366E33E">
        <w:tblPrEx>
          <w:tblCellMar>
            <w:top w:w="0" w:type="dxa"/>
            <w:left w:w="108" w:type="dxa"/>
            <w:bottom w:w="0" w:type="dxa"/>
            <w:right w:w="108" w:type="dxa"/>
          </w:tblCellMar>
        </w:tblPrEx>
        <w:trPr>
          <w:trHeight w:val="284" w:hRule="atLeast"/>
          <w:jc w:val="center"/>
        </w:trPr>
        <w:tc>
          <w:tcPr>
            <w:tcW w:w="2446"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18C5D913">
            <w:pPr>
              <w:pStyle w:val="35"/>
              <w:rPr>
                <w:rFonts w:eastAsia="Calibri"/>
                <w:b/>
                <w:bCs/>
              </w:rPr>
            </w:pPr>
            <w:r>
              <w:rPr>
                <w:rFonts w:eastAsia="Calibri"/>
                <w:b/>
                <w:bCs/>
              </w:rPr>
              <w:t>ООО «КАБ»</w:t>
            </w:r>
          </w:p>
        </w:tc>
        <w:tc>
          <w:tcPr>
            <w:tcW w:w="6899"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7309636E">
            <w:pPr>
              <w:pStyle w:val="35"/>
              <w:rPr>
                <w:rFonts w:eastAsia="Calibri"/>
                <w:bCs/>
              </w:rPr>
            </w:pPr>
            <w:r>
              <w:rPr>
                <w:rFonts w:eastAsia="Calibri"/>
                <w:bCs/>
              </w:rPr>
              <w:t>Общество с ограниченной ответственностью «Комплексная автоматизация бизнеса»</w:t>
            </w:r>
          </w:p>
        </w:tc>
      </w:tr>
      <w:tr w14:paraId="37E37878">
        <w:tblPrEx>
          <w:tblCellMar>
            <w:top w:w="0" w:type="dxa"/>
            <w:left w:w="108" w:type="dxa"/>
            <w:bottom w:w="0" w:type="dxa"/>
            <w:right w:w="108" w:type="dxa"/>
          </w:tblCellMar>
        </w:tblPrEx>
        <w:trPr>
          <w:trHeight w:val="284" w:hRule="atLeast"/>
          <w:jc w:val="center"/>
        </w:trPr>
        <w:tc>
          <w:tcPr>
            <w:tcW w:w="2446"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2E683E6E">
            <w:pPr>
              <w:pStyle w:val="35"/>
              <w:rPr>
                <w:rFonts w:eastAsia="Calibri"/>
                <w:b/>
                <w:bCs/>
              </w:rPr>
            </w:pPr>
            <w:r>
              <w:rPr>
                <w:rFonts w:eastAsia="Calibri"/>
                <w:b/>
                <w:bCs/>
              </w:rPr>
              <w:t>Пользователь</w:t>
            </w:r>
          </w:p>
        </w:tc>
        <w:tc>
          <w:tcPr>
            <w:tcW w:w="6899"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02C9B6A2">
            <w:pPr>
              <w:pStyle w:val="35"/>
              <w:rPr>
                <w:rFonts w:eastAsia="Calibri"/>
                <w:bCs/>
              </w:rPr>
            </w:pPr>
            <w:r>
              <w:rPr>
                <w:rFonts w:eastAsia="Calibri"/>
                <w:bCs/>
              </w:rPr>
              <w:t xml:space="preserve">Лицо, участвующее в функционировании </w:t>
            </w:r>
            <w:r>
              <w:fldChar w:fldCharType="begin"/>
            </w:r>
            <w:r>
              <w:instrText xml:space="preserve"> HYPERLINK "https://ru.wikipedia.org/wiki/Автоматизированная_система" </w:instrText>
            </w:r>
            <w:r>
              <w:fldChar w:fldCharType="separate"/>
            </w:r>
            <w:r>
              <w:rPr>
                <w:rFonts w:eastAsia="Calibri"/>
                <w:bCs/>
              </w:rPr>
              <w:t>автоматизированной системы</w:t>
            </w:r>
            <w:r>
              <w:rPr>
                <w:rFonts w:eastAsia="Calibri"/>
                <w:bCs/>
              </w:rPr>
              <w:fldChar w:fldCharType="end"/>
            </w:r>
            <w:r>
              <w:rPr>
                <w:rFonts w:eastAsia="Calibri"/>
                <w:bCs/>
              </w:rPr>
              <w:t xml:space="preserve"> или использующее результаты её функционирования</w:t>
            </w:r>
          </w:p>
        </w:tc>
      </w:tr>
      <w:tr w14:paraId="097A49E6">
        <w:tblPrEx>
          <w:tblCellMar>
            <w:top w:w="0" w:type="dxa"/>
            <w:left w:w="108" w:type="dxa"/>
            <w:bottom w:w="0" w:type="dxa"/>
            <w:right w:w="108" w:type="dxa"/>
          </w:tblCellMar>
        </w:tblPrEx>
        <w:trPr>
          <w:trHeight w:val="284" w:hRule="atLeast"/>
          <w:jc w:val="center"/>
        </w:trPr>
        <w:tc>
          <w:tcPr>
            <w:tcW w:w="2446"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1E3BE002">
            <w:pPr>
              <w:pStyle w:val="35"/>
              <w:rPr>
                <w:rFonts w:eastAsia="Calibri"/>
                <w:b/>
                <w:bCs/>
              </w:rPr>
            </w:pPr>
            <w:r>
              <w:rPr>
                <w:rFonts w:eastAsia="Calibri"/>
                <w:b/>
                <w:bCs/>
              </w:rPr>
              <w:t>Система-112</w:t>
            </w:r>
          </w:p>
        </w:tc>
        <w:tc>
          <w:tcPr>
            <w:tcW w:w="6899"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7E1F833F">
            <w:pPr>
              <w:pStyle w:val="35"/>
              <w:rPr>
                <w:rFonts w:eastAsia="Calibri"/>
                <w:bCs/>
              </w:rPr>
            </w:pPr>
            <w:r>
              <w:rPr>
                <w:rFonts w:eastAsia="Calibri"/>
                <w:bCs/>
              </w:rPr>
              <w:t>Система вызова экстренных оперативных служб по единому номеру «112»</w:t>
            </w:r>
          </w:p>
        </w:tc>
      </w:tr>
      <w:tr w14:paraId="2345B5AA">
        <w:tblPrEx>
          <w:tblCellMar>
            <w:top w:w="0" w:type="dxa"/>
            <w:left w:w="108" w:type="dxa"/>
            <w:bottom w:w="0" w:type="dxa"/>
            <w:right w:w="108" w:type="dxa"/>
          </w:tblCellMar>
        </w:tblPrEx>
        <w:trPr>
          <w:trHeight w:val="284" w:hRule="atLeast"/>
          <w:jc w:val="center"/>
        </w:trPr>
        <w:tc>
          <w:tcPr>
            <w:tcW w:w="2446"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034B29BA">
            <w:pPr>
              <w:pStyle w:val="35"/>
              <w:rPr>
                <w:rFonts w:eastAsia="Calibri"/>
                <w:b/>
                <w:bCs/>
              </w:rPr>
            </w:pPr>
            <w:r>
              <w:rPr>
                <w:rFonts w:eastAsia="Calibri"/>
                <w:b/>
                <w:bCs/>
              </w:rPr>
              <w:t>СМП</w:t>
            </w:r>
          </w:p>
        </w:tc>
        <w:tc>
          <w:tcPr>
            <w:tcW w:w="6899"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20F1DEEB">
            <w:pPr>
              <w:pStyle w:val="35"/>
              <w:rPr>
                <w:rFonts w:eastAsia="Calibri"/>
                <w:bCs/>
              </w:rPr>
            </w:pPr>
            <w:r>
              <w:rPr>
                <w:rFonts w:eastAsia="Calibri"/>
                <w:bCs/>
              </w:rPr>
              <w:t xml:space="preserve">Скорая медицинская помощь </w:t>
            </w:r>
          </w:p>
        </w:tc>
      </w:tr>
      <w:tr w14:paraId="66B6BFE4">
        <w:tblPrEx>
          <w:tblCellMar>
            <w:top w:w="0" w:type="dxa"/>
            <w:left w:w="108" w:type="dxa"/>
            <w:bottom w:w="0" w:type="dxa"/>
            <w:right w:w="108" w:type="dxa"/>
          </w:tblCellMar>
        </w:tblPrEx>
        <w:trPr>
          <w:trHeight w:val="284" w:hRule="atLeast"/>
          <w:jc w:val="center"/>
        </w:trPr>
        <w:tc>
          <w:tcPr>
            <w:tcW w:w="2446"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71AD7E32">
            <w:pPr>
              <w:pStyle w:val="35"/>
              <w:rPr>
                <w:rFonts w:eastAsia="Calibri"/>
                <w:b/>
                <w:bCs/>
              </w:rPr>
            </w:pPr>
            <w:r>
              <w:rPr>
                <w:rFonts w:eastAsia="Calibri"/>
                <w:b/>
                <w:bCs/>
              </w:rPr>
              <w:t>СУБД</w:t>
            </w:r>
          </w:p>
        </w:tc>
        <w:tc>
          <w:tcPr>
            <w:tcW w:w="6899"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1F593EF3">
            <w:pPr>
              <w:pStyle w:val="35"/>
              <w:rPr>
                <w:rFonts w:eastAsia="Calibri"/>
                <w:bCs/>
              </w:rPr>
            </w:pPr>
            <w:r>
              <w:rPr>
                <w:rFonts w:eastAsia="Calibri"/>
                <w:bCs/>
              </w:rPr>
              <w:t>Система управления базами данных</w:t>
            </w:r>
          </w:p>
        </w:tc>
      </w:tr>
      <w:tr w14:paraId="51197E05">
        <w:tblPrEx>
          <w:tblCellMar>
            <w:top w:w="0" w:type="dxa"/>
            <w:left w:w="108" w:type="dxa"/>
            <w:bottom w:w="0" w:type="dxa"/>
            <w:right w:w="108" w:type="dxa"/>
          </w:tblCellMar>
        </w:tblPrEx>
        <w:trPr>
          <w:trHeight w:val="284" w:hRule="atLeast"/>
          <w:jc w:val="center"/>
        </w:trPr>
        <w:tc>
          <w:tcPr>
            <w:tcW w:w="2446"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150446CA">
            <w:pPr>
              <w:pStyle w:val="35"/>
              <w:rPr>
                <w:rFonts w:eastAsia="Calibri"/>
                <w:b/>
                <w:bCs/>
              </w:rPr>
            </w:pPr>
            <w:r>
              <w:rPr>
                <w:rFonts w:eastAsia="Calibri"/>
                <w:b/>
                <w:bCs/>
              </w:rPr>
              <w:t>ТЗ</w:t>
            </w:r>
          </w:p>
        </w:tc>
        <w:tc>
          <w:tcPr>
            <w:tcW w:w="6899"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6B38D776">
            <w:pPr>
              <w:pStyle w:val="35"/>
              <w:rPr>
                <w:rFonts w:eastAsia="Calibri"/>
                <w:bCs/>
              </w:rPr>
            </w:pPr>
            <w:r>
              <w:rPr>
                <w:rFonts w:eastAsia="Calibri"/>
                <w:bCs/>
              </w:rPr>
              <w:t>Техническое задание</w:t>
            </w:r>
          </w:p>
        </w:tc>
      </w:tr>
      <w:tr w14:paraId="3F10785E">
        <w:tblPrEx>
          <w:tblCellMar>
            <w:top w:w="0" w:type="dxa"/>
            <w:left w:w="108" w:type="dxa"/>
            <w:bottom w:w="0" w:type="dxa"/>
            <w:right w:w="108" w:type="dxa"/>
          </w:tblCellMar>
        </w:tblPrEx>
        <w:trPr>
          <w:trHeight w:val="284" w:hRule="atLeast"/>
          <w:jc w:val="center"/>
        </w:trPr>
        <w:tc>
          <w:tcPr>
            <w:tcW w:w="2446"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3513056D">
            <w:pPr>
              <w:pStyle w:val="35"/>
              <w:rPr>
                <w:rFonts w:eastAsia="Calibri"/>
                <w:b/>
                <w:bCs/>
              </w:rPr>
            </w:pPr>
            <w:r>
              <w:rPr>
                <w:rFonts w:eastAsia="Calibri"/>
                <w:b/>
                <w:bCs/>
              </w:rPr>
              <w:t>ФОМС</w:t>
            </w:r>
          </w:p>
        </w:tc>
        <w:tc>
          <w:tcPr>
            <w:tcW w:w="6899"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6E3A36E3">
            <w:pPr>
              <w:pStyle w:val="35"/>
              <w:rPr>
                <w:rFonts w:eastAsia="Calibri"/>
                <w:bCs/>
              </w:rPr>
            </w:pPr>
            <w:r>
              <w:rPr>
                <w:rFonts w:eastAsia="Calibri"/>
                <w:bCs/>
              </w:rPr>
              <w:t>Фонд обязательного медицинского страхования</w:t>
            </w:r>
          </w:p>
        </w:tc>
      </w:tr>
      <w:tr w14:paraId="363EE840">
        <w:tblPrEx>
          <w:tblCellMar>
            <w:top w:w="0" w:type="dxa"/>
            <w:left w:w="108" w:type="dxa"/>
            <w:bottom w:w="0" w:type="dxa"/>
            <w:right w:w="108" w:type="dxa"/>
          </w:tblCellMar>
        </w:tblPrEx>
        <w:trPr>
          <w:trHeight w:val="284" w:hRule="atLeast"/>
          <w:jc w:val="center"/>
        </w:trPr>
        <w:tc>
          <w:tcPr>
            <w:tcW w:w="2446"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72295AAD">
            <w:pPr>
              <w:pStyle w:val="35"/>
              <w:rPr>
                <w:rFonts w:eastAsia="Calibri"/>
                <w:b/>
                <w:bCs/>
              </w:rPr>
            </w:pPr>
            <w:r>
              <w:rPr>
                <w:rFonts w:eastAsia="Calibri"/>
                <w:b/>
                <w:bCs/>
              </w:rPr>
              <w:t>ЦОД</w:t>
            </w:r>
          </w:p>
        </w:tc>
        <w:tc>
          <w:tcPr>
            <w:tcW w:w="6899" w:type="dxa"/>
            <w:tcBorders>
              <w:top w:val="single" w:color="000000" w:sz="4" w:space="0"/>
              <w:left w:val="single" w:color="000000" w:sz="4" w:space="0"/>
              <w:bottom w:val="single" w:color="000000" w:sz="4" w:space="0"/>
              <w:right w:val="single" w:color="000000" w:sz="4" w:space="0"/>
            </w:tcBorders>
            <w:tcMar>
              <w:left w:w="115" w:type="dxa"/>
              <w:right w:w="115" w:type="dxa"/>
            </w:tcMar>
            <w:vAlign w:val="center"/>
          </w:tcPr>
          <w:p w14:paraId="392ED899">
            <w:pPr>
              <w:pStyle w:val="35"/>
              <w:rPr>
                <w:rFonts w:eastAsia="Calibri"/>
                <w:bCs/>
              </w:rPr>
            </w:pPr>
            <w:r>
              <w:rPr>
                <w:rFonts w:eastAsia="Calibri"/>
                <w:bCs/>
              </w:rPr>
              <w:t>Центр обработки данных</w:t>
            </w:r>
          </w:p>
        </w:tc>
      </w:tr>
    </w:tbl>
    <w:p w14:paraId="0F71D947">
      <w:pPr>
        <w:pStyle w:val="31"/>
      </w:pPr>
      <w:r>
        <w:t>Срок оказания услуг по сопровождению</w:t>
      </w:r>
    </w:p>
    <w:p w14:paraId="4490D182">
      <w:pPr>
        <w:pStyle w:val="32"/>
      </w:pPr>
      <w:r>
        <w:t>Срок оказания услуг по сопровождению: с даты заключения Контракта (но не ранее 01.01.2027 г.) по 31.12.2027 г. включительно.</w:t>
      </w:r>
    </w:p>
    <w:p w14:paraId="3405C764">
      <w:pPr>
        <w:pStyle w:val="30"/>
      </w:pPr>
      <w:r>
        <w:t>Цель и назначение сопровождения</w:t>
      </w:r>
    </w:p>
    <w:p w14:paraId="1FD6B7DE">
      <w:pPr>
        <w:pStyle w:val="31"/>
      </w:pPr>
      <w:r>
        <w:t>Цель сопровождения</w:t>
      </w:r>
    </w:p>
    <w:p w14:paraId="4F959CF8">
      <w:pPr>
        <w:pStyle w:val="32"/>
      </w:pPr>
      <w:r>
        <w:t xml:space="preserve">Целью оказания услуг по сопровождению работы пользователей в Системе является обеспечение работы пользователей в Системе в режиме 24 часа в сутки 7 дней в неделю. </w:t>
      </w:r>
    </w:p>
    <w:p w14:paraId="7CD6CA49">
      <w:pPr>
        <w:pStyle w:val="32"/>
      </w:pPr>
      <w:r>
        <w:t>Обеспечение работы пользователей Системы осуществляется путем поддержки пользователей при работе в Системе.</w:t>
      </w:r>
    </w:p>
    <w:p w14:paraId="5F75E2C2">
      <w:pPr>
        <w:pStyle w:val="31"/>
      </w:pPr>
      <w:r>
        <w:t xml:space="preserve">Назначение сопровождения </w:t>
      </w:r>
    </w:p>
    <w:p w14:paraId="419C0A2F">
      <w:pPr>
        <w:pStyle w:val="32"/>
      </w:pPr>
      <w:r>
        <w:t>Сопровождение пользователей Системы предназначено для:</w:t>
      </w:r>
    </w:p>
    <w:p w14:paraId="1DAE9922">
      <w:pPr>
        <w:pStyle w:val="36"/>
      </w:pPr>
      <w:r>
        <w:t>повышения качества медицинского обслуживания населения, удовлетворения потребностей населения в части оказания СМП;</w:t>
      </w:r>
    </w:p>
    <w:p w14:paraId="0C9F2CC9">
      <w:pPr>
        <w:pStyle w:val="36"/>
      </w:pPr>
      <w:r>
        <w:t xml:space="preserve">обеспечения поддержки пользователей Системы. </w:t>
      </w:r>
    </w:p>
    <w:p w14:paraId="24212FB5">
      <w:pPr>
        <w:pStyle w:val="30"/>
      </w:pPr>
      <w:r>
        <w:t>Характеристика объекта сопровождения</w:t>
      </w:r>
    </w:p>
    <w:p w14:paraId="2816E813">
      <w:pPr>
        <w:pStyle w:val="31"/>
      </w:pPr>
      <w:r>
        <w:t>Сведения об объекте сопровождения</w:t>
      </w:r>
    </w:p>
    <w:p w14:paraId="457498B8">
      <w:pPr>
        <w:pStyle w:val="32"/>
      </w:pPr>
      <w:r>
        <w:t>Объектом сопровождения является работа пользователей в Системе, предназначенной для автоматизации деятельности оказания медицинской помощи.</w:t>
      </w:r>
    </w:p>
    <w:p w14:paraId="52F640A9">
      <w:pPr>
        <w:pStyle w:val="32"/>
      </w:pPr>
      <w:r>
        <w:t>Система, расположенная в ЦОД ГБУЗ СК «СККССМП», включает в себя программное обеспечение АСУ УССМП (правообладатель ООО «КАБ» (ИНН 3664114755, свидетельство о государственной регистрации программы ЭВМ № 2017662898 от 20.11.2017 г.), в которое входят:</w:t>
      </w:r>
    </w:p>
    <w:p w14:paraId="44FE4AAC">
      <w:pPr>
        <w:pStyle w:val="36"/>
      </w:pPr>
      <w:r>
        <w:t xml:space="preserve">Подсистемы: </w:t>
      </w:r>
    </w:p>
    <w:p w14:paraId="4851FB20">
      <w:pPr>
        <w:pStyle w:val="37"/>
      </w:pPr>
      <w:r>
        <w:t>Подсистема «Вызовы»;</w:t>
      </w:r>
    </w:p>
    <w:p w14:paraId="1AF74591">
      <w:pPr>
        <w:pStyle w:val="37"/>
      </w:pPr>
      <w:r>
        <w:t>Подсистема «Санавиация»;</w:t>
      </w:r>
    </w:p>
    <w:p w14:paraId="26356181">
      <w:pPr>
        <w:pStyle w:val="37"/>
      </w:pPr>
      <w:r>
        <w:t xml:space="preserve">Подсистема «Бригады»; </w:t>
      </w:r>
    </w:p>
    <w:p w14:paraId="12680638">
      <w:pPr>
        <w:pStyle w:val="37"/>
      </w:pPr>
      <w:r>
        <w:t>Подсистема «Автопарк»;</w:t>
      </w:r>
    </w:p>
    <w:p w14:paraId="7C0BBB1D">
      <w:pPr>
        <w:pStyle w:val="37"/>
      </w:pPr>
      <w:r>
        <w:t xml:space="preserve">Подсистема «Аптека»; </w:t>
      </w:r>
    </w:p>
    <w:p w14:paraId="761A4E29">
      <w:pPr>
        <w:pStyle w:val="37"/>
      </w:pPr>
      <w:r>
        <w:t>Подсистема «Оплата»;</w:t>
      </w:r>
    </w:p>
    <w:p w14:paraId="31E01A59">
      <w:pPr>
        <w:pStyle w:val="37"/>
      </w:pPr>
      <w:r>
        <w:t xml:space="preserve">Подсистема «Кадры»; </w:t>
      </w:r>
    </w:p>
    <w:p w14:paraId="621E2A7D">
      <w:pPr>
        <w:pStyle w:val="37"/>
      </w:pPr>
      <w:r>
        <w:t xml:space="preserve">Подсистема «Отчеты»; </w:t>
      </w:r>
    </w:p>
    <w:p w14:paraId="4681E955">
      <w:pPr>
        <w:pStyle w:val="37"/>
      </w:pPr>
      <w:r>
        <w:t xml:space="preserve">Подсистема «Справочники»; </w:t>
      </w:r>
    </w:p>
    <w:p w14:paraId="10AC8851">
      <w:pPr>
        <w:pStyle w:val="37"/>
      </w:pPr>
      <w:r>
        <w:t xml:space="preserve">Подсистема «ЕГИСЗ»; </w:t>
      </w:r>
    </w:p>
    <w:p w14:paraId="05B94D38">
      <w:pPr>
        <w:pStyle w:val="37"/>
      </w:pPr>
      <w:r>
        <w:t xml:space="preserve">Подсистема «Настройки». </w:t>
      </w:r>
    </w:p>
    <w:p w14:paraId="3064D2EF">
      <w:pPr>
        <w:pStyle w:val="36"/>
      </w:pPr>
      <w:r>
        <w:t>Автоматизированные рабочие места (АРМ):</w:t>
      </w:r>
    </w:p>
    <w:p w14:paraId="7D01746D">
      <w:pPr>
        <w:pStyle w:val="37"/>
      </w:pPr>
      <w:r>
        <w:t>АРМ «Диспетчер приема вызовов»;</w:t>
      </w:r>
    </w:p>
    <w:p w14:paraId="56B633BE">
      <w:pPr>
        <w:pStyle w:val="37"/>
      </w:pPr>
      <w:r>
        <w:t>АРМ «Диспетчер направлений»;</w:t>
      </w:r>
    </w:p>
    <w:p w14:paraId="25EC3604">
      <w:pPr>
        <w:pStyle w:val="37"/>
      </w:pPr>
      <w:r>
        <w:t>АРМ «Диспетчер подстанции»;</w:t>
      </w:r>
    </w:p>
    <w:p w14:paraId="5FAC8A18">
      <w:pPr>
        <w:pStyle w:val="37"/>
      </w:pPr>
      <w:r>
        <w:t>АРМ «Старший врач»;</w:t>
      </w:r>
    </w:p>
    <w:p w14:paraId="47CFD07B">
      <w:pPr>
        <w:pStyle w:val="37"/>
      </w:pPr>
      <w:r>
        <w:t>АРМ «Статистическая служба»;</w:t>
      </w:r>
    </w:p>
    <w:p w14:paraId="745B657E">
      <w:pPr>
        <w:pStyle w:val="37"/>
      </w:pPr>
      <w:r>
        <w:t>Мобильное АРМ.</w:t>
      </w:r>
    </w:p>
    <w:p w14:paraId="4BB5257B">
      <w:pPr>
        <w:pStyle w:val="36"/>
      </w:pPr>
      <w:r>
        <w:t>Сервисы интеграции:</w:t>
      </w:r>
    </w:p>
    <w:p w14:paraId="6D338BA9">
      <w:pPr>
        <w:pStyle w:val="37"/>
      </w:pPr>
      <w:r>
        <w:t>с ФОМС;</w:t>
      </w:r>
    </w:p>
    <w:p w14:paraId="57F0903C">
      <w:pPr>
        <w:pStyle w:val="37"/>
      </w:pPr>
      <w:r>
        <w:t>с ГЛОНАСС;</w:t>
      </w:r>
    </w:p>
    <w:p w14:paraId="060A1608">
      <w:pPr>
        <w:pStyle w:val="37"/>
      </w:pPr>
      <w:r>
        <w:t>с Системой-112;</w:t>
      </w:r>
    </w:p>
    <w:p w14:paraId="29B440A2">
      <w:pPr>
        <w:pStyle w:val="37"/>
      </w:pPr>
      <w:r>
        <w:t>с мобильным АРМ.</w:t>
      </w:r>
    </w:p>
    <w:p w14:paraId="72A16FFD">
      <w:pPr>
        <w:pStyle w:val="30"/>
      </w:pPr>
      <w:r>
        <w:t xml:space="preserve">Состав и содержание услуг по сопровождению </w:t>
      </w:r>
    </w:p>
    <w:p w14:paraId="26D33A06">
      <w:pPr>
        <w:pStyle w:val="32"/>
      </w:pPr>
      <w:r>
        <w:t>Услуги должны оказываться в отношении пользователей медицинской организации, использующей Систему на дату заключения Контракта.</w:t>
      </w:r>
    </w:p>
    <w:p w14:paraId="228D73B6">
      <w:pPr>
        <w:pStyle w:val="32"/>
      </w:pPr>
      <w:r>
        <w:t>Состав Услуг по сопровождению пользователей Системы включает:</w:t>
      </w:r>
    </w:p>
    <w:p w14:paraId="4D55EB4D">
      <w:pPr>
        <w:pStyle w:val="32"/>
      </w:pPr>
      <w:r>
        <w:t>-</w:t>
      </w:r>
      <w:r>
        <w:tab/>
      </w:r>
      <w:r>
        <w:t>оперативную консультационную поддержку пользователей;</w:t>
      </w:r>
    </w:p>
    <w:p w14:paraId="0B7AC105">
      <w:pPr>
        <w:pStyle w:val="32"/>
      </w:pPr>
      <w:r>
        <w:t>-</w:t>
      </w:r>
      <w:r>
        <w:tab/>
      </w:r>
      <w:r>
        <w:t>поддержку, направленную на устранение пользовательских ошибок, возникших при работе в Системе, и устранение ошибок, возникших при работе Системы;</w:t>
      </w:r>
    </w:p>
    <w:p w14:paraId="2D0943E2">
      <w:pPr>
        <w:pStyle w:val="32"/>
      </w:pPr>
      <w:r>
        <w:t>-</w:t>
      </w:r>
      <w:r>
        <w:tab/>
      </w:r>
      <w:r>
        <w:t>инструктаж новых пользователей (по необходимости и при наличии заявки Заказчика).</w:t>
      </w:r>
    </w:p>
    <w:p w14:paraId="34FAFD96">
      <w:pPr>
        <w:pStyle w:val="32"/>
      </w:pPr>
      <w:r>
        <w:t>Исполнитель должен обеспечить следующий режим оказания услуг по сопровождению работы пользователей Системы:</w:t>
      </w:r>
    </w:p>
    <w:p w14:paraId="4289FBB9">
      <w:pPr>
        <w:pStyle w:val="36"/>
      </w:pPr>
      <w:r>
        <w:t xml:space="preserve">круглосуточно — поддержка пользователей. </w:t>
      </w:r>
    </w:p>
    <w:p w14:paraId="272FB5DD">
      <w:pPr>
        <w:pStyle w:val="32"/>
      </w:pPr>
      <w:r>
        <w:t xml:space="preserve">При необходимости для подтверждения факта оказания услуг Заказчик может запросить у Исполнителя записи телефонных переговоров с инициатором обращения, историю переписки по электронной почте, а также иные документальные свидетельства факта оказания услуг. </w:t>
      </w:r>
    </w:p>
    <w:p w14:paraId="55C92DF0">
      <w:pPr>
        <w:pStyle w:val="32"/>
      </w:pPr>
      <w:bookmarkStart w:id="1" w:name="_Ref208598675"/>
      <w:r>
        <w:t>Основанием для оказания услуг является поступившее обращение пользователя по телефону или посредством системы обмена сообщениями.</w:t>
      </w:r>
    </w:p>
    <w:bookmarkEnd w:id="1"/>
    <w:p w14:paraId="0792DB6A">
      <w:pPr>
        <w:pStyle w:val="32"/>
      </w:pPr>
      <w:r>
        <w:t>Для оказания услуг поддержки Заказчик предоставляет удаленный доступ к рабочим местам пользователей, на которых должны быть установлены средства удаленного доступа к рабочему столу. При отсутствии средства удаленного доступа на автоматизированном рабочем месте пользователя Исполнитель имеет право отклонить обращение без выполнения.</w:t>
      </w:r>
    </w:p>
    <w:p w14:paraId="15ACE775">
      <w:pPr>
        <w:spacing w:after="0"/>
        <w:ind w:firstLine="709"/>
        <w:jc w:val="both"/>
        <w:rPr>
          <w:rFonts w:ascii="Times New Roman" w:hAnsi="Times New Roman"/>
          <w:sz w:val="24"/>
          <w:szCs w:val="24"/>
        </w:rPr>
      </w:pPr>
      <w:r>
        <w:rPr>
          <w:rFonts w:ascii="Times New Roman" w:hAnsi="Times New Roman"/>
          <w:sz w:val="24"/>
          <w:szCs w:val="24"/>
        </w:rPr>
        <w:t xml:space="preserve">В ходе оказания услуг по сопровождению при устранении ошибок, возникших при работе Системы, должно проводиться </w:t>
      </w:r>
      <w:r>
        <w:rPr>
          <w:rFonts w:ascii="Times New Roman" w:hAnsi="Times New Roman"/>
          <w:b/>
          <w:sz w:val="24"/>
          <w:szCs w:val="24"/>
        </w:rPr>
        <w:t>обновление и установка новых версий конфигураций АСУ УССМП</w:t>
      </w:r>
      <w:r>
        <w:rPr>
          <w:rFonts w:ascii="Times New Roman" w:hAnsi="Times New Roman"/>
          <w:sz w:val="24"/>
          <w:szCs w:val="24"/>
        </w:rPr>
        <w:t>, включающих устранение выявленных в ходе работы ошибок, исключение зависаний, сбоев, повышение стабильности и эффективности работы всей Системы. В результате оказания услуг на дату окончания действия настоящего Контракта конфигурация АСУ УССМП</w:t>
      </w:r>
      <w:r>
        <w:rPr>
          <w:rFonts w:ascii="Times New Roman" w:hAnsi="Times New Roman"/>
          <w:b/>
          <w:sz w:val="24"/>
          <w:szCs w:val="24"/>
        </w:rPr>
        <w:t xml:space="preserve"> </w:t>
      </w:r>
      <w:r>
        <w:rPr>
          <w:rFonts w:ascii="Times New Roman" w:hAnsi="Times New Roman"/>
          <w:sz w:val="24"/>
          <w:szCs w:val="24"/>
        </w:rPr>
        <w:t xml:space="preserve">должна быть обновлена до версии, исключающей возникшие в процессе оказания поддержки ошибки. </w:t>
      </w:r>
    </w:p>
    <w:p w14:paraId="7120BA58">
      <w:pPr>
        <w:pStyle w:val="30"/>
      </w:pPr>
      <w:r>
        <w:t>Требования к используемым программным кодам и соблюдению авторских прав</w:t>
      </w:r>
    </w:p>
    <w:p w14:paraId="7411F34D">
      <w:pPr>
        <w:spacing w:after="0"/>
        <w:ind w:firstLine="709"/>
        <w:jc w:val="both"/>
        <w:rPr>
          <w:rFonts w:ascii="Times New Roman" w:hAnsi="Times New Roman"/>
          <w:sz w:val="24"/>
          <w:szCs w:val="24"/>
        </w:rPr>
      </w:pPr>
      <w:r>
        <w:rPr>
          <w:rFonts w:ascii="Times New Roman" w:hAnsi="Times New Roman"/>
          <w:sz w:val="24"/>
          <w:szCs w:val="24"/>
        </w:rPr>
        <w:t>Любая модификация исходного кода, существующего в составе Системы, должна осуществляться с учетом требований законодательства Российской Федерации об авторском праве и не должна приводить к нарушению исключительных, авторских и смежных прав третьих лиц при реализации технических, программных, организационных и иных решений, предусмотренных настоящим ТЗ.</w:t>
      </w:r>
    </w:p>
    <w:p w14:paraId="31BC9B8E">
      <w:pPr>
        <w:pStyle w:val="30"/>
      </w:pPr>
      <w:r>
        <w:t>Требования к защите информации</w:t>
      </w:r>
    </w:p>
    <w:p w14:paraId="48CAA850">
      <w:pPr>
        <w:pStyle w:val="32"/>
      </w:pPr>
      <w:r>
        <w:t>Для выполнения работ в удаленном режиме Заказчик на весь срок исполнения контракта предоставляет Исполнителю возможность защищенного удаленного доступа к инфраструктуре Заказчика через защищенные каналы связи.</w:t>
      </w:r>
    </w:p>
    <w:p w14:paraId="2C74402D">
      <w:pPr>
        <w:pStyle w:val="32"/>
      </w:pPr>
      <w:r>
        <w:t xml:space="preserve">Удаленное подключение допустимо с использованием телекоммуникационных сетей связи по защищенному каналу связи. Доступ обеспечивает Заказчик. </w:t>
      </w:r>
    </w:p>
    <w:p w14:paraId="6CE8A99B">
      <w:pPr>
        <w:pStyle w:val="32"/>
      </w:pPr>
      <w:r>
        <w:t>В случае сбоев в работе или выходе из строя защищенных каналов связи, Исполнитель обязан реализовать резервный защищенный удаленный доступ через внешние информационно-телекоммуникационные сети с применением защищенных протоколов безопасности транспортного уровня (TLS 1.2) или сетевого уровня (например, OpenVPN).</w:t>
      </w:r>
    </w:p>
    <w:p w14:paraId="262ED7CF">
      <w:pPr>
        <w:pStyle w:val="32"/>
      </w:pPr>
      <w:r>
        <w:t>Исполнитель обеспечивает конфиденциальность, целостность и доступность информации при обработке информации. Исполнитель несет ответственность по обеспечению безопасности при обработке персональных данных, а также иных сведений, составляющих тайну в соответствии с законодательством Российской Федерации.</w:t>
      </w:r>
    </w:p>
    <w:p w14:paraId="037E7D4D">
      <w:pPr>
        <w:pStyle w:val="30"/>
      </w:pPr>
      <w:r>
        <w:t>Требования к результатам оказания услуг</w:t>
      </w:r>
    </w:p>
    <w:p w14:paraId="593E3B51">
      <w:pPr>
        <w:pStyle w:val="32"/>
      </w:pPr>
      <w:r>
        <w:t>В соответствии с настоящим ТЗ Исполнитель гарантирует результат оказания услуг:</w:t>
      </w:r>
    </w:p>
    <w:p w14:paraId="09D38344">
      <w:pPr>
        <w:pStyle w:val="36"/>
      </w:pPr>
      <w:r>
        <w:t>проведена оперативная консультационная поддержка пользователей;</w:t>
      </w:r>
    </w:p>
    <w:p w14:paraId="08B912F0">
      <w:pPr>
        <w:pStyle w:val="36"/>
      </w:pPr>
      <w:r>
        <w:t>проведена консультация для устранения ошибок, возникших при работе пользователей в Системе;</w:t>
      </w:r>
    </w:p>
    <w:p w14:paraId="3A74168D">
      <w:pPr>
        <w:pStyle w:val="36"/>
      </w:pPr>
      <w:r>
        <w:t>проведен инструктаж новых пользователей (по необходимости и при наличии заявки от Заказчика на инструктаж).</w:t>
      </w:r>
    </w:p>
    <w:p w14:paraId="5D2EFF0E">
      <w:pPr>
        <w:pStyle w:val="30"/>
      </w:pPr>
      <w:r>
        <w:t>Порядок контроля и приемки услуг</w:t>
      </w:r>
    </w:p>
    <w:p w14:paraId="4EF91B51">
      <w:pPr>
        <w:pStyle w:val="32"/>
      </w:pPr>
      <w:r>
        <w:t>Порядок контроля и приемки, а также сроки проведения приемки указаны в Контракте.</w:t>
      </w:r>
    </w:p>
    <w:p w14:paraId="497FB960">
      <w:pPr>
        <w:pStyle w:val="30"/>
      </w:pPr>
      <w:r>
        <w:t>Требования к документированию</w:t>
      </w:r>
    </w:p>
    <w:p w14:paraId="68E4507E">
      <w:pPr>
        <w:pStyle w:val="32"/>
      </w:pPr>
      <w:r>
        <w:t xml:space="preserve">Требования к документированию указаны в Контракте. </w:t>
      </w:r>
    </w:p>
    <w:p w14:paraId="37093755">
      <w:pPr>
        <w:rPr>
          <w:rFonts w:ascii="Times New Roman" w:hAnsi="Times New Roman" w:cs="Times New Roman"/>
          <w:sz w:val="24"/>
          <w:szCs w:val="24"/>
        </w:rPr>
      </w:pPr>
    </w:p>
    <w:p w14:paraId="49ABE9DD">
      <w:pPr>
        <w:rPr>
          <w:rFonts w:ascii="Times New Roman" w:hAnsi="Times New Roman" w:cs="Times New Roman"/>
          <w:sz w:val="24"/>
          <w:szCs w:val="24"/>
        </w:rPr>
      </w:pPr>
      <w:bookmarkStart w:id="2" w:name="_GoBack"/>
      <w:bookmarkEnd w:id="2"/>
    </w:p>
    <w:tbl>
      <w:tblPr>
        <w:tblStyle w:val="11"/>
        <w:tblW w:w="10524" w:type="dxa"/>
        <w:tblInd w:w="-60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846"/>
        <w:gridCol w:w="4678"/>
      </w:tblGrid>
      <w:tr w14:paraId="24DCC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46" w:type="dxa"/>
          </w:tcPr>
          <w:p w14:paraId="7440F632">
            <w:pPr>
              <w:spacing w:after="0" w:line="240" w:lineRule="atLeast"/>
              <w:rPr>
                <w:rFonts w:ascii="Times New Roman" w:hAnsi="Times New Roman" w:cs="Times New Roman"/>
                <w:b/>
                <w:bCs/>
                <w:sz w:val="20"/>
                <w:szCs w:val="20"/>
              </w:rPr>
            </w:pPr>
            <w:r>
              <w:rPr>
                <w:rFonts w:ascii="Times New Roman" w:hAnsi="Times New Roman" w:cs="Times New Roman"/>
                <w:b/>
                <w:bCs/>
                <w:sz w:val="20"/>
                <w:szCs w:val="20"/>
              </w:rPr>
              <w:t>ЗАКАЗЧИК:</w:t>
            </w:r>
          </w:p>
          <w:p w14:paraId="423F5C55">
            <w:pPr>
              <w:spacing w:after="0" w:line="240" w:lineRule="atLeast"/>
              <w:rPr>
                <w:rFonts w:ascii="Times New Roman" w:hAnsi="Times New Roman" w:cs="Times New Roman"/>
                <w:sz w:val="20"/>
                <w:szCs w:val="20"/>
              </w:rPr>
            </w:pPr>
          </w:p>
          <w:p w14:paraId="028ED8C9">
            <w:pPr>
              <w:spacing w:after="0" w:line="240" w:lineRule="atLeast"/>
              <w:rPr>
                <w:rFonts w:ascii="Times New Roman" w:hAnsi="Times New Roman" w:cs="Times New Roman"/>
                <w:sz w:val="20"/>
                <w:szCs w:val="20"/>
              </w:rPr>
            </w:pPr>
            <w:r>
              <w:rPr>
                <w:rFonts w:ascii="Times New Roman" w:hAnsi="Times New Roman" w:cs="Times New Roman"/>
                <w:sz w:val="20"/>
                <w:szCs w:val="20"/>
              </w:rPr>
              <w:t>___________</w:t>
            </w:r>
          </w:p>
          <w:p w14:paraId="0332643A">
            <w:pPr>
              <w:spacing w:after="0" w:line="240" w:lineRule="atLeast"/>
              <w:rPr>
                <w:rFonts w:ascii="Times New Roman" w:hAnsi="Times New Roman" w:cs="Times New Roman"/>
                <w:sz w:val="20"/>
                <w:szCs w:val="20"/>
              </w:rPr>
            </w:pPr>
          </w:p>
          <w:p w14:paraId="7D9821CA">
            <w:pPr>
              <w:spacing w:after="0" w:line="240" w:lineRule="atLeast"/>
              <w:rPr>
                <w:rFonts w:ascii="Times New Roman" w:hAnsi="Times New Roman" w:cs="Times New Roman"/>
                <w:sz w:val="20"/>
                <w:szCs w:val="20"/>
              </w:rPr>
            </w:pPr>
            <w:r>
              <w:rPr>
                <w:rFonts w:ascii="Times New Roman" w:hAnsi="Times New Roman" w:cs="Times New Roman"/>
                <w:sz w:val="20"/>
                <w:szCs w:val="20"/>
              </w:rPr>
              <w:t>______________________/ /</w:t>
            </w:r>
          </w:p>
          <w:p w14:paraId="324D082C">
            <w:pPr>
              <w:spacing w:after="0" w:line="240" w:lineRule="atLeast"/>
              <w:jc w:val="both"/>
              <w:rPr>
                <w:rFonts w:ascii="Times New Roman" w:hAnsi="Times New Roman" w:cs="Times New Roman"/>
                <w:sz w:val="20"/>
                <w:szCs w:val="20"/>
              </w:rPr>
            </w:pPr>
            <w:r>
              <w:rPr>
                <w:rFonts w:ascii="Times New Roman" w:hAnsi="Times New Roman" w:cs="Times New Roman"/>
                <w:sz w:val="20"/>
                <w:szCs w:val="20"/>
              </w:rPr>
              <w:t>М.П.</w:t>
            </w:r>
          </w:p>
        </w:tc>
        <w:tc>
          <w:tcPr>
            <w:tcW w:w="4678" w:type="dxa"/>
          </w:tcPr>
          <w:p w14:paraId="2D5028E9">
            <w:pPr>
              <w:spacing w:after="0" w:line="240" w:lineRule="atLeast"/>
              <w:rPr>
                <w:rFonts w:ascii="Times New Roman" w:hAnsi="Times New Roman" w:cs="Times New Roman"/>
                <w:bCs/>
                <w:sz w:val="20"/>
                <w:szCs w:val="20"/>
              </w:rPr>
            </w:pPr>
            <w:r>
              <w:rPr>
                <w:rFonts w:ascii="Times New Roman" w:hAnsi="Times New Roman" w:cs="Times New Roman"/>
                <w:b/>
                <w:caps/>
                <w:sz w:val="20"/>
                <w:szCs w:val="20"/>
              </w:rPr>
              <w:t>ИСПОЛНИТЕЛЬ</w:t>
            </w:r>
            <w:r>
              <w:rPr>
                <w:rFonts w:ascii="Times New Roman" w:hAnsi="Times New Roman" w:cs="Times New Roman"/>
                <w:bCs/>
                <w:sz w:val="20"/>
                <w:szCs w:val="20"/>
              </w:rPr>
              <w:t>:</w:t>
            </w:r>
          </w:p>
          <w:p w14:paraId="237B299F">
            <w:pPr>
              <w:spacing w:after="0" w:line="240" w:lineRule="atLeast"/>
              <w:ind w:left="671" w:hanging="671"/>
              <w:jc w:val="both"/>
              <w:rPr>
                <w:rFonts w:ascii="Times New Roman" w:hAnsi="Times New Roman" w:cs="Times New Roman"/>
                <w:sz w:val="20"/>
                <w:szCs w:val="20"/>
              </w:rPr>
            </w:pPr>
          </w:p>
          <w:p w14:paraId="17A4B50E">
            <w:pPr>
              <w:spacing w:after="0" w:line="240" w:lineRule="atLeast"/>
              <w:ind w:left="671" w:hanging="671"/>
              <w:jc w:val="both"/>
              <w:rPr>
                <w:rFonts w:ascii="Times New Roman" w:hAnsi="Times New Roman" w:cs="Times New Roman"/>
                <w:sz w:val="20"/>
                <w:szCs w:val="20"/>
              </w:rPr>
            </w:pPr>
            <w:r>
              <w:rPr>
                <w:rFonts w:ascii="Times New Roman" w:hAnsi="Times New Roman" w:cs="Times New Roman"/>
                <w:sz w:val="20"/>
                <w:szCs w:val="20"/>
              </w:rPr>
              <w:t>_________</w:t>
            </w:r>
          </w:p>
          <w:p w14:paraId="1BF6C9E0">
            <w:pPr>
              <w:spacing w:after="0" w:line="240" w:lineRule="atLeast"/>
              <w:ind w:left="671" w:hanging="671"/>
              <w:jc w:val="both"/>
              <w:rPr>
                <w:rFonts w:ascii="Times New Roman" w:hAnsi="Times New Roman" w:cs="Times New Roman"/>
                <w:sz w:val="20"/>
                <w:szCs w:val="20"/>
              </w:rPr>
            </w:pPr>
          </w:p>
          <w:p w14:paraId="60E1F3D1">
            <w:pPr>
              <w:spacing w:after="0" w:line="240" w:lineRule="atLeast"/>
              <w:ind w:left="671" w:hanging="671"/>
              <w:jc w:val="both"/>
              <w:rPr>
                <w:rFonts w:ascii="Times New Roman" w:hAnsi="Times New Roman" w:cs="Times New Roman"/>
                <w:sz w:val="20"/>
                <w:szCs w:val="20"/>
              </w:rPr>
            </w:pPr>
            <w:r>
              <w:rPr>
                <w:rFonts w:ascii="Times New Roman" w:hAnsi="Times New Roman" w:cs="Times New Roman"/>
                <w:sz w:val="20"/>
                <w:szCs w:val="20"/>
              </w:rPr>
              <w:t>__________________/ /</w:t>
            </w:r>
          </w:p>
          <w:p w14:paraId="740F0A50">
            <w:pPr>
              <w:spacing w:after="0" w:line="240" w:lineRule="atLeast"/>
              <w:ind w:left="671" w:hanging="671"/>
              <w:jc w:val="both"/>
              <w:rPr>
                <w:rFonts w:ascii="Times New Roman" w:hAnsi="Times New Roman" w:cs="Times New Roman"/>
                <w:sz w:val="20"/>
                <w:szCs w:val="20"/>
              </w:rPr>
            </w:pPr>
          </w:p>
        </w:tc>
      </w:tr>
    </w:tbl>
    <w:p w14:paraId="2881A2B3">
      <w:pPr>
        <w:pStyle w:val="2"/>
        <w:spacing w:before="0"/>
        <w:ind w:firstLine="567"/>
        <w:rPr>
          <w:rFonts w:ascii="Times New Roman" w:hAnsi="Times New Roman" w:cs="Times New Roman"/>
          <w:b w:val="0"/>
          <w:sz w:val="24"/>
          <w:szCs w:val="24"/>
        </w:rPr>
      </w:pPr>
    </w:p>
    <w:p w14:paraId="4020B4DE">
      <w:pPr>
        <w:rPr>
          <w:lang w:eastAsia="ru-RU"/>
        </w:rPr>
      </w:pPr>
    </w:p>
    <w:p w14:paraId="1FDCD074">
      <w:pPr>
        <w:rPr>
          <w:lang w:eastAsia="ru-RU"/>
        </w:rPr>
      </w:pPr>
    </w:p>
    <w:p w14:paraId="27364387">
      <w:pPr>
        <w:rPr>
          <w:lang w:eastAsia="ru-RU"/>
        </w:rPr>
      </w:pPr>
    </w:p>
    <w:p w14:paraId="32C42B3A">
      <w:pPr>
        <w:rPr>
          <w:lang w:eastAsia="ru-RU"/>
        </w:rPr>
      </w:pPr>
    </w:p>
    <w:p w14:paraId="6715FA67">
      <w:pPr>
        <w:rPr>
          <w:lang w:eastAsia="ru-RU"/>
        </w:rPr>
      </w:pPr>
    </w:p>
    <w:p w14:paraId="5BC94DD0">
      <w:pPr>
        <w:rPr>
          <w:lang w:eastAsia="ru-RU"/>
        </w:rPr>
      </w:pPr>
    </w:p>
    <w:p w14:paraId="274829DD">
      <w:pPr>
        <w:rPr>
          <w:lang w:eastAsia="ru-RU"/>
        </w:rPr>
      </w:pPr>
    </w:p>
    <w:p w14:paraId="00D87971">
      <w:pPr>
        <w:rPr>
          <w:lang w:eastAsia="ru-RU"/>
        </w:rPr>
      </w:pPr>
    </w:p>
    <w:p w14:paraId="337BAB9C">
      <w:pPr>
        <w:spacing w:after="0" w:line="240" w:lineRule="auto"/>
        <w:jc w:val="both"/>
        <w:rPr>
          <w:rFonts w:ascii="Times New Roman" w:hAnsi="Times New Roman" w:cs="Times New Roman"/>
          <w:b/>
          <w:sz w:val="24"/>
          <w:szCs w:val="24"/>
        </w:rPr>
      </w:pPr>
    </w:p>
    <w:p w14:paraId="636D4E32">
      <w:pPr>
        <w:spacing w:after="0" w:line="240" w:lineRule="auto"/>
        <w:jc w:val="both"/>
        <w:rPr>
          <w:rFonts w:ascii="Times New Roman" w:hAnsi="Times New Roman" w:cs="Times New Roman"/>
          <w:b/>
          <w:sz w:val="24"/>
          <w:szCs w:val="24"/>
        </w:rPr>
      </w:pPr>
    </w:p>
    <w:sectPr>
      <w:headerReference r:id="rId5" w:type="default"/>
      <w:endnotePr>
        <w:numFmt w:val="decimal"/>
      </w:endnotePr>
      <w:pgSz w:w="11906" w:h="16838"/>
      <w:pgMar w:top="709" w:right="567" w:bottom="1021" w:left="1418"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Andale Sans UI">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angal">
    <w:altName w:val="Arial Unicode MS"/>
    <w:panose1 w:val="00000400000000000000"/>
    <w:charset w:val="01"/>
    <w:family w:val="roman"/>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Times New Roman Полужирный">
    <w:altName w:val="Times New Roman"/>
    <w:panose1 w:val="00000000000000000000"/>
    <w:charset w:val="00"/>
    <w:family w:val="roman"/>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Cambria">
    <w:panose1 w:val="02040503050406030204"/>
    <w:charset w:val="00"/>
    <w:family w:val="auto"/>
    <w:pitch w:val="default"/>
    <w:sig w:usb0="E00006FF" w:usb1="420024FF" w:usb2="02000000" w:usb3="00000000" w:csb0="2000019F" w:csb1="00000000"/>
  </w:font>
  <w:font w:name="Calibri">
    <w:panose1 w:val="020F0502020204030204"/>
    <w:charset w:val="86"/>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EB3DE">
    <w:pPr>
      <w:pStyle w:val="9"/>
    </w:pPr>
  </w:p>
  <w:p w14:paraId="36B73AF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571AD9"/>
    <w:multiLevelType w:val="multilevel"/>
    <w:tmpl w:val="1E571AD9"/>
    <w:lvl w:ilvl="0" w:tentative="0">
      <w:start w:val="1"/>
      <w:numFmt w:val="decimal"/>
      <w:pStyle w:val="23"/>
      <w:lvlText w:val="%1."/>
      <w:lvlJc w:val="center"/>
      <w:pPr>
        <w:tabs>
          <w:tab w:val="left" w:pos="0"/>
        </w:tabs>
        <w:ind w:left="0" w:firstLine="0"/>
      </w:pPr>
      <w:rPr>
        <w:rFonts w:hint="default"/>
        <w:b/>
        <w:i w:val="0"/>
      </w:rPr>
    </w:lvl>
    <w:lvl w:ilvl="1" w:tentative="0">
      <w:start w:val="1"/>
      <w:numFmt w:val="decimal"/>
      <w:pStyle w:val="24"/>
      <w:lvlText w:val="%1.%2"/>
      <w:lvlJc w:val="left"/>
      <w:pPr>
        <w:tabs>
          <w:tab w:val="left" w:pos="851"/>
        </w:tabs>
        <w:ind w:left="851" w:hanging="851"/>
      </w:pPr>
      <w:rPr>
        <w:rFonts w:hint="default" w:cs="Times New Roman"/>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rPr>
    </w:lvl>
    <w:lvl w:ilvl="2" w:tentative="0">
      <w:start w:val="1"/>
      <w:numFmt w:val="decimal"/>
      <w:pStyle w:val="25"/>
      <w:lvlText w:val="%1.%2.%3"/>
      <w:lvlJc w:val="left"/>
      <w:pPr>
        <w:tabs>
          <w:tab w:val="left" w:pos="851"/>
        </w:tabs>
        <w:ind w:left="851" w:hanging="851"/>
      </w:pPr>
      <w:rPr>
        <w:rFonts w:hint="default"/>
        <w:b w:val="0"/>
        <w:bCs w:val="0"/>
        <w:i w:val="0"/>
        <w:iCs w:val="0"/>
      </w:rPr>
    </w:lvl>
    <w:lvl w:ilvl="3" w:tentative="0">
      <w:start w:val="1"/>
      <w:numFmt w:val="lowerLetter"/>
      <w:pStyle w:val="26"/>
      <w:lvlText w:val="%4)"/>
      <w:lvlJc w:val="left"/>
      <w:pPr>
        <w:tabs>
          <w:tab w:val="left" w:pos="1418"/>
        </w:tabs>
        <w:ind w:left="1418" w:hanging="567"/>
      </w:pPr>
      <w:rPr>
        <w:rFonts w:hint="default" w:cs="Times New Roman"/>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rPr>
    </w:lvl>
    <w:lvl w:ilvl="4" w:tentative="0">
      <w:start w:val="1"/>
      <w:numFmt w:val="lowerLetter"/>
      <w:lvlText w:val="%5)"/>
      <w:lvlJc w:val="left"/>
      <w:pPr>
        <w:tabs>
          <w:tab w:val="left" w:pos="1134"/>
        </w:tabs>
        <w:ind w:left="1134" w:hanging="567"/>
      </w:pPr>
      <w:rPr>
        <w:rFonts w:hint="default"/>
      </w:rPr>
    </w:lvl>
    <w:lvl w:ilvl="5" w:tentative="0">
      <w:start w:val="1"/>
      <w:numFmt w:val="bullet"/>
      <w:lvlText w:val=""/>
      <w:lvlJc w:val="left"/>
      <w:pPr>
        <w:tabs>
          <w:tab w:val="left" w:pos="1701"/>
        </w:tabs>
        <w:ind w:left="1701" w:hanging="567"/>
      </w:pPr>
      <w:rPr>
        <w:rFonts w:hint="default" w:ascii="Symbol" w:hAnsi="Symbol"/>
      </w:rPr>
    </w:lvl>
    <w:lvl w:ilvl="6" w:tentative="0">
      <w:start w:val="1"/>
      <w:numFmt w:val="lowerLetter"/>
      <w:lvlText w:val="%5%6%7)"/>
      <w:lvlJc w:val="left"/>
      <w:pPr>
        <w:tabs>
          <w:tab w:val="left" w:pos="2268"/>
        </w:tabs>
        <w:ind w:left="2268" w:hanging="567"/>
      </w:pPr>
      <w:rPr>
        <w:rFonts w:hint="default"/>
      </w:rPr>
    </w:lvl>
    <w:lvl w:ilvl="7" w:tentative="0">
      <w:start w:val="1"/>
      <w:numFmt w:val="decimal"/>
      <w:lvlText w:val="%1.%2.%3.%4.%5.%6.%7.%8."/>
      <w:lvlJc w:val="left"/>
      <w:pPr>
        <w:tabs>
          <w:tab w:val="left" w:pos="3978"/>
        </w:tabs>
        <w:ind w:left="2322" w:hanging="1224"/>
      </w:pPr>
      <w:rPr>
        <w:rFonts w:hint="default"/>
      </w:rPr>
    </w:lvl>
    <w:lvl w:ilvl="8" w:tentative="0">
      <w:start w:val="1"/>
      <w:numFmt w:val="decimal"/>
      <w:lvlText w:val="%1.%2.%3.%4.%5.%6.%7.%8.%9."/>
      <w:lvlJc w:val="left"/>
      <w:pPr>
        <w:tabs>
          <w:tab w:val="left" w:pos="4698"/>
        </w:tabs>
        <w:ind w:left="2898" w:hanging="1440"/>
      </w:pPr>
      <w:rPr>
        <w:rFonts w:hint="default"/>
      </w:rPr>
    </w:lvl>
  </w:abstractNum>
  <w:abstractNum w:abstractNumId="1">
    <w:nsid w:val="255566F3"/>
    <w:multiLevelType w:val="multilevel"/>
    <w:tmpl w:val="255566F3"/>
    <w:lvl w:ilvl="0" w:tentative="0">
      <w:start w:val="1"/>
      <w:numFmt w:val="bullet"/>
      <w:pStyle w:val="37"/>
      <w:lvlText w:val=""/>
      <w:lvlJc w:val="left"/>
      <w:pPr>
        <w:ind w:left="2061" w:hanging="360"/>
      </w:pPr>
      <w:rPr>
        <w:rFonts w:hint="default" w:ascii="Symbol" w:hAnsi="Symbol"/>
      </w:rPr>
    </w:lvl>
    <w:lvl w:ilvl="1" w:tentative="0">
      <w:start w:val="1"/>
      <w:numFmt w:val="bullet"/>
      <w:lvlText w:val="o"/>
      <w:lvlJc w:val="left"/>
      <w:pPr>
        <w:ind w:left="2781" w:hanging="360"/>
      </w:pPr>
      <w:rPr>
        <w:rFonts w:hint="default" w:ascii="Courier New" w:hAnsi="Courier New" w:cs="Courier New"/>
      </w:rPr>
    </w:lvl>
    <w:lvl w:ilvl="2" w:tentative="0">
      <w:start w:val="1"/>
      <w:numFmt w:val="bullet"/>
      <w:lvlText w:val=""/>
      <w:lvlJc w:val="left"/>
      <w:pPr>
        <w:ind w:left="3501" w:hanging="360"/>
      </w:pPr>
      <w:rPr>
        <w:rFonts w:hint="default" w:ascii="Wingdings" w:hAnsi="Wingdings"/>
      </w:rPr>
    </w:lvl>
    <w:lvl w:ilvl="3" w:tentative="0">
      <w:start w:val="1"/>
      <w:numFmt w:val="bullet"/>
      <w:lvlText w:val=""/>
      <w:lvlJc w:val="left"/>
      <w:pPr>
        <w:ind w:left="4221" w:hanging="360"/>
      </w:pPr>
      <w:rPr>
        <w:rFonts w:hint="default" w:ascii="Symbol" w:hAnsi="Symbol"/>
      </w:rPr>
    </w:lvl>
    <w:lvl w:ilvl="4" w:tentative="0">
      <w:start w:val="1"/>
      <w:numFmt w:val="bullet"/>
      <w:lvlText w:val="o"/>
      <w:lvlJc w:val="left"/>
      <w:pPr>
        <w:ind w:left="4941" w:hanging="360"/>
      </w:pPr>
      <w:rPr>
        <w:rFonts w:hint="default" w:ascii="Courier New" w:hAnsi="Courier New" w:cs="Courier New"/>
      </w:rPr>
    </w:lvl>
    <w:lvl w:ilvl="5" w:tentative="0">
      <w:start w:val="1"/>
      <w:numFmt w:val="bullet"/>
      <w:lvlText w:val=""/>
      <w:lvlJc w:val="left"/>
      <w:pPr>
        <w:ind w:left="5661" w:hanging="360"/>
      </w:pPr>
      <w:rPr>
        <w:rFonts w:hint="default" w:ascii="Wingdings" w:hAnsi="Wingdings"/>
      </w:rPr>
    </w:lvl>
    <w:lvl w:ilvl="6" w:tentative="0">
      <w:start w:val="1"/>
      <w:numFmt w:val="bullet"/>
      <w:lvlText w:val=""/>
      <w:lvlJc w:val="left"/>
      <w:pPr>
        <w:ind w:left="6381" w:hanging="360"/>
      </w:pPr>
      <w:rPr>
        <w:rFonts w:hint="default" w:ascii="Symbol" w:hAnsi="Symbol"/>
      </w:rPr>
    </w:lvl>
    <w:lvl w:ilvl="7" w:tentative="0">
      <w:start w:val="1"/>
      <w:numFmt w:val="bullet"/>
      <w:lvlText w:val="o"/>
      <w:lvlJc w:val="left"/>
      <w:pPr>
        <w:ind w:left="7101" w:hanging="360"/>
      </w:pPr>
      <w:rPr>
        <w:rFonts w:hint="default" w:ascii="Courier New" w:hAnsi="Courier New" w:cs="Courier New"/>
      </w:rPr>
    </w:lvl>
    <w:lvl w:ilvl="8" w:tentative="0">
      <w:start w:val="1"/>
      <w:numFmt w:val="bullet"/>
      <w:lvlText w:val=""/>
      <w:lvlJc w:val="left"/>
      <w:pPr>
        <w:ind w:left="7821" w:hanging="360"/>
      </w:pPr>
      <w:rPr>
        <w:rFonts w:hint="default" w:ascii="Wingdings" w:hAnsi="Wingdings"/>
      </w:rPr>
    </w:lvl>
  </w:abstractNum>
  <w:abstractNum w:abstractNumId="2">
    <w:nsid w:val="33521C69"/>
    <w:multiLevelType w:val="multilevel"/>
    <w:tmpl w:val="33521C69"/>
    <w:lvl w:ilvl="0" w:tentative="0">
      <w:start w:val="1"/>
      <w:numFmt w:val="bullet"/>
      <w:pStyle w:val="36"/>
      <w:lvlText w:val="-"/>
      <w:lvlJc w:val="left"/>
      <w:pPr>
        <w:ind w:left="1440" w:hanging="360"/>
      </w:pPr>
      <w:rPr>
        <w:rFonts w:hint="default" w:ascii="Courier New" w:hAnsi="Courier New"/>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3">
    <w:nsid w:val="3BDF0EEC"/>
    <w:multiLevelType w:val="multilevel"/>
    <w:tmpl w:val="3BDF0EEC"/>
    <w:lvl w:ilvl="0" w:tentative="0">
      <w:start w:val="1"/>
      <w:numFmt w:val="decimal"/>
      <w:pStyle w:val="30"/>
      <w:suff w:val="space"/>
      <w:lvlText w:val="%1."/>
      <w:lvlJc w:val="left"/>
      <w:pPr>
        <w:ind w:left="357" w:firstLine="352"/>
      </w:pPr>
      <w:rPr>
        <w:rFonts w:hint="default" w:ascii="Times New Roman" w:hAnsi="Times New Roman"/>
        <w:b/>
        <w:i w:val="0"/>
        <w:sz w:val="26"/>
      </w:rPr>
    </w:lvl>
    <w:lvl w:ilvl="1" w:tentative="0">
      <w:start w:val="1"/>
      <w:numFmt w:val="decimal"/>
      <w:pStyle w:val="31"/>
      <w:suff w:val="space"/>
      <w:lvlText w:val="%1.%2."/>
      <w:lvlJc w:val="left"/>
      <w:pPr>
        <w:ind w:left="357" w:firstLine="352"/>
      </w:pPr>
      <w:rPr>
        <w:rFonts w:hint="default" w:ascii="Times New Roman" w:hAnsi="Times New Roman"/>
        <w:b/>
        <w:i w:val="0"/>
        <w:sz w:val="24"/>
      </w:rPr>
    </w:lvl>
    <w:lvl w:ilvl="2" w:tentative="0">
      <w:start w:val="1"/>
      <w:numFmt w:val="decimal"/>
      <w:suff w:val="space"/>
      <w:lvlText w:val="%1.%2.%3."/>
      <w:lvlJc w:val="left"/>
      <w:pPr>
        <w:ind w:left="1066" w:firstLine="352"/>
      </w:pPr>
      <w:rPr>
        <w:rFonts w:hint="default" w:ascii="Times New Roman" w:hAnsi="Times New Roman"/>
        <w:b/>
        <w:i w:val="0"/>
        <w:sz w:val="24"/>
      </w:rPr>
    </w:lvl>
    <w:lvl w:ilvl="3" w:tentative="0">
      <w:start w:val="1"/>
      <w:numFmt w:val="decimal"/>
      <w:suff w:val="space"/>
      <w:lvlText w:val="%1.%2.%3.%4."/>
      <w:lvlJc w:val="left"/>
      <w:pPr>
        <w:ind w:left="357" w:firstLine="352"/>
      </w:pPr>
      <w:rPr>
        <w:rFonts w:hint="default" w:ascii="Times New Roman" w:hAnsi="Times New Roman"/>
        <w:b/>
        <w:i w:val="0"/>
        <w:sz w:val="24"/>
      </w:rPr>
    </w:lvl>
    <w:lvl w:ilvl="4" w:tentative="0">
      <w:start w:val="1"/>
      <w:numFmt w:val="decimal"/>
      <w:suff w:val="space"/>
      <w:lvlText w:val="%1.%2.%3.%4.%5."/>
      <w:lvlJc w:val="left"/>
      <w:pPr>
        <w:ind w:left="1350" w:firstLine="352"/>
      </w:pPr>
      <w:rPr>
        <w:rFonts w:hint="default" w:ascii="Times New Roman" w:hAnsi="Times New Roman"/>
        <w:b/>
        <w:i w:val="0"/>
        <w:sz w:val="24"/>
      </w:rPr>
    </w:lvl>
    <w:lvl w:ilvl="5" w:tentative="0">
      <w:start w:val="1"/>
      <w:numFmt w:val="decimal"/>
      <w:suff w:val="space"/>
      <w:lvlText w:val="%1.%2.%3.%4.%5.%6."/>
      <w:lvlJc w:val="left"/>
      <w:pPr>
        <w:ind w:left="357" w:firstLine="352"/>
      </w:pPr>
      <w:rPr>
        <w:rFonts w:hint="default" w:ascii="Times New Roman" w:hAnsi="Times New Roman"/>
        <w:b/>
        <w:i w:val="0"/>
        <w:sz w:val="24"/>
      </w:rPr>
    </w:lvl>
    <w:lvl w:ilvl="6" w:tentative="0">
      <w:start w:val="1"/>
      <w:numFmt w:val="none"/>
      <w:lvlText w:val="%7"/>
      <w:lvlJc w:val="left"/>
      <w:pPr>
        <w:tabs>
          <w:tab w:val="left" w:pos="1021"/>
        </w:tabs>
        <w:ind w:left="357" w:firstLine="352"/>
      </w:pPr>
      <w:rPr>
        <w:rFonts w:hint="default"/>
      </w:rPr>
    </w:lvl>
    <w:lvl w:ilvl="7" w:tentative="0">
      <w:start w:val="1"/>
      <w:numFmt w:val="none"/>
      <w:lvlText w:val="%8"/>
      <w:lvlJc w:val="left"/>
      <w:pPr>
        <w:tabs>
          <w:tab w:val="left" w:pos="1021"/>
        </w:tabs>
        <w:ind w:left="357" w:firstLine="352"/>
      </w:pPr>
      <w:rPr>
        <w:rFonts w:hint="default"/>
      </w:rPr>
    </w:lvl>
    <w:lvl w:ilvl="8" w:tentative="0">
      <w:start w:val="1"/>
      <w:numFmt w:val="none"/>
      <w:lvlText w:val="%9"/>
      <w:lvlJc w:val="left"/>
      <w:pPr>
        <w:tabs>
          <w:tab w:val="left" w:pos="1021"/>
        </w:tabs>
        <w:ind w:left="357" w:firstLine="352"/>
      </w:pPr>
      <w:rPr>
        <w:rFonts w:hint="default"/>
      </w:rPr>
    </w:lvl>
  </w:abstractNum>
  <w:abstractNum w:abstractNumId="4">
    <w:nsid w:val="3D400D8D"/>
    <w:multiLevelType w:val="multilevel"/>
    <w:tmpl w:val="3D400D8D"/>
    <w:lvl w:ilvl="0" w:tentative="0">
      <w:start w:val="1"/>
      <w:numFmt w:val="decimal"/>
      <w:lvlText w:val="%1."/>
      <w:lvlJc w:val="left"/>
      <w:pPr>
        <w:ind w:left="360" w:hanging="360"/>
      </w:pPr>
      <w:rPr>
        <w:rFonts w:hint="default" w:eastAsia="Times New Roman"/>
      </w:rPr>
    </w:lvl>
    <w:lvl w:ilvl="1" w:tentative="0">
      <w:start w:val="2"/>
      <w:numFmt w:val="decimal"/>
      <w:lvlText w:val="%1.%2."/>
      <w:lvlJc w:val="left"/>
      <w:pPr>
        <w:ind w:left="360" w:hanging="360"/>
      </w:pPr>
      <w:rPr>
        <w:rFonts w:hint="default" w:eastAsia="Times New Roman"/>
      </w:rPr>
    </w:lvl>
    <w:lvl w:ilvl="2" w:tentative="0">
      <w:start w:val="1"/>
      <w:numFmt w:val="decimal"/>
      <w:lvlText w:val="%1.%2.%3."/>
      <w:lvlJc w:val="left"/>
      <w:pPr>
        <w:ind w:left="720" w:hanging="720"/>
      </w:pPr>
      <w:rPr>
        <w:rFonts w:hint="default" w:eastAsia="Times New Roman"/>
      </w:rPr>
    </w:lvl>
    <w:lvl w:ilvl="3" w:tentative="0">
      <w:start w:val="1"/>
      <w:numFmt w:val="decimal"/>
      <w:lvlText w:val="%1.%2.%3.%4."/>
      <w:lvlJc w:val="left"/>
      <w:pPr>
        <w:ind w:left="720" w:hanging="720"/>
      </w:pPr>
      <w:rPr>
        <w:rFonts w:hint="default" w:eastAsia="Times New Roman"/>
      </w:rPr>
    </w:lvl>
    <w:lvl w:ilvl="4" w:tentative="0">
      <w:start w:val="1"/>
      <w:numFmt w:val="decimal"/>
      <w:lvlText w:val="%1.%2.%3.%4.%5."/>
      <w:lvlJc w:val="left"/>
      <w:pPr>
        <w:ind w:left="1080" w:hanging="1080"/>
      </w:pPr>
      <w:rPr>
        <w:rFonts w:hint="default" w:eastAsia="Times New Roman"/>
      </w:rPr>
    </w:lvl>
    <w:lvl w:ilvl="5" w:tentative="0">
      <w:start w:val="1"/>
      <w:numFmt w:val="decimal"/>
      <w:lvlText w:val="%1.%2.%3.%4.%5.%6."/>
      <w:lvlJc w:val="left"/>
      <w:pPr>
        <w:ind w:left="1080" w:hanging="1080"/>
      </w:pPr>
      <w:rPr>
        <w:rFonts w:hint="default" w:eastAsia="Times New Roman"/>
      </w:rPr>
    </w:lvl>
    <w:lvl w:ilvl="6" w:tentative="0">
      <w:start w:val="1"/>
      <w:numFmt w:val="decimal"/>
      <w:lvlText w:val="%1.%2.%3.%4.%5.%6.%7."/>
      <w:lvlJc w:val="left"/>
      <w:pPr>
        <w:ind w:left="1440" w:hanging="1440"/>
      </w:pPr>
      <w:rPr>
        <w:rFonts w:hint="default" w:eastAsia="Times New Roman"/>
      </w:rPr>
    </w:lvl>
    <w:lvl w:ilvl="7" w:tentative="0">
      <w:start w:val="1"/>
      <w:numFmt w:val="decimal"/>
      <w:lvlText w:val="%1.%2.%3.%4.%5.%6.%7.%8."/>
      <w:lvlJc w:val="left"/>
      <w:pPr>
        <w:ind w:left="1440" w:hanging="1440"/>
      </w:pPr>
      <w:rPr>
        <w:rFonts w:hint="default" w:eastAsia="Times New Roman"/>
      </w:rPr>
    </w:lvl>
    <w:lvl w:ilvl="8" w:tentative="0">
      <w:start w:val="1"/>
      <w:numFmt w:val="decimal"/>
      <w:lvlText w:val="%1.%2.%3.%4.%5.%6.%7.%8.%9."/>
      <w:lvlJc w:val="left"/>
      <w:pPr>
        <w:ind w:left="1800" w:hanging="1800"/>
      </w:pPr>
      <w:rPr>
        <w:rFonts w:hint="default" w:eastAsia="Times New Roman"/>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numFmt w:val="decimal"/>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961"/>
    <w:rsid w:val="00006738"/>
    <w:rsid w:val="00014A46"/>
    <w:rsid w:val="0004266B"/>
    <w:rsid w:val="0004485D"/>
    <w:rsid w:val="000460A7"/>
    <w:rsid w:val="00051E7D"/>
    <w:rsid w:val="00067D51"/>
    <w:rsid w:val="000721D8"/>
    <w:rsid w:val="00086A6F"/>
    <w:rsid w:val="00095E2E"/>
    <w:rsid w:val="000A12F8"/>
    <w:rsid w:val="000A3009"/>
    <w:rsid w:val="000A5528"/>
    <w:rsid w:val="000A6A30"/>
    <w:rsid w:val="000B682D"/>
    <w:rsid w:val="000B6B79"/>
    <w:rsid w:val="000C4B3A"/>
    <w:rsid w:val="000C6945"/>
    <w:rsid w:val="000D06BF"/>
    <w:rsid w:val="000E0113"/>
    <w:rsid w:val="000E25F5"/>
    <w:rsid w:val="000F1216"/>
    <w:rsid w:val="00103A4A"/>
    <w:rsid w:val="001043FE"/>
    <w:rsid w:val="001067C9"/>
    <w:rsid w:val="00110371"/>
    <w:rsid w:val="00120CBD"/>
    <w:rsid w:val="00120DDB"/>
    <w:rsid w:val="00121B04"/>
    <w:rsid w:val="00127732"/>
    <w:rsid w:val="0012778B"/>
    <w:rsid w:val="00130A79"/>
    <w:rsid w:val="00132523"/>
    <w:rsid w:val="00136367"/>
    <w:rsid w:val="0014514E"/>
    <w:rsid w:val="001508A2"/>
    <w:rsid w:val="00172627"/>
    <w:rsid w:val="00176C52"/>
    <w:rsid w:val="001774B1"/>
    <w:rsid w:val="001806A3"/>
    <w:rsid w:val="0018078F"/>
    <w:rsid w:val="00190182"/>
    <w:rsid w:val="001A0805"/>
    <w:rsid w:val="001A2086"/>
    <w:rsid w:val="001A3190"/>
    <w:rsid w:val="001A593A"/>
    <w:rsid w:val="001B6D75"/>
    <w:rsid w:val="001C7F67"/>
    <w:rsid w:val="001D1D65"/>
    <w:rsid w:val="001D32C6"/>
    <w:rsid w:val="001D4246"/>
    <w:rsid w:val="001D726F"/>
    <w:rsid w:val="001F7967"/>
    <w:rsid w:val="002034D0"/>
    <w:rsid w:val="0020764B"/>
    <w:rsid w:val="0022239B"/>
    <w:rsid w:val="00236C3F"/>
    <w:rsid w:val="002370C3"/>
    <w:rsid w:val="002402B7"/>
    <w:rsid w:val="002419BE"/>
    <w:rsid w:val="002443DB"/>
    <w:rsid w:val="00263631"/>
    <w:rsid w:val="00267851"/>
    <w:rsid w:val="00277CAF"/>
    <w:rsid w:val="00290CC5"/>
    <w:rsid w:val="00291415"/>
    <w:rsid w:val="00293C72"/>
    <w:rsid w:val="00295F90"/>
    <w:rsid w:val="00297993"/>
    <w:rsid w:val="002A15CA"/>
    <w:rsid w:val="002B0163"/>
    <w:rsid w:val="002C502E"/>
    <w:rsid w:val="002E02BA"/>
    <w:rsid w:val="002E4EDF"/>
    <w:rsid w:val="002E719A"/>
    <w:rsid w:val="002F09D6"/>
    <w:rsid w:val="002F52BB"/>
    <w:rsid w:val="002F7473"/>
    <w:rsid w:val="002F7C4D"/>
    <w:rsid w:val="00305B91"/>
    <w:rsid w:val="00314312"/>
    <w:rsid w:val="00335305"/>
    <w:rsid w:val="0033545E"/>
    <w:rsid w:val="00336679"/>
    <w:rsid w:val="00336A23"/>
    <w:rsid w:val="003451FD"/>
    <w:rsid w:val="003457E1"/>
    <w:rsid w:val="003611FA"/>
    <w:rsid w:val="00373F9C"/>
    <w:rsid w:val="00374B9E"/>
    <w:rsid w:val="00375BD8"/>
    <w:rsid w:val="00377835"/>
    <w:rsid w:val="0038298E"/>
    <w:rsid w:val="00382BE3"/>
    <w:rsid w:val="003954D2"/>
    <w:rsid w:val="003A3519"/>
    <w:rsid w:val="003B174C"/>
    <w:rsid w:val="003B3862"/>
    <w:rsid w:val="003B52DD"/>
    <w:rsid w:val="003B6AD0"/>
    <w:rsid w:val="003B6C3E"/>
    <w:rsid w:val="003C1F6D"/>
    <w:rsid w:val="003D0488"/>
    <w:rsid w:val="003D218F"/>
    <w:rsid w:val="003D58C4"/>
    <w:rsid w:val="003D61ED"/>
    <w:rsid w:val="003F1712"/>
    <w:rsid w:val="003F3C10"/>
    <w:rsid w:val="003F6CF5"/>
    <w:rsid w:val="0040382C"/>
    <w:rsid w:val="00413341"/>
    <w:rsid w:val="00416C6E"/>
    <w:rsid w:val="004216ED"/>
    <w:rsid w:val="00435924"/>
    <w:rsid w:val="00437E87"/>
    <w:rsid w:val="00440CD6"/>
    <w:rsid w:val="00446A12"/>
    <w:rsid w:val="0045121E"/>
    <w:rsid w:val="0045279F"/>
    <w:rsid w:val="0045736A"/>
    <w:rsid w:val="00462961"/>
    <w:rsid w:val="00465298"/>
    <w:rsid w:val="0046596C"/>
    <w:rsid w:val="00470FD4"/>
    <w:rsid w:val="00492E19"/>
    <w:rsid w:val="00496DAC"/>
    <w:rsid w:val="004A3015"/>
    <w:rsid w:val="004A31F1"/>
    <w:rsid w:val="004A3551"/>
    <w:rsid w:val="004B6CCF"/>
    <w:rsid w:val="004C0D2E"/>
    <w:rsid w:val="004C57C3"/>
    <w:rsid w:val="004D2966"/>
    <w:rsid w:val="004E236D"/>
    <w:rsid w:val="004F0DEA"/>
    <w:rsid w:val="004F1B2B"/>
    <w:rsid w:val="004F6EA9"/>
    <w:rsid w:val="004F7C04"/>
    <w:rsid w:val="0050183C"/>
    <w:rsid w:val="00507D6B"/>
    <w:rsid w:val="005150B3"/>
    <w:rsid w:val="00527EB8"/>
    <w:rsid w:val="005356BF"/>
    <w:rsid w:val="0053778B"/>
    <w:rsid w:val="0055407B"/>
    <w:rsid w:val="005673CF"/>
    <w:rsid w:val="00570801"/>
    <w:rsid w:val="005711B6"/>
    <w:rsid w:val="00577612"/>
    <w:rsid w:val="00577CD3"/>
    <w:rsid w:val="00582246"/>
    <w:rsid w:val="00585E94"/>
    <w:rsid w:val="005872C3"/>
    <w:rsid w:val="00591D48"/>
    <w:rsid w:val="00596C1C"/>
    <w:rsid w:val="005A031C"/>
    <w:rsid w:val="005A3B42"/>
    <w:rsid w:val="005A4948"/>
    <w:rsid w:val="005A7197"/>
    <w:rsid w:val="005B33E2"/>
    <w:rsid w:val="005B3CF7"/>
    <w:rsid w:val="005B57D1"/>
    <w:rsid w:val="005B7E32"/>
    <w:rsid w:val="005E2B9A"/>
    <w:rsid w:val="005F0024"/>
    <w:rsid w:val="00601085"/>
    <w:rsid w:val="006014A8"/>
    <w:rsid w:val="00625AF4"/>
    <w:rsid w:val="00632247"/>
    <w:rsid w:val="00637505"/>
    <w:rsid w:val="00643C1A"/>
    <w:rsid w:val="0064449C"/>
    <w:rsid w:val="00646745"/>
    <w:rsid w:val="00665936"/>
    <w:rsid w:val="00680825"/>
    <w:rsid w:val="00695F6D"/>
    <w:rsid w:val="006A3279"/>
    <w:rsid w:val="006A3CD9"/>
    <w:rsid w:val="006A4D8A"/>
    <w:rsid w:val="006A5510"/>
    <w:rsid w:val="006B044B"/>
    <w:rsid w:val="006B060B"/>
    <w:rsid w:val="006B1F54"/>
    <w:rsid w:val="006C134A"/>
    <w:rsid w:val="006C4B16"/>
    <w:rsid w:val="006C5D55"/>
    <w:rsid w:val="006C6190"/>
    <w:rsid w:val="006C62E8"/>
    <w:rsid w:val="006D1EA8"/>
    <w:rsid w:val="006D5299"/>
    <w:rsid w:val="006D7D83"/>
    <w:rsid w:val="006E553B"/>
    <w:rsid w:val="0070288D"/>
    <w:rsid w:val="007055E9"/>
    <w:rsid w:val="007079D0"/>
    <w:rsid w:val="00715548"/>
    <w:rsid w:val="00716C29"/>
    <w:rsid w:val="00716F07"/>
    <w:rsid w:val="00716F77"/>
    <w:rsid w:val="00723BFD"/>
    <w:rsid w:val="0072762D"/>
    <w:rsid w:val="007325B0"/>
    <w:rsid w:val="00736FFB"/>
    <w:rsid w:val="007430E1"/>
    <w:rsid w:val="00747B7D"/>
    <w:rsid w:val="00762641"/>
    <w:rsid w:val="007700E8"/>
    <w:rsid w:val="007747C1"/>
    <w:rsid w:val="007932C1"/>
    <w:rsid w:val="00795C6A"/>
    <w:rsid w:val="007A091E"/>
    <w:rsid w:val="007B16F4"/>
    <w:rsid w:val="007C019E"/>
    <w:rsid w:val="007D5F83"/>
    <w:rsid w:val="007D5FAD"/>
    <w:rsid w:val="007E1C2E"/>
    <w:rsid w:val="007E2AFC"/>
    <w:rsid w:val="007E5195"/>
    <w:rsid w:val="007F0E4F"/>
    <w:rsid w:val="007F5CB8"/>
    <w:rsid w:val="00805978"/>
    <w:rsid w:val="00816DF8"/>
    <w:rsid w:val="00827B44"/>
    <w:rsid w:val="00833E7A"/>
    <w:rsid w:val="00835468"/>
    <w:rsid w:val="00837D4B"/>
    <w:rsid w:val="008421EE"/>
    <w:rsid w:val="00845273"/>
    <w:rsid w:val="00856B6E"/>
    <w:rsid w:val="00864744"/>
    <w:rsid w:val="00865FEF"/>
    <w:rsid w:val="00867724"/>
    <w:rsid w:val="00871106"/>
    <w:rsid w:val="00873205"/>
    <w:rsid w:val="00873490"/>
    <w:rsid w:val="00873BDE"/>
    <w:rsid w:val="0089761F"/>
    <w:rsid w:val="008A38BF"/>
    <w:rsid w:val="008C0A43"/>
    <w:rsid w:val="008D0E86"/>
    <w:rsid w:val="008E1B25"/>
    <w:rsid w:val="008E4286"/>
    <w:rsid w:val="008F221C"/>
    <w:rsid w:val="00901CFF"/>
    <w:rsid w:val="00906123"/>
    <w:rsid w:val="00924069"/>
    <w:rsid w:val="0094377C"/>
    <w:rsid w:val="00952853"/>
    <w:rsid w:val="0096275F"/>
    <w:rsid w:val="0097550A"/>
    <w:rsid w:val="0098007B"/>
    <w:rsid w:val="009921D3"/>
    <w:rsid w:val="009A0F15"/>
    <w:rsid w:val="009A15DC"/>
    <w:rsid w:val="009A77F2"/>
    <w:rsid w:val="009A79E6"/>
    <w:rsid w:val="009B34D6"/>
    <w:rsid w:val="009D6D03"/>
    <w:rsid w:val="009F13EC"/>
    <w:rsid w:val="009F5848"/>
    <w:rsid w:val="009F615D"/>
    <w:rsid w:val="00A007ED"/>
    <w:rsid w:val="00A37C6F"/>
    <w:rsid w:val="00A46A79"/>
    <w:rsid w:val="00A543D6"/>
    <w:rsid w:val="00A61D92"/>
    <w:rsid w:val="00A62F90"/>
    <w:rsid w:val="00A720C5"/>
    <w:rsid w:val="00A723D8"/>
    <w:rsid w:val="00A73B61"/>
    <w:rsid w:val="00A73E58"/>
    <w:rsid w:val="00A8721A"/>
    <w:rsid w:val="00A949B1"/>
    <w:rsid w:val="00A9687C"/>
    <w:rsid w:val="00AA16F9"/>
    <w:rsid w:val="00AB5BA2"/>
    <w:rsid w:val="00AC0F53"/>
    <w:rsid w:val="00AD0BEF"/>
    <w:rsid w:val="00AD16D8"/>
    <w:rsid w:val="00AE061F"/>
    <w:rsid w:val="00AE4A50"/>
    <w:rsid w:val="00AF37D9"/>
    <w:rsid w:val="00AF3CA9"/>
    <w:rsid w:val="00B00155"/>
    <w:rsid w:val="00B07DEA"/>
    <w:rsid w:val="00B12E42"/>
    <w:rsid w:val="00B150F4"/>
    <w:rsid w:val="00B170E1"/>
    <w:rsid w:val="00B32DE9"/>
    <w:rsid w:val="00B5201C"/>
    <w:rsid w:val="00B5708D"/>
    <w:rsid w:val="00B617D9"/>
    <w:rsid w:val="00B61A90"/>
    <w:rsid w:val="00B6357B"/>
    <w:rsid w:val="00B66390"/>
    <w:rsid w:val="00B67F04"/>
    <w:rsid w:val="00B71A83"/>
    <w:rsid w:val="00B72CEF"/>
    <w:rsid w:val="00B7379E"/>
    <w:rsid w:val="00B76D33"/>
    <w:rsid w:val="00B8091E"/>
    <w:rsid w:val="00B83554"/>
    <w:rsid w:val="00B85D86"/>
    <w:rsid w:val="00B9138A"/>
    <w:rsid w:val="00BA2C19"/>
    <w:rsid w:val="00BA71C1"/>
    <w:rsid w:val="00BB0816"/>
    <w:rsid w:val="00BB1E83"/>
    <w:rsid w:val="00BC3485"/>
    <w:rsid w:val="00BC5F1A"/>
    <w:rsid w:val="00BD3ABD"/>
    <w:rsid w:val="00BE46BA"/>
    <w:rsid w:val="00BE47B3"/>
    <w:rsid w:val="00BF5045"/>
    <w:rsid w:val="00BF5BCF"/>
    <w:rsid w:val="00C017D2"/>
    <w:rsid w:val="00C04213"/>
    <w:rsid w:val="00C14D15"/>
    <w:rsid w:val="00C1767E"/>
    <w:rsid w:val="00C22485"/>
    <w:rsid w:val="00C22773"/>
    <w:rsid w:val="00C3007D"/>
    <w:rsid w:val="00C3166C"/>
    <w:rsid w:val="00C4526A"/>
    <w:rsid w:val="00C47316"/>
    <w:rsid w:val="00C8636E"/>
    <w:rsid w:val="00C91F46"/>
    <w:rsid w:val="00C933FA"/>
    <w:rsid w:val="00C96F4A"/>
    <w:rsid w:val="00CB5092"/>
    <w:rsid w:val="00CB6A3B"/>
    <w:rsid w:val="00CC30E9"/>
    <w:rsid w:val="00CC606F"/>
    <w:rsid w:val="00CD062D"/>
    <w:rsid w:val="00CD2399"/>
    <w:rsid w:val="00CD26B8"/>
    <w:rsid w:val="00CD7367"/>
    <w:rsid w:val="00CD7B44"/>
    <w:rsid w:val="00CE61D7"/>
    <w:rsid w:val="00CE7AFE"/>
    <w:rsid w:val="00CF1097"/>
    <w:rsid w:val="00CF7B01"/>
    <w:rsid w:val="00D06C2B"/>
    <w:rsid w:val="00D075D4"/>
    <w:rsid w:val="00D10EA3"/>
    <w:rsid w:val="00D24406"/>
    <w:rsid w:val="00D267EB"/>
    <w:rsid w:val="00D33FEA"/>
    <w:rsid w:val="00D358F2"/>
    <w:rsid w:val="00D428D9"/>
    <w:rsid w:val="00D46C4D"/>
    <w:rsid w:val="00D5448D"/>
    <w:rsid w:val="00D62506"/>
    <w:rsid w:val="00D65909"/>
    <w:rsid w:val="00D66C02"/>
    <w:rsid w:val="00D7073C"/>
    <w:rsid w:val="00D72773"/>
    <w:rsid w:val="00D761B5"/>
    <w:rsid w:val="00D76A73"/>
    <w:rsid w:val="00D80418"/>
    <w:rsid w:val="00D84331"/>
    <w:rsid w:val="00D85501"/>
    <w:rsid w:val="00D86803"/>
    <w:rsid w:val="00D876DB"/>
    <w:rsid w:val="00D930D4"/>
    <w:rsid w:val="00D94651"/>
    <w:rsid w:val="00DA198F"/>
    <w:rsid w:val="00DA3721"/>
    <w:rsid w:val="00DB7768"/>
    <w:rsid w:val="00DC6E7E"/>
    <w:rsid w:val="00DD0EE7"/>
    <w:rsid w:val="00DD3BF8"/>
    <w:rsid w:val="00DD3ECE"/>
    <w:rsid w:val="00DE2DA4"/>
    <w:rsid w:val="00DF58E4"/>
    <w:rsid w:val="00E009EF"/>
    <w:rsid w:val="00E077CB"/>
    <w:rsid w:val="00E14ADB"/>
    <w:rsid w:val="00E1721F"/>
    <w:rsid w:val="00E30A66"/>
    <w:rsid w:val="00E313B4"/>
    <w:rsid w:val="00E36332"/>
    <w:rsid w:val="00E45AC0"/>
    <w:rsid w:val="00E60FC9"/>
    <w:rsid w:val="00E719B0"/>
    <w:rsid w:val="00E806F2"/>
    <w:rsid w:val="00E91ACE"/>
    <w:rsid w:val="00E92004"/>
    <w:rsid w:val="00EA7AA6"/>
    <w:rsid w:val="00EA7BF6"/>
    <w:rsid w:val="00EB010F"/>
    <w:rsid w:val="00EB6F62"/>
    <w:rsid w:val="00EC1FE4"/>
    <w:rsid w:val="00EC4F58"/>
    <w:rsid w:val="00ED16D8"/>
    <w:rsid w:val="00EE4655"/>
    <w:rsid w:val="00EE742A"/>
    <w:rsid w:val="00EF2ADD"/>
    <w:rsid w:val="00EF3AFA"/>
    <w:rsid w:val="00EF3F83"/>
    <w:rsid w:val="00F12E8D"/>
    <w:rsid w:val="00F13339"/>
    <w:rsid w:val="00F14A1C"/>
    <w:rsid w:val="00F152DC"/>
    <w:rsid w:val="00F20F01"/>
    <w:rsid w:val="00F32341"/>
    <w:rsid w:val="00F40B53"/>
    <w:rsid w:val="00F51B55"/>
    <w:rsid w:val="00F54AA2"/>
    <w:rsid w:val="00F57469"/>
    <w:rsid w:val="00F63E1D"/>
    <w:rsid w:val="00F675CC"/>
    <w:rsid w:val="00F70E96"/>
    <w:rsid w:val="00F720DF"/>
    <w:rsid w:val="00F86C97"/>
    <w:rsid w:val="00FA0195"/>
    <w:rsid w:val="00FB1552"/>
    <w:rsid w:val="00FB1D9C"/>
    <w:rsid w:val="00FE168B"/>
    <w:rsid w:val="00FF61B9"/>
    <w:rsid w:val="00FF6521"/>
    <w:rsid w:val="3CB66934"/>
    <w:rsid w:val="45794B98"/>
    <w:rsid w:val="4E04483C"/>
    <w:rsid w:val="5F932A49"/>
    <w:rsid w:val="6ED2045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20"/>
    <w:qFormat/>
    <w:uiPriority w:val="9"/>
    <w:pPr>
      <w:keepNext/>
      <w:keepLines/>
      <w:spacing w:before="480" w:after="0" w:line="240" w:lineRule="auto"/>
      <w:jc w:val="both"/>
      <w:outlineLvl w:val="0"/>
    </w:pPr>
    <w:rPr>
      <w:rFonts w:asciiTheme="majorHAnsi" w:hAnsiTheme="majorHAnsi" w:eastAsiaTheme="majorEastAsia" w:cstheme="majorBidi"/>
      <w:b/>
      <w:bCs/>
      <w:color w:val="376092" w:themeColor="accent1" w:themeShade="BF"/>
      <w:sz w:val="28"/>
      <w:szCs w:val="28"/>
      <w:lang w:eastAsia="ru-RU"/>
    </w:rPr>
  </w:style>
  <w:style w:type="paragraph" w:styleId="3">
    <w:name w:val="heading 2"/>
    <w:basedOn w:val="1"/>
    <w:next w:val="1"/>
    <w:link w:val="21"/>
    <w:semiHidden/>
    <w:unhideWhenUsed/>
    <w:qFormat/>
    <w:uiPriority w:val="9"/>
    <w:pPr>
      <w:keepNext/>
      <w:keepLines/>
      <w:spacing w:before="200" w:after="0" w:line="240" w:lineRule="auto"/>
      <w:jc w:val="both"/>
      <w:outlineLvl w:val="1"/>
    </w:pPr>
    <w:rPr>
      <w:rFonts w:asciiTheme="majorHAnsi" w:hAnsiTheme="majorHAnsi" w:eastAsiaTheme="majorEastAsia" w:cstheme="majorBidi"/>
      <w:b/>
      <w:bCs/>
      <w:color w:val="4F81BD" w:themeColor="accent1"/>
      <w:sz w:val="26"/>
      <w:szCs w:val="26"/>
      <w:lang w:eastAsia="ru-RU"/>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Emphasis"/>
    <w:basedOn w:val="4"/>
    <w:qFormat/>
    <w:uiPriority w:val="20"/>
    <w:rPr>
      <w:i/>
      <w:iCs/>
    </w:rPr>
  </w:style>
  <w:style w:type="character" w:styleId="7">
    <w:name w:val="Hyperlink"/>
    <w:basedOn w:val="4"/>
    <w:unhideWhenUsed/>
    <w:qFormat/>
    <w:uiPriority w:val="99"/>
    <w:rPr>
      <w:color w:val="0000FF"/>
      <w:u w:val="single"/>
    </w:rPr>
  </w:style>
  <w:style w:type="paragraph" w:styleId="8">
    <w:name w:val="Balloon Text"/>
    <w:basedOn w:val="1"/>
    <w:link w:val="12"/>
    <w:semiHidden/>
    <w:unhideWhenUsed/>
    <w:qFormat/>
    <w:uiPriority w:val="99"/>
    <w:pPr>
      <w:spacing w:after="0" w:line="240" w:lineRule="auto"/>
    </w:pPr>
    <w:rPr>
      <w:rFonts w:ascii="Tahoma" w:hAnsi="Tahoma" w:cs="Tahoma"/>
      <w:sz w:val="16"/>
      <w:szCs w:val="16"/>
    </w:rPr>
  </w:style>
  <w:style w:type="paragraph" w:styleId="9">
    <w:name w:val="header"/>
    <w:basedOn w:val="1"/>
    <w:link w:val="15"/>
    <w:unhideWhenUsed/>
    <w:qFormat/>
    <w:uiPriority w:val="99"/>
    <w:pPr>
      <w:tabs>
        <w:tab w:val="center" w:pos="4677"/>
        <w:tab w:val="right" w:pos="9355"/>
      </w:tabs>
      <w:spacing w:after="0" w:line="240" w:lineRule="auto"/>
    </w:pPr>
  </w:style>
  <w:style w:type="paragraph" w:styleId="10">
    <w:name w:val="footer"/>
    <w:basedOn w:val="1"/>
    <w:link w:val="16"/>
    <w:semiHidden/>
    <w:unhideWhenUsed/>
    <w:qFormat/>
    <w:uiPriority w:val="99"/>
    <w:pPr>
      <w:tabs>
        <w:tab w:val="center" w:pos="4677"/>
        <w:tab w:val="right" w:pos="9355"/>
      </w:tabs>
      <w:spacing w:after="0" w:line="240" w:lineRule="auto"/>
    </w:pPr>
  </w:style>
  <w:style w:type="table" w:styleId="11">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Текст выноски Знак"/>
    <w:basedOn w:val="4"/>
    <w:link w:val="8"/>
    <w:semiHidden/>
    <w:qFormat/>
    <w:uiPriority w:val="99"/>
    <w:rPr>
      <w:rFonts w:ascii="Tahoma" w:hAnsi="Tahoma" w:cs="Tahoma"/>
      <w:sz w:val="16"/>
      <w:szCs w:val="16"/>
    </w:rPr>
  </w:style>
  <w:style w:type="paragraph" w:styleId="13">
    <w:name w:val="List Paragraph"/>
    <w:basedOn w:val="1"/>
    <w:link w:val="14"/>
    <w:qFormat/>
    <w:uiPriority w:val="34"/>
    <w:pPr>
      <w:ind w:left="720"/>
      <w:contextualSpacing/>
    </w:pPr>
    <w:rPr>
      <w:rFonts w:ascii="Calibri" w:hAnsi="Calibri" w:eastAsia="Calibri" w:cs="Times New Roman"/>
    </w:rPr>
  </w:style>
  <w:style w:type="character" w:customStyle="1" w:styleId="14">
    <w:name w:val="Абзац списка Знак"/>
    <w:link w:val="13"/>
    <w:qFormat/>
    <w:locked/>
    <w:uiPriority w:val="34"/>
    <w:rPr>
      <w:rFonts w:ascii="Calibri" w:hAnsi="Calibri" w:eastAsia="Calibri" w:cs="Times New Roman"/>
    </w:rPr>
  </w:style>
  <w:style w:type="character" w:customStyle="1" w:styleId="15">
    <w:name w:val="Верхний колонтитул Знак"/>
    <w:basedOn w:val="4"/>
    <w:link w:val="9"/>
    <w:qFormat/>
    <w:uiPriority w:val="99"/>
  </w:style>
  <w:style w:type="character" w:customStyle="1" w:styleId="16">
    <w:name w:val="Нижний колонтитул Знак"/>
    <w:basedOn w:val="4"/>
    <w:link w:val="10"/>
    <w:semiHidden/>
    <w:qFormat/>
    <w:uiPriority w:val="99"/>
  </w:style>
  <w:style w:type="paragraph" w:customStyle="1" w:styleId="17">
    <w:name w:val="Standard"/>
    <w:qFormat/>
    <w:uiPriority w:val="0"/>
    <w:pPr>
      <w:widowControl w:val="0"/>
      <w:suppressAutoHyphens/>
      <w:spacing w:after="0" w:line="240" w:lineRule="auto"/>
      <w:textAlignment w:val="baseline"/>
    </w:pPr>
    <w:rPr>
      <w:rFonts w:ascii="Times New Roman" w:hAnsi="Times New Roman" w:eastAsia="Andale Sans UI" w:cs="Tahoma"/>
      <w:kern w:val="2"/>
      <w:sz w:val="24"/>
      <w:szCs w:val="24"/>
      <w:lang w:val="ru-RU" w:eastAsia="zh-CN" w:bidi="hi-IN"/>
    </w:rPr>
  </w:style>
  <w:style w:type="paragraph" w:styleId="18">
    <w:name w:val="No Spacing"/>
    <w:basedOn w:val="1"/>
    <w:link w:val="19"/>
    <w:qFormat/>
    <w:uiPriority w:val="1"/>
    <w:pPr>
      <w:spacing w:after="0" w:line="240" w:lineRule="auto"/>
    </w:pPr>
    <w:rPr>
      <w:rFonts w:ascii="Calibri" w:hAnsi="Calibri" w:eastAsia="Times New Roman" w:cs="Times New Roman"/>
      <w:sz w:val="24"/>
      <w:szCs w:val="32"/>
    </w:rPr>
  </w:style>
  <w:style w:type="character" w:customStyle="1" w:styleId="19">
    <w:name w:val="Без интервала Знак"/>
    <w:link w:val="18"/>
    <w:qFormat/>
    <w:locked/>
    <w:uiPriority w:val="1"/>
    <w:rPr>
      <w:rFonts w:ascii="Calibri" w:hAnsi="Calibri" w:eastAsia="Times New Roman" w:cs="Times New Roman"/>
      <w:sz w:val="24"/>
      <w:szCs w:val="32"/>
    </w:rPr>
  </w:style>
  <w:style w:type="character" w:customStyle="1" w:styleId="20">
    <w:name w:val="Заголовок 1 Знак"/>
    <w:basedOn w:val="4"/>
    <w:link w:val="2"/>
    <w:qFormat/>
    <w:uiPriority w:val="9"/>
    <w:rPr>
      <w:rFonts w:asciiTheme="majorHAnsi" w:hAnsiTheme="majorHAnsi" w:eastAsiaTheme="majorEastAsia" w:cstheme="majorBidi"/>
      <w:b/>
      <w:bCs/>
      <w:color w:val="376092" w:themeColor="accent1" w:themeShade="BF"/>
      <w:sz w:val="28"/>
      <w:szCs w:val="28"/>
      <w:lang w:eastAsia="ru-RU"/>
    </w:rPr>
  </w:style>
  <w:style w:type="character" w:customStyle="1" w:styleId="21">
    <w:name w:val="Заголовок 2 Знак"/>
    <w:basedOn w:val="4"/>
    <w:link w:val="3"/>
    <w:semiHidden/>
    <w:qFormat/>
    <w:uiPriority w:val="9"/>
    <w:rPr>
      <w:rFonts w:asciiTheme="majorHAnsi" w:hAnsiTheme="majorHAnsi" w:eastAsiaTheme="majorEastAsia" w:cstheme="majorBidi"/>
      <w:b/>
      <w:bCs/>
      <w:color w:val="4F81BD" w:themeColor="accent1"/>
      <w:sz w:val="26"/>
      <w:szCs w:val="26"/>
      <w:lang w:eastAsia="ru-RU"/>
      <w14:textFill>
        <w14:solidFill>
          <w14:schemeClr w14:val="accent1"/>
        </w14:solidFill>
      </w14:textFill>
    </w:rPr>
  </w:style>
  <w:style w:type="character" w:customStyle="1" w:styleId="22">
    <w:name w:val="Неразрешенное упоминание1"/>
    <w:basedOn w:val="4"/>
    <w:semiHidden/>
    <w:unhideWhenUsed/>
    <w:qFormat/>
    <w:uiPriority w:val="99"/>
    <w:rPr>
      <w:color w:val="605E5C"/>
      <w:shd w:val="clear" w:color="auto" w:fill="E1DFDD"/>
    </w:rPr>
  </w:style>
  <w:style w:type="paragraph" w:customStyle="1" w:styleId="23">
    <w:name w:val="Контракт-раздел"/>
    <w:basedOn w:val="1"/>
    <w:next w:val="24"/>
    <w:qFormat/>
    <w:uiPriority w:val="0"/>
    <w:pPr>
      <w:keepNext/>
      <w:numPr>
        <w:ilvl w:val="0"/>
        <w:numId w:val="1"/>
      </w:numPr>
      <w:tabs>
        <w:tab w:val="left" w:pos="540"/>
      </w:tabs>
      <w:suppressAutoHyphens/>
      <w:spacing w:before="360" w:after="120" w:line="240" w:lineRule="auto"/>
      <w:jc w:val="center"/>
      <w:outlineLvl w:val="3"/>
    </w:pPr>
    <w:rPr>
      <w:rFonts w:ascii="Times New Roman" w:hAnsi="Times New Roman" w:eastAsia="Times New Roman" w:cs="Times New Roman"/>
      <w:b/>
      <w:bCs/>
      <w:caps/>
      <w:smallCaps/>
      <w:sz w:val="24"/>
      <w:szCs w:val="24"/>
      <w:lang w:eastAsia="ru-RU"/>
    </w:rPr>
  </w:style>
  <w:style w:type="paragraph" w:customStyle="1" w:styleId="24">
    <w:name w:val="Контракт-пункт"/>
    <w:basedOn w:val="1"/>
    <w:qFormat/>
    <w:uiPriority w:val="0"/>
    <w:pPr>
      <w:numPr>
        <w:ilvl w:val="1"/>
        <w:numId w:val="1"/>
      </w:numPr>
      <w:spacing w:after="0" w:line="240" w:lineRule="auto"/>
      <w:jc w:val="both"/>
    </w:pPr>
    <w:rPr>
      <w:rFonts w:ascii="Times New Roman" w:hAnsi="Times New Roman" w:eastAsia="Times New Roman" w:cs="Times New Roman"/>
      <w:sz w:val="24"/>
      <w:szCs w:val="24"/>
      <w:lang w:eastAsia="ru-RU"/>
    </w:rPr>
  </w:style>
  <w:style w:type="paragraph" w:customStyle="1" w:styleId="25">
    <w:name w:val="Контракт-подпункт"/>
    <w:basedOn w:val="1"/>
    <w:qFormat/>
    <w:uiPriority w:val="0"/>
    <w:pPr>
      <w:numPr>
        <w:ilvl w:val="2"/>
        <w:numId w:val="1"/>
      </w:numPr>
      <w:spacing w:after="0" w:line="240" w:lineRule="auto"/>
      <w:jc w:val="both"/>
    </w:pPr>
    <w:rPr>
      <w:rFonts w:ascii="Times New Roman" w:hAnsi="Times New Roman" w:eastAsia="Times New Roman" w:cs="Times New Roman"/>
      <w:sz w:val="24"/>
      <w:szCs w:val="24"/>
      <w:lang w:eastAsia="ru-RU"/>
    </w:rPr>
  </w:style>
  <w:style w:type="paragraph" w:customStyle="1" w:styleId="26">
    <w:name w:val="Контракт-подподпункт"/>
    <w:basedOn w:val="1"/>
    <w:qFormat/>
    <w:uiPriority w:val="0"/>
    <w:pPr>
      <w:numPr>
        <w:ilvl w:val="3"/>
        <w:numId w:val="1"/>
      </w:numPr>
      <w:spacing w:after="0" w:line="240" w:lineRule="auto"/>
      <w:jc w:val="both"/>
    </w:pPr>
    <w:rPr>
      <w:rFonts w:ascii="Times New Roman" w:hAnsi="Times New Roman" w:eastAsia="Times New Roman" w:cs="Times New Roman"/>
      <w:sz w:val="24"/>
      <w:szCs w:val="24"/>
      <w:lang w:eastAsia="ru-RU"/>
    </w:rPr>
  </w:style>
  <w:style w:type="paragraph" w:customStyle="1" w:styleId="27">
    <w:name w:val="Обычный1"/>
    <w:qFormat/>
    <w:uiPriority w:val="0"/>
    <w:pPr>
      <w:tabs>
        <w:tab w:val="left" w:pos="709"/>
      </w:tabs>
      <w:suppressAutoHyphens/>
      <w:spacing w:after="0" w:line="100" w:lineRule="atLeast"/>
    </w:pPr>
    <w:rPr>
      <w:rFonts w:ascii="Times New Roman" w:hAnsi="Times New Roman" w:eastAsia="Times New Roman" w:cs="Times New Roman"/>
      <w:sz w:val="24"/>
      <w:szCs w:val="24"/>
      <w:lang w:val="ru-RU" w:eastAsia="ru-RU" w:bidi="ar-SA"/>
    </w:rPr>
  </w:style>
  <w:style w:type="paragraph" w:customStyle="1" w:styleId="28">
    <w:name w:val="Основной текст 21"/>
    <w:basedOn w:val="1"/>
    <w:qFormat/>
    <w:uiPriority w:val="0"/>
    <w:pPr>
      <w:overflowPunct w:val="0"/>
      <w:ind w:firstLine="567"/>
      <w:jc w:val="both"/>
      <w:textAlignment w:val="baseline"/>
    </w:pPr>
    <w:rPr>
      <w:rFonts w:ascii="Arial" w:hAnsi="Arial" w:eastAsia="SimSun" w:cs="Mangal"/>
      <w:kern w:val="1"/>
      <w:sz w:val="24"/>
      <w:szCs w:val="24"/>
      <w:lang w:eastAsia="hi-IN" w:bidi="hi-IN"/>
    </w:rPr>
  </w:style>
  <w:style w:type="paragraph" w:customStyle="1" w:styleId="29">
    <w:name w:val="ConsPlusNormal"/>
    <w:qFormat/>
    <w:uiPriority w:val="0"/>
    <w:pPr>
      <w:widowControl w:val="0"/>
      <w:autoSpaceDE w:val="0"/>
      <w:autoSpaceDN w:val="0"/>
    </w:pPr>
    <w:rPr>
      <w:rFonts w:ascii="Calibri" w:hAnsi="Calibri" w:eastAsia="Times New Roman" w:cs="Times New Roman"/>
      <w:sz w:val="22"/>
      <w:lang w:val="ru-RU" w:eastAsia="ru-RU" w:bidi="ar-SA"/>
    </w:rPr>
  </w:style>
  <w:style w:type="paragraph" w:customStyle="1" w:styleId="30">
    <w:name w:val="_заголовок 1ур"/>
    <w:basedOn w:val="1"/>
    <w:next w:val="1"/>
    <w:qFormat/>
    <w:uiPriority w:val="0"/>
    <w:pPr>
      <w:keepNext/>
      <w:keepLines/>
      <w:numPr>
        <w:ilvl w:val="0"/>
        <w:numId w:val="2"/>
      </w:numPr>
      <w:spacing w:before="60" w:after="60" w:line="312" w:lineRule="auto"/>
      <w:contextualSpacing/>
      <w:outlineLvl w:val="0"/>
    </w:pPr>
    <w:rPr>
      <w:rFonts w:ascii="Times New Roman Полужирный" w:hAnsi="Times New Roman Полужирный" w:cs="Times New Roman"/>
      <w:b/>
      <w:bCs/>
      <w:sz w:val="26"/>
      <w:szCs w:val="26"/>
    </w:rPr>
  </w:style>
  <w:style w:type="paragraph" w:customStyle="1" w:styleId="31">
    <w:name w:val="_заголовок 2ур"/>
    <w:next w:val="1"/>
    <w:qFormat/>
    <w:uiPriority w:val="0"/>
    <w:pPr>
      <w:keepNext/>
      <w:keepLines/>
      <w:numPr>
        <w:ilvl w:val="1"/>
        <w:numId w:val="2"/>
      </w:numPr>
      <w:spacing w:before="120" w:after="60" w:line="312" w:lineRule="auto"/>
      <w:contextualSpacing/>
      <w:outlineLvl w:val="1"/>
    </w:pPr>
    <w:rPr>
      <w:rFonts w:ascii="Times New Roman" w:hAnsi="Times New Roman" w:cs="Times New Roman" w:eastAsiaTheme="minorHAnsi"/>
      <w:b/>
      <w:bCs/>
      <w:sz w:val="24"/>
      <w:szCs w:val="24"/>
      <w:lang w:val="ru-RU" w:eastAsia="en-US" w:bidi="ar-SA"/>
    </w:rPr>
  </w:style>
  <w:style w:type="paragraph" w:customStyle="1" w:styleId="32">
    <w:name w:val="_текст основной"/>
    <w:qFormat/>
    <w:uiPriority w:val="0"/>
    <w:pPr>
      <w:spacing w:after="0" w:line="276" w:lineRule="auto"/>
      <w:ind w:firstLine="709"/>
      <w:contextualSpacing/>
      <w:jc w:val="both"/>
    </w:pPr>
    <w:rPr>
      <w:rFonts w:ascii="Times New Roman" w:hAnsi="Times New Roman" w:cs="Times New Roman" w:eastAsiaTheme="minorHAnsi"/>
      <w:sz w:val="24"/>
      <w:szCs w:val="24"/>
      <w:lang w:val="ru-RU" w:eastAsia="en-US" w:bidi="ar-SA"/>
    </w:rPr>
  </w:style>
  <w:style w:type="paragraph" w:customStyle="1" w:styleId="33">
    <w:name w:val="_таблица название"/>
    <w:qFormat/>
    <w:uiPriority w:val="0"/>
    <w:pPr>
      <w:keepNext/>
      <w:spacing w:after="0" w:line="312" w:lineRule="auto"/>
      <w:contextualSpacing/>
    </w:pPr>
    <w:rPr>
      <w:rFonts w:ascii="Times New Roman" w:hAnsi="Times New Roman" w:cs="Times New Roman" w:eastAsiaTheme="minorHAnsi"/>
      <w:sz w:val="24"/>
      <w:szCs w:val="24"/>
      <w:lang w:val="ru-RU" w:eastAsia="en-US" w:bidi="ar-SA"/>
    </w:rPr>
  </w:style>
  <w:style w:type="paragraph" w:customStyle="1" w:styleId="34">
    <w:name w:val="_таблица заголовок"/>
    <w:qFormat/>
    <w:uiPriority w:val="0"/>
    <w:pPr>
      <w:spacing w:after="0" w:line="312" w:lineRule="auto"/>
      <w:contextualSpacing/>
      <w:jc w:val="center"/>
    </w:pPr>
    <w:rPr>
      <w:rFonts w:ascii="Times New Roman" w:hAnsi="Times New Roman" w:cs="Times New Roman" w:eastAsiaTheme="minorHAnsi"/>
      <w:b/>
      <w:sz w:val="24"/>
      <w:szCs w:val="24"/>
      <w:lang w:val="ru-RU" w:eastAsia="en-US" w:bidi="ar-SA"/>
    </w:rPr>
  </w:style>
  <w:style w:type="paragraph" w:customStyle="1" w:styleId="35">
    <w:name w:val="_таблица текст"/>
    <w:qFormat/>
    <w:uiPriority w:val="0"/>
    <w:pPr>
      <w:spacing w:after="0" w:line="312" w:lineRule="auto"/>
      <w:contextualSpacing/>
    </w:pPr>
    <w:rPr>
      <w:rFonts w:ascii="Times New Roman" w:hAnsi="Times New Roman" w:cs="Times New Roman" w:eastAsiaTheme="minorHAnsi"/>
      <w:sz w:val="24"/>
      <w:szCs w:val="24"/>
      <w:lang w:val="ru-RU" w:eastAsia="en-US" w:bidi="ar-SA"/>
    </w:rPr>
  </w:style>
  <w:style w:type="paragraph" w:customStyle="1" w:styleId="36">
    <w:name w:val="_список маркер 1ур"/>
    <w:basedOn w:val="1"/>
    <w:qFormat/>
    <w:uiPriority w:val="0"/>
    <w:pPr>
      <w:numPr>
        <w:ilvl w:val="0"/>
        <w:numId w:val="3"/>
      </w:numPr>
      <w:spacing w:after="0" w:line="276" w:lineRule="auto"/>
      <w:ind w:left="0" w:firstLine="709"/>
      <w:contextualSpacing/>
      <w:jc w:val="both"/>
    </w:pPr>
    <w:rPr>
      <w:rFonts w:ascii="Times New Roman" w:hAnsi="Times New Roman" w:eastAsia="Times New Roman" w:cs="Times New Roman"/>
      <w:sz w:val="24"/>
      <w:szCs w:val="24"/>
      <w:lang w:eastAsia="ru-RU"/>
    </w:rPr>
  </w:style>
  <w:style w:type="paragraph" w:customStyle="1" w:styleId="37">
    <w:name w:val="_список маркер 2ур"/>
    <w:basedOn w:val="1"/>
    <w:qFormat/>
    <w:uiPriority w:val="0"/>
    <w:pPr>
      <w:numPr>
        <w:ilvl w:val="0"/>
        <w:numId w:val="4"/>
      </w:numPr>
      <w:spacing w:after="0" w:line="312" w:lineRule="auto"/>
      <w:contextualSpacing/>
      <w:jc w:val="both"/>
    </w:pPr>
    <w:rPr>
      <w:rFonts w:ascii="Times New Roman" w:hAnsi="Times New Roman" w:cs="Times New Roman"/>
      <w:sz w:val="24"/>
      <w:szCs w:val="24"/>
      <w:lang w:eastAsia="ru-RU"/>
    </w:rPr>
  </w:style>
  <w:style w:type="paragraph" w:customStyle="1" w:styleId="38">
    <w:name w:val="_без отступа"/>
    <w:next w:val="1"/>
    <w:qFormat/>
    <w:uiPriority w:val="0"/>
    <w:pPr>
      <w:spacing w:after="0" w:line="276" w:lineRule="auto"/>
      <w:contextualSpacing/>
      <w:jc w:val="center"/>
    </w:pPr>
    <w:rPr>
      <w:rFonts w:ascii="Times New Roman" w:hAnsi="Times New Roman" w:cs="Times New Roman" w:eastAsiaTheme="minorHAnsi"/>
      <w:b/>
      <w:bCs/>
      <w:sz w:val="26"/>
      <w:szCs w:val="26"/>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8581C-7573-4A0B-A031-3C34DE9EAE29}">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13</Pages>
  <Words>3529</Words>
  <Characters>25868</Characters>
  <Lines>202</Lines>
  <Paragraphs>57</Paragraphs>
  <TotalTime>0</TotalTime>
  <ScaleCrop>false</ScaleCrop>
  <LinksUpToDate>false</LinksUpToDate>
  <CharactersWithSpaces>29298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2025-10-01T13:47:00Z</dcterms:created>
  <dc:creator>Александр</dc:creator>
  <cp:lastModifiedBy>Кристина Вейхель</cp:lastModifiedBy>
  <cp:lastPrinted>2023-10-18T11:40:00Z</cp:lastPrinted>
  <dcterms:modified xsi:type="dcterms:W3CDTF">2026-10-14T06:14:10Z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D02D4DA9C7774F5D86B9BD0932B3D5E7_13</vt:lpwstr>
  </property>
  <property fmtid="{D5CDD505-2E9C-101B-9397-08002B2CF9AE}" pid="4" name="KSOTemplateDocerSaveRecord">
    <vt:lpwstr>eyJoZGlkIjoiMTNmMTM4ZTM3NjA4ZmFjMTU5NGI3NjhmZjVkYWJlNTciLCJ1c2VySWQiOiI4NDE5MzYyMzkyNjMifQ==</vt:lpwstr>
  </property>
</Properties>
</file>