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984"/>
        <w:gridCol w:w="1501"/>
        <w:gridCol w:w="1502"/>
        <w:gridCol w:w="2100"/>
        <w:gridCol w:w="1664"/>
        <w:gridCol w:w="1562"/>
        <w:gridCol w:w="2908"/>
      </w:tblGrid>
      <w:tr>
        <w:trPr>
          <w:cantSplit/>
          <w:tblHeader/>
        </w:trPr>
        <w:tc>
          <w:tcPr>
            <w:tcW w:w="1526" w:type="dxa"/>
            <w:vAlign w:val="center"/>
          </w:tcPr>
          <w:p w:rsidRPr="00C416A9" w:rsidR="00381CB4" w:rsidP="00715425" w:rsidRDefault="00381CB4" w14:paraId="3E706E62" w14:textId="77777777">
            <w:pPr>
              <w:pStyle w:val="aff2"/>
              <w:keepNext/>
              <w:jc w:val="center"/>
              <w:rPr>
                <w:b/>
                <w:sz w:val="18"/>
                <w:szCs w:val="18"/>
              </w:rPr>
            </w:pPr>
            <w:r>
              <w:rPr>
                <w:b/>
                <w:sz w:val="18"/>
                <w:szCs w:val="18"/>
              </w:rPr>
              <w:t>№ п/п</w:t>
            </w:r>
          </w:p>
        </w:tc>
        <w:tc>
          <w:tcPr>
            <w:tcW w:w="1984" w:type="dxa"/>
            <w:shd w:val="clear" w:color="auto" w:fill="auto"/>
            <w:vAlign w:val="center"/>
          </w:tcPr>
          <w:p w:rsidRPr="00C416A9" w:rsidR="00381CB4" w:rsidP="00715425" w:rsidRDefault="00381CB4" w14:paraId="7A478E46"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r>
              <w:rPr>
                <w:b/>
                <w:sz w:val="18"/>
                <w:szCs w:val="18"/>
              </w:rPr>
              <w:t xml:space="preserve"> </w:t>
            </w:r>
            <w:r>
              <w:rPr>
                <w:rStyle w:val="1a"/>
                <w:rFonts w:eastAsiaTheme="minorHAnsi"/>
                <w:sz w:val="18"/>
                <w:szCs w:val="18"/>
              </w:rPr>
              <w:t>/ КТРУ</w:t>
            </w:r>
          </w:p>
        </w:tc>
        <w:tc>
          <w:tcPr>
            <w:tcW w:w="1501" w:type="dxa"/>
            <w:shd w:val="clear" w:color="auto" w:fill="auto"/>
            <w:vAlign w:val="center"/>
          </w:tcPr>
          <w:p w:rsidR="00381CB4" w:rsidP="00715425" w:rsidRDefault="008B7A91" w14:paraId="262A0A1E" w14:textId="77777777">
            <w:pPr>
              <w:pStyle w:val="19"/>
              <w:keepNext/>
              <w:jc w:val="center"/>
              <w:rPr>
                <w:sz w:val="18"/>
                <w:szCs w:val="18"/>
              </w:rPr>
            </w:pPr>
            <w:r w:rsidR="00886427">
              <w:rPr>
                <w:sz w:val="18"/>
                <w:szCs w:val="18"/>
                <w:lang w:val="en-US"/>
              </w:rPr>
              <w:t>КОЗ2 / КОЗ</w:t>
            </w:r>
          </w:p>
        </w:tc>
        <w:tc>
          <w:tcPr>
            <w:tcW w:w="1502" w:type="dxa"/>
            <w:shd w:val="clear" w:color="auto" w:fill="auto"/>
            <w:vAlign w:val="center"/>
          </w:tcPr>
          <w:p w:rsidR="00381CB4" w:rsidP="00715425" w:rsidRDefault="008B7A91" w14:paraId="35D2EFF3"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2100" w:type="dxa"/>
            <w:vAlign w:val="center"/>
          </w:tcPr>
          <w:p w:rsidR="00381CB4" w:rsidP="00715425" w:rsidRDefault="008B7A91" w14:paraId="784C08F4" w14:textId="3835D518">
            <w:pPr>
              <w:pStyle w:val="19"/>
              <w:keepNext/>
              <w:jc w:val="center"/>
              <w:rPr>
                <w:sz w:val="18"/>
                <w:szCs w:val="18"/>
              </w:rPr>
            </w:pPr>
            <w:r w:rsidR="003F52E3">
              <w:rPr>
                <w:sz w:val="18"/>
                <w:szCs w:val="18"/>
                <w:lang w:val="en-US"/>
              </w:rPr>
              <w:t>Цена единицы, руб</w:t>
            </w:r>
          </w:p>
        </w:tc>
        <w:tc>
          <w:tcPr>
            <w:tcW w:w="1664" w:type="dxa"/>
            <w:vAlign w:val="center"/>
          </w:tcPr>
          <w:p w:rsidR="00381CB4" w:rsidP="00715425" w:rsidRDefault="00381CB4" w14:paraId="18006404" w14:textId="77777777">
            <w:pPr>
              <w:pStyle w:val="19"/>
              <w:keepNext/>
              <w:jc w:val="center"/>
              <w:rPr>
                <w:sz w:val="18"/>
                <w:szCs w:val="18"/>
              </w:rPr>
            </w:pPr>
            <w:r>
              <w:rPr>
                <w:sz w:val="18"/>
                <w:szCs w:val="18"/>
              </w:rPr>
              <w:t>Количество</w:t>
            </w:r>
          </w:p>
        </w:tc>
        <w:tc>
          <w:tcPr>
            <w:tcW w:w="1562" w:type="dxa"/>
            <w:shd w:val="clear" w:color="auto" w:fill="auto"/>
            <w:vAlign w:val="center"/>
          </w:tcPr>
          <w:p w:rsidR="00381CB4" w:rsidP="00715425" w:rsidRDefault="00381CB4" w14:paraId="6209AC2B" w14:textId="77777777">
            <w:pPr>
              <w:pStyle w:val="19"/>
              <w:keepNext/>
              <w:jc w:val="center"/>
              <w:rPr>
                <w:sz w:val="18"/>
                <w:szCs w:val="18"/>
              </w:rPr>
            </w:pPr>
            <w:r>
              <w:rPr>
                <w:sz w:val="18"/>
                <w:szCs w:val="18"/>
              </w:rPr>
              <w:t>Единицы измерения</w:t>
            </w:r>
          </w:p>
        </w:tc>
        <w:tc>
          <w:tcPr>
            <w:tcW w:w="2908" w:type="dxa"/>
            <w:shd w:val="clear" w:color="auto" w:fill="auto"/>
            <w:vAlign w:val="center"/>
          </w:tcPr>
          <w:p w:rsidR="00381CB4" w:rsidP="00715425" w:rsidRDefault="00381CB4" w14:paraId="281EC8BC"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62.02.30.000 - Услуги по технической поддержке информационных технологий / 62.02.30.000-00000002 - Услуги по технической поддержке информационных технологий</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21.205.09.01.02.01.002 / 02.02.19.656</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bl>
    <w:p w:rsidR="007203F8" w:rsidP="00381CB4" w:rsidRDefault="008B7A91" w14:paraId="3C4E5D74"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74 040 691,00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УЧРЕЖДЕНИЕ МОСКОВСКОЙ ОБЛАСТИ "ГЕОЦИФРА"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Московская область, г. Красногорск, бульвар Строителей, д. 4, корп. 1, пом. XXXVIII</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15.12.2026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НМЦК</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03224643460000004800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20826ZZ8730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30</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Формирование и направление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Оказание услуг на предоставление сертификата технической поддержки программного обеспечения системы управления базами данных (СУБД) Postgres Pro Enterprise (сертифицированная версия)</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Документ о приемке (функция СЧФДОП)</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273272-26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