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90A23">
      <w:pPr>
        <w:jc w:val="center"/>
        <w:rPr>
          <w:b/>
          <w:lang w:val="en-US" w:eastAsia="en-US"/>
        </w:rPr>
      </w:pPr>
      <w:r>
        <w:rPr>
          <w:b/>
          <w:lang w:val="en-US" w:eastAsia="en-US"/>
        </w:rPr>
        <w:t xml:space="preserve">Проект контракта № ________________</w:t>
      </w:r>
    </w:p>
    <w:p w14:paraId="41D3261A">
      <w:pPr>
        <w:jc w:val="center"/>
        <w:rPr>
          <w:lang w:val="en-US"/>
        </w:rPr>
      </w:pPr>
    </w:p>
    <w:p w14:paraId="6A47C9EB">
      <w:pPr>
        <w:jc w:val="center"/>
        <w:rPr>
          <w:lang w:val="en-US"/>
        </w:rPr>
      </w:pPr>
      <w:r>
        <w:rPr>
          <w:lang w:val="en-US"/>
        </w:rPr>
        <w:t xml:space="preserve">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r>
        <w:rPr>
          <w:lang w:val="en-AU"/>
        </w:rPr>
        <w:t/>
      </w:r>
      <w:r>
        <w:rPr>
          <w:lang w:val="en-US"/>
        </w:rPr>
        <w:t xml:space="preserve"/>
      </w:r>
    </w:p>
    <w:p w14:paraId="0D507821">
      <w:pPr>
        <w:jc w:val="center"/>
        <w:rPr>
          <w:lang w:val="en-US"/>
        </w:rPr>
      </w:pPr>
    </w:p>
    <w:p w14:paraId="5FF64CE8">
      <w:pPr>
        <w:jc w:val="center"/>
        <w:rPr>
          <w:lang w:eastAsia="en-US"/>
        </w:rPr>
      </w:pPr>
      <w:r>
        <w:t xml:space="preserve">(идентификационный код закупки – ИКЗ: 262502425506050240100100540016202244)</w:t>
      </w:r>
    </w:p>
    <w:p w14:paraId="690F84FC">
      <w:pPr>
        <w:rPr>
          <w:lang w:eastAsia="en-US"/>
        </w:rPr>
      </w:pPr>
    </w:p>
    <w:p w14:paraId="1B4E425D">
      <w:pPr>
        <w:jc w:val="right"/>
        <w:rPr>
          <w:lang w:eastAsia="en-US"/>
        </w:rPr>
      </w:pPr>
      <w:r>
        <w:rPr>
          <w:lang w:eastAsia="en-US"/>
        </w:rPr>
        <w:tab/>
      </w:r>
      <w:r>
        <w:t xml:space="preserve">«___» _____________ 20___ год</w:t>
      </w:r>
      <w:r>
        <w:rPr>
          <w:lang w:val="en-AU"/>
        </w:rPr>
        <w:t/>
      </w:r>
      <w:r>
        <w:t xml:space="preserve"/>
      </w:r>
    </w:p>
    <w:p w14:paraId="2395B456">
      <w:pPr>
        <w:rPr>
          <w:lang w:eastAsia="en-US"/>
        </w:rPr>
      </w:pPr>
    </w:p>
    <w:p w14:paraId="644A1EAD">
      <w:pPr>
        <w:rPr>
          <w:lang w:eastAsia="en-US"/>
        </w:rPr>
      </w:pPr>
      <w:r>
        <w:rPr>
          <w:lang w:eastAsia="en-US"/>
        </w:rPr>
        <w:t xml:space="preserve">ГОСУДАРСТВЕННОЕ БЮДЖЕТНОЕ УЧРЕЖДЕНИЕ МОСКОВСКОЙ ОБЛАСТИ "ГЕОЦИФРА"</w:t>
      </w:r>
      <w:r>
        <w:rPr>
          <w:lang w:val="en-US"/>
        </w:rPr>
        <w:t/>
      </w:r>
      <w:r>
        <w:rPr>
          <w:lang w:eastAsia="en-US"/>
        </w:rPr>
        <w:t xml:space="preserve">, именуемое(ая,ый) в дальнейшем «Заказчик</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rPr>
          <w:lang w:eastAsia="en-US"/>
        </w:rPr>
        <w:t xml:space="preserve">», </w:t>
      </w:r>
      <w:r>
        <w:t xml:space="preserve">в лице Исполняющий обязанности директора</w:t>
      </w:r>
      <w:r>
        <w:rPr>
          <w:lang w:val="en-US"/>
        </w:rPr>
        <w:t/>
      </w:r>
      <w:r>
        <w:t/>
      </w:r>
      <w:r>
        <w:rPr>
          <w:lang w:val="en-US"/>
        </w:rPr>
        <w:t/>
      </w:r>
      <w:r>
        <w:t/>
      </w:r>
      <w:r>
        <w:rPr>
          <w:lang w:val="en-US"/>
        </w:rPr>
        <w:t/>
      </w:r>
      <w:r>
        <w:t xml:space="preserve"> Иванова Святослава Юрьевича</w:t>
      </w:r>
      <w:r>
        <w:rPr>
          <w:lang w:val="en-US"/>
        </w:rPr>
        <w:t/>
      </w:r>
      <w:r>
        <w:t/>
      </w:r>
      <w:r>
        <w:rPr>
          <w:lang w:val="en-US"/>
        </w:rPr>
        <w:t/>
      </w:r>
      <w:r>
        <w:t/>
      </w:r>
      <w:r>
        <w:rPr>
          <w:lang w:val="en-US"/>
        </w:rPr>
        <w:t/>
      </w:r>
      <w:r>
        <w:t xml:space="preserve">, действующего на основании устава и приказа № 10-К от 06.02.2026</w:t>
      </w:r>
      <w:r>
        <w:rPr>
          <w:lang w:val="en-US"/>
        </w:rPr>
        <w:t/>
      </w:r>
      <w:r>
        <w:t/>
      </w:r>
      <w:r>
        <w:rPr>
          <w:lang w:val="en-US"/>
        </w:rPr>
        <w:t/>
      </w:r>
      <w:r>
        <w:t/>
      </w:r>
      <w:r>
        <w:rPr>
          <w:lang w:val="en-US"/>
        </w:rPr>
        <w:t/>
      </w:r>
      <w:r>
        <w:t xml:space="preserve">, с одной стороны, и </w:t>
      </w:r>
      <w:r>
        <w:rPr>
          <w:rStyle w:val="11"/>
          <w:color w:val="auto"/>
          <w:u w:val="none"/>
          <w:lang w:eastAsia="en-US"/>
        </w:rPr>
        <w:t xml:space="preserve">________________</w:t>
      </w:r>
      <w:r>
        <w:rPr>
          <w:rStyle w:val="11"/>
          <w:color w:val="auto"/>
          <w:u w:val="none"/>
          <w:lang w:val="en-US" w:eastAsia="en-US"/>
        </w:rPr>
        <w:t/>
      </w:r>
      <w:r>
        <w:rPr>
          <w:rStyle w:val="11"/>
          <w:color w:val="auto"/>
          <w:u w:val="none"/>
          <w:lang w:eastAsia="en-US"/>
        </w:rPr>
        <w:t xml:space="preserve">, </w:t>
      </w:r>
      <w:r>
        <w:t xml:space="preserve">именуемое(ая,ый) в дальнейшем «Исполнитель</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t xml:space="preserve">», в лице ________________</w:t>
      </w:r>
      <w:r>
        <w:rPr>
          <w:lang w:val="en-US"/>
        </w:rPr>
        <w:t/>
      </w:r>
      <w:r>
        <w:t/>
      </w:r>
      <w:r>
        <w:rPr>
          <w:lang w:val="en-US"/>
        </w:rPr>
        <w:t/>
      </w:r>
      <w:r>
        <w:t/>
      </w:r>
      <w:r>
        <w:rPr>
          <w:lang w:val="en-US"/>
        </w:rPr>
        <w:t/>
      </w:r>
      <w:r>
        <w:t xml:space="preserve"> ________________</w:t>
      </w:r>
      <w:r>
        <w:rPr>
          <w:lang w:val="en-US"/>
        </w:rPr>
        <w:t/>
      </w:r>
      <w:r>
        <w:t/>
      </w:r>
      <w:r>
        <w:rPr>
          <w:lang w:val="en-US"/>
        </w:rPr>
        <w:t/>
      </w:r>
      <w:r>
        <w:t/>
      </w:r>
      <w:r>
        <w:rPr>
          <w:lang w:val="en-US"/>
        </w:rPr>
        <w:t/>
      </w:r>
      <w:r>
        <w:t xml:space="preserve">, действующего на основании ________________</w:t>
      </w:r>
      <w:r>
        <w:rPr>
          <w:lang w:val="en-US"/>
        </w:rPr>
        <w:t/>
      </w:r>
      <w:r>
        <w:t/>
      </w:r>
      <w:r>
        <w:rPr>
          <w:lang w:val="en-US"/>
        </w:rPr>
        <w:t/>
      </w:r>
      <w:r>
        <w:t/>
      </w:r>
      <w:r>
        <w:rPr>
          <w:lang w:val="en-US"/>
        </w:rPr>
        <w:t/>
      </w:r>
      <w:r>
        <w:t xml:space="preserve">,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________________________</w:t>
      </w:r>
      <w:r>
        <w:rPr>
          <w:lang w:eastAsia="en-US"/>
        </w:rPr>
        <w:t xml:space="preserve"> заключили настоящий </w:t>
      </w:r>
      <w:r>
        <w:t xml:space="preserve"/>
      </w:r>
      <w:r>
        <w:rPr>
          <w:lang w:val="en-US"/>
        </w:rPr>
        <w:t/>
      </w:r>
      <w:r>
        <w:t xml:space="preserve"/>
      </w:r>
      <w:r>
        <w:rPr>
          <w:lang w:val="en-US"/>
        </w:rPr>
        <w:t/>
      </w:r>
      <w:r>
        <w:t xml:space="preserve">контракт</w:t>
      </w:r>
      <w:r>
        <w:rPr>
          <w:lang w:val="en-US"/>
        </w:rPr>
        <w:t/>
      </w:r>
      <w:r>
        <w:t xml:space="preserve"/>
      </w:r>
      <w:r>
        <w:rPr>
          <w:lang w:eastAsia="en-US"/>
        </w:rPr>
        <w:t xml:space="preserve"> (далее – Контракт) о нижеследующем.</w:t>
      </w:r>
    </w:p>
    <w:p w14:paraId="6BE0E46D">
      <w:pPr>
        <w:pStyle w:val="31"/>
        <w:ind w:firstLine="709"/>
      </w:pPr>
      <w:r>
        <w:t>Предмет Контракта</w:t>
      </w:r>
    </w:p>
    <w:p>
      <w:r>
        <w:t>1.1. Предмет Контракта - 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p>
    <w:p>
      <w:r>
        <w:t>1.2. Исполнитель обязуется в обусловленные Контрактом сроки оказать Заказчику услуги, перечисленные в приложении 1 к Контракту «Сведения об объектах закупки» (далее – услуги), а Заказчик обязуется принять и оплатить услуги в порядке и в соответствии с условиями, предусмотренными Контрактом.</w:t>
      </w:r>
    </w:p>
    <w:p>
      <w:r>
        <w:t>1.3. Требования к качеству оказываемых Исполнителем услуг, а также требования к порядку и способу их оказания Исполнителем, определяются Контрактом, в том числе Описанием объекта закупки (Техническим заданием) (приложение 5 к Контракту).</w:t>
      </w:r>
    </w:p>
    <w:p w14:paraId="621AE7B6">
      <w:pPr>
        <w:pStyle w:val="31"/>
        <w:ind w:firstLine="709"/>
      </w:pPr>
      <w:r>
        <w:t xml:space="preserve">Цена Контракта</w:t>
      </w:r>
      <w:r>
        <w:rPr>
          <w:lang w:val="en-US"/>
        </w:rPr>
        <w:t/>
      </w:r>
      <w:r>
        <w:t xml:space="preserve">, порядок и сроки оплаты услуг</w:t>
      </w:r>
      <w:r>
        <w:rPr>
          <w:lang w:val="en-AU"/>
        </w:rPr>
        <w:t/>
      </w:r>
      <w:r>
        <w:t/>
      </w:r>
      <w:r>
        <w:rPr>
          <w:lang w:val="en-AU"/>
        </w:rPr>
        <w:t/>
      </w:r>
      <w:r>
        <w:t/>
      </w:r>
      <w:r>
        <w:rPr>
          <w:lang w:val="en-AU"/>
        </w:rPr>
        <w:t/>
      </w:r>
      <w:r>
        <w:t xml:space="preserve"/>
      </w:r>
      <w:r>
        <w:rPr>
          <w:lang w:val="en-AU"/>
        </w:rPr>
        <w:t/>
      </w:r>
      <w:r>
        <w:t/>
      </w:r>
      <w:r>
        <w:rPr>
          <w:lang w:val="en-AU"/>
        </w:rPr>
        <w:t/>
      </w:r>
      <w:r>
        <w:t/>
      </w:r>
      <w:r>
        <w:rPr>
          <w:lang w:val="en-AU"/>
        </w:rPr>
        <w:t/>
      </w:r>
      <w:r>
        <w:t/>
      </w:r>
      <w:r>
        <w:rPr>
          <w:lang w:val="en-AU"/>
        </w:rPr>
        <w:t/>
      </w:r>
      <w:r>
        <w:t xml:space="preserve"/>
      </w:r>
      <w:r>
        <w:rPr>
          <w:lang w:val="en-AU"/>
        </w:rPr>
        <w:t/>
      </w:r>
      <w:r>
        <w:t/>
      </w:r>
      <w:r>
        <w:rPr>
          <w:lang w:val="en-US"/>
        </w:rPr>
        <w:t/>
      </w:r>
      <w:r>
        <w:rPr>
          <w:lang w:val="en-AU"/>
        </w:rPr>
        <w:t/>
      </w:r>
      <w:r>
        <w:t/>
      </w:r>
      <w:r>
        <w:rPr>
          <w:lang w:val="en-AU"/>
        </w:rPr>
        <w:t/>
      </w:r>
      <w:r>
        <w:t/>
      </w:r>
    </w:p>
    <w:p>
      <w:r>
        <w:t>2.1. Цена Контракта составляет ________________, ________________  &lt;1&gt; (далее – Цена Контракта). </w:t>
      </w:r>
    </w:p>
    <w:p>
      <w:r>
        <w:t/>
      </w:r>
    </w:p>
    <w:p>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p>
      <w:r>
        <w:t/>
      </w:r>
    </w:p>
    <w:p>
      <w:r>
        <w:t>2.2. Цена Контракта является твердой и определена на весь срок исполнения Контракта.</w:t>
      </w:r>
    </w:p>
    <w:p>
      <w:r>
        <w:t>2.3. Цена Контракта включает в себя все расходы Исполнителя, связанные  с оказанием услуги, а также все налоги и сборы, уплата которых является обязанностью Исполнителя.</w:t>
      </w:r>
    </w:p>
    <w:p>
      <w: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
        <w:t>2.5. Порядок и сроки оплаты оказанных услуг установлены в разделе «Порядок и сроки оплаты» приложения 2 к Контракту.</w:t>
      </w:r>
    </w:p>
    <w:p>
      <w:r>
        <w:t>2.6. Оплата оказанных услуг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14:paraId="2E11847A">
      <w:pPr>
        <w:rPr>
          <w:lang w:eastAsia="en-US"/>
        </w:rPr>
      </w:pPr>
      <w:r>
        <w:rPr>
          <w:lang w:eastAsia="en-US"/>
        </w:rPr>
        <w:t xml:space="preserve"/>
      </w:r>
    </w:p>
    <w:p w14:paraId="66A78825">
      <w:pPr>
        <w:rPr>
          <w:lang w:eastAsia="en-US"/>
        </w:rPr>
      </w:pPr>
      <w:r>
        <w:rPr>
          <w:lang w:eastAsia="en-US"/>
        </w:rPr>
        <w:t xml:space="preserve">2.7. Обязательства Заказчика по оплате </w:t>
      </w:r>
      <w:r>
        <w:rPr>
          <w:lang w:val="ru-RU" w:eastAsia="en-US"/>
        </w:rPr>
        <w:t>оказанных</w:t>
      </w:r>
      <w:r>
        <w:rPr>
          <w:rFonts w:hint="default"/>
          <w:lang w:val="ru-RU" w:eastAsia="en-US"/>
        </w:rPr>
        <w:t xml:space="preserve"> услуг</w:t>
      </w:r>
      <w:bookmarkStart w:id="8" w:name="_GoBack"/>
      <w:bookmarkEnd w:id="8"/>
      <w:r>
        <w:rPr>
          <w:lang w:eastAsia="en-US"/>
        </w:rPr>
        <w:t xml:space="preserve"> считаются исполненными с момента списания денежных средств со счетов Заказчика. </w:t>
      </w:r>
    </w:p>
    <w:p w14:paraId="485EDD80">
      <w:pPr>
        <w:rPr>
          <w:lang w:eastAsia="en-US"/>
        </w:rPr>
      </w:pPr>
      <w:r>
        <w:rPr>
          <w:lang w:eastAsia="en-US"/>
        </w:rPr>
        <w:t xml:space="preserve">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t>.</w:t>
      </w:r>
    </w:p>
    <w:p w14:paraId="3BE15EE5">
      <w:pPr>
        <w:rPr>
          <w:lang w:eastAsia="en-US"/>
        </w:rPr>
      </w:pPr>
      <w:r>
        <w:t>2.8. Источники финансирования</w:t>
      </w:r>
      <w:r>
        <w:rPr>
          <w:lang w:eastAsia="en-US"/>
        </w:rPr>
        <w:t>:</w:t>
      </w:r>
    </w:p>
    <w:tbl>
      <w:tblPr>
        <w:tblStyle w:val="18"/>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560"/>
        <w:gridCol w:w="2698"/>
        <w:gridCol w:w="1994"/>
        <w:gridCol w:w="1545"/>
        <w:gridCol w:w="849"/>
      </w:tblGrid>
      <w:tr w14:paraId="6342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269A9D1">
            <w:pPr>
              <w:ind w:firstLine="0"/>
              <w:jc w:val="center"/>
              <w:rPr>
                <w:lang w:val="en-US" w:eastAsia="en-US"/>
              </w:rPr>
            </w:pPr>
            <w:r>
              <w:rPr>
                <w:lang w:val="en-US" w:eastAsia="en-US"/>
              </w:rPr>
              <w:t>Бюджет \ Внебюджетные средства</w:t>
            </w:r>
          </w:p>
        </w:tc>
        <w:tc>
          <w:tcPr>
            <w:tcW w:w="1560" w:type="dxa"/>
            <w:vAlign w:val="center"/>
          </w:tcPr>
          <w:p w14:paraId="66CF9941">
            <w:pPr>
              <w:ind w:firstLine="0"/>
              <w:jc w:val="center"/>
              <w:rPr>
                <w:lang w:val="en-US" w:eastAsia="en-US"/>
              </w:rPr>
            </w:pPr>
            <w:r>
              <w:rPr>
                <w:lang w:val="en-US" w:eastAsia="en-US"/>
              </w:rPr>
              <w:t>Тип средств</w:t>
            </w:r>
          </w:p>
        </w:tc>
        <w:tc>
          <w:tcPr>
            <w:tcW w:w="2698" w:type="dxa"/>
            <w:vAlign w:val="center"/>
          </w:tcPr>
          <w:p w14:paraId="05849516">
            <w:pPr>
              <w:ind w:firstLine="0"/>
              <w:jc w:val="center"/>
              <w:rPr>
                <w:lang w:val="en-US" w:eastAsia="en-US"/>
              </w:rPr>
            </w:pPr>
            <w:r>
              <w:rPr>
                <w:lang w:val="en-US" w:eastAsia="en-US"/>
              </w:rPr>
              <w:t>Код бюджетной классификации расходов</w:t>
            </w:r>
          </w:p>
        </w:tc>
        <w:tc>
          <w:tcPr>
            <w:tcW w:w="1994" w:type="dxa"/>
            <w:vAlign w:val="center"/>
          </w:tcPr>
          <w:p w14:paraId="304DDFC2">
            <w:pPr>
              <w:ind w:firstLine="0"/>
              <w:jc w:val="center"/>
              <w:rPr>
                <w:lang w:val="en-US" w:eastAsia="en-US"/>
              </w:rPr>
            </w:pPr>
            <w:r>
              <w:rPr>
                <w:lang w:val="en-US" w:eastAsia="en-US"/>
              </w:rPr>
              <w:t>Сумма, руб.</w:t>
            </w:r>
          </w:p>
        </w:tc>
        <w:tc>
          <w:tcPr>
            <w:tcW w:w="1545" w:type="dxa"/>
            <w:vAlign w:val="center"/>
          </w:tcPr>
          <w:p w14:paraId="3F6AE0B0">
            <w:pPr>
              <w:ind w:firstLine="0"/>
              <w:jc w:val="center"/>
              <w:rPr>
                <w:lang w:val="en-US" w:eastAsia="en-US"/>
              </w:rPr>
            </w:pPr>
            <w:r>
              <w:rPr>
                <w:lang w:val="en-US" w:eastAsia="en-US"/>
              </w:rPr>
              <w:t>Лицевой счет</w:t>
            </w:r>
          </w:p>
        </w:tc>
        <w:tc>
          <w:tcPr>
            <w:tcW w:w="849" w:type="dxa"/>
            <w:vAlign w:val="center"/>
          </w:tcPr>
          <w:p w14:paraId="43913E08">
            <w:pPr>
              <w:ind w:firstLine="0"/>
              <w:jc w:val="center"/>
              <w:rPr>
                <w:lang w:val="en-US" w:eastAsia="en-US"/>
              </w:rPr>
            </w:pPr>
            <w:r>
              <w:rPr>
                <w:lang w:val="en-US" w:eastAsia="en-US"/>
              </w:rPr>
              <w:t>Год</w:t>
            </w:r>
          </w:p>
        </w:tc>
      </w:tr>
      <w:tr w14:paraId="569B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7023B8">
            <w:pPr>
              <w:ind w:firstLine="0"/>
              <w:jc w:val="left"/>
              <w:rPr>
                <w:lang w:val="en-US"/>
              </w:rPr>
            </w:pPr>
            <w:r>
              <w:rPr>
                <w:lang w:val="en-US"/>
              </w:rPr>
              <w:t xml:space="preserve">За счет внебюджетных средств</w:t>
            </w:r>
          </w:p>
        </w:tc>
        <w:tc>
          <w:tcPr>
            <w:tcW w:w="1560" w:type="dxa"/>
            <w:vAlign w:val="center"/>
          </w:tcPr>
          <w:p w14:paraId="4A971327">
            <w:pPr>
              <w:ind w:firstLine="0"/>
              <w:jc w:val="left"/>
              <w:rPr>
                <w:lang w:val="en-US"/>
              </w:rPr>
            </w:pPr>
            <w:r>
              <w:rPr>
                <w:lang w:val="en-US"/>
              </w:rPr>
              <w:t xml:space="preserve">Средства бюджетных учреждений (ГЗ)</w:t>
            </w:r>
          </w:p>
        </w:tc>
        <w:tc>
          <w:tcPr>
            <w:tcW w:w="2698" w:type="dxa"/>
            <w:vAlign w:val="center"/>
          </w:tcPr>
          <w:p w14:paraId="6821F3A1">
            <w:pPr>
              <w:ind w:firstLine="0"/>
              <w:jc w:val="center"/>
              <w:rPr>
                <w:lang w:val="en-US"/>
              </w:rPr>
            </w:pPr>
            <w:r>
              <w:rPr>
                <w:lang w:val="en-US"/>
              </w:rPr>
              <w:t xml:space="preserve">82600000000000000244</w:t>
            </w:r>
          </w:p>
        </w:tc>
        <w:tc>
          <w:tcPr>
            <w:tcW w:w="1994" w:type="dxa"/>
            <w:vAlign w:val="center"/>
          </w:tcPr>
          <w:p w14:paraId="2E4CCBF2">
            <w:pPr>
              <w:ind w:firstLine="0"/>
              <w:jc w:val="center"/>
              <w:rPr>
                <w:lang w:val="en-US" w:eastAsia="en-US"/>
              </w:rPr>
            </w:pPr>
            <w:r>
              <w:rPr>
                <w:lang w:val="en-US" w:eastAsia="en-US"/>
              </w:rPr>
              <w:t xml:space="preserve"/>
            </w:r>
          </w:p>
        </w:tc>
        <w:tc>
          <w:tcPr>
            <w:tcW w:w="1545" w:type="dxa"/>
            <w:vAlign w:val="center"/>
          </w:tcPr>
          <w:p w14:paraId="1772AA3E">
            <w:pPr>
              <w:ind w:firstLine="0"/>
              <w:jc w:val="center"/>
              <w:rPr>
                <w:shd w:val="clear" w:color="auto" w:fill="FFFFFF"/>
                <w:lang w:val="en-US"/>
              </w:rPr>
            </w:pPr>
            <w:r>
              <w:rPr>
                <w:shd w:val="clear" w:color="auto" w:fill="FFFFFF"/>
                <w:lang w:val="en-US"/>
              </w:rPr>
              <w:t xml:space="preserve">20826ZZ8730</w:t>
            </w:r>
            <w:r>
              <w:rPr>
                <w:lang w:val="en-AU"/>
              </w:rPr>
              <w:t/>
            </w:r>
            <w:r>
              <w:rPr>
                <w:shd w:val="clear" w:color="auto" w:fill="FFFFFF"/>
                <w:lang w:val="en-US"/>
              </w:rPr>
              <w:t xml:space="preserve"/>
            </w:r>
          </w:p>
        </w:tc>
        <w:tc>
          <w:tcPr>
            <w:tcW w:w="849" w:type="dxa"/>
            <w:vAlign w:val="center"/>
          </w:tcPr>
          <w:p w14:paraId="502A6BFA">
            <w:pPr>
              <w:ind w:firstLine="0"/>
              <w:jc w:val="center"/>
              <w:rPr>
                <w:lang w:val="en-US" w:eastAsia="en-US"/>
              </w:rPr>
            </w:pPr>
            <w:r>
              <w:rPr>
                <w:lang w:val="en-US" w:eastAsia="en-US"/>
              </w:rPr>
              <w:t xml:space="preserve">2026</w:t>
            </w:r>
            <w:r>
              <w:rPr>
                <w:lang w:val="en-US"/>
              </w:rPr>
              <w:t/>
            </w:r>
          </w:p>
        </w:tc>
      </w:tr>
    </w:tbl>
    <w:p w14:paraId="1F76D0A6">
      <w:pPr>
        <w:rPr>
          <w:lang w:val="en-US" w:eastAsia="en-US"/>
        </w:rPr>
      </w:pPr>
      <w:r>
        <w:rPr>
          <w:lang w:val="en-US"/>
        </w:rPr>
        <w:t xml:space="preserve">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w:t>
      </w:r>
      <w:r>
        <w:rPr>
          <w:color w:val="000000"/>
          <w:lang w:val="en-US"/>
        </w:rPr>
        <w:t/>
      </w:r>
      <w:r>
        <w:rPr>
          <w:lang w:val="en-US"/>
        </w:rPr>
        <w:t xml:space="preserve"> </w:t>
      </w:r>
      <w:r>
        <w:rPr>
          <w:lang w:val="en-US" w:eastAsia="en-US"/>
        </w:rPr>
        <w:t/>
      </w:r>
      <w:r>
        <w:rPr>
          <w:lang w:val="en-US"/>
        </w:rPr>
        <w:t xml:space="preserve"/>
      </w:r>
      <w:r>
        <w:rPr>
          <w:lang w:val="en-US" w:eastAsia="en-US"/>
        </w:rPr>
        <w:t/>
      </w:r>
      <w:r>
        <w:rPr>
          <w:lang w:val="en-US"/>
        </w:rPr>
        <w:t xml:space="preserve"/>
      </w:r>
    </w:p>
    <w:p>
      <w:r>
        <w:t>2.10. Выплата аванса не предусмотрена.</w:t>
      </w:r>
    </w:p>
    <w:p w14:paraId="02EBE10E">
      <w:pPr>
        <w:pStyle w:val="31"/>
      </w:pPr>
      <w:r>
        <w:t>Сроки, порядок и место оказания услуг</w:t>
      </w:r>
    </w:p>
    <w:p>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
        <w:t>3.2.	Место (места) оказания услуг указано (указаны) в приложении 2 к Контракту. </w:t>
      </w:r>
    </w:p>
    <w:p>
      <w:r>
        <w:t>3.3.	Исполнитель оказывает услуги в порядке согласно Графику и в соответствии с иными условиями, предусмотренными Контрактом.</w:t>
      </w:r>
    </w:p>
    <w:p w14:paraId="74733B73">
      <w:pPr>
        <w:pStyle w:val="31"/>
      </w:pPr>
      <w:r>
        <w:t>Порядок и сроки осуществления приемки оказанных услуг</w:t>
      </w:r>
      <w:r>
        <w:br w:type="textWrapping"/>
      </w:r>
      <w:r>
        <w:t xml:space="preserve"> и оформления ее результатов</w:t>
      </w:r>
    </w:p>
    <w:p>
      <w:r>
        <w:t>4.1. Приемка оказанных услуг, в том числе отдельных этапов (если Контрактом предусмотрены такие этапы), осуществляется на основании первичных учетных документов, подтверждающих оказание услуги, составленных после завершения оказания услуг, предусмотренной разделом 1 приложения 2 к Контракту.</w:t>
      </w:r>
    </w:p>
    <w:p>
      <w:r>
        <w:t>4.2. Первичный учетный документ, являющийся основанием для оплаты услуг - документ о приемке, указанный в приложении 2 к Контракту, оформленный и подписанный в установленном Контрактом порядке (далее – документ о приемке).</w:t>
      </w:r>
    </w:p>
    <w:p>
      <w:r>
        <w:t>4.3. При приемке оказанных услуг для подтверждения объема и качества фактически оказанных услуг Исполнитель представляет комплект документов, который определяется Контрактом (далее – комплект документов).</w:t>
      </w:r>
    </w:p>
    <w:p>
      <w:r>
        <w:t>Перечень, порядок и сроки направления Исполнителем комплекта документов указаны в приложении 3 к Контракту.</w:t>
      </w:r>
    </w:p>
    <w:p>
      <w:r>
        <w:t>4.4. Заказчик осуществляет приемку оказанных услуг после получения от Исполнителя соответствующего комплекта документов. </w:t>
      </w:r>
    </w:p>
    <w:p>
      <w:r>
        <w:t>Порядок и сроки осуществления приемки оказанных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
        <w:t>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
        <w:t>Порядок и сроки проведения экспертизы установлены разделом «Порядок и сроки проведения экспертизы» приложения 3 к Контракту.</w:t>
      </w:r>
    </w:p>
    <w:p>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Исполнителю мотивированный отказ от подписания документа о приемке, содержащий перечень выявленных недостатков (далее – мотивированный отказ). </w:t>
      </w:r>
    </w:p>
    <w:p>
      <w:r>
        <w:t>4.7.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
        <w:t>Со дня получения от Исполнителя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
        <w:t>4.8.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соответствии с условиями Контракта.</w:t>
      </w:r>
    </w:p>
    <w:p>
      <w:r>
        <w:t>4.9. Подписание Заказчиком документа о приемке не лишает его права ссылаться на недостатки оказанных услуг, в том числе по объему услуг (включая обнаруженные по результатам проведенных контрольными органами проверок).</w:t>
      </w:r>
    </w:p>
    <w:p w14:paraId="01062BB9">
      <w:pPr>
        <w:pStyle w:val="31"/>
      </w:pPr>
      <w:r>
        <w:t>Права и обязанности Сторон</w:t>
      </w:r>
    </w:p>
    <w:p w14:paraId="7CC20B96">
      <w:pPr>
        <w:rPr>
          <w:lang w:val="en-US"/>
        </w:rPr>
      </w:pPr>
      <w:r>
        <w:rPr>
          <w:lang w:val="en-US"/>
        </w:rPr>
        <w:t>5.1.</w:t>
      </w:r>
      <w:r>
        <w:t xml:space="preserve"> </w:t>
      </w:r>
      <w:r>
        <w:rPr>
          <w:lang w:val="en-US"/>
        </w:rPr>
        <w:t xml:space="preserve">Заказчик </w:t>
      </w:r>
      <w:r>
        <w:t>вправе</w:t>
      </w:r>
      <w:r>
        <w:rPr>
          <w:lang w:val="en-US"/>
        </w:rPr>
        <w:t>:</w:t>
      </w:r>
    </w:p>
    <w:p>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
        <w:t>5.1.3. Запрашивать у Исполнителя информацию об исполнении им обязательств по Контракту.</w:t>
      </w:r>
    </w:p>
    <w:p>
      <w:r>
        <w:t>5.1.4.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
        <w:t>5.1.5. Требовать возмещения убытков, причиненных в связи с неисполнением и (или) ненадлежащим исполнением Исполнителем обязательств, предусмотренных Контрактом.</w:t>
      </w:r>
    </w:p>
    <w:p>
      <w:r>
        <w:t>5.1.6. Во всякое время проверять ход и качество услуг, оказываемых Исполнителем, не вмешиваясь в его деятельность.</w:t>
      </w:r>
    </w:p>
    <w:p>
      <w:r>
        <w:t>5.1.7. 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r>
        <w:t>5.1.8. Осуществлять иные права, предусмотренные законодательством Российской Федерации и Контрактом.</w:t>
      </w:r>
    </w:p>
    <w:p w14:paraId="2B200D9D">
      <w:pPr>
        <w:rPr>
          <w:lang w:val="en-US"/>
        </w:rPr>
      </w:pPr>
      <w:bookmarkStart w:id="0" w:name="_Ref45540162"/>
      <w:r>
        <w:rPr>
          <w:lang w:val="en-US"/>
        </w:rPr>
        <w:t>5.2.</w:t>
      </w:r>
      <w:r>
        <w:t xml:space="preserve"> </w:t>
      </w:r>
      <w:r>
        <w:rPr>
          <w:lang w:val="en-US"/>
        </w:rPr>
        <w:t xml:space="preserve">Заказчик </w:t>
      </w:r>
      <w:r>
        <w:t>обязан</w:t>
      </w:r>
      <w:r>
        <w:rPr>
          <w:lang w:val="en-US"/>
        </w:rPr>
        <w:t>:</w:t>
      </w:r>
      <w:bookmarkEnd w:id="0"/>
    </w:p>
    <w:p>
      <w:r>
        <w:t>5.2.1. Осуществлять приемку услуг и производить их оплату в порядке и сроки, установленные Контрактом.</w:t>
      </w:r>
    </w:p>
    <w:p>
      <w:r>
        <w:t>5.2.2. Сообщать в письменной форме Исполнителю о недостатках, обнаруженных в ходе исполнения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
        <w:t>5.2.3. Требовать уплаты неустойки (штрафов, пеней) в соответствии с условиями Контракта.</w:t>
      </w:r>
    </w:p>
    <w:p>
      <w:r>
        <w:t>5.2.4. Осуществлять контроль за исполнением Исполнителем условий Контракта в соответствии с законодательством Российской Федерации.</w:t>
      </w:r>
    </w:p>
    <w:p>
      <w:r>
        <w:t>5.2.5. Представлять Исполнителю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5.2.6. В течение 5 (пяти) рабочих дней со дня получения от Исполнителя информации об изменении реквизитов Исполнителя,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5.2.7. Представлять Исполнителю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r>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r>
        <w:t>5.2.9. Выполнить обязательства в соответствии с разделом «Иные обязательства» приложения 2 к Контракту (при наличии таких обязательств).</w:t>
      </w:r>
    </w:p>
    <w:p>
      <w:r>
        <w:t>5.2.10. Исполнять иные обязанности в соответствии с законодательством Российской Федерации и Контрактом.</w:t>
      </w:r>
    </w:p>
    <w:p w14:paraId="6FDE1F1A">
      <w:pPr>
        <w:rPr>
          <w:lang w:val="en-US"/>
        </w:rPr>
      </w:pPr>
      <w:r>
        <w:rPr>
          <w:lang w:val="en-US"/>
        </w:rPr>
        <w:t>5.3.</w:t>
      </w:r>
      <w:r>
        <w:t xml:space="preserve"> </w:t>
      </w:r>
      <w:r>
        <w:rPr>
          <w:lang w:val="en-US"/>
        </w:rPr>
        <w:t xml:space="preserve">Исполнитель </w:t>
      </w:r>
      <w:r>
        <w:t>вправе</w:t>
      </w:r>
      <w:r>
        <w:rPr>
          <w:lang w:val="en-US"/>
        </w:rPr>
        <w:t>:</w:t>
      </w:r>
    </w:p>
    <w:p>
      <w:r>
        <w:t>5.3.1. Требовать от Заказчика надлежащего исполнения обязательств в соответствии с Контрактом.</w:t>
      </w:r>
    </w:p>
    <w:p>
      <w:r>
        <w:t>5.3.2. Запрашивать у Заказчика разъяснения и уточнения относительно исполнения обязательств в рамках Контракта.</w:t>
      </w:r>
    </w:p>
    <w:p>
      <w:r>
        <w:t>5.3.3. Осуществлять иные права, предусмотренные законодательством Российской Федерации и Контрактом.</w:t>
      </w:r>
    </w:p>
    <w:p w14:paraId="3FED0EDA">
      <w:pPr>
        <w:rPr>
          <w:lang w:val="en-US"/>
        </w:rPr>
      </w:pPr>
      <w:r>
        <w:rPr>
          <w:lang w:val="en-US"/>
        </w:rPr>
        <w:t xml:space="preserve"/>
      </w:r>
    </w:p>
    <w:p w14:paraId="6AAA7EFD">
      <w:pPr>
        <w:rPr>
          <w:lang w:val="en-US"/>
        </w:rPr>
      </w:pPr>
      <w:bookmarkStart w:id="1" w:name="_Ref40978815"/>
      <w:r>
        <w:rPr>
          <w:lang w:val="en-US"/>
        </w:rPr>
        <w:t xml:space="preserve">5.4. Исполнитель </w:t>
      </w:r>
      <w:r>
        <w:t>обязан</w:t>
      </w:r>
      <w:r>
        <w:rPr>
          <w:lang w:val="en-US"/>
        </w:rPr>
        <w:t>:</w:t>
      </w:r>
      <w:bookmarkEnd w:id="1"/>
    </w:p>
    <w:p>
      <w:r>
        <w:t>5.4.1. В соответствии с условиями Контракта оказать услуги лично в полном объеме, надлежащего качества и в установленные сроки.</w:t>
      </w:r>
    </w:p>
    <w:p>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
        <w:t>5.4.5. Представлять Заказчику информацию об изменении реквизитов Исполнителя,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5.4.7. 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 (при наличии таких требований).</w:t>
      </w:r>
    </w:p>
    <w:p>
      <w:r>
        <w:t>5.4.8. В случае повреждения Исполнителем имущества третьих лиц в ходе оказания услуг восстановить поврежденное имущество за свой счет.</w:t>
      </w:r>
    </w:p>
    <w:p>
      <w:r>
        <w:t>5.4.9. Выполнить обязательства в соответствии с разделом «Иные обязательства» приложения 2 к Контракту (при наличии таких обязательств).</w:t>
      </w:r>
    </w:p>
    <w:p>
      <w:r>
        <w:t>5.4.10. Исполнять иные обязанности в соответствии с законодательством Российской Федерации и настоящим Контрактом.</w:t>
      </w:r>
    </w:p>
    <w:p w14:paraId="4C9EAFFE">
      <w:pPr>
        <w:pStyle w:val="31"/>
      </w:pPr>
      <w:r>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w:t>
      </w:r>
    </w:p>
    <w:bookmarkEnd w:id="2"/>
    <w:bookmarkEnd w:id="3"/>
    <w:p w14:paraId="6D10640C">
      <w:pPr>
        <w:pStyle w:val="31"/>
      </w:pPr>
      <w:r>
        <w:t>Ответственность Сторон</w:t>
      </w:r>
    </w:p>
    <w:p>
      <w:r>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
        <w:t>Размер пени определяется в соответствии со статьей 34 Федерального закона № 44-ФЗ.</w:t>
      </w:r>
    </w:p>
    <w:p>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
        <w:t>7.3.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
        <w:t>7.5. Ответственность Заказчика:</w:t>
      </w:r>
    </w:p>
    <w:p>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
        <w:t/>
      </w:r>
    </w:p>
    <w:p>
      <w:r>
        <w:t>&lt;1&gt; В данном подпункте при заключении Контракта указывается размер штрафа, определяемый в соответствии с пунктом 9 Правил в следующем порядке:</w:t>
      </w:r>
    </w:p>
    <w:p>
      <w:r>
        <w:t>а) 1000 рублей, если Цена Контракта не превышает 3 млн. рублей (включительно);</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r>
        <w:t/>
      </w:r>
    </w:p>
    <w:p>
      <w:r>
        <w:t>7.6. Ответственность Исполнителя:</w:t>
      </w:r>
    </w:p>
    <w:p>
      <w:r>
        <w:t>7.6.1.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
        <w:t>7.6.2.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
        <w:t>7.6.3.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
        <w:t>7.6.4.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
        <w:t/>
      </w:r>
    </w:p>
    <w:p>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
        <w:t>(Вариант I)</w:t>
      </w:r>
    </w:p>
    <w:p>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
        <w:t>а) 10 процентов цены Контракта (этапа) в случае, если цена Контракта (этапа) не превышает 3 млн. рублей;</w:t>
      </w:r>
    </w:p>
    <w:p>
      <w:r>
        <w:t>б) 5 процентов цены Контракта (этапа) в случае, если цена Контракта (этапа) составляет от 3 млн. рублей до 50 млн. рублей (включительно);</w:t>
      </w:r>
    </w:p>
    <w:p>
      <w:r>
        <w:t>в) 1 процент цены Контракта (этапа) в случае, если цена Контракта (этапа) составляет от 50 млн. рублей до 100 млн. рублей (включительно);</w:t>
      </w:r>
    </w:p>
    <w:p>
      <w:r>
        <w:t>г) 0,5 процента цены Контракта (этапа) в случае, если цена Контракта (этапа) составляет от 100 млн. рублей до 500 млн. рублей (включительно);</w:t>
      </w:r>
    </w:p>
    <w:p>
      <w:r>
        <w:t>д) 0,4 процента цены Контракта (этапа) в случае, если цена Контракта (этапа) составляет от 500 млн. рублей до 1 млрд. рублей (включительно);</w:t>
      </w:r>
    </w:p>
    <w:p>
      <w:r>
        <w:t>е) 0,3 процента цены Контракта (этапа) в случае, если цена Контракта (этапа) составляет от 1 млрд. рублей до 2 млрд. рублей (включительно);</w:t>
      </w:r>
    </w:p>
    <w:p>
      <w:r>
        <w:t>ж) 0,25 процента цены Контракта (этапа) в случае, если цена Контракта (этапа) составляет от 2 млрд. рублей до 5 млрд. рублей (включительно);</w:t>
      </w:r>
    </w:p>
    <w:p>
      <w:r>
        <w:t>з) 0,2 процента цены Контракта (этапа) в случае, если цена Контракта (этапа) составляет от 5 млрд. рублей до 10 млрд. рублей (включительно);</w:t>
      </w:r>
    </w:p>
    <w:p>
      <w:r>
        <w:t>и) 0,1 процента цены Контракта (этапа) в случае, если цена Контракта (этапа) превышает 10 млрд. рублей.</w:t>
      </w:r>
    </w:p>
    <w:p>
      <w:r>
        <w:t>(Вариант II)</w:t>
      </w:r>
    </w:p>
    <w:p>
      <w:r>
        <w:t>В случае, предусмотренном пунктом 4 Правил, если Контракт заключается по результатам определения Исполнителя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r>
        <w:t>(Вариант III)</w:t>
      </w:r>
    </w:p>
    <w:p>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
        <w:t>а) в случае, если Цена Контракта не превышает начальную (максимальную) цену контракта:</w:t>
      </w:r>
    </w:p>
    <w:p>
      <w:r>
        <w:t>10 процентов начальной (максимальной) цены контракта, если Цена Контракта не превышает 3 млн. рублей;</w:t>
      </w:r>
    </w:p>
    <w:p>
      <w:r>
        <w:t>5 процентов начальной (максимальной) цены контракта, если Цена Контракта составляет от 3 млн. рублей до 50 млн. рублей (включительно);</w:t>
      </w:r>
    </w:p>
    <w:p>
      <w:r>
        <w:t>1 процент начальной (максимальной) цены контракта, если Цена Контракта составляет от 50 млн. рублей до 100 млн. рублей (включительно);</w:t>
      </w:r>
    </w:p>
    <w:p>
      <w:r>
        <w:t>б) в случае, если Цена Контракта превышает начальную (максимальную) цену контракта:</w:t>
      </w:r>
    </w:p>
    <w:p>
      <w:r>
        <w:t>10 процентов Цены Контракта, если Цена Контракта не превышает 3 млн. рублей;</w:t>
      </w:r>
    </w:p>
    <w:p>
      <w:r>
        <w:t>5 процентов Цены Контракта, если Цена Контракта составляет от 3 млн. рублей до 50 млн. рублей (включительно);</w:t>
      </w:r>
    </w:p>
    <w:p>
      <w:r>
        <w:t>1 процент Цены Контракта, если Цена Контракта составляет от 50 млн. рублей до 100 млн. рублей (включительно).</w:t>
      </w:r>
    </w:p>
    <w:p>
      <w:r>
        <w:t/>
      </w:r>
    </w:p>
    <w:p>
      <w:r>
        <w:t>7.6.5.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__ &lt;3&gt; рублей.</w:t>
      </w:r>
    </w:p>
    <w:p>
      <w:r>
        <w:t/>
      </w:r>
    </w:p>
    <w:p>
      <w:r>
        <w:t>&lt;3&gt; В данном подпункте при заключении Контракта указывается размер штрафа, определяемый в соответствии с пунктом 6 Правил в следующем порядке:</w:t>
      </w:r>
    </w:p>
    <w:p>
      <w:r>
        <w:t>а) 1000 рублей, если Цена Контракта не превышает 3 млн. рублей;</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14:paraId="3CE65881"/>
    <w:p w14:paraId="3AEFDB2C">
      <w:pPr>
        <w:rPr>
          <w:lang w:val="en-US"/>
        </w:rPr>
      </w:pPr>
      <w:r>
        <w:rPr>
          <w:lang w:val="en-US"/>
        </w:rPr>
        <w:t xml:space="preserve"/>
      </w:r>
    </w:p>
    <w:p w14:paraId="1097B7C6">
      <w:pPr>
        <w:rPr>
          <w:lang w:val="en-US"/>
        </w:rPr>
      </w:pPr>
      <w:r>
        <w:rPr>
          <w:lang w:val="en-US"/>
        </w:rPr>
        <w:t xml:space="preserve">7.6.6. За каждый день просрочки исполнения Исполнителем обязательства, предусмотренного пунктом 9.9 Контракта, начисляется пеня в размере, определенном в порядке, установленном в соответствии с подпунктом 7.6.2 пункта 7.6 Контракта.</w:t>
      </w:r>
    </w:p>
    <w:p w14:paraId="0F65257B">
      <w:pPr>
        <w:rPr>
          <w:b/>
        </w:rPr>
      </w:pPr>
      <w:r>
        <w:t xml:space="preserve"/>
      </w:r>
    </w:p>
    <w:p w14:paraId="50D12B87">
      <w:pPr>
        <w:rPr>
          <w:lang w:eastAsia="en-US"/>
        </w:rPr>
      </w:pPr>
      <w:r>
        <w:t xml:space="preserve">7.7. В случаях выявления в ходе проверки расходования выделяемых по Контракту денежных средств, проведенной </w:t>
      </w:r>
      <w:r>
        <w:rPr>
          <w:lang w:eastAsia="en-US"/>
        </w:rPr>
        <w:t xml:space="preserve">Заказчиком</w:t>
      </w:r>
      <w:r>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Pr>
          <w:lang w:eastAsia="en-US"/>
        </w:rPr>
        <w:t xml:space="preserve">Заказчику</w:t>
      </w:r>
      <w:r>
        <w:rPr>
          <w:lang w:val="en-US" w:eastAsia="en-US"/>
        </w:rPr>
        <w:t/>
      </w:r>
      <w:r>
        <w:rPr>
          <w:lang w:eastAsia="en-US"/>
        </w:rPr>
        <w:t xml:space="preserve"/>
      </w:r>
      <w:r>
        <w:t xml:space="preserve">, Исполнитель обязан вернуть </w:t>
      </w:r>
      <w:r>
        <w:rPr>
          <w:lang w:eastAsia="en-US"/>
        </w:rPr>
        <w:t xml:space="preserve">Заказчику</w:t>
      </w:r>
      <w:r>
        <w:rPr>
          <w:lang w:val="en-US" w:eastAsia="en-US"/>
        </w:rPr>
        <w:t/>
      </w:r>
      <w:r>
        <w:rPr>
          <w:lang w:eastAsia="en-US"/>
        </w:rPr>
        <w:t xml:space="preserve"/>
      </w:r>
      <w:r>
        <w:t xml:space="preserve"> перечисленные ему денежные средства в размере выявленных переплат в течение 10 (десяти) дней (со дня получения уведомления) на счет </w:t>
      </w:r>
      <w:r>
        <w:rPr>
          <w:lang w:eastAsia="en-US"/>
        </w:rPr>
        <w:t xml:space="preserve">Заказчика</w:t>
      </w:r>
      <w:r>
        <w:t>, указанный в разделе 16 Контракта</w:t>
      </w:r>
      <w:r>
        <w:rPr>
          <w:lang w:eastAsia="en-US"/>
        </w:rPr>
        <w:t>.</w:t>
      </w:r>
    </w:p>
    <w:p w14:paraId="50A63031">
      <w:pPr>
        <w:pStyle w:val="31"/>
      </w:pPr>
      <w:r>
        <w:t>Порядок расторжения Контракта</w:t>
      </w:r>
    </w:p>
    <w:p>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
        <w:t>8.3. Исполнитель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
        <w:t>Исполнитель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услуг, а также размер суммы, перечисленной Заказчиком Исполнителю в качестве оплаты оказанной услуги.</w:t>
      </w:r>
    </w:p>
    <w:p>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
        <w:t>Исполнитель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оказанных услуг аванса в течение 5 (пяти) календарных дней с даты расторжения настоящего Контракта (если Контрактом предусмотрена выплата аванса).</w:t>
      </w:r>
    </w:p>
    <w:p>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14:paraId="47374D04">
      <w:pPr>
        <w:pStyle w:val="31"/>
        <w:ind w:firstLine="709"/>
      </w:pPr>
      <w:r>
        <w:t>Обеспечение исполнения Контракта</w:t>
      </w:r>
    </w:p>
    <w:p>
      <w:r>
        <w:t>9.1. Обеспечение исполнения Контракта устанавливается в размере 30 процент(ов,а) от начальной (максимальной) цены контракта.</w:t>
      </w:r>
    </w:p>
    <w:p>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9.4.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(в том числе просрочки исполнения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(в том числе просрочки исполнения обязательств).</w:t>
      </w:r>
    </w:p>
    <w:p>
      <w:r>
        <w:t>9.5.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который предусмотрен частями 7.2 и 7.3 статьи 96 Федерального закона № 44-ФЗ.</w:t>
      </w:r>
    </w:p>
    <w:p>
      <w:r>
        <w:t>9.6.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30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
        <w:t>9.7.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
        <w:t>9.8. Изменения существенных условий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осуществляются при условии предоставлении Исполнителем обеспечения исполнения Контракта с учетом требований статьи 95 Федерального закона № 44-ФЗ.</w:t>
      </w:r>
    </w:p>
    <w:p>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Заказчик уведомляет Исполнителя о необходимости предоставить соответствующее обеспечение в порядке, предусмотренном пунктом 15.1 Контракта.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bookmarkEnd w:id="4"/>
    <w:p w14:paraId="2A377EAD">
      <w:pPr>
        <w:pStyle w:val="31"/>
        <w:ind w:firstLine="709"/>
      </w:pPr>
      <w:r>
        <w:t>Обеспечение гарантийных обязательств</w:t>
      </w:r>
    </w:p>
    <w:p>
      <w:r>
        <w:t>10.1. Требования к обеспечению гарантийных обязательств не установлены.</w:t>
      </w:r>
    </w:p>
    <w:bookmarkEnd w:id="5"/>
    <w:bookmarkEnd w:id="6"/>
    <w:p w14:paraId="5C0D79DC">
      <w:pPr>
        <w:pStyle w:val="31"/>
        <w:ind w:firstLine="709"/>
      </w:pPr>
      <w:r>
        <w:t>Обстоятельства непреодолимой силы</w:t>
      </w:r>
    </w:p>
    <w:p w14:paraId="20E52A0A">
      <w:pPr>
        <w:rPr>
          <w:lang w:eastAsia="en-US"/>
        </w:rPr>
      </w:pPr>
      <w:r>
        <w:t>11.1. Стороны</w:t>
      </w:r>
      <w:r>
        <w:rPr>
          <w:lang w:eastAsia="en-US"/>
        </w:rPr>
        <w:t xml:space="preserve">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33B3C85">
      <w:pPr>
        <w:rPr>
          <w:lang w:eastAsia="en-US"/>
        </w:rPr>
      </w:pPr>
      <w:r>
        <w:t>11.2. Сторона</w:t>
      </w:r>
      <w:r>
        <w:rPr>
          <w:lang w:eastAsia="en-US"/>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0BB7ED67">
      <w:pPr>
        <w:pStyle w:val="31"/>
        <w:ind w:firstLine="709"/>
      </w:pPr>
      <w:r>
        <w:t>Порядок урегулирования споров</w:t>
      </w:r>
    </w:p>
    <w:p>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
        <w:t>12.2. До передачи спора на разрешение в судебном порядке Стороны принимают меры к его урегулированию в претензионном порядке.</w:t>
      </w:r>
    </w:p>
    <w:p>
      <w:r>
        <w:t>Претензия направляется Стороной другой Стороне в письменном виде в порядке, предусмотренном пунктом 15.1 Контракта.</w:t>
      </w:r>
    </w:p>
    <w:p>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
        <w:t>Оставление претензии без ответа в установленный срок означает признание Стороной, получившей претензию, ее требований.</w:t>
      </w:r>
    </w:p>
    <w:p>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
        <w:t/>
      </w:r>
    </w:p>
    <w:p>
      <w:r>
        <w:t>&lt;1&gt;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14:paraId="5B6F931E">
      <w:pPr>
        <w:pStyle w:val="31"/>
        <w:ind w:firstLine="709"/>
      </w:pPr>
      <w:r>
        <w:t>Срок действия, порядок изменения Контракта</w:t>
      </w:r>
    </w:p>
    <w:p w14:paraId="62D396CB">
      <w:r>
        <w:t xml:space="preserve">13.1. Контракт вступает в силу с момента его заключения Сторонами и действует до полного исполнения Сторонами своих обязательств по Контракту.</w:t>
      </w:r>
    </w:p>
    <w:p>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субсидии. При этом по соглашению Сторон допускается изменение размера и (или) сроков оплаты и (или) объема услуг.</w:t>
      </w:r>
    </w:p>
    <w:p>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4C264435">
      <w:pPr>
        <w:pStyle w:val="31"/>
        <w:ind w:firstLine="709"/>
      </w:pPr>
      <w:r>
        <w:t>Особые условия</w:t>
      </w:r>
    </w:p>
    <w:p>
      <w:r>
        <w:t>14.1. Стороны при исполнении Контракта:</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
        <w:t>заявка на исполнение обязательств Исполнителем (если Контрактом предусмотрена обязанность Исполнителя оказать услуги по заявке Заказчика);</w:t>
      </w:r>
    </w:p>
    <w:p>
      <w:r>
        <w:t>оказание услуги, а также отдельные этапы исполнения Контракта, включая документы, предоставление которых предусмотрено в целях осуществления приемки оказанных услуг, а также отдельных этапов исполнения Контракта; </w:t>
      </w:r>
    </w:p>
    <w:p>
      <w:r>
        <w:t>результаты такой приемки; </w:t>
      </w:r>
    </w:p>
    <w:p>
      <w:r>
        <w:t>мотивированный отказ от подписания документа о приемке;</w:t>
      </w:r>
    </w:p>
    <w:p>
      <w:r>
        <w:t>оплата оказанных услуг, а также отдельных этапов исполнения Контракта; </w:t>
      </w:r>
    </w:p>
    <w:p>
      <w:r>
        <w:t>заключение дополнительных соглашений; </w:t>
      </w:r>
    </w:p>
    <w:p>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 </w:t>
      </w:r>
    </w:p>
    <w:p>
      <w:r>
        <w:t>соглашение о расторжении Контракта;</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 </w:t>
      </w:r>
    </w:p>
    <w:p>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 </w:t>
      </w:r>
    </w:p>
    <w:p>
      <w:r>
        <w:t>14.2. Для работы в ПИК ЕАСУЗ Стороны Контракта: </w:t>
      </w:r>
    </w:p>
    <w:p>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Контракта с использованием ПИК ЕАСУЗ, содержится в приложении 3 к Контракту.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033610BF">
      <w:pPr>
        <w:pStyle w:val="31"/>
        <w:ind w:firstLine="709"/>
      </w:pPr>
      <w:r>
        <w:t>Прочие условия</w:t>
      </w:r>
    </w:p>
    <w:p>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 </w:t>
      </w:r>
    </w:p>
    <w:p>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
        <w:t>15.2. Контракт составлен в форме электронного документа, подписанного усиленными электронными подписями Сторон.</w:t>
      </w:r>
    </w:p>
    <w:p>
      <w:r>
        <w:t>15.3. Во всем, что не предусмотрено Контрактом, Стороны руководствуются законодательством Российской Федерации.</w:t>
      </w:r>
    </w:p>
    <w:p>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
        <w:t>15.6. Неотъемлемыми частями Контракта являются следующие приложения (прилагаются отдельными файлами):</w:t>
      </w:r>
    </w:p>
    <w:bookmarkEnd w:id="7"/>
    <w:p>
      <w:r>
        <w:t>приложение 1 «Сведения об объектах закупки»;</w:t>
      </w:r>
    </w:p>
    <w:p>
      <w:r>
        <w:t>приложение 2 «Сведения об обязательствах сторон и порядке оплаты»;</w:t>
      </w:r>
    </w:p>
    <w:p>
      <w:r>
        <w:t>приложение 3 «Перечень документов, которыми обмениваются стороны при исполнении контракта»;</w:t>
      </w:r>
    </w:p>
    <w:p>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
        <w:t>приложение 5 «Описание объекта закупки (Техническое задание)».</w:t>
      </w:r>
    </w:p>
    <w:p w14:paraId="61E027A6">
      <w:pPr>
        <w:pStyle w:val="31"/>
        <w:ind w:firstLine="709"/>
      </w:pPr>
      <w:r>
        <w:t>Адреса, реквизиты и подписи Сторон</w:t>
      </w:r>
    </w:p>
    <w:tbl>
      <w:tblPr>
        <w:tblStyle w:val="6"/>
        <w:tblW w:w="10708" w:type="dxa"/>
        <w:tblInd w:w="-142" w:type="dxa"/>
        <w:tblLayout w:type="fixed"/>
        <w:tblCellMar>
          <w:top w:w="0" w:type="dxa"/>
          <w:left w:w="108" w:type="dxa"/>
          <w:bottom w:w="0" w:type="dxa"/>
          <w:right w:w="108" w:type="dxa"/>
        </w:tblCellMar>
      </w:tblPr>
      <w:tblGrid>
        <w:gridCol w:w="5075"/>
        <w:gridCol w:w="5633"/>
      </w:tblGrid>
      <w:tr w14:paraId="4B995698">
        <w:tblPrEx>
          <w:tblCellMar>
            <w:top w:w="0" w:type="dxa"/>
            <w:left w:w="108" w:type="dxa"/>
            <w:bottom w:w="0" w:type="dxa"/>
            <w:right w:w="108" w:type="dxa"/>
          </w:tblCellMar>
        </w:tblPrEx>
        <w:trPr>
          <w:trHeight w:val="1042" w:hRule="atLeast"/>
        </w:trPr>
        <w:tc>
          <w:tcPr>
            <w:tcW w:w="5075" w:type="dxa"/>
            <w:shd w:val="clear" w:color="auto" w:fill="auto"/>
          </w:tcPr>
          <w:p w14:paraId="43D2C17C">
            <w:pPr>
              <w:pStyle w:val="20"/>
            </w:pPr>
            <w:r>
              <w:t xml:space="preserve">Заказчик:</w:t>
            </w:r>
          </w:p>
          <w:p w14:paraId="55F92156">
            <w:pPr>
              <w:pStyle w:val="20"/>
            </w:pPr>
          </w:p>
          <w:p w14:paraId="0E0E1C40">
            <w:pPr>
              <w:pStyle w:val="20"/>
            </w:pPr>
            <w:r>
              <w:t xml:space="preserve">ГОСУДАРСТВЕННОЕ БЮДЖЕТНОЕ УЧРЕЖДЕНИЕ МОСКОВСКОЙ ОБЛАСТИ "ГЕОЦИФРА"</w:t>
            </w:r>
          </w:p>
        </w:tc>
        <w:tc>
          <w:tcPr>
            <w:tcW w:w="5633" w:type="dxa"/>
            <w:shd w:val="clear" w:color="auto" w:fill="auto"/>
          </w:tcPr>
          <w:p w14:paraId="4849F5E6">
            <w:pPr>
              <w:pStyle w:val="20"/>
            </w:pPr>
            <w:r>
              <w:t xml:space="preserve">Исполнитель:</w:t>
            </w:r>
          </w:p>
          <w:p w14:paraId="105E839E">
            <w:pPr>
              <w:pStyle w:val="20"/>
            </w:pPr>
          </w:p>
          <w:p w14:paraId="4B186A71">
            <w:pPr>
              <w:pStyle w:val="20"/>
            </w:pPr>
            <w:r>
              <w:rPr>
                <w:rStyle w:val="11"/>
                <w:color w:val="auto"/>
                <w:u w:val="none"/>
              </w:rPr>
              <w:t xml:space="preserve">________________</w:t>
            </w:r>
          </w:p>
        </w:tc>
      </w:tr>
      <w:tr w14:paraId="51CEF7CC">
        <w:tblPrEx>
          <w:tblCellMar>
            <w:top w:w="0" w:type="dxa"/>
            <w:left w:w="108" w:type="dxa"/>
            <w:bottom w:w="0" w:type="dxa"/>
            <w:right w:w="108" w:type="dxa"/>
          </w:tblCellMar>
        </w:tblPrEx>
        <w:trPr>
          <w:trHeight w:val="500" w:hRule="atLeast"/>
        </w:trPr>
        <w:tc>
          <w:tcPr>
            <w:tcW w:w="5075" w:type="dxa"/>
            <w:shd w:val="clear" w:color="auto" w:fill="auto"/>
          </w:tcPr>
          <w:p w14:paraId="7B9CDF0F">
            <w:pPr>
              <w:pStyle w:val="20"/>
            </w:pPr>
            <w:r>
              <w:t xml:space="preserve">Сокращенное наименование: ГБУ МОСКОВСКОЙ ОБЛАСТИ "ГЕОЦИФРА"</w:t>
            </w:r>
          </w:p>
        </w:tc>
        <w:tc>
          <w:tcPr>
            <w:tcW w:w="5633" w:type="dxa"/>
            <w:shd w:val="clear" w:color="auto" w:fill="auto"/>
          </w:tcPr>
          <w:p w14:paraId="3B14A2D7">
            <w:pPr>
              <w:pStyle w:val="20"/>
              <w:rPr>
                <w:rStyle w:val="11"/>
                <w:color w:val="auto"/>
                <w:u w:val="none"/>
              </w:rPr>
            </w:pPr>
            <w:r>
              <w:rPr>
                <w:rStyle w:val="11"/>
                <w:color w:val="auto"/>
                <w:u w:val="none"/>
              </w:rPr>
              <w:t xml:space="preserve">Сокращённое наименование: ________________</w:t>
            </w:r>
          </w:p>
        </w:tc>
      </w:tr>
      <w:tr w14:paraId="678EFA6D">
        <w:tblPrEx>
          <w:tblCellMar>
            <w:top w:w="0" w:type="dxa"/>
            <w:left w:w="108" w:type="dxa"/>
            <w:bottom w:w="0" w:type="dxa"/>
            <w:right w:w="108" w:type="dxa"/>
          </w:tblCellMar>
        </w:tblPrEx>
        <w:trPr>
          <w:trHeight w:val="275" w:hRule="atLeast"/>
        </w:trPr>
        <w:tc>
          <w:tcPr>
            <w:tcW w:w="5075" w:type="dxa"/>
            <w:shd w:val="clear" w:color="auto" w:fill="auto"/>
          </w:tcPr>
          <w:p w14:paraId="602E3513">
            <w:pPr>
              <w:pStyle w:val="20"/>
            </w:pPr>
            <w:r>
              <w:t>Адреса и реквизиты:</w:t>
            </w:r>
          </w:p>
        </w:tc>
        <w:tc>
          <w:tcPr>
            <w:tcW w:w="5633" w:type="dxa"/>
            <w:shd w:val="clear" w:color="auto" w:fill="auto"/>
          </w:tcPr>
          <w:p w14:paraId="0892336A">
            <w:pPr>
              <w:pStyle w:val="20"/>
              <w:rPr>
                <w:rStyle w:val="11"/>
                <w:color w:val="auto"/>
                <w:u w:val="none"/>
              </w:rPr>
            </w:pPr>
            <w:r>
              <w:t>Адреса и реквизиты:</w:t>
            </w:r>
          </w:p>
        </w:tc>
      </w:tr>
      <w:tr w14:paraId="21DAA20E">
        <w:tblPrEx>
          <w:tblCellMar>
            <w:top w:w="0" w:type="dxa"/>
            <w:left w:w="108" w:type="dxa"/>
            <w:bottom w:w="0" w:type="dxa"/>
            <w:right w:w="108" w:type="dxa"/>
          </w:tblCellMar>
        </w:tblPrEx>
        <w:trPr>
          <w:trHeight w:val="1653" w:hRule="atLeast"/>
        </w:trPr>
        <w:tc>
          <w:tcPr>
            <w:tcW w:w="5075" w:type="dxa"/>
            <w:shd w:val="clear" w:color="auto" w:fill="auto"/>
          </w:tcPr>
          <w:p w14:paraId="4F3194A0">
            <w:pPr>
              <w:pStyle w:val="20"/>
            </w:pPr>
            <w:r>
              <w:t xml:space="preserve">Почтовый адрес: 143401, Московская область, Г.О. Красногорск, г Красногорск, Б-р Строителей, Д. 4 К. 1, Помещ. 38.</w:t>
            </w:r>
          </w:p>
          <w:p w14:paraId="57CE0109">
            <w:pPr>
              <w:pStyle w:val="20"/>
            </w:pPr>
            <w:r>
              <w:t xml:space="preserve">Место нахождения, адрес: 143401, Московская область, Г.О. Красногорск, г Красногорск, Б-р Строителей, Д. 4 К. 1, Помещ. 38.</w:t>
            </w:r>
          </w:p>
          <w:p w14:paraId="3A80674E">
            <w:pPr>
              <w:pStyle w:val="20"/>
              <w:jc w:val="both"/>
              <w:rPr>
                <w:lang w:val="en-US"/>
              </w:rPr>
            </w:pPr>
            <w:r>
              <w:t>ИНН</w:t>
            </w:r>
            <w:r>
              <w:rPr>
                <w:lang w:val="en-US"/>
              </w:rPr>
              <w:t xml:space="preserve"> 5024255060</w:t>
            </w:r>
          </w:p>
          <w:p w14:paraId="271BD809">
            <w:pPr>
              <w:pStyle w:val="20"/>
              <w:rPr>
                <w:lang w:val="en-US"/>
              </w:rPr>
            </w:pPr>
            <w:r>
              <w:t>КПП</w:t>
            </w:r>
            <w:r>
              <w:rPr>
                <w:lang w:val="en-US"/>
              </w:rPr>
              <w:t xml:space="preserve"> 502401001</w:t>
            </w:r>
          </w:p>
          <w:p w14:paraId="07812501">
            <w:pPr>
              <w:pStyle w:val="20"/>
              <w:rPr>
                <w:lang w:val="en-US"/>
              </w:rPr>
            </w:pPr>
            <w:r>
              <w:t>ОГРН</w:t>
            </w:r>
            <w:r>
              <w:rPr>
                <w:lang w:val="en-US"/>
              </w:rPr>
              <w:t xml:space="preserve"> 1255000071402</w:t>
            </w:r>
          </w:p>
        </w:tc>
        <w:tc>
          <w:tcPr>
            <w:tcW w:w="5633" w:type="dxa"/>
            <w:shd w:val="clear" w:color="auto" w:fill="auto"/>
          </w:tcPr>
          <w:p/>
        </w:tc>
      </w:tr>
      <w:tr w14:paraId="723D84B2">
        <w:tblPrEx>
          <w:tblCellMar>
            <w:top w:w="0" w:type="dxa"/>
            <w:left w:w="108" w:type="dxa"/>
            <w:bottom w:w="0" w:type="dxa"/>
            <w:right w:w="108" w:type="dxa"/>
          </w:tblCellMar>
        </w:tblPrEx>
        <w:trPr>
          <w:trHeight w:val="268" w:hRule="atLeast"/>
        </w:trPr>
        <w:tc>
          <w:tcPr>
            <w:tcW w:w="5075" w:type="dxa"/>
            <w:shd w:val="clear" w:color="auto" w:fill="auto"/>
          </w:tcPr>
          <w:p w14:paraId="36B9BAC9">
            <w:pPr>
              <w:pStyle w:val="20"/>
            </w:pPr>
            <w:r>
              <w:t>Банковские реквизиты:</w:t>
            </w:r>
          </w:p>
        </w:tc>
        <w:tc>
          <w:tcPr>
            <w:tcW w:w="5633" w:type="dxa"/>
            <w:shd w:val="clear" w:color="auto" w:fill="auto"/>
          </w:tcPr>
          <w:p w14:paraId="590ED1F7">
            <w:pPr>
              <w:pStyle w:val="20"/>
            </w:pPr>
            <w:r>
              <w:t>Банковские реквизиты:</w:t>
            </w:r>
          </w:p>
        </w:tc>
      </w:tr>
      <w:tr w14:paraId="33BFC8E9">
        <w:tblPrEx>
          <w:tblCellMar>
            <w:top w:w="0" w:type="dxa"/>
            <w:left w:w="108" w:type="dxa"/>
            <w:bottom w:w="0" w:type="dxa"/>
            <w:right w:w="108" w:type="dxa"/>
          </w:tblCellMar>
        </w:tblPrEx>
        <w:trPr>
          <w:trHeight w:val="1370" w:hRule="atLeast"/>
        </w:trPr>
        <w:tc>
          <w:tcPr>
            <w:tcW w:w="5075" w:type="dxa"/>
            <w:shd w:val="clear" w:color="auto" w:fill="auto"/>
          </w:tcPr>
          <w:p w14:paraId="6E73AF4C">
            <w:pPr>
              <w:ind w:firstLine="0"/>
              <w:jc w:val="left"/>
              <w:rPr>
                <w:lang w:val="en-US" w:eastAsia="en-US"/>
              </w:rPr>
            </w:pPr>
            <w:r>
              <w:rPr>
                <w:rFonts w:cstheme="minorHAnsi"/>
                <w:shd w:val="clear" w:color="auto" w:fill="FFFFFF"/>
                <w:lang w:val="en-US"/>
              </w:rPr>
              <w:t xml:space="preserve">МЭФ Московской области</w:t>
            </w:r>
            <w:r>
              <w:rPr>
                <w:lang w:val="en-US" w:eastAsia="en-US"/>
              </w:rPr>
              <w:t xml:space="preserve"> </w:t>
            </w:r>
            <w:r>
              <w:rPr>
                <w:rFonts w:cstheme="minorHAnsi"/>
                <w:shd w:val="clear" w:color="auto" w:fill="FFFFFF"/>
                <w:lang w:val="en-US"/>
              </w:rPr>
              <w:t>(</w:t>
            </w:r>
            <w:r>
              <w:rPr>
                <w:rFonts w:cstheme="minorHAnsi"/>
                <w:shd w:val="clear" w:color="auto" w:fill="FFFFFF"/>
              </w:rPr>
              <w:t>л</w:t>
            </w:r>
            <w:r>
              <w:rPr>
                <w:rFonts w:cstheme="minorHAnsi"/>
                <w:shd w:val="clear" w:color="auto" w:fill="FFFFFF"/>
                <w:lang w:val="en-US"/>
              </w:rPr>
              <w:t>/</w:t>
            </w:r>
            <w:r>
              <w:rPr>
                <w:rFonts w:cstheme="minorHAnsi"/>
                <w:shd w:val="clear" w:color="auto" w:fill="FFFFFF"/>
              </w:rPr>
              <w:t>с</w:t>
            </w:r>
            <w:r>
              <w:rPr>
                <w:rFonts w:cstheme="minorHAnsi"/>
                <w:shd w:val="clear" w:color="auto" w:fill="FFFFFF"/>
                <w:lang w:val="en-US"/>
              </w:rPr>
              <w:t xml:space="preserve"> </w:t>
            </w:r>
            <w:r>
              <w:rPr>
                <w:lang w:val="en-US" w:eastAsia="en-US"/>
              </w:rPr>
              <w:t xml:space="preserve"> 20826ZZ8730,  ГБУ МОСКОВСКОЙ ОБЛАСТИ "ГЕОЦИФРА"</w:t>
            </w:r>
            <w:r>
              <w:rPr>
                <w:rFonts w:cstheme="minorHAnsi"/>
                <w:shd w:val="clear" w:color="auto" w:fill="FFFFFF"/>
                <w:lang w:val="en-US"/>
              </w:rPr>
              <w:t>)</w:t>
            </w:r>
          </w:p>
        </w:tc>
        <w:tc>
          <w:tcPr>
            <w:tcW w:w="5633" w:type="dxa"/>
            <w:shd w:val="clear" w:color="auto" w:fill="auto"/>
          </w:tcPr>
          <w:p w14:paraId="3C79CC96">
            <w:pPr>
              <w:pStyle w:val="20"/>
              <w:rPr>
                <w:lang w:val="en-US"/>
              </w:rPr>
            </w:pPr>
            <w:r>
              <w:rPr>
                <w:lang w:val="en-US"/>
              </w:rPr>
              <w:t xml:space="preserve"/>
            </w:r>
            <w:r>
              <w:t/>
            </w:r>
            <w:r>
              <w:rPr>
                <w:lang w:val="en-US"/>
              </w:rPr>
              <w:t xml:space="preserve"/>
            </w:r>
          </w:p>
        </w:tc>
      </w:tr>
      <w:tr w14:paraId="0850B497">
        <w:tblPrEx>
          <w:tblCellMar>
            <w:top w:w="0" w:type="dxa"/>
            <w:left w:w="108" w:type="dxa"/>
            <w:bottom w:w="0" w:type="dxa"/>
            <w:right w:w="108" w:type="dxa"/>
          </w:tblCellMar>
        </w:tblPrEx>
        <w:trPr>
          <w:trHeight w:val="1638" w:hRule="atLeast"/>
        </w:trPr>
        <w:tc>
          <w:tcPr>
            <w:tcW w:w="5075" w:type="dxa"/>
            <w:shd w:val="clear" w:color="auto" w:fill="auto"/>
          </w:tcPr>
          <w:p w14:paraId="204825AE">
            <w:pPr>
              <w:pStyle w:val="20"/>
              <w:rPr>
                <w:lang w:val="en-US"/>
              </w:rPr>
            </w:pPr>
            <w:r>
              <w:t>Банк</w:t>
            </w:r>
            <w:r>
              <w:rPr>
                <w:lang w:val="en-US"/>
              </w:rPr>
              <w:t xml:space="preserve">: ОКЦ № 1 ГУ Банка России по ЦФО//УФК по Московской области г. Москва</w:t>
            </w:r>
          </w:p>
          <w:p w14:paraId="17A6F496">
            <w:pPr>
              <w:pStyle w:val="20"/>
              <w:rPr>
                <w:lang w:val="en-US"/>
              </w:rPr>
            </w:pPr>
            <w:r>
              <w:t>БИК</w:t>
            </w:r>
            <w:r>
              <w:rPr>
                <w:lang w:val="en-US"/>
              </w:rPr>
              <w:t xml:space="preserve"> 004525987</w:t>
            </w:r>
          </w:p>
          <w:p w14:paraId="1930768E">
            <w:pPr>
              <w:ind w:firstLine="0"/>
              <w:jc w:val="left"/>
              <w:rPr>
                <w:rFonts w:cstheme="minorHAnsi"/>
                <w:shd w:val="clear" w:color="auto" w:fill="FFFFFF"/>
                <w:lang w:val="en-US"/>
              </w:rPr>
            </w:pPr>
            <w:r>
              <w:rPr>
                <w:lang w:eastAsia="en-US"/>
              </w:rPr>
              <w:t>казн</w:t>
            </w:r>
            <w:r>
              <w:rPr>
                <w:lang w:val="en-US" w:eastAsia="en-US"/>
              </w:rPr>
              <w:t>/</w:t>
            </w:r>
            <w:r>
              <w:rPr>
                <w:lang w:eastAsia="en-US"/>
              </w:rPr>
              <w:t>сч</w:t>
            </w:r>
            <w:r>
              <w:rPr>
                <w:lang w:val="en-US" w:eastAsia="en-US"/>
              </w:rPr>
              <w:t xml:space="preserve"> 03224643460000004800</w:t>
            </w:r>
            <w:r>
              <w:rPr>
                <w:rFonts w:cstheme="minorHAnsi"/>
                <w:shd w:val="clear" w:color="auto" w:fill="FFFFFF"/>
                <w:lang w:val="en-US"/>
              </w:rPr>
              <w:t xml:space="preserve"/>
            </w:r>
          </w:p>
          <w:p w14:paraId="673D7C66">
            <w:pPr>
              <w:pStyle w:val="20"/>
              <w:rPr>
                <w:lang w:val="en-US"/>
              </w:rPr>
            </w:pPr>
            <w:r>
              <w:rPr>
                <w:lang w:eastAsia="en-US"/>
              </w:rPr>
              <w:t>единый</w:t>
            </w:r>
            <w:r>
              <w:rPr>
                <w:lang w:val="en-US" w:eastAsia="en-US"/>
              </w:rPr>
              <w:t xml:space="preserve"> </w:t>
            </w:r>
            <w:r>
              <w:rPr>
                <w:lang w:eastAsia="en-US"/>
              </w:rPr>
              <w:t>казн</w:t>
            </w:r>
            <w:r>
              <w:rPr>
                <w:lang w:val="en-US" w:eastAsia="en-US"/>
              </w:rPr>
              <w:t>/</w:t>
            </w:r>
            <w:r>
              <w:rPr>
                <w:lang w:eastAsia="en-US"/>
              </w:rPr>
              <w:t>сч</w:t>
            </w:r>
            <w:r>
              <w:rPr>
                <w:lang w:val="en-US" w:eastAsia="en-US"/>
              </w:rPr>
              <w:t xml:space="preserve"> 40102810845370000004</w:t>
            </w:r>
          </w:p>
          <w:p w14:paraId="445CECA6">
            <w:pPr>
              <w:pStyle w:val="20"/>
              <w:rPr>
                <w:lang w:val="en-US"/>
              </w:rPr>
            </w:pPr>
            <w:r>
              <w:t>ОКПО</w:t>
            </w:r>
            <w:r>
              <w:rPr>
                <w:lang w:val="en-US"/>
              </w:rPr>
              <w:t xml:space="preserve"> ________________</w:t>
            </w:r>
          </w:p>
          <w:p w14:paraId="013694D6">
            <w:pPr>
              <w:pStyle w:val="20"/>
              <w:rPr>
                <w:lang w:val="en-US"/>
              </w:rPr>
            </w:pPr>
            <w:r>
              <w:t>ОКТМО</w:t>
            </w:r>
            <w:r>
              <w:rPr>
                <w:lang w:val="en-US"/>
              </w:rPr>
              <w:t xml:space="preserve"> 46744000001</w:t>
            </w:r>
          </w:p>
          <w:p w14:paraId="1E8D5DF9">
            <w:pPr>
              <w:pStyle w:val="20"/>
              <w:rPr>
                <w:lang w:val="en-US"/>
              </w:rPr>
            </w:pPr>
            <w:r>
              <w:rPr>
                <w:lang w:eastAsia="en-US"/>
              </w:rPr>
              <w:t xml:space="preserve">ОКОПФ </w:t>
            </w:r>
            <w:r>
              <w:rPr>
                <w:lang w:val="en-US" w:eastAsia="en-US"/>
              </w:rPr>
              <w:t xml:space="preserve">________________</w:t>
            </w:r>
            <w:r>
              <w:rPr>
                <w:rFonts w:cstheme="minorHAnsi"/>
                <w:color w:val="222222"/>
                <w:shd w:val="clear" w:color="auto" w:fill="FFFFFF"/>
              </w:rPr>
              <w:t/>
            </w:r>
            <w:r>
              <w:rPr>
                <w:lang w:val="en-US" w:eastAsia="en-US"/>
              </w:rPr>
              <w:t xml:space="preserve"/>
            </w:r>
          </w:p>
        </w:tc>
        <w:tc>
          <w:tcPr>
            <w:tcW w:w="5633" w:type="dxa"/>
            <w:shd w:val="clear" w:color="auto" w:fill="auto"/>
          </w:tcPr>
          <w:p/>
        </w:tc>
      </w:tr>
      <w:tr w14:paraId="5EA54B44">
        <w:tblPrEx>
          <w:tblCellMar>
            <w:top w:w="0" w:type="dxa"/>
            <w:left w:w="108" w:type="dxa"/>
            <w:bottom w:w="0" w:type="dxa"/>
            <w:right w:w="108" w:type="dxa"/>
          </w:tblCellMar>
        </w:tblPrEx>
        <w:trPr>
          <w:trHeight w:val="657" w:hRule="atLeast"/>
        </w:trPr>
        <w:tc>
          <w:tcPr>
            <w:tcW w:w="5075" w:type="dxa"/>
            <w:shd w:val="clear" w:color="auto" w:fill="auto"/>
          </w:tcPr>
          <w:p w14:paraId="3AA352D2">
            <w:pPr>
              <w:pStyle w:val="20"/>
            </w:pPr>
            <w:r>
              <w:t xml:space="preserve">телефон (факс): +7 (498) 602-85-15</w:t>
            </w:r>
            <w:r>
              <w:rPr>
                <w:lang w:val="en-US"/>
              </w:rPr>
              <w:t/>
            </w:r>
            <w:r>
              <w:t xml:space="preserve"/>
            </w:r>
          </w:p>
          <w:p w14:paraId="24B2BA93">
            <w:pPr>
              <w:pStyle w:val="20"/>
            </w:pPr>
            <w:r>
              <w:t xml:space="preserve">адрес электронной почты: geocifra@mosreg.ru</w:t>
            </w:r>
            <w:r>
              <w:rPr>
                <w:lang w:val="en-US"/>
              </w:rPr>
              <w:t/>
            </w:r>
            <w:r>
              <w:t xml:space="preserve"/>
            </w:r>
          </w:p>
        </w:tc>
        <w:tc>
          <w:tcPr>
            <w:tcW w:w="5633" w:type="dxa"/>
            <w:shd w:val="clear" w:color="auto" w:fill="auto"/>
          </w:tcPr>
          <w:p w14:paraId="1A990003">
            <w:pPr>
              <w:pStyle w:val="20"/>
            </w:pPr>
            <w:r>
              <w:t xml:space="preserve">телефон (факс): ________________</w:t>
            </w:r>
            <w:r>
              <w:rPr>
                <w:lang w:val="en-US"/>
              </w:rPr>
              <w:t/>
            </w:r>
            <w:r>
              <w:t xml:space="preserve"/>
            </w:r>
          </w:p>
          <w:p w14:paraId="7342E8EB">
            <w:pPr>
              <w:pStyle w:val="20"/>
            </w:pPr>
            <w:r>
              <w:t xml:space="preserve">адрес электронной почты: ________________</w:t>
            </w:r>
            <w:r>
              <w:rPr>
                <w:lang w:val="en-US"/>
              </w:rPr>
              <w:t/>
            </w:r>
            <w:r>
              <w:t xml:space="preserve"/>
            </w:r>
          </w:p>
        </w:tc>
      </w:tr>
    </w:tbl>
    <w:tbl>
      <w:tblPr>
        <w:tblStyle w:val="18"/>
        <w:tblpPr w:leftFromText="180" w:rightFromText="180" w:vertAnchor="text" w:horzAnchor="margin" w:tblpX="-142" w:tblpY="256"/>
        <w:tblOverlap w:val="never"/>
        <w:tblW w:w="102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5"/>
        <w:gridCol w:w="1418"/>
        <w:gridCol w:w="1701"/>
        <w:gridCol w:w="1842"/>
        <w:gridCol w:w="1418"/>
        <w:gridCol w:w="1843"/>
      </w:tblGrid>
      <w:tr w14:paraId="35C8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104" w:type="dxa"/>
            <w:gridSpan w:val="3"/>
          </w:tcPr>
          <w:p w14:paraId="5C1DA7B9">
            <w:pPr>
              <w:pStyle w:val="20"/>
              <w:rPr>
                <w:lang w:val="en-US"/>
              </w:rPr>
            </w:pPr>
            <w:r>
              <w:rPr>
                <w:lang w:val="en-US"/>
              </w:rPr>
              <w:t xml:space="preserve">Заказчик:</w:t>
            </w:r>
          </w:p>
        </w:tc>
        <w:tc>
          <w:tcPr>
            <w:tcW w:w="5103" w:type="dxa"/>
            <w:gridSpan w:val="3"/>
          </w:tcPr>
          <w:p w14:paraId="7D342720">
            <w:pPr>
              <w:pStyle w:val="20"/>
              <w:rPr>
                <w:lang w:val="en-US"/>
              </w:rPr>
            </w:pPr>
            <w:r>
              <w:rPr>
                <w:lang w:val="en-US"/>
              </w:rPr>
              <w:t xml:space="preserve">Исполнитель:</w:t>
            </w:r>
          </w:p>
        </w:tc>
      </w:tr>
      <w:tr w14:paraId="2B15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2D7BC087">
            <w:pPr>
              <w:pStyle w:val="20"/>
              <w:rPr>
                <w:lang w:val="en-US"/>
              </w:rPr>
            </w:pPr>
          </w:p>
        </w:tc>
        <w:tc>
          <w:tcPr>
            <w:tcW w:w="1418" w:type="dxa"/>
          </w:tcPr>
          <w:p w14:paraId="7B3426B2">
            <w:pPr>
              <w:pStyle w:val="20"/>
              <w:rPr>
                <w:lang w:val="en-US"/>
              </w:rPr>
            </w:pPr>
          </w:p>
        </w:tc>
        <w:tc>
          <w:tcPr>
            <w:tcW w:w="1701" w:type="dxa"/>
          </w:tcPr>
          <w:p w14:paraId="0F98AA03">
            <w:pPr>
              <w:pStyle w:val="20"/>
              <w:rPr>
                <w:lang w:val="en-US"/>
              </w:rPr>
            </w:pPr>
          </w:p>
        </w:tc>
        <w:tc>
          <w:tcPr>
            <w:tcW w:w="1842" w:type="dxa"/>
          </w:tcPr>
          <w:p w14:paraId="138E1E5D">
            <w:pPr>
              <w:pStyle w:val="20"/>
              <w:rPr>
                <w:lang w:val="en-US"/>
              </w:rPr>
            </w:pPr>
          </w:p>
        </w:tc>
        <w:tc>
          <w:tcPr>
            <w:tcW w:w="1418" w:type="dxa"/>
          </w:tcPr>
          <w:p w14:paraId="373CAEAF">
            <w:pPr>
              <w:pStyle w:val="20"/>
              <w:rPr>
                <w:lang w:val="en-US"/>
              </w:rPr>
            </w:pPr>
          </w:p>
        </w:tc>
        <w:tc>
          <w:tcPr>
            <w:tcW w:w="1843" w:type="dxa"/>
          </w:tcPr>
          <w:p w14:paraId="2160163A">
            <w:pPr>
              <w:pStyle w:val="20"/>
              <w:rPr>
                <w:lang w:val="en-US"/>
              </w:rPr>
            </w:pPr>
          </w:p>
        </w:tc>
      </w:tr>
      <w:tr w14:paraId="2854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0630CC7D">
            <w:pPr>
              <w:pStyle w:val="20"/>
              <w:rPr>
                <w:lang w:val="en-US"/>
              </w:rPr>
            </w:pPr>
            <w:r>
              <w:rPr>
                <w:lang w:val="en-US"/>
              </w:rPr>
              <w:t xml:space="preserve">Исполняющий обязанности директора</w:t>
            </w:r>
          </w:p>
        </w:tc>
        <w:tc>
          <w:tcPr>
            <w:tcW w:w="1418" w:type="dxa"/>
          </w:tcPr>
          <w:p w14:paraId="284F1AD4">
            <w:pPr>
              <w:pStyle w:val="20"/>
              <w:rPr>
                <w:lang w:val="en-US"/>
              </w:rPr>
            </w:pPr>
            <w:r>
              <w:rPr>
                <w:lang w:val="en-US"/>
              </w:rPr>
              <w:t>__________</w:t>
            </w:r>
          </w:p>
        </w:tc>
        <w:tc>
          <w:tcPr>
            <w:tcW w:w="1701" w:type="dxa"/>
          </w:tcPr>
          <w:p w14:paraId="33543A76">
            <w:pPr>
              <w:pStyle w:val="20"/>
              <w:rPr>
                <w:lang w:val="en-US"/>
              </w:rPr>
            </w:pPr>
            <w:r>
              <w:rPr>
                <w:lang w:val="en-US"/>
              </w:rPr>
              <w:t xml:space="preserve">(С. Ю. Иванов)</w:t>
            </w:r>
          </w:p>
        </w:tc>
        <w:tc>
          <w:tcPr>
            <w:tcW w:w="1842" w:type="dxa"/>
          </w:tcPr>
          <w:p w14:paraId="7F23DB6B">
            <w:pPr>
              <w:pStyle w:val="20"/>
              <w:rPr>
                <w:lang w:val="en-US"/>
              </w:rPr>
            </w:pPr>
            <w:r>
              <w:rPr>
                <w:lang w:val="en-US"/>
              </w:rPr>
              <w:t xml:space="preserve">________________</w:t>
            </w:r>
          </w:p>
        </w:tc>
        <w:tc>
          <w:tcPr>
            <w:tcW w:w="1418" w:type="dxa"/>
          </w:tcPr>
          <w:p w14:paraId="6007F1FB">
            <w:pPr>
              <w:pStyle w:val="20"/>
              <w:rPr>
                <w:lang w:val="en-US"/>
              </w:rPr>
            </w:pPr>
            <w:r>
              <w:rPr>
                <w:lang w:val="en-US"/>
              </w:rPr>
              <w:t>__________</w:t>
            </w:r>
          </w:p>
        </w:tc>
        <w:tc>
          <w:tcPr>
            <w:tcW w:w="1843" w:type="dxa"/>
          </w:tcPr>
          <w:p w14:paraId="0934C26D">
            <w:pPr>
              <w:pStyle w:val="20"/>
              <w:rPr>
                <w:lang w:val="en-US"/>
              </w:rPr>
            </w:pPr>
            <w:r>
              <w:rPr>
                <w:lang w:val="en-US"/>
              </w:rPr>
              <w:t xml:space="preserve">(________________)</w:t>
            </w:r>
          </w:p>
        </w:tc>
      </w:tr>
    </w:tbl>
    <w:p w14:paraId="3348E5F2"/>
    <w:sectPr>
      <w:headerReference r:id="rId3" w:type="default"/>
      <w:pgSz w:w="11906" w:h="16838"/>
      <w:pgMar w:top="1134" w:right="567" w:bottom="1134" w:left="1134" w:header="709"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CC"/>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10022FF" w:usb1="C000E47F" w:usb2="00000029" w:usb3="00000000" w:csb0="200001DF" w:csb1="20000000"/>
  </w:font>
  <w:font w:name="Calibri Light">
    <w:panose1 w:val="020F0302020204030204"/>
    <w:charset w:val="00"/>
    <w:family w:val="auto"/>
    <w:pitch w:val="default"/>
    <w:sig w:usb0="A00002EF" w:usb1="4000207B"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0838231"/>
    </w:sdtPr>
    <w:sdtContent>
      <w:p w14:paraId="7427C6E0">
        <w:pPr>
          <w:pStyle w:val="16"/>
          <w:jc w:val="center"/>
        </w:pPr>
        <w:r>
          <w:fldChar w:fldCharType="begin"/>
        </w:r>
        <w:r>
          <w:instrText xml:space="preserve">PAGE   \* MERGEFORMAT</w:instrText>
        </w:r>
        <w:r>
          <w:fldChar w:fldCharType="separate"/>
        </w:r>
        <w: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62CCA"/>
    <w:multiLevelType w:val="multilevel"/>
    <w:tmpl w:val="7E362CCA"/>
    <w:lvl w:ilvl="0" w:tentative="0">
      <w:start w:val="1"/>
      <w:numFmt w:val="decimal"/>
      <w:pStyle w:val="31"/>
      <w:suff w:val="space"/>
      <w:lvlText w:val="%1."/>
      <w:lvlJc w:val="left"/>
      <w:pPr>
        <w:ind w:left="0" w:firstLine="0"/>
      </w:pPr>
      <w:rPr>
        <w:rFonts w:hint="default"/>
        <w:sz w:val="24"/>
      </w:rPr>
    </w:lvl>
    <w:lvl w:ilvl="1" w:tentative="0">
      <w:start w:val="1"/>
      <w:numFmt w:val="decimal"/>
      <w:pStyle w:val="32"/>
      <w:suff w:val="space"/>
      <w:lvlText w:val="%1.%2."/>
      <w:lvlJc w:val="left"/>
      <w:pPr>
        <w:ind w:left="142" w:firstLine="709"/>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pStyle w:val="34"/>
      <w:suff w:val="space"/>
      <w:lvlText w:val="%1.%2.%3."/>
      <w:lvlJc w:val="left"/>
      <w:pPr>
        <w:ind w:left="708" w:firstLine="709"/>
      </w:pPr>
      <w:rPr>
        <w:rFonts w:hint="default" w:ascii="Times New Roman" w:hAnsi="Times New Roman" w:cs="Times New Roman"/>
        <w:sz w:val="24"/>
        <w:szCs w:val="24"/>
      </w:rPr>
    </w:lvl>
    <w:lvl w:ilvl="3" w:tentative="0">
      <w:start w:val="1"/>
      <w:numFmt w:val="decimal"/>
      <w:lvlText w:val="(%4)"/>
      <w:lvlJc w:val="left"/>
      <w:pPr>
        <w:ind w:left="1440" w:hanging="360"/>
      </w:pPr>
      <w:rPr>
        <w:rFonts w:hint="default"/>
      </w:rPr>
    </w:lvl>
    <w:lvl w:ilvl="4" w:tentative="0">
      <w:start w:val="1"/>
      <w:numFmt w:val="lowerLetter"/>
      <w:lvlText w:val="(%5)"/>
      <w:lvlJc w:val="left"/>
      <w:pPr>
        <w:ind w:left="1800" w:hanging="360"/>
      </w:pPr>
      <w:rPr>
        <w:rFonts w:hint="default"/>
      </w:rPr>
    </w:lvl>
    <w:lvl w:ilvl="5" w:tentative="0">
      <w:start w:val="1"/>
      <w:numFmt w:val="lowerRoman"/>
      <w:lvlText w:val="(%6)"/>
      <w:lvlJc w:val="left"/>
      <w:pPr>
        <w:ind w:left="2160" w:hanging="360"/>
      </w:pPr>
      <w:rPr>
        <w:rFonts w:hint="default"/>
      </w:rPr>
    </w:lvl>
    <w:lvl w:ilvl="6" w:tentative="0">
      <w:start w:val="1"/>
      <w:numFmt w:val="decimal"/>
      <w:lvlText w:val="%7."/>
      <w:lvlJc w:val="left"/>
      <w:pPr>
        <w:ind w:left="2520" w:hanging="360"/>
      </w:pPr>
      <w:rPr>
        <w:rFonts w:hint="default"/>
      </w:rPr>
    </w:lvl>
    <w:lvl w:ilvl="7" w:tentative="0">
      <w:start w:val="1"/>
      <w:numFmt w:val="lowerLetter"/>
      <w:lvlText w:val="%8."/>
      <w:lvlJc w:val="left"/>
      <w:pPr>
        <w:ind w:left="2880" w:hanging="360"/>
      </w:pPr>
      <w:rPr>
        <w:rFonts w:hint="default"/>
      </w:rPr>
    </w:lvl>
    <w:lvl w:ilvl="8" w:tentative="0">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1141"/>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5A21"/>
    <w:rsid w:val="00176885"/>
    <w:rsid w:val="001768CE"/>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4241"/>
    <w:rsid w:val="002B7F44"/>
    <w:rsid w:val="002C0840"/>
    <w:rsid w:val="002C5B6C"/>
    <w:rsid w:val="002C6EBD"/>
    <w:rsid w:val="002D0B01"/>
    <w:rsid w:val="002D50EA"/>
    <w:rsid w:val="002E3512"/>
    <w:rsid w:val="002E36C8"/>
    <w:rsid w:val="002E3B97"/>
    <w:rsid w:val="002E4A18"/>
    <w:rsid w:val="002E5BF7"/>
    <w:rsid w:val="002E677A"/>
    <w:rsid w:val="002E7C4D"/>
    <w:rsid w:val="002F0BFC"/>
    <w:rsid w:val="002F49D4"/>
    <w:rsid w:val="002F7145"/>
    <w:rsid w:val="0030191F"/>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A57"/>
    <w:rsid w:val="003C5959"/>
    <w:rsid w:val="003D2099"/>
    <w:rsid w:val="003D291F"/>
    <w:rsid w:val="003D51BE"/>
    <w:rsid w:val="003D63FE"/>
    <w:rsid w:val="003D6C0A"/>
    <w:rsid w:val="003E27F1"/>
    <w:rsid w:val="003E5296"/>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09E"/>
    <w:rsid w:val="004D2607"/>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BAC"/>
    <w:rsid w:val="00517B4E"/>
    <w:rsid w:val="00522B52"/>
    <w:rsid w:val="00527D4B"/>
    <w:rsid w:val="00534927"/>
    <w:rsid w:val="005370F7"/>
    <w:rsid w:val="00541373"/>
    <w:rsid w:val="00544C8F"/>
    <w:rsid w:val="0054544E"/>
    <w:rsid w:val="0054750D"/>
    <w:rsid w:val="00547E74"/>
    <w:rsid w:val="00553CB6"/>
    <w:rsid w:val="00554A3E"/>
    <w:rsid w:val="005574C4"/>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603034"/>
    <w:rsid w:val="00603118"/>
    <w:rsid w:val="00605395"/>
    <w:rsid w:val="0060547B"/>
    <w:rsid w:val="00605ADF"/>
    <w:rsid w:val="00606EC8"/>
    <w:rsid w:val="006112A5"/>
    <w:rsid w:val="00617673"/>
    <w:rsid w:val="00622B58"/>
    <w:rsid w:val="00622F2B"/>
    <w:rsid w:val="00625844"/>
    <w:rsid w:val="00625A0F"/>
    <w:rsid w:val="0062649D"/>
    <w:rsid w:val="00631DD6"/>
    <w:rsid w:val="006328E5"/>
    <w:rsid w:val="00633F02"/>
    <w:rsid w:val="00634B58"/>
    <w:rsid w:val="00636420"/>
    <w:rsid w:val="00640812"/>
    <w:rsid w:val="0064346F"/>
    <w:rsid w:val="00653C88"/>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D7901"/>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B9C"/>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6776"/>
    <w:rsid w:val="0081708D"/>
    <w:rsid w:val="008171E9"/>
    <w:rsid w:val="008211BA"/>
    <w:rsid w:val="00822E99"/>
    <w:rsid w:val="00823B8E"/>
    <w:rsid w:val="00824FE0"/>
    <w:rsid w:val="008264F9"/>
    <w:rsid w:val="00826797"/>
    <w:rsid w:val="00830ED5"/>
    <w:rsid w:val="00831C58"/>
    <w:rsid w:val="008321D7"/>
    <w:rsid w:val="00833258"/>
    <w:rsid w:val="008356AB"/>
    <w:rsid w:val="00844453"/>
    <w:rsid w:val="00846C6A"/>
    <w:rsid w:val="00853312"/>
    <w:rsid w:val="00857D75"/>
    <w:rsid w:val="00857E8A"/>
    <w:rsid w:val="008627D5"/>
    <w:rsid w:val="00862EAC"/>
    <w:rsid w:val="0086395F"/>
    <w:rsid w:val="00864C78"/>
    <w:rsid w:val="00865CD4"/>
    <w:rsid w:val="00866362"/>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D46CC"/>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684"/>
    <w:rsid w:val="00A527EF"/>
    <w:rsid w:val="00A55548"/>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0163"/>
    <w:rsid w:val="00A924A9"/>
    <w:rsid w:val="00A93337"/>
    <w:rsid w:val="00A938C6"/>
    <w:rsid w:val="00A9564D"/>
    <w:rsid w:val="00A97474"/>
    <w:rsid w:val="00AA0FC7"/>
    <w:rsid w:val="00AA504D"/>
    <w:rsid w:val="00AA5B35"/>
    <w:rsid w:val="00AB1B88"/>
    <w:rsid w:val="00AB3D68"/>
    <w:rsid w:val="00AC0B9B"/>
    <w:rsid w:val="00AC114F"/>
    <w:rsid w:val="00AC18C2"/>
    <w:rsid w:val="00AC25D3"/>
    <w:rsid w:val="00AC2C3A"/>
    <w:rsid w:val="00AC4780"/>
    <w:rsid w:val="00AC5C8A"/>
    <w:rsid w:val="00AD31AB"/>
    <w:rsid w:val="00AE2B77"/>
    <w:rsid w:val="00AE719D"/>
    <w:rsid w:val="00AF3BDA"/>
    <w:rsid w:val="00AF6677"/>
    <w:rsid w:val="00AF73EB"/>
    <w:rsid w:val="00B024F5"/>
    <w:rsid w:val="00B03207"/>
    <w:rsid w:val="00B11B10"/>
    <w:rsid w:val="00B15534"/>
    <w:rsid w:val="00B20F46"/>
    <w:rsid w:val="00B2621E"/>
    <w:rsid w:val="00B26CE6"/>
    <w:rsid w:val="00B30A72"/>
    <w:rsid w:val="00B34E34"/>
    <w:rsid w:val="00B4033B"/>
    <w:rsid w:val="00B44FFA"/>
    <w:rsid w:val="00B4669E"/>
    <w:rsid w:val="00B468AA"/>
    <w:rsid w:val="00B51F91"/>
    <w:rsid w:val="00B5438D"/>
    <w:rsid w:val="00B55D86"/>
    <w:rsid w:val="00B569EE"/>
    <w:rsid w:val="00B60580"/>
    <w:rsid w:val="00B617DE"/>
    <w:rsid w:val="00B65F38"/>
    <w:rsid w:val="00B67AFC"/>
    <w:rsid w:val="00B76E00"/>
    <w:rsid w:val="00B83315"/>
    <w:rsid w:val="00B84F37"/>
    <w:rsid w:val="00B86FC6"/>
    <w:rsid w:val="00B910BF"/>
    <w:rsid w:val="00B934AA"/>
    <w:rsid w:val="00B96DF3"/>
    <w:rsid w:val="00BA1462"/>
    <w:rsid w:val="00BA3842"/>
    <w:rsid w:val="00BA41E8"/>
    <w:rsid w:val="00BA6118"/>
    <w:rsid w:val="00BA64F3"/>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16750"/>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57DE1"/>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85A"/>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15EB"/>
    <w:rsid w:val="00E42992"/>
    <w:rsid w:val="00E45CE8"/>
    <w:rsid w:val="00E46534"/>
    <w:rsid w:val="00E4723D"/>
    <w:rsid w:val="00E47391"/>
    <w:rsid w:val="00E5122C"/>
    <w:rsid w:val="00E55F79"/>
    <w:rsid w:val="00E60BAC"/>
    <w:rsid w:val="00E64642"/>
    <w:rsid w:val="00E663CC"/>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645F"/>
    <w:rsid w:val="00F1235C"/>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2DF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9C151D7"/>
    <w:rsid w:val="1A756704"/>
    <w:rsid w:val="200051F1"/>
    <w:rsid w:val="213B1715"/>
    <w:rsid w:val="22885D57"/>
    <w:rsid w:val="22B43B71"/>
    <w:rsid w:val="26213B63"/>
    <w:rsid w:val="30354734"/>
    <w:rsid w:val="306E6C84"/>
    <w:rsid w:val="3D051356"/>
    <w:rsid w:val="3DA321AF"/>
    <w:rsid w:val="3E213255"/>
    <w:rsid w:val="3FBD493A"/>
    <w:rsid w:val="47602B25"/>
    <w:rsid w:val="49256E8E"/>
    <w:rsid w:val="4BE368A2"/>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ind w:firstLine="709"/>
      <w:jc w:val="both"/>
    </w:pPr>
    <w:rPr>
      <w:rFonts w:ascii="Times New Roman" w:hAnsi="Times New Roman" w:eastAsia="Times New Roman" w:cs="Times New Roman"/>
      <w:sz w:val="24"/>
      <w:szCs w:val="24"/>
      <w:lang w:val="ru-RU" w:eastAsia="ar-SA" w:bidi="ar-SA"/>
    </w:rPr>
  </w:style>
  <w:style w:type="paragraph" w:styleId="2">
    <w:name w:val="heading 1"/>
    <w:basedOn w:val="1"/>
    <w:next w:val="1"/>
    <w:link w:val="33"/>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5"/>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6"/>
    <w:semiHidden/>
    <w:unhideWhenUsed/>
    <w:qFormat/>
    <w:uiPriority w:val="9"/>
    <w:pPr>
      <w:keepNext/>
      <w:keepLines/>
      <w:spacing w:before="40"/>
      <w:outlineLvl w:val="2"/>
    </w:pPr>
    <w:rPr>
      <w:rFonts w:asciiTheme="majorHAnsi" w:hAnsiTheme="majorHAnsi" w:eastAsiaTheme="majorEastAsia" w:cstheme="majorBidi"/>
      <w:color w:val="203864" w:themeColor="accent1" w:themeShade="8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8">
    <w:name w:val="footnote reference"/>
    <w:qFormat/>
    <w:uiPriority w:val="0"/>
    <w:rPr>
      <w:vertAlign w:val="superscript"/>
    </w:rPr>
  </w:style>
  <w:style w:type="character" w:styleId="9">
    <w:name w:val="annotation reference"/>
    <w:basedOn w:val="5"/>
    <w:semiHidden/>
    <w:unhideWhenUsed/>
    <w:qFormat/>
    <w:uiPriority w:val="99"/>
    <w:rPr>
      <w:sz w:val="16"/>
      <w:szCs w:val="16"/>
    </w:rPr>
  </w:style>
  <w:style w:type="character" w:styleId="10">
    <w:name w:val="Emphasis"/>
    <w:basedOn w:val="5"/>
    <w:qFormat/>
    <w:uiPriority w:val="20"/>
    <w:rPr>
      <w:i/>
      <w:iCs/>
    </w:rPr>
  </w:style>
  <w:style w:type="character" w:styleId="11">
    <w:name w:val="Hyperlink"/>
    <w:qFormat/>
    <w:uiPriority w:val="0"/>
    <w:rPr>
      <w:color w:val="000080"/>
      <w:u w:val="single"/>
    </w:rPr>
  </w:style>
  <w:style w:type="paragraph" w:styleId="12">
    <w:name w:val="Balloon Text"/>
    <w:basedOn w:val="1"/>
    <w:link w:val="24"/>
    <w:semiHidden/>
    <w:unhideWhenUsed/>
    <w:qFormat/>
    <w:uiPriority w:val="99"/>
    <w:rPr>
      <w:rFonts w:ascii="Segoe UI" w:hAnsi="Segoe UI" w:cs="Segoe UI"/>
      <w:sz w:val="18"/>
      <w:szCs w:val="18"/>
    </w:rPr>
  </w:style>
  <w:style w:type="paragraph" w:styleId="13">
    <w:name w:val="annotation text"/>
    <w:basedOn w:val="1"/>
    <w:link w:val="25"/>
    <w:unhideWhenUsed/>
    <w:qFormat/>
    <w:uiPriority w:val="99"/>
    <w:rPr>
      <w:sz w:val="20"/>
      <w:szCs w:val="20"/>
    </w:rPr>
  </w:style>
  <w:style w:type="paragraph" w:styleId="14">
    <w:name w:val="annotation subject"/>
    <w:basedOn w:val="13"/>
    <w:next w:val="13"/>
    <w:link w:val="26"/>
    <w:semiHidden/>
    <w:unhideWhenUsed/>
    <w:qFormat/>
    <w:uiPriority w:val="99"/>
    <w:rPr>
      <w:b/>
      <w:bCs/>
    </w:rPr>
  </w:style>
  <w:style w:type="paragraph" w:styleId="15">
    <w:name w:val="footnote text"/>
    <w:basedOn w:val="1"/>
    <w:link w:val="27"/>
    <w:qFormat/>
    <w:uiPriority w:val="99"/>
    <w:rPr>
      <w:sz w:val="20"/>
      <w:szCs w:val="20"/>
    </w:rPr>
  </w:style>
  <w:style w:type="paragraph" w:styleId="16">
    <w:name w:val="header"/>
    <w:basedOn w:val="1"/>
    <w:link w:val="28"/>
    <w:unhideWhenUsed/>
    <w:qFormat/>
    <w:uiPriority w:val="99"/>
    <w:pPr>
      <w:tabs>
        <w:tab w:val="center" w:pos="4677"/>
        <w:tab w:val="right" w:pos="9355"/>
      </w:tabs>
    </w:pPr>
  </w:style>
  <w:style w:type="paragraph" w:styleId="17">
    <w:name w:val="footer"/>
    <w:basedOn w:val="1"/>
    <w:link w:val="29"/>
    <w:unhideWhenUsed/>
    <w:qFormat/>
    <w:uiPriority w:val="99"/>
    <w:pPr>
      <w:tabs>
        <w:tab w:val="center" w:pos="4677"/>
        <w:tab w:val="right" w:pos="9355"/>
      </w:tabs>
    </w:pPr>
  </w:style>
  <w:style w:type="table" w:styleId="18">
    <w:name w:val="Table Grid"/>
    <w:basedOn w:val="6"/>
    <w:qFormat/>
    <w:uiPriority w:val="39"/>
    <w:rPr>
      <w:rFonts w:ascii="Times New Roman" w:hAnsi="Times New Roman" w:eastAsia="Times New Roman" w:cs="Times New Roman"/>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Заголовок таблицы1"/>
    <w:basedOn w:val="1"/>
    <w:link w:val="21"/>
    <w:qFormat/>
    <w:uiPriority w:val="0"/>
    <w:rPr>
      <w:b/>
    </w:rPr>
  </w:style>
  <w:style w:type="paragraph" w:customStyle="1" w:styleId="20">
    <w:name w:val="Тест таблицы"/>
    <w:basedOn w:val="1"/>
    <w:link w:val="22"/>
    <w:qFormat/>
    <w:uiPriority w:val="0"/>
    <w:pPr>
      <w:ind w:firstLine="0"/>
      <w:jc w:val="left"/>
    </w:pPr>
  </w:style>
  <w:style w:type="character" w:customStyle="1" w:styleId="21">
    <w:name w:val="Заголовок таблицы1 Знак"/>
    <w:basedOn w:val="5"/>
    <w:link w:val="19"/>
    <w:qFormat/>
    <w:uiPriority w:val="0"/>
    <w:rPr>
      <w:rFonts w:ascii="Times New Roman" w:hAnsi="Times New Roman" w:eastAsia="Times New Roman" w:cs="Times New Roman"/>
      <w:b/>
      <w:sz w:val="24"/>
      <w:szCs w:val="24"/>
      <w:lang w:eastAsia="ar-SA"/>
    </w:rPr>
  </w:style>
  <w:style w:type="character" w:customStyle="1" w:styleId="22">
    <w:name w:val="Тест таблицы Знак"/>
    <w:basedOn w:val="5"/>
    <w:link w:val="20"/>
    <w:qFormat/>
    <w:uiPriority w:val="0"/>
    <w:rPr>
      <w:rFonts w:ascii="Times New Roman" w:hAnsi="Times New Roman" w:eastAsia="Times New Roman" w:cs="Times New Roman"/>
      <w:sz w:val="24"/>
      <w:szCs w:val="24"/>
      <w:lang w:eastAsia="ar-SA"/>
    </w:rPr>
  </w:style>
  <w:style w:type="paragraph" w:customStyle="1" w:styleId="23">
    <w:name w:val="Рецензия1"/>
    <w:hidden/>
    <w:semiHidden/>
    <w:qFormat/>
    <w:uiPriority w:val="99"/>
    <w:rPr>
      <w:rFonts w:ascii="Times New Roman" w:hAnsi="Times New Roman" w:eastAsia="Times New Roman" w:cs="Times New Roman"/>
      <w:sz w:val="24"/>
      <w:szCs w:val="24"/>
      <w:lang w:val="ru-RU" w:eastAsia="ar-SA" w:bidi="ar-SA"/>
    </w:rPr>
  </w:style>
  <w:style w:type="character" w:customStyle="1" w:styleId="24">
    <w:name w:val="Текст выноски Знак"/>
    <w:basedOn w:val="5"/>
    <w:link w:val="12"/>
    <w:semiHidden/>
    <w:qFormat/>
    <w:uiPriority w:val="99"/>
    <w:rPr>
      <w:rFonts w:ascii="Segoe UI" w:hAnsi="Segoe UI" w:eastAsia="Times New Roman" w:cs="Segoe UI"/>
      <w:sz w:val="18"/>
      <w:szCs w:val="18"/>
      <w:lang w:eastAsia="ar-SA"/>
    </w:rPr>
  </w:style>
  <w:style w:type="character" w:customStyle="1" w:styleId="25">
    <w:name w:val="Текст примечания Знак"/>
    <w:basedOn w:val="5"/>
    <w:link w:val="13"/>
    <w:qFormat/>
    <w:uiPriority w:val="99"/>
    <w:rPr>
      <w:rFonts w:ascii="Times New Roman" w:hAnsi="Times New Roman" w:eastAsia="Times New Roman" w:cs="Times New Roman"/>
      <w:sz w:val="20"/>
      <w:szCs w:val="20"/>
      <w:lang w:eastAsia="ar-SA"/>
    </w:rPr>
  </w:style>
  <w:style w:type="character" w:customStyle="1" w:styleId="26">
    <w:name w:val="Тема примечания Знак"/>
    <w:basedOn w:val="25"/>
    <w:link w:val="14"/>
    <w:semiHidden/>
    <w:qFormat/>
    <w:uiPriority w:val="99"/>
    <w:rPr>
      <w:rFonts w:ascii="Times New Roman" w:hAnsi="Times New Roman" w:eastAsia="Times New Roman" w:cs="Times New Roman"/>
      <w:b/>
      <w:bCs/>
      <w:sz w:val="20"/>
      <w:szCs w:val="20"/>
      <w:lang w:eastAsia="ar-SA"/>
    </w:rPr>
  </w:style>
  <w:style w:type="character" w:customStyle="1" w:styleId="27">
    <w:name w:val="Текст сноски Знак"/>
    <w:basedOn w:val="5"/>
    <w:link w:val="15"/>
    <w:qFormat/>
    <w:uiPriority w:val="99"/>
    <w:rPr>
      <w:rFonts w:ascii="Times New Roman" w:hAnsi="Times New Roman" w:eastAsia="Times New Roman" w:cs="Times New Roman"/>
      <w:sz w:val="20"/>
      <w:szCs w:val="20"/>
      <w:lang w:eastAsia="ar-SA"/>
    </w:rPr>
  </w:style>
  <w:style w:type="character" w:customStyle="1" w:styleId="28">
    <w:name w:val="Верхний колонтитул Знак"/>
    <w:basedOn w:val="5"/>
    <w:link w:val="16"/>
    <w:qFormat/>
    <w:uiPriority w:val="99"/>
    <w:rPr>
      <w:rFonts w:ascii="Times New Roman" w:hAnsi="Times New Roman" w:eastAsia="Times New Roman" w:cs="Times New Roman"/>
      <w:sz w:val="24"/>
      <w:szCs w:val="24"/>
      <w:lang w:eastAsia="ar-SA"/>
    </w:rPr>
  </w:style>
  <w:style w:type="character" w:customStyle="1" w:styleId="29">
    <w:name w:val="Нижний колонтитул Знак"/>
    <w:basedOn w:val="5"/>
    <w:link w:val="17"/>
    <w:qFormat/>
    <w:uiPriority w:val="99"/>
    <w:rPr>
      <w:rFonts w:ascii="Times New Roman" w:hAnsi="Times New Roman" w:eastAsia="Times New Roman" w:cs="Times New Roman"/>
      <w:sz w:val="24"/>
      <w:szCs w:val="24"/>
      <w:lang w:eastAsia="ar-SA"/>
    </w:rPr>
  </w:style>
  <w:style w:type="paragraph" w:styleId="30">
    <w:name w:val="List Paragraph"/>
    <w:basedOn w:val="1"/>
    <w:qFormat/>
    <w:uiPriority w:val="34"/>
    <w:pPr>
      <w:ind w:left="720"/>
      <w:contextualSpacing/>
    </w:pPr>
  </w:style>
  <w:style w:type="paragraph" w:customStyle="1" w:styleId="31">
    <w:name w:val="Раздел контракта"/>
    <w:basedOn w:val="2"/>
    <w:next w:val="1"/>
    <w:qFormat/>
    <w:uiPriority w:val="0"/>
    <w:pPr>
      <w:keepNext w:val="0"/>
      <w:keepLines w:val="0"/>
      <w:numPr>
        <w:ilvl w:val="0"/>
        <w:numId w:val="1"/>
      </w:numPr>
      <w:spacing w:before="120" w:after="120"/>
      <w:jc w:val="center"/>
    </w:pPr>
    <w:rPr>
      <w:rFonts w:ascii="Times New Roman" w:hAnsi="Times New Roman"/>
      <w:color w:val="auto"/>
      <w:sz w:val="24"/>
      <w:lang w:eastAsia="en-US"/>
    </w:rPr>
  </w:style>
  <w:style w:type="paragraph" w:customStyle="1" w:styleId="32">
    <w:name w:val="Пункт контракта"/>
    <w:basedOn w:val="3"/>
    <w:qFormat/>
    <w:uiPriority w:val="0"/>
    <w:pPr>
      <w:keepNext w:val="0"/>
      <w:keepLines w:val="0"/>
      <w:numPr>
        <w:ilvl w:val="1"/>
        <w:numId w:val="1"/>
      </w:numPr>
      <w:spacing w:before="0"/>
      <w:ind w:left="0"/>
    </w:pPr>
    <w:rPr>
      <w:rFonts w:ascii="Times New Roman" w:hAnsi="Times New Roman"/>
      <w:color w:val="auto"/>
      <w:sz w:val="24"/>
    </w:rPr>
  </w:style>
  <w:style w:type="character" w:customStyle="1" w:styleId="33">
    <w:name w:val="Заголовок 1 Знак"/>
    <w:basedOn w:val="5"/>
    <w:link w:val="2"/>
    <w:qFormat/>
    <w:uiPriority w:val="9"/>
    <w:rPr>
      <w:rFonts w:asciiTheme="majorHAnsi" w:hAnsiTheme="majorHAnsi" w:eastAsiaTheme="majorEastAsia" w:cstheme="majorBidi"/>
      <w:color w:val="2F5597" w:themeColor="accent1" w:themeShade="BF"/>
      <w:sz w:val="32"/>
      <w:szCs w:val="32"/>
      <w:lang w:eastAsia="ar-SA"/>
    </w:rPr>
  </w:style>
  <w:style w:type="paragraph" w:customStyle="1" w:styleId="34">
    <w:name w:val="Подпункт контракта"/>
    <w:basedOn w:val="4"/>
    <w:qFormat/>
    <w:uiPriority w:val="0"/>
    <w:pPr>
      <w:keepNext w:val="0"/>
      <w:keepLines w:val="0"/>
      <w:numPr>
        <w:ilvl w:val="2"/>
        <w:numId w:val="1"/>
      </w:numPr>
      <w:spacing w:before="0"/>
    </w:pPr>
    <w:rPr>
      <w:rFonts w:ascii="Times New Roman" w:hAnsi="Times New Roman"/>
      <w:color w:val="auto"/>
      <w:lang w:eastAsia="en-US"/>
    </w:rPr>
  </w:style>
  <w:style w:type="character" w:customStyle="1" w:styleId="35">
    <w:name w:val="Заголовок 2 Знак"/>
    <w:basedOn w:val="5"/>
    <w:link w:val="3"/>
    <w:semiHidden/>
    <w:qFormat/>
    <w:uiPriority w:val="9"/>
    <w:rPr>
      <w:rFonts w:asciiTheme="majorHAnsi" w:hAnsiTheme="majorHAnsi" w:eastAsiaTheme="majorEastAsia" w:cstheme="majorBidi"/>
      <w:color w:val="2F5597" w:themeColor="accent1" w:themeShade="BF"/>
      <w:sz w:val="26"/>
      <w:szCs w:val="26"/>
      <w:lang w:eastAsia="ar-SA"/>
    </w:rPr>
  </w:style>
  <w:style w:type="character" w:customStyle="1" w:styleId="36">
    <w:name w:val="Заголовок 3 Знак"/>
    <w:basedOn w:val="5"/>
    <w:link w:val="4"/>
    <w:semiHidden/>
    <w:qFormat/>
    <w:uiPriority w:val="9"/>
    <w:rPr>
      <w:rFonts w:asciiTheme="majorHAnsi" w:hAnsiTheme="majorHAnsi" w:eastAsiaTheme="majorEastAsia" w:cstheme="majorBidi"/>
      <w:color w:val="203864" w:themeColor="accent1" w:themeShade="80"/>
      <w:sz w:val="24"/>
      <w:szCs w:val="24"/>
      <w:lang w:eastAsia="ar-SA"/>
    </w:rPr>
  </w:style>
  <w:style w:type="character" w:customStyle="1" w:styleId="37">
    <w:name w:val="y2iqfc"/>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3100C-B4C9-49BC-9ED9-945C11405C43}">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5</Pages>
  <Words>656</Words>
  <Characters>6744</Characters>
  <Lines>192</Lines>
  <Paragraphs>97</Paragraphs>
  <TotalTime>28</TotalTime>
  <ScaleCrop>false</ScaleCrop>
  <LinksUpToDate>false</LinksUpToDate>
  <CharactersWithSpaces>7202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2026-04-17T13:12:00Z</dcterms:created>
  <dc:creator>slnk slnk</dc:creator>
  <cp:lastModifiedBy>KudinkinaDV</cp:lastModifiedBy>
  <cp:lastPrinted>2020-08-06T06:42:00Z</cp:lastPrinted>
  <dcterms:modified xsi:type="dcterms:W3CDTF">2026-09-04T14:21:23Z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E4582FF1A7DF45F488493D137BA919EE_12</vt:lpwstr>
  </property>
  <property fmtid="{D5CDD505-2E9C-101B-9397-08002B2CF9AE}" pid="4" name="KSOTemplateDocerSaveRecord">
    <vt:lpwstr>eyJoZGlkIjoiNTRlODAzNzRjNmY3MDU0YjcwZmM0MDZmOTExMjY5YTAiLCJ1c2VySWQiOiI4NDIzODMyMjg1MDAifQ==</vt:lpwstr>
  </property>
</Properties>
</file>