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7.0 -->
  <w:body>
    <w:p>
      <w:pPr>
        <w:pStyle w:val="headingcenter1"/>
        <w:rPr>
          <w:b/>
          <w:bCs/>
          <w:sz w:val="28"/>
          <w:szCs w:val="28"/>
          <w:lang w:val="ru-RU" w:eastAsia="ru-RU"/>
        </w:rPr>
      </w:pPr>
      <w:r>
        <w:rPr>
          <w:b/>
          <w:bCs/>
          <w:lang w:val="ru-RU" w:eastAsia="ru-RU"/>
        </w:rPr>
        <w:t>Протокол подведения итогов определения поставщика</w:t>
      </w:r>
      <w:r>
        <w:rPr>
          <w:b/>
          <w:bCs/>
          <w:lang w:val="ru-RU" w:eastAsia="ru-RU"/>
        </w:rPr>
        <w:br/>
      </w:r>
      <w:r>
        <w:rPr>
          <w:b/>
          <w:bCs/>
          <w:lang w:val="ru-RU" w:eastAsia="ru-RU"/>
        </w:rPr>
        <w:t>(подрядчика, исполнителя)</w:t>
      </w:r>
    </w:p>
    <w:p>
      <w:pPr>
        <w:pStyle w:val="headingcenter1"/>
        <w:rPr>
          <w:b w:val="0"/>
          <w:bCs w:val="0"/>
          <w:sz w:val="28"/>
          <w:szCs w:val="28"/>
          <w:lang w:val="ru-RU" w:eastAsia="ru-RU"/>
        </w:rPr>
      </w:pPr>
      <w:r>
        <w:rPr>
          <w:lang w:val="ru-RU" w:eastAsia="ru-RU"/>
        </w:rPr>
        <w:t>(№ 0352300015826000073)</w:t>
      </w:r>
    </w:p>
    <w:tbl>
      <w:tblPr>
        <w:tblStyle w:val="table"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11076"/>
      </w:tblGrid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CellSpacing w:w="15" w:type="dxa"/>
        </w:trPr>
        <w:tc>
          <w:tcPr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noProof/>
                <w:color w:val="000000"/>
                <w:lang w:val="ru-RU" w:eastAsia="ru-RU"/>
              </w:rPr>
              <w:t>15.10.2026</w:t>
            </w:r>
          </w:p>
        </w:tc>
      </w:tr>
    </w:tbl>
    <w:p>
      <w:pPr>
        <w:pStyle w:val="divWordSection1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 xml:space="preserve">  </w:t>
      </w:r>
    </w:p>
    <w:p>
      <w:pPr>
        <w:pStyle w:val="divusual1"/>
        <w:spacing w:after="200"/>
        <w:jc w:val="left"/>
        <w:rPr>
          <w:lang w:val="ru-RU" w:eastAsia="ru-RU"/>
        </w:rPr>
      </w:pPr>
      <w:r>
        <w:rPr>
          <w:rStyle w:val="boldText"/>
          <w:b/>
          <w:bCs/>
          <w:lang w:val="ru-RU" w:eastAsia="ru-RU"/>
        </w:rPr>
        <w:t>Организатор:</w:t>
      </w:r>
      <w:r>
        <w:rPr>
          <w:lang w:val="ru-RU" w:eastAsia="ru-RU"/>
        </w:rPr>
        <w:t>  БЮДЖЕТНОЕ УЧРЕЖДЕНИЕ ЗДРАВООХРАНЕНИЯ ОМСКОЙ ОБЛАСТИ "ТАРСКАЯ ЦЕНТРАЛЬНАЯ РАЙОННАЯ БОЛЬНИЦА"</w:t>
      </w:r>
    </w:p>
    <w:p>
      <w:pPr>
        <w:pStyle w:val="divusual1"/>
        <w:spacing w:after="200"/>
        <w:jc w:val="left"/>
        <w:rPr>
          <w:lang w:val="ru-RU" w:eastAsia="ru-RU"/>
        </w:rPr>
      </w:pPr>
      <w:r>
        <w:rPr>
          <w:rStyle w:val="boldText"/>
          <w:b/>
          <w:bCs/>
          <w:lang w:val="ru-RU" w:eastAsia="ru-RU"/>
        </w:rPr>
        <w:t>Заказчик (и):</w:t>
      </w:r>
      <w:r>
        <w:rPr>
          <w:lang w:val="ru-RU" w:eastAsia="ru-RU"/>
        </w:rPr>
        <w:t>  БЮДЖЕТНОЕ УЧРЕЖДЕНИЕ ЗДРАВООХРАНЕНИЯ ОМСКОЙ ОБЛАСТИ "ТАРСКАЯ ЦЕНТРАЛЬНАЯ РАЙОННАЯ БОЛЬНИЦА"</w:t>
      </w:r>
    </w:p>
    <w:p>
      <w:pPr>
        <w:pStyle w:val="divusual1"/>
        <w:spacing w:after="200"/>
        <w:jc w:val="left"/>
        <w:rPr>
          <w:lang w:val="ru-RU" w:eastAsia="ru-RU"/>
        </w:rPr>
      </w:pPr>
      <w:r>
        <w:rPr>
          <w:rStyle w:val="boldText"/>
          <w:b/>
          <w:bCs/>
          <w:lang w:val="ru-RU" w:eastAsia="ru-RU"/>
        </w:rPr>
        <w:t>Наименование объекта закупки:</w:t>
      </w:r>
      <w:r>
        <w:rPr>
          <w:lang w:val="ru-RU" w:eastAsia="ru-RU"/>
        </w:rPr>
        <w:t> Оказание услуг по программному сопровождению (технической поддержке) медицинской информационной системы и средства автоматизации учета (Реестровый номер 2026.064200)</w:t>
      </w:r>
    </w:p>
    <w:p>
      <w:pPr>
        <w:pStyle w:val="divusual1"/>
        <w:spacing w:after="200"/>
        <w:jc w:val="left"/>
        <w:rPr>
          <w:lang w:val="ru-RU" w:eastAsia="ru-RU"/>
        </w:rPr>
      </w:pPr>
      <w:r>
        <w:rPr>
          <w:rStyle w:val="boldText"/>
          <w:b/>
          <w:bCs/>
          <w:lang w:val="ru-RU" w:eastAsia="ru-RU"/>
        </w:rPr>
        <w:t>Идентификационный код закупки:</w:t>
      </w:r>
      <w:r>
        <w:rPr>
          <w:lang w:val="ru-RU" w:eastAsia="ru-RU"/>
        </w:rPr>
        <w:t>  262553500299055350100101240016202244;</w:t>
      </w:r>
    </w:p>
    <w:p>
      <w:pPr>
        <w:pStyle w:val="divusual1"/>
        <w:spacing w:after="200"/>
        <w:jc w:val="left"/>
        <w:rPr>
          <w:lang w:val="ru-RU" w:eastAsia="ru-RU"/>
        </w:rPr>
      </w:pPr>
      <w:r>
        <w:rPr>
          <w:rStyle w:val="boldText"/>
          <w:b/>
          <w:bCs/>
          <w:lang w:val="ru-RU" w:eastAsia="ru-RU"/>
        </w:rPr>
        <w:t>Способ определения поставщика (подрядчика/исполнителя):</w:t>
      </w:r>
      <w:r>
        <w:rPr>
          <w:lang w:val="ru-RU" w:eastAsia="ru-RU"/>
        </w:rPr>
        <w:t>  Электронный аукцион</w:t>
      </w:r>
    </w:p>
    <w:p>
      <w:pPr>
        <w:pStyle w:val="divusual1"/>
        <w:spacing w:after="200"/>
        <w:jc w:val="left"/>
        <w:rPr>
          <w:lang w:val="ru-RU" w:eastAsia="ru-RU"/>
        </w:rPr>
      </w:pPr>
      <w:r>
        <w:rPr>
          <w:rStyle w:val="boldText"/>
          <w:b/>
          <w:bCs/>
          <w:lang w:val="ru-RU" w:eastAsia="ru-RU"/>
        </w:rPr>
        <w:t>Начальная (максимальная) цена контракта/Максимальное значение цены контракта:</w:t>
      </w:r>
      <w:r>
        <w:rPr>
          <w:lang w:val="ru-RU" w:eastAsia="ru-RU"/>
        </w:rPr>
        <w:t>  382 800,00  руб.</w:t>
      </w:r>
    </w:p>
    <w:p>
      <w:pPr>
        <w:pStyle w:val="commonText"/>
        <w:pBdr>
          <w:bottom w:val="none" w:sz="0" w:space="7" w:color="auto"/>
        </w:pBdr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 xml:space="preserve">Извещение о проведении электронного аукциона размещено в единой информационной системе в сфере закупок (официальный сайт </w:t>
      </w:r>
      <w:hyperlink r:id="rId4" w:history="1">
        <w:r>
          <w:rPr>
            <w:rStyle w:val="any"/>
            <w:rFonts w:ascii="Times New Roman" w:eastAsia="Times New Roman" w:hAnsi="Times New Roman" w:cs="Times New Roman"/>
            <w:color w:val="0000FF"/>
            <w:u w:val="single" w:color="0000EE"/>
            <w:lang w:val="ru-RU" w:eastAsia="ru-RU"/>
          </w:rPr>
          <w:t>http://zakupki.gov.ru</w:t>
        </w:r>
      </w:hyperlink>
      <w:r>
        <w:rPr>
          <w:rFonts w:ascii="Times New Roman" w:eastAsia="Times New Roman" w:hAnsi="Times New Roman" w:cs="Times New Roman"/>
          <w:lang w:val="ru-RU" w:eastAsia="ru-RU"/>
        </w:rPr>
        <w:t xml:space="preserve">) и на сайте оператора электронной площадки АО «Сбербанк-АСТ» по адресу в сети интернет  </w:t>
      </w:r>
      <w:hyperlink r:id="rId5" w:history="1">
        <w:r>
          <w:rPr>
            <w:rStyle w:val="any"/>
            <w:rFonts w:ascii="Times New Roman" w:eastAsia="Times New Roman" w:hAnsi="Times New Roman" w:cs="Times New Roman"/>
            <w:color w:val="0000FF"/>
            <w:u w:val="single" w:color="0000EE"/>
            <w:lang w:val="ru-RU" w:eastAsia="ru-RU"/>
          </w:rPr>
          <w:t>www.sberbank-ast.ru</w:t>
        </w:r>
      </w:hyperlink>
    </w:p>
    <w:p>
      <w:pPr>
        <w:pStyle w:val="divusual1"/>
        <w:spacing w:after="200"/>
        <w:jc w:val="left"/>
        <w:rPr>
          <w:b/>
          <w:bCs/>
          <w:lang w:val="ru-RU" w:eastAsia="ru-RU"/>
        </w:rPr>
      </w:pPr>
      <w:r>
        <w:rPr>
          <w:b/>
          <w:bCs/>
          <w:lang w:val="ru-RU" w:eastAsia="ru-RU"/>
        </w:rPr>
        <w:t>Состав комиссии:</w:t>
      </w:r>
    </w:p>
    <w:tbl>
      <w:tblPr>
        <w:tblStyle w:val="table"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5010"/>
        <w:gridCol w:w="6051"/>
      </w:tblGrid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CellSpacing w:w="15" w:type="dxa"/>
        </w:trPr>
        <w:tc>
          <w:tcPr>
            <w:gridSpan w:val="2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noProof/>
                <w:color w:val="000000"/>
                <w:lang w:val="ru-RU" w:eastAsia="ru-RU"/>
              </w:rPr>
              <w:t>На заседании комиссии присутствовали:</w:t>
            </w:r>
          </w:p>
        </w:tc>
      </w:tr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CellSpacing w:w="15" w:type="dxa"/>
        </w:trPr>
        <w:tc>
          <w:tcPr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noProof/>
                <w:color w:val="000000"/>
                <w:lang w:val="ru-RU" w:eastAsia="ru-RU"/>
              </w:rPr>
              <w:t>Председатель комиссии</w:t>
            </w:r>
          </w:p>
        </w:tc>
        <w:tc>
          <w:tcPr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noProof/>
                <w:color w:val="000000"/>
                <w:lang w:val="ru-RU" w:eastAsia="ru-RU"/>
              </w:rPr>
              <w:t>Мезенин Андрей Викторович</w:t>
            </w:r>
          </w:p>
        </w:tc>
      </w:tr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CellSpacing w:w="15" w:type="dxa"/>
        </w:trPr>
        <w:tc>
          <w:tcPr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noProof/>
                <w:color w:val="000000"/>
                <w:lang w:val="ru-RU" w:eastAsia="ru-RU"/>
              </w:rPr>
              <w:t>Зам. председателя комиссии</w:t>
            </w:r>
          </w:p>
        </w:tc>
        <w:tc>
          <w:tcPr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noProof/>
                <w:color w:val="000000"/>
                <w:lang w:val="ru-RU" w:eastAsia="ru-RU"/>
              </w:rPr>
              <w:t>Иванова Светлана Владимировна</w:t>
            </w:r>
          </w:p>
        </w:tc>
      </w:tr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CellSpacing w:w="15" w:type="dxa"/>
        </w:trPr>
        <w:tc>
          <w:tcPr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noProof/>
                <w:color w:val="000000"/>
                <w:lang w:val="ru-RU" w:eastAsia="ru-RU"/>
              </w:rPr>
              <w:t>Член комиссии</w:t>
            </w:r>
          </w:p>
        </w:tc>
        <w:tc>
          <w:tcPr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noProof/>
                <w:color w:val="000000"/>
                <w:lang w:val="ru-RU" w:eastAsia="ru-RU"/>
              </w:rPr>
              <w:t>Авакян Артур Анастасович</w:t>
            </w:r>
          </w:p>
        </w:tc>
      </w:tr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CellSpacing w:w="15" w:type="dxa"/>
        </w:trPr>
        <w:tc>
          <w:tcPr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noProof/>
                <w:color w:val="000000"/>
                <w:lang w:val="ru-RU" w:eastAsia="ru-RU"/>
              </w:rPr>
              <w:t>Член комиссии</w:t>
            </w:r>
          </w:p>
        </w:tc>
        <w:tc>
          <w:tcPr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noProof/>
                <w:color w:val="000000"/>
                <w:lang w:val="ru-RU" w:eastAsia="ru-RU"/>
              </w:rPr>
              <w:t>Никитина Татьяна Александровна</w:t>
            </w:r>
          </w:p>
        </w:tc>
      </w:tr>
    </w:tbl>
    <w:p>
      <w:pPr>
        <w:pStyle w:val="divusual1"/>
        <w:spacing w:after="200"/>
        <w:jc w:val="left"/>
        <w:rPr>
          <w:lang w:val="ru-RU" w:eastAsia="ru-RU"/>
        </w:rPr>
      </w:pPr>
      <w:r>
        <w:rPr>
          <w:lang w:val="ru-RU" w:eastAsia="ru-RU"/>
        </w:rPr>
        <w:t>Всего на заседании присутствовало 4 члена(ов) комиссии. Кворум имеется </w:t>
      </w:r>
    </w:p>
    <w:tbl>
      <w:tblPr>
        <w:tblStyle w:val="table"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11076"/>
      </w:tblGrid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CellSpacing w:w="15" w:type="dxa"/>
        </w:trPr>
        <w:tc>
          <w:tcPr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jc w:val="center"/>
              <w:rPr>
                <w:b/>
                <w:bCs/>
                <w:i w:val="0"/>
                <w:iCs w:val="0"/>
                <w:smallCaps w:val="0"/>
                <w:color w:val="000000"/>
                <w:lang w:val="ru-RU" w:eastAsia="ru-RU"/>
              </w:rPr>
            </w:pPr>
            <w:r>
              <w:rPr>
                <w:b/>
                <w:bCs/>
                <w:i w:val="0"/>
                <w:iCs w:val="0"/>
                <w:smallCaps w:val="0"/>
                <w:noProof/>
                <w:color w:val="000000"/>
                <w:lang w:val="ru-RU" w:eastAsia="ru-RU"/>
              </w:rPr>
              <w:t>Общие сведения об итогах закупки</w:t>
            </w:r>
            <w:r>
              <w:rPr>
                <w:b/>
                <w:bCs/>
                <w:i w:val="0"/>
                <w:iCs w:val="0"/>
                <w:smallCaps w:val="0"/>
                <w:noProof/>
                <w:color w:val="000000"/>
                <w:lang w:val="ru-RU" w:eastAsia="ru-RU"/>
              </w:rPr>
              <w:br/>
            </w:r>
            <w:r>
              <w:rPr>
                <w:b/>
                <w:bCs/>
                <w:i w:val="0"/>
                <w:iCs w:val="0"/>
                <w:smallCaps w:val="0"/>
                <w:noProof/>
                <w:color w:val="000000"/>
                <w:lang w:val="ru-RU" w:eastAsia="ru-RU"/>
              </w:rPr>
              <w:t> </w:t>
            </w:r>
          </w:p>
        </w:tc>
      </w:tr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CellSpacing w:w="15" w:type="dxa"/>
        </w:trPr>
        <w:tc>
          <w:tcPr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Style w:val="dt"/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1350"/>
              <w:gridCol w:w="1079"/>
              <w:gridCol w:w="2498"/>
              <w:gridCol w:w="1070"/>
              <w:gridCol w:w="1751"/>
              <w:gridCol w:w="1869"/>
              <w:gridCol w:w="1459"/>
            </w:tblGrid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Header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>
                  <w:pPr>
                    <w:jc w:val="center"/>
                    <w:rPr>
                      <w:b/>
                      <w:bCs/>
                      <w:i w:val="0"/>
                      <w:iCs w:val="0"/>
                      <w:smallCaps w:val="0"/>
                      <w:color w:val="000000"/>
                      <w:sz w:val="21"/>
                      <w:szCs w:val="21"/>
                      <w:lang w:val="ru-RU" w:eastAsia="ru-RU"/>
                    </w:rPr>
                  </w:pPr>
                  <w:r>
                    <w:rPr>
                      <w:b/>
                      <w:bCs/>
                      <w:i w:val="0"/>
                      <w:iCs w:val="0"/>
                      <w:smallCaps w:val="0"/>
                      <w:noProof/>
                      <w:color w:val="000000"/>
                      <w:sz w:val="21"/>
                      <w:szCs w:val="21"/>
                      <w:lang w:val="ru-RU" w:eastAsia="ru-RU"/>
                    </w:rPr>
                    <w:t>Идентифи-</w:t>
                  </w:r>
                  <w:r>
                    <w:rPr>
                      <w:b/>
                      <w:bCs/>
                      <w:i w:val="0"/>
                      <w:iCs w:val="0"/>
                      <w:smallCaps w:val="0"/>
                      <w:noProof/>
                      <w:color w:val="000000"/>
                      <w:sz w:val="21"/>
                      <w:szCs w:val="21"/>
                      <w:lang w:val="ru-RU" w:eastAsia="ru-RU"/>
                    </w:rPr>
                    <w:br/>
                  </w:r>
                  <w:r>
                    <w:rPr>
                      <w:b/>
                      <w:bCs/>
                      <w:i w:val="0"/>
                      <w:iCs w:val="0"/>
                      <w:smallCaps w:val="0"/>
                      <w:noProof/>
                      <w:color w:val="000000"/>
                      <w:sz w:val="21"/>
                      <w:szCs w:val="21"/>
                      <w:lang w:val="ru-RU" w:eastAsia="ru-RU"/>
                    </w:rPr>
                    <w:t>кационный номер заявки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>
                  <w:pPr>
                    <w:jc w:val="center"/>
                    <w:rPr>
                      <w:b/>
                      <w:bCs/>
                      <w:i w:val="0"/>
                      <w:iCs w:val="0"/>
                      <w:smallCaps w:val="0"/>
                      <w:color w:val="000000"/>
                      <w:sz w:val="21"/>
                      <w:szCs w:val="21"/>
                      <w:lang w:val="ru-RU" w:eastAsia="ru-RU"/>
                    </w:rPr>
                  </w:pPr>
                  <w:r>
                    <w:rPr>
                      <w:b/>
                      <w:bCs/>
                      <w:i w:val="0"/>
                      <w:iCs w:val="0"/>
                      <w:smallCaps w:val="0"/>
                      <w:noProof/>
                      <w:color w:val="000000"/>
                      <w:sz w:val="21"/>
                      <w:szCs w:val="21"/>
                      <w:lang w:val="ru-RU" w:eastAsia="ru-RU"/>
                    </w:rPr>
                    <w:t>Дата и время подачи заявки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>
                  <w:pPr>
                    <w:jc w:val="center"/>
                    <w:rPr>
                      <w:b/>
                      <w:bCs/>
                      <w:i w:val="0"/>
                      <w:iCs w:val="0"/>
                      <w:smallCaps w:val="0"/>
                      <w:color w:val="000000"/>
                      <w:sz w:val="21"/>
                      <w:szCs w:val="21"/>
                      <w:lang w:val="ru-RU" w:eastAsia="ru-RU"/>
                    </w:rPr>
                  </w:pPr>
                  <w:r>
                    <w:rPr>
                      <w:b/>
                      <w:bCs/>
                      <w:i w:val="0"/>
                      <w:iCs w:val="0"/>
                      <w:smallCaps w:val="0"/>
                      <w:noProof/>
                      <w:color w:val="000000"/>
                      <w:sz w:val="21"/>
                      <w:szCs w:val="21"/>
                      <w:lang w:val="ru-RU" w:eastAsia="ru-RU"/>
                    </w:rPr>
                    <w:t>Предложение о цене контракта /сумме цен единиц товара, работы, услуги, руб.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>
                  <w:pPr>
                    <w:jc w:val="center"/>
                    <w:rPr>
                      <w:b/>
                      <w:bCs/>
                      <w:i w:val="0"/>
                      <w:iCs w:val="0"/>
                      <w:smallCaps w:val="0"/>
                      <w:color w:val="000000"/>
                      <w:sz w:val="21"/>
                      <w:szCs w:val="21"/>
                      <w:lang w:val="ru-RU" w:eastAsia="ru-RU"/>
                    </w:rPr>
                  </w:pPr>
                  <w:r>
                    <w:rPr>
                      <w:b/>
                      <w:bCs/>
                      <w:i w:val="0"/>
                      <w:iCs w:val="0"/>
                      <w:smallCaps w:val="0"/>
                      <w:noProof/>
                      <w:color w:val="000000"/>
                      <w:sz w:val="21"/>
                      <w:szCs w:val="21"/>
                      <w:lang w:val="ru-RU" w:eastAsia="ru-RU"/>
                    </w:rPr>
                    <w:t>Процент снижения цены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>
                  <w:pPr>
                    <w:jc w:val="center"/>
                    <w:rPr>
                      <w:b/>
                      <w:bCs/>
                      <w:i w:val="0"/>
                      <w:iCs w:val="0"/>
                      <w:smallCaps w:val="0"/>
                      <w:color w:val="000000"/>
                      <w:sz w:val="21"/>
                      <w:szCs w:val="21"/>
                      <w:lang w:val="ru-RU" w:eastAsia="ru-RU"/>
                    </w:rPr>
                  </w:pPr>
                  <w:r>
                    <w:rPr>
                      <w:b/>
                      <w:bCs/>
                      <w:i w:val="0"/>
                      <w:iCs w:val="0"/>
                      <w:smallCaps w:val="0"/>
                      <w:noProof/>
                      <w:color w:val="000000"/>
                      <w:sz w:val="21"/>
                      <w:szCs w:val="21"/>
                      <w:lang w:val="ru-RU" w:eastAsia="ru-RU"/>
                    </w:rPr>
                    <w:t>Порядковый номер заявки, присвоенный оператором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>
                  <w:pPr>
                    <w:jc w:val="center"/>
                    <w:rPr>
                      <w:b/>
                      <w:bCs/>
                      <w:i w:val="0"/>
                      <w:iCs w:val="0"/>
                      <w:smallCaps w:val="0"/>
                      <w:color w:val="000000"/>
                      <w:sz w:val="21"/>
                      <w:szCs w:val="21"/>
                      <w:lang w:val="ru-RU" w:eastAsia="ru-RU"/>
                    </w:rPr>
                  </w:pPr>
                  <w:r>
                    <w:rPr>
                      <w:b/>
                      <w:bCs/>
                      <w:i w:val="0"/>
                      <w:iCs w:val="0"/>
                      <w:smallCaps w:val="0"/>
                      <w:noProof/>
                      <w:color w:val="000000"/>
                      <w:sz w:val="21"/>
                      <w:szCs w:val="21"/>
                      <w:lang w:val="ru-RU" w:eastAsia="ru-RU"/>
                    </w:rPr>
                    <w:t>Порядковый номер заявки, присвоенный организатором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>
                  <w:pPr>
                    <w:jc w:val="center"/>
                    <w:rPr>
                      <w:b/>
                      <w:bCs/>
                      <w:i w:val="0"/>
                      <w:iCs w:val="0"/>
                      <w:smallCaps w:val="0"/>
                      <w:color w:val="000000"/>
                      <w:sz w:val="21"/>
                      <w:szCs w:val="21"/>
                      <w:lang w:val="ru-RU" w:eastAsia="ru-RU"/>
                    </w:rPr>
                  </w:pPr>
                  <w:r>
                    <w:rPr>
                      <w:b/>
                      <w:bCs/>
                      <w:i w:val="0"/>
                      <w:iCs w:val="0"/>
                      <w:smallCaps w:val="0"/>
                      <w:noProof/>
                      <w:color w:val="000000"/>
                      <w:sz w:val="21"/>
                      <w:szCs w:val="21"/>
                      <w:lang w:val="ru-RU" w:eastAsia="ru-RU"/>
                    </w:rPr>
                    <w:t>Результат рассмотрения</w:t>
                  </w: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>
                  <w:pPr>
                    <w:jc w:val="center"/>
                    <w:rPr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1"/>
                      <w:szCs w:val="21"/>
                      <w:lang w:val="ru-RU" w:eastAsia="ru-RU"/>
                    </w:rPr>
                  </w:pPr>
                  <w:r>
                    <w:rPr>
                      <w:b w:val="0"/>
                      <w:bCs w:val="0"/>
                      <w:i w:val="0"/>
                      <w:iCs w:val="0"/>
                      <w:smallCaps w:val="0"/>
                      <w:noProof/>
                      <w:color w:val="000000"/>
                      <w:sz w:val="21"/>
                      <w:szCs w:val="21"/>
                      <w:lang w:val="ru-RU" w:eastAsia="ru-RU"/>
                    </w:rPr>
                    <w:t>157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>
                  <w:pPr>
                    <w:jc w:val="center"/>
                    <w:rPr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1"/>
                      <w:szCs w:val="21"/>
                      <w:lang w:val="ru-RU" w:eastAsia="ru-RU"/>
                    </w:rPr>
                  </w:pPr>
                  <w:r>
                    <w:rPr>
                      <w:b w:val="0"/>
                      <w:bCs w:val="0"/>
                      <w:i w:val="0"/>
                      <w:iCs w:val="0"/>
                      <w:smallCaps w:val="0"/>
                      <w:noProof/>
                      <w:color w:val="000000"/>
                      <w:sz w:val="21"/>
                      <w:szCs w:val="21"/>
                      <w:lang w:val="ru-RU" w:eastAsia="ru-RU"/>
                    </w:rPr>
                    <w:t>14.10.2026 10:49:09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>
                  <w:pPr>
                    <w:jc w:val="center"/>
                    <w:rPr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1"/>
                      <w:szCs w:val="21"/>
                      <w:lang w:val="ru-RU" w:eastAsia="ru-RU"/>
                    </w:rPr>
                  </w:pPr>
                  <w:r>
                    <w:rPr>
                      <w:b w:val="0"/>
                      <w:bCs w:val="0"/>
                      <w:i w:val="0"/>
                      <w:iCs w:val="0"/>
                      <w:smallCaps w:val="0"/>
                      <w:noProof/>
                      <w:color w:val="000000"/>
                      <w:sz w:val="21"/>
                      <w:szCs w:val="21"/>
                      <w:lang w:val="ru-RU" w:eastAsia="ru-RU"/>
                    </w:rPr>
                    <w:t>382 800,00000000000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>
                  <w:pPr>
                    <w:jc w:val="center"/>
                    <w:rPr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1"/>
                      <w:szCs w:val="21"/>
                      <w:lang w:val="ru-RU" w:eastAsia="ru-RU"/>
                    </w:rPr>
                  </w:pPr>
                  <w:r>
                    <w:rPr>
                      <w:b w:val="0"/>
                      <w:bCs w:val="0"/>
                      <w:i w:val="0"/>
                      <w:iCs w:val="0"/>
                      <w:smallCaps w:val="0"/>
                      <w:noProof/>
                      <w:color w:val="000000"/>
                      <w:sz w:val="21"/>
                      <w:szCs w:val="21"/>
                      <w:lang w:val="ru-RU" w:eastAsia="ru-RU"/>
                    </w:rPr>
                    <w:t>0.00 %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>
                  <w:pPr>
                    <w:jc w:val="center"/>
                    <w:rPr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1"/>
                      <w:szCs w:val="21"/>
                      <w:lang w:val="ru-RU" w:eastAsia="ru-RU"/>
                    </w:rPr>
                  </w:pPr>
                  <w:r>
                    <w:rPr>
                      <w:b w:val="0"/>
                      <w:bCs w:val="0"/>
                      <w:i w:val="0"/>
                      <w:iCs w:val="0"/>
                      <w:smallCaps w:val="0"/>
                      <w:noProof/>
                      <w:color w:val="000000"/>
                      <w:sz w:val="21"/>
                      <w:szCs w:val="21"/>
                      <w:lang w:val="ru-RU" w:eastAsia="ru-RU"/>
                    </w:rPr>
                    <w:t>1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>
                  <w:pPr>
                    <w:jc w:val="center"/>
                    <w:rPr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1"/>
                      <w:szCs w:val="21"/>
                      <w:lang w:val="ru-RU" w:eastAsia="ru-RU"/>
                    </w:rPr>
                  </w:pPr>
                  <w:r>
                    <w:rPr>
                      <w:b w:val="0"/>
                      <w:bCs w:val="0"/>
                      <w:i w:val="0"/>
                      <w:iCs w:val="0"/>
                      <w:smallCaps w:val="0"/>
                      <w:noProof/>
                      <w:color w:val="000000"/>
                      <w:sz w:val="21"/>
                      <w:szCs w:val="21"/>
                      <w:lang w:val="ru-RU" w:eastAsia="ru-RU"/>
                    </w:rPr>
                    <w:t>1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>
                  <w:pPr>
                    <w:jc w:val="center"/>
                    <w:rPr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1"/>
                      <w:szCs w:val="21"/>
                      <w:lang w:val="ru-RU" w:eastAsia="ru-RU"/>
                    </w:rPr>
                  </w:pPr>
                  <w:r>
                    <w:rPr>
                      <w:b w:val="0"/>
                      <w:bCs w:val="0"/>
                      <w:i w:val="0"/>
                      <w:iCs w:val="0"/>
                      <w:smallCaps w:val="0"/>
                      <w:noProof/>
                      <w:color w:val="000000"/>
                      <w:sz w:val="21"/>
                      <w:szCs w:val="21"/>
                      <w:lang w:val="ru-RU" w:eastAsia="ru-RU"/>
                    </w:rPr>
                    <w:t>Соответствует</w:t>
                  </w:r>
                </w:p>
              </w:tc>
            </w:tr>
          </w:tbl>
          <w:p>
            <w:pPr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</w:p>
        </w:tc>
      </w:tr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CellSpacing w:w="15" w:type="dxa"/>
        </w:trPr>
        <w:tc>
          <w:tcPr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jc w:val="center"/>
              <w:rPr>
                <w:b/>
                <w:bCs/>
                <w:i w:val="0"/>
                <w:iCs w:val="0"/>
                <w:smallCaps w:val="0"/>
                <w:color w:val="000000"/>
                <w:lang w:val="ru-RU" w:eastAsia="ru-RU"/>
              </w:rPr>
            </w:pPr>
            <w:r>
              <w:rPr>
                <w:b/>
                <w:bCs/>
                <w:i w:val="0"/>
                <w:iCs w:val="0"/>
                <w:smallCaps w:val="0"/>
                <w:noProof/>
                <w:color w:val="000000"/>
                <w:lang w:val="ru-RU" w:eastAsia="ru-RU"/>
              </w:rPr>
              <w:br/>
            </w:r>
            <w:r>
              <w:rPr>
                <w:b/>
                <w:bCs/>
                <w:i w:val="0"/>
                <w:iCs w:val="0"/>
                <w:smallCaps w:val="0"/>
                <w:noProof/>
                <w:color w:val="000000"/>
                <w:lang w:val="ru-RU" w:eastAsia="ru-RU"/>
              </w:rPr>
              <w:t>Информация о принятом решении каждым членом комиссии</w:t>
            </w:r>
            <w:r>
              <w:rPr>
                <w:b/>
                <w:bCs/>
                <w:i w:val="0"/>
                <w:iCs w:val="0"/>
                <w:smallCaps w:val="0"/>
                <w:noProof/>
                <w:color w:val="000000"/>
                <w:lang w:val="ru-RU" w:eastAsia="ru-RU"/>
              </w:rPr>
              <w:br/>
            </w:r>
            <w:r>
              <w:rPr>
                <w:b/>
                <w:bCs/>
                <w:i w:val="0"/>
                <w:iCs w:val="0"/>
                <w:smallCaps w:val="0"/>
                <w:noProof/>
                <w:color w:val="000000"/>
                <w:lang w:val="ru-RU" w:eastAsia="ru-RU"/>
              </w:rPr>
              <w:t> </w:t>
            </w:r>
          </w:p>
        </w:tc>
      </w:tr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CellSpacing w:w="15" w:type="dxa"/>
        </w:trPr>
        <w:tc>
          <w:tcPr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Style w:val="dt"/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4299"/>
              <w:gridCol w:w="4592"/>
              <w:gridCol w:w="2185"/>
            </w:tblGrid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Header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>
                  <w:pPr>
                    <w:jc w:val="center"/>
                    <w:rPr>
                      <w:b/>
                      <w:bCs/>
                      <w:i w:val="0"/>
                      <w:iCs w:val="0"/>
                      <w:smallCaps w:val="0"/>
                      <w:color w:val="000000"/>
                      <w:sz w:val="21"/>
                      <w:szCs w:val="21"/>
                      <w:lang w:val="ru-RU" w:eastAsia="ru-RU"/>
                    </w:rPr>
                  </w:pPr>
                  <w:r>
                    <w:rPr>
                      <w:b/>
                      <w:bCs/>
                      <w:i w:val="0"/>
                      <w:iCs w:val="0"/>
                      <w:smallCaps w:val="0"/>
                      <w:noProof/>
                      <w:color w:val="000000"/>
                      <w:sz w:val="21"/>
                      <w:szCs w:val="21"/>
                      <w:lang w:val="ru-RU" w:eastAsia="ru-RU"/>
                    </w:rPr>
                    <w:t>Идентифи-</w:t>
                  </w:r>
                  <w:r>
                    <w:rPr>
                      <w:b/>
                      <w:bCs/>
                      <w:i w:val="0"/>
                      <w:iCs w:val="0"/>
                      <w:smallCaps w:val="0"/>
                      <w:noProof/>
                      <w:color w:val="000000"/>
                      <w:sz w:val="21"/>
                      <w:szCs w:val="21"/>
                      <w:lang w:val="ru-RU" w:eastAsia="ru-RU"/>
                    </w:rPr>
                    <w:br/>
                  </w:r>
                  <w:r>
                    <w:rPr>
                      <w:b/>
                      <w:bCs/>
                      <w:i w:val="0"/>
                      <w:iCs w:val="0"/>
                      <w:smallCaps w:val="0"/>
                      <w:noProof/>
                      <w:color w:val="000000"/>
                      <w:sz w:val="21"/>
                      <w:szCs w:val="21"/>
                      <w:lang w:val="ru-RU" w:eastAsia="ru-RU"/>
                    </w:rPr>
                    <w:t>кационный номер заявки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>
                  <w:pPr>
                    <w:jc w:val="center"/>
                    <w:rPr>
                      <w:b/>
                      <w:bCs/>
                      <w:i w:val="0"/>
                      <w:iCs w:val="0"/>
                      <w:smallCaps w:val="0"/>
                      <w:color w:val="000000"/>
                      <w:sz w:val="21"/>
                      <w:szCs w:val="21"/>
                      <w:lang w:val="ru-RU" w:eastAsia="ru-RU"/>
                    </w:rPr>
                  </w:pPr>
                  <w:r>
                    <w:rPr>
                      <w:b/>
                      <w:bCs/>
                      <w:i w:val="0"/>
                      <w:iCs w:val="0"/>
                      <w:smallCaps w:val="0"/>
                      <w:noProof/>
                      <w:color w:val="000000"/>
                      <w:sz w:val="21"/>
                      <w:szCs w:val="21"/>
                      <w:lang w:val="ru-RU" w:eastAsia="ru-RU"/>
                    </w:rPr>
                    <w:t>Ф.И.О. члена комиссии / Общее решение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>
                  <w:pPr>
                    <w:jc w:val="center"/>
                    <w:rPr>
                      <w:b/>
                      <w:bCs/>
                      <w:i w:val="0"/>
                      <w:iCs w:val="0"/>
                      <w:smallCaps w:val="0"/>
                      <w:color w:val="000000"/>
                      <w:sz w:val="21"/>
                      <w:szCs w:val="21"/>
                      <w:lang w:val="ru-RU" w:eastAsia="ru-RU"/>
                    </w:rPr>
                  </w:pPr>
                  <w:r>
                    <w:rPr>
                      <w:b/>
                      <w:bCs/>
                      <w:i w:val="0"/>
                      <w:iCs w:val="0"/>
                      <w:smallCaps w:val="0"/>
                      <w:noProof/>
                      <w:color w:val="000000"/>
                      <w:sz w:val="21"/>
                      <w:szCs w:val="21"/>
                      <w:lang w:val="ru-RU" w:eastAsia="ru-RU"/>
                    </w:rPr>
                    <w:t>Решение по заявке</w:t>
                  </w: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none" w:sz="0" w:space="0" w:color="auto"/>
                    <w:right w:val="single" w:sz="6" w:space="0" w:color="000000"/>
                  </w:tcBorders>
                  <w:noWrap w:val="0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>
                  <w:pPr>
                    <w:jc w:val="center"/>
                    <w:rPr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1"/>
                      <w:szCs w:val="21"/>
                      <w:lang w:val="ru-RU" w:eastAsia="ru-RU"/>
                    </w:rPr>
                  </w:pPr>
                  <w:r>
                    <w:rPr>
                      <w:b w:val="0"/>
                      <w:bCs w:val="0"/>
                      <w:i w:val="0"/>
                      <w:iCs w:val="0"/>
                      <w:smallCaps w:val="0"/>
                      <w:noProof/>
                      <w:color w:val="000000"/>
                      <w:sz w:val="21"/>
                      <w:szCs w:val="21"/>
                      <w:lang w:val="ru-RU" w:eastAsia="ru-RU"/>
                    </w:rPr>
                    <w:t>157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>
                  <w:pPr>
                    <w:jc w:val="left"/>
                    <w:rPr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1"/>
                      <w:szCs w:val="21"/>
                      <w:lang w:val="ru-RU" w:eastAsia="ru-RU"/>
                    </w:rPr>
                  </w:pPr>
                  <w:r>
                    <w:rPr>
                      <w:b w:val="0"/>
                      <w:bCs w:val="0"/>
                      <w:i w:val="0"/>
                      <w:iCs w:val="0"/>
                      <w:smallCaps w:val="0"/>
                      <w:noProof/>
                      <w:color w:val="000000"/>
                      <w:sz w:val="21"/>
                      <w:szCs w:val="21"/>
                      <w:lang w:val="ru-RU" w:eastAsia="ru-RU"/>
                    </w:rPr>
                    <w:t>Мезенин  Андрей  Викторович 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>
                  <w:pPr>
                    <w:jc w:val="left"/>
                    <w:rPr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1"/>
                      <w:szCs w:val="21"/>
                      <w:lang w:val="ru-RU" w:eastAsia="ru-RU"/>
                    </w:rPr>
                  </w:pPr>
                  <w:r>
                    <w:rPr>
                      <w:b w:val="0"/>
                      <w:bCs w:val="0"/>
                      <w:i w:val="0"/>
                      <w:iCs w:val="0"/>
                      <w:smallCaps w:val="0"/>
                      <w:noProof/>
                      <w:color w:val="000000"/>
                      <w:sz w:val="21"/>
                      <w:szCs w:val="21"/>
                      <w:lang w:val="ru-RU" w:eastAsia="ru-RU"/>
                    </w:rPr>
                    <w:t>Соответствует</w:t>
                  </w: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vAlign w:val="center"/>
                  <w:hideMark/>
                </w:tcPr>
                <w:p>
                  <w:pPr>
                    <w:rPr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1"/>
                      <w:szCs w:val="21"/>
                      <w:lang w:val="ru-RU" w:eastAsia="ru-RU"/>
                    </w:rPr>
                  </w:pP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>
                  <w:pPr>
                    <w:jc w:val="left"/>
                    <w:rPr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1"/>
                      <w:szCs w:val="21"/>
                      <w:lang w:val="ru-RU" w:eastAsia="ru-RU"/>
                    </w:rPr>
                  </w:pPr>
                  <w:r>
                    <w:rPr>
                      <w:b w:val="0"/>
                      <w:bCs w:val="0"/>
                      <w:i w:val="0"/>
                      <w:iCs w:val="0"/>
                      <w:smallCaps w:val="0"/>
                      <w:noProof/>
                      <w:color w:val="000000"/>
                      <w:sz w:val="21"/>
                      <w:szCs w:val="21"/>
                      <w:lang w:val="ru-RU" w:eastAsia="ru-RU"/>
                    </w:rPr>
                    <w:t>Иванова  Светлана  Владимировна 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>
                  <w:pPr>
                    <w:jc w:val="left"/>
                    <w:rPr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1"/>
                      <w:szCs w:val="21"/>
                      <w:lang w:val="ru-RU" w:eastAsia="ru-RU"/>
                    </w:rPr>
                  </w:pPr>
                  <w:r>
                    <w:rPr>
                      <w:b w:val="0"/>
                      <w:bCs w:val="0"/>
                      <w:i w:val="0"/>
                      <w:iCs w:val="0"/>
                      <w:smallCaps w:val="0"/>
                      <w:noProof/>
                      <w:color w:val="000000"/>
                      <w:sz w:val="21"/>
                      <w:szCs w:val="21"/>
                      <w:lang w:val="ru-RU" w:eastAsia="ru-RU"/>
                    </w:rPr>
                    <w:t>Соответствует</w:t>
                  </w: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vAlign w:val="center"/>
                  <w:hideMark/>
                </w:tcPr>
                <w:p>
                  <w:pPr>
                    <w:rPr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1"/>
                      <w:szCs w:val="21"/>
                      <w:lang w:val="ru-RU" w:eastAsia="ru-RU"/>
                    </w:rPr>
                  </w:pP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>
                  <w:pPr>
                    <w:jc w:val="left"/>
                    <w:rPr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1"/>
                      <w:szCs w:val="21"/>
                      <w:lang w:val="ru-RU" w:eastAsia="ru-RU"/>
                    </w:rPr>
                  </w:pPr>
                  <w:r>
                    <w:rPr>
                      <w:b w:val="0"/>
                      <w:bCs w:val="0"/>
                      <w:i w:val="0"/>
                      <w:iCs w:val="0"/>
                      <w:smallCaps w:val="0"/>
                      <w:noProof/>
                      <w:color w:val="000000"/>
                      <w:sz w:val="21"/>
                      <w:szCs w:val="21"/>
                      <w:lang w:val="ru-RU" w:eastAsia="ru-RU"/>
                    </w:rPr>
                    <w:t>Авакян  Артур  Анастасович 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>
                  <w:pPr>
                    <w:jc w:val="left"/>
                    <w:rPr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1"/>
                      <w:szCs w:val="21"/>
                      <w:lang w:val="ru-RU" w:eastAsia="ru-RU"/>
                    </w:rPr>
                  </w:pPr>
                  <w:r>
                    <w:rPr>
                      <w:b w:val="0"/>
                      <w:bCs w:val="0"/>
                      <w:i w:val="0"/>
                      <w:iCs w:val="0"/>
                      <w:smallCaps w:val="0"/>
                      <w:noProof/>
                      <w:color w:val="000000"/>
                      <w:sz w:val="21"/>
                      <w:szCs w:val="21"/>
                      <w:lang w:val="ru-RU" w:eastAsia="ru-RU"/>
                    </w:rPr>
                    <w:t>Соответствует</w:t>
                  </w: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vAlign w:val="center"/>
                  <w:hideMark/>
                </w:tcPr>
                <w:p>
                  <w:pPr>
                    <w:rPr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1"/>
                      <w:szCs w:val="21"/>
                      <w:lang w:val="ru-RU" w:eastAsia="ru-RU"/>
                    </w:rPr>
                  </w:pP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>
                  <w:pPr>
                    <w:jc w:val="left"/>
                    <w:rPr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1"/>
                      <w:szCs w:val="21"/>
                      <w:lang w:val="ru-RU" w:eastAsia="ru-RU"/>
                    </w:rPr>
                  </w:pPr>
                  <w:r>
                    <w:rPr>
                      <w:b w:val="0"/>
                      <w:bCs w:val="0"/>
                      <w:i w:val="0"/>
                      <w:iCs w:val="0"/>
                      <w:smallCaps w:val="0"/>
                      <w:noProof/>
                      <w:color w:val="000000"/>
                      <w:sz w:val="21"/>
                      <w:szCs w:val="21"/>
                      <w:lang w:val="ru-RU" w:eastAsia="ru-RU"/>
                    </w:rPr>
                    <w:t>Никитина  Татьяна  Александровна 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>
                  <w:pPr>
                    <w:jc w:val="left"/>
                    <w:rPr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1"/>
                      <w:szCs w:val="21"/>
                      <w:lang w:val="ru-RU" w:eastAsia="ru-RU"/>
                    </w:rPr>
                  </w:pPr>
                  <w:r>
                    <w:rPr>
                      <w:b w:val="0"/>
                      <w:bCs w:val="0"/>
                      <w:i w:val="0"/>
                      <w:iCs w:val="0"/>
                      <w:smallCaps w:val="0"/>
                      <w:noProof/>
                      <w:color w:val="000000"/>
                      <w:sz w:val="21"/>
                      <w:szCs w:val="21"/>
                      <w:lang w:val="ru-RU" w:eastAsia="ru-RU"/>
                    </w:rPr>
                    <w:t>Соответствует</w:t>
                  </w: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vAlign w:val="center"/>
                  <w:hideMark/>
                </w:tcPr>
                <w:p>
                  <w:pPr>
                    <w:rPr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1"/>
                      <w:szCs w:val="21"/>
                      <w:lang w:val="ru-RU" w:eastAsia="ru-RU"/>
                    </w:rPr>
                  </w:pP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>
                  <w:pPr>
                    <w:jc w:val="center"/>
                    <w:rPr>
                      <w:b/>
                      <w:bCs/>
                      <w:i w:val="0"/>
                      <w:iCs w:val="0"/>
                      <w:smallCaps w:val="0"/>
                      <w:color w:val="000000"/>
                      <w:sz w:val="21"/>
                      <w:szCs w:val="21"/>
                      <w:lang w:val="ru-RU" w:eastAsia="ru-RU"/>
                    </w:rPr>
                  </w:pPr>
                  <w:r>
                    <w:rPr>
                      <w:b/>
                      <w:bCs/>
                      <w:i w:val="0"/>
                      <w:iCs w:val="0"/>
                      <w:smallCaps w:val="0"/>
                      <w:noProof/>
                      <w:color w:val="000000"/>
                      <w:sz w:val="21"/>
                      <w:szCs w:val="21"/>
                      <w:lang w:val="ru-RU" w:eastAsia="ru-RU"/>
                    </w:rPr>
                    <w:t>Общее решение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>
                  <w:pPr>
                    <w:jc w:val="center"/>
                    <w:rPr>
                      <w:b/>
                      <w:bCs/>
                      <w:i w:val="0"/>
                      <w:iCs w:val="0"/>
                      <w:smallCaps w:val="0"/>
                      <w:color w:val="000000"/>
                      <w:sz w:val="21"/>
                      <w:szCs w:val="21"/>
                      <w:lang w:val="ru-RU" w:eastAsia="ru-RU"/>
                    </w:rPr>
                  </w:pPr>
                  <w:r>
                    <w:rPr>
                      <w:b/>
                      <w:bCs/>
                      <w:i w:val="0"/>
                      <w:iCs w:val="0"/>
                      <w:smallCaps w:val="0"/>
                      <w:noProof/>
                      <w:color w:val="000000"/>
                      <w:sz w:val="21"/>
                      <w:szCs w:val="21"/>
                      <w:lang w:val="ru-RU" w:eastAsia="ru-RU"/>
                    </w:rPr>
                    <w:t>Соответствует</w:t>
                  </w:r>
                </w:p>
              </w:tc>
            </w:tr>
          </w:tbl>
          <w:p>
            <w:pPr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</w:p>
        </w:tc>
      </w:tr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CellSpacing w:w="15" w:type="dxa"/>
        </w:trPr>
        <w:tc>
          <w:tcPr>
            <w:noWrap w:val="0"/>
            <w:tcMar>
              <w:top w:w="15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>
            <w:pPr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noProof/>
                <w:color w:val="000000"/>
                <w:lang w:val="ru-RU" w:eastAsia="ru-RU"/>
              </w:rPr>
              <w:br/>
            </w:r>
            <w:r>
              <w:rPr>
                <w:b w:val="0"/>
                <w:bCs w:val="0"/>
                <w:i w:val="0"/>
                <w:iCs w:val="0"/>
                <w:smallCaps w:val="0"/>
                <w:noProof/>
                <w:color w:val="000000"/>
                <w:lang w:val="ru-RU" w:eastAsia="ru-RU"/>
              </w:rPr>
              <w:t>По окончании срока подачи заявок подана только одна заявка на участие в закупке. В соответствии с п. 1 ч. 1 ст. 52 Закона 44-ФЗ, электронная процедура признана несостоявшейся.</w:t>
            </w:r>
          </w:p>
        </w:tc>
      </w:tr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CellSpacing w:w="15" w:type="dxa"/>
        </w:trPr>
        <w:tc>
          <w:tcPr>
            <w:noWrap w:val="0"/>
            <w:tcMar>
              <w:top w:w="15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>
            <w:pPr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noProof/>
                <w:color w:val="000000"/>
                <w:lang w:val="ru-RU" w:eastAsia="ru-RU"/>
              </w:rPr>
              <w:br/>
            </w:r>
            <w:r>
              <w:rPr>
                <w:b w:val="0"/>
                <w:bCs w:val="0"/>
                <w:i w:val="0"/>
                <w:iCs w:val="0"/>
                <w:smallCaps w:val="0"/>
                <w:noProof/>
                <w:color w:val="000000"/>
                <w:lang w:val="ru-RU" w:eastAsia="ru-RU"/>
              </w:rPr>
              <w:t xml:space="preserve">По результатам подведения итогов определения поставщика (подрядчика, исполнителя) победителем электронного аукциона признается участник закупки с </w:t>
            </w:r>
            <w:r>
              <w:rPr>
                <w:rStyle w:val="any"/>
                <w:b/>
                <w:bCs/>
                <w:i w:val="0"/>
                <w:iCs w:val="0"/>
                <w:smallCaps w:val="0"/>
                <w:noProof/>
                <w:color w:val="000000"/>
                <w:lang w:val="ru-RU" w:eastAsia="ru-RU"/>
              </w:rPr>
              <w:t>идентификационным номером заявки – 157</w:t>
            </w:r>
            <w:r>
              <w:rPr>
                <w:b w:val="0"/>
                <w:bCs w:val="0"/>
                <w:i w:val="0"/>
                <w:iCs w:val="0"/>
                <w:smallCaps w:val="0"/>
                <w:noProof/>
                <w:color w:val="000000"/>
                <w:lang w:val="ru-RU" w:eastAsia="ru-RU"/>
              </w:rPr>
              <w:t xml:space="preserve">, заявка на участие в закупке которого соответствует требованиям, установленным в извещении об осуществлении закупки, с предложением о цене контракта /суммы цен единиц товара, работы, услуги </w:t>
            </w:r>
            <w:r>
              <w:rPr>
                <w:rStyle w:val="any"/>
                <w:b/>
                <w:bCs/>
                <w:i w:val="0"/>
                <w:iCs w:val="0"/>
                <w:smallCaps w:val="0"/>
                <w:noProof/>
                <w:color w:val="000000"/>
                <w:lang w:val="ru-RU" w:eastAsia="ru-RU"/>
              </w:rPr>
              <w:t>382 800,00 руб. (триста восемьдесят две тысячи восемьсот рублей ноль копеек)</w:t>
            </w:r>
          </w:p>
        </w:tc>
      </w:tr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CellSpacing w:w="15" w:type="dxa"/>
        </w:trPr>
        <w:tc>
          <w:tcPr>
            <w:noWrap w:val="0"/>
            <w:tcMar>
              <w:top w:w="15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>
            <w:pPr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noProof/>
                <w:color w:val="000000"/>
                <w:sz w:val="20"/>
                <w:szCs w:val="20"/>
                <w:lang w:val="ru-RU" w:eastAsia="ru-RU"/>
              </w:rPr>
              <w:br/>
            </w:r>
            <w:r>
              <w:rPr>
                <w:b w:val="0"/>
                <w:bCs w:val="0"/>
                <w:i w:val="0"/>
                <w:iCs w:val="0"/>
                <w:smallCaps w:val="0"/>
                <w:noProof/>
                <w:color w:val="000000"/>
                <w:sz w:val="20"/>
                <w:szCs w:val="20"/>
                <w:lang w:val="ru-RU" w:eastAsia="ru-RU"/>
              </w:rPr>
              <w:t xml:space="preserve">Настоящий протокол сформирован с использованием электронной площадки </w:t>
            </w:r>
            <w:r>
              <w:rPr>
                <w:rStyle w:val="any"/>
                <w:b w:val="0"/>
                <w:bCs w:val="0"/>
                <w:i w:val="0"/>
                <w:iCs w:val="0"/>
                <w:smallCaps w:val="0"/>
                <w:noProof/>
                <w:color w:val="000000"/>
                <w:sz w:val="20"/>
                <w:szCs w:val="20"/>
                <w:lang w:val="ru-RU" w:eastAsia="ru-RU"/>
              </w:rPr>
              <w:t>АО «Сбербанк-АСТ»</w:t>
            </w:r>
            <w:r>
              <w:rPr>
                <w:b w:val="0"/>
                <w:bCs w:val="0"/>
                <w:i w:val="0"/>
                <w:iCs w:val="0"/>
                <w:smallCaps w:val="0"/>
                <w:noProof/>
                <w:color w:val="000000"/>
                <w:sz w:val="20"/>
                <w:szCs w:val="20"/>
                <w:lang w:val="ru-RU" w:eastAsia="ru-RU"/>
              </w:rPr>
              <w:t xml:space="preserve">, подписан усиленными электронными подписями всех присутствующих членов комиссии, подписан усиленной электронной подписью лица, имеющего право действовать от имени заказчика и направлен оператору электронной площадки </w:t>
            </w:r>
            <w:r>
              <w:rPr>
                <w:rStyle w:val="any"/>
                <w:b w:val="0"/>
                <w:bCs w:val="0"/>
                <w:i w:val="0"/>
                <w:iCs w:val="0"/>
                <w:smallCaps w:val="0"/>
                <w:noProof/>
                <w:color w:val="000000"/>
                <w:sz w:val="20"/>
                <w:szCs w:val="20"/>
                <w:lang w:val="ru-RU" w:eastAsia="ru-RU"/>
              </w:rPr>
              <w:t>АО «Сбербанк-АСТ»</w:t>
            </w:r>
            <w:r>
              <w:rPr>
                <w:b w:val="0"/>
                <w:bCs w:val="0"/>
                <w:i w:val="0"/>
                <w:iCs w:val="0"/>
                <w:smallCaps w:val="0"/>
                <w:noProof/>
                <w:color w:val="000000"/>
                <w:sz w:val="20"/>
                <w:szCs w:val="20"/>
                <w:lang w:val="ru-RU" w:eastAsia="ru-RU"/>
              </w:rPr>
              <w:t xml:space="preserve">, по адресу в сети «Интернет»: </w:t>
            </w:r>
            <w:hyperlink r:id="rId5" w:history="1">
              <w:r>
                <w:rPr>
                  <w:rStyle w:val="any"/>
                  <w:b w:val="0"/>
                  <w:bCs w:val="0"/>
                  <w:i w:val="0"/>
                  <w:iCs w:val="0"/>
                  <w:smallCaps w:val="0"/>
                  <w:noProof/>
                  <w:color w:val="0000FF"/>
                  <w:sz w:val="20"/>
                  <w:szCs w:val="20"/>
                  <w:u w:val="single" w:color="0000EE"/>
                  <w:lang w:val="ru-RU" w:eastAsia="ru-RU"/>
                </w:rPr>
                <w:t>www.sberbank-ast.ru</w:t>
              </w:r>
            </w:hyperlink>
            <w:r>
              <w:rPr>
                <w:b w:val="0"/>
                <w:bCs w:val="0"/>
                <w:i w:val="0"/>
                <w:iCs w:val="0"/>
                <w:smallCaps w:val="0"/>
                <w:noProof/>
                <w:color w:val="000000"/>
                <w:sz w:val="20"/>
                <w:szCs w:val="20"/>
                <w:lang w:val="ru-RU" w:eastAsia="ru-RU"/>
              </w:rPr>
              <w:t>.</w:t>
            </w:r>
          </w:p>
        </w:tc>
      </w:tr>
    </w:tbl>
    <w:p>
      <w:pPr>
        <w:pStyle w:val="divusual1"/>
        <w:spacing w:after="200"/>
        <w:jc w:val="left"/>
        <w:rPr>
          <w:b/>
          <w:bCs/>
          <w:lang w:val="ru-RU" w:eastAsia="ru-RU"/>
        </w:rPr>
      </w:pPr>
      <w:r>
        <w:rPr>
          <w:b/>
          <w:bCs/>
          <w:lang w:val="ru-RU" w:eastAsia="ru-RU"/>
        </w:rPr>
        <w:t>Комиссия:</w:t>
      </w:r>
    </w:p>
    <w:tbl>
      <w:tblPr>
        <w:tblStyle w:val="commissionTable"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689"/>
        <w:gridCol w:w="2902"/>
        <w:gridCol w:w="4455"/>
      </w:tblGrid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CellSpacing w:w="15" w:type="dxa"/>
        </w:trPr>
        <w:tc>
          <w:tcPr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noProof/>
                <w:color w:val="000000"/>
                <w:lang w:val="ru-RU" w:eastAsia="ru-RU"/>
              </w:rPr>
              <w:t>Председатель комиссии</w:t>
            </w:r>
          </w:p>
        </w:tc>
        <w:tc>
          <w:tcPr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pStyle w:val="anyParagraph"/>
              <w:ind w:left="720" w:firstLine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noProof/>
                <w:color w:val="000000"/>
                <w:lang w:val="ru-RU" w:eastAsia="ru-RU"/>
              </w:rPr>
              <w:t>_____________</w:t>
            </w:r>
          </w:p>
          <w:p>
            <w:pPr>
              <w:pStyle w:val="anyParagraph"/>
              <w:spacing w:after="240"/>
              <w:ind w:left="720" w:firstLine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  <w:r>
              <w:rPr>
                <w:rStyle w:val="any"/>
                <w:b w:val="0"/>
                <w:bCs w:val="0"/>
                <w:i/>
                <w:iCs/>
                <w:smallCaps w:val="0"/>
                <w:noProof/>
                <w:color w:val="000000"/>
                <w:sz w:val="16"/>
                <w:szCs w:val="16"/>
                <w:lang w:val="ru-RU" w:eastAsia="ru-RU"/>
              </w:rPr>
              <w:t>(Подпись)</w:t>
            </w:r>
          </w:p>
        </w:tc>
        <w:tc>
          <w:tcPr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noProof/>
                <w:color w:val="000000"/>
                <w:lang w:val="ru-RU" w:eastAsia="ru-RU"/>
              </w:rPr>
              <w:t>Мезенин Андрей Викторович</w:t>
            </w:r>
          </w:p>
        </w:tc>
      </w:tr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CellSpacing w:w="15" w:type="dxa"/>
        </w:trPr>
        <w:tc>
          <w:tcPr>
            <w:noWrap w:val="0"/>
            <w:vAlign w:val="center"/>
            <w:hideMark/>
          </w:tcPr>
          <w:p>
            <w:pPr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</w:p>
        </w:tc>
        <w:tc>
          <w:tcPr>
            <w:noWrap w:val="0"/>
            <w:vAlign w:val="center"/>
            <w:hideMark/>
          </w:tcPr>
          <w:p>
            <w:pPr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</w:p>
        </w:tc>
        <w:tc>
          <w:tcPr>
            <w:noWrap w:val="0"/>
            <w:vAlign w:val="center"/>
            <w:hideMark/>
          </w:tcPr>
          <w:p>
            <w:pPr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</w:p>
        </w:tc>
      </w:tr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CellSpacing w:w="15" w:type="dxa"/>
        </w:trPr>
        <w:tc>
          <w:tcPr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noProof/>
                <w:color w:val="000000"/>
                <w:lang w:val="ru-RU" w:eastAsia="ru-RU"/>
              </w:rPr>
              <w:t>Зам. председателя комиссии</w:t>
            </w:r>
          </w:p>
        </w:tc>
        <w:tc>
          <w:tcPr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pStyle w:val="anyParagraph"/>
              <w:ind w:left="720" w:firstLine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noProof/>
                <w:color w:val="000000"/>
                <w:lang w:val="ru-RU" w:eastAsia="ru-RU"/>
              </w:rPr>
              <w:t>_____________</w:t>
            </w:r>
          </w:p>
          <w:p>
            <w:pPr>
              <w:pStyle w:val="anyParagraph"/>
              <w:spacing w:after="240"/>
              <w:ind w:left="720" w:firstLine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  <w:r>
              <w:rPr>
                <w:rStyle w:val="any"/>
                <w:b w:val="0"/>
                <w:bCs w:val="0"/>
                <w:i/>
                <w:iCs/>
                <w:smallCaps w:val="0"/>
                <w:noProof/>
                <w:color w:val="000000"/>
                <w:sz w:val="16"/>
                <w:szCs w:val="16"/>
                <w:lang w:val="ru-RU" w:eastAsia="ru-RU"/>
              </w:rPr>
              <w:t>(Подпись)</w:t>
            </w:r>
          </w:p>
        </w:tc>
        <w:tc>
          <w:tcPr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noProof/>
                <w:color w:val="000000"/>
                <w:lang w:val="ru-RU" w:eastAsia="ru-RU"/>
              </w:rPr>
              <w:t>Иванова Светлана Владимировна</w:t>
            </w:r>
          </w:p>
        </w:tc>
      </w:tr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CellSpacing w:w="15" w:type="dxa"/>
        </w:trPr>
        <w:tc>
          <w:tcPr>
            <w:noWrap w:val="0"/>
            <w:vAlign w:val="center"/>
            <w:hideMark/>
          </w:tcPr>
          <w:p>
            <w:pPr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</w:p>
        </w:tc>
        <w:tc>
          <w:tcPr>
            <w:noWrap w:val="0"/>
            <w:vAlign w:val="center"/>
            <w:hideMark/>
          </w:tcPr>
          <w:p>
            <w:pPr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</w:p>
        </w:tc>
        <w:tc>
          <w:tcPr>
            <w:noWrap w:val="0"/>
            <w:vAlign w:val="center"/>
            <w:hideMark/>
          </w:tcPr>
          <w:p>
            <w:pPr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</w:p>
        </w:tc>
      </w:tr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CellSpacing w:w="15" w:type="dxa"/>
        </w:trPr>
        <w:tc>
          <w:tcPr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noProof/>
                <w:color w:val="000000"/>
                <w:lang w:val="ru-RU" w:eastAsia="ru-RU"/>
              </w:rPr>
              <w:t>Член комиссии</w:t>
            </w:r>
          </w:p>
        </w:tc>
        <w:tc>
          <w:tcPr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pStyle w:val="anyParagraph"/>
              <w:ind w:left="720" w:firstLine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noProof/>
                <w:color w:val="000000"/>
                <w:lang w:val="ru-RU" w:eastAsia="ru-RU"/>
              </w:rPr>
              <w:t>_____________</w:t>
            </w:r>
          </w:p>
          <w:p>
            <w:pPr>
              <w:pStyle w:val="anyParagraph"/>
              <w:spacing w:after="240"/>
              <w:ind w:left="720" w:firstLine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  <w:r>
              <w:rPr>
                <w:rStyle w:val="any"/>
                <w:b w:val="0"/>
                <w:bCs w:val="0"/>
                <w:i/>
                <w:iCs/>
                <w:smallCaps w:val="0"/>
                <w:noProof/>
                <w:color w:val="000000"/>
                <w:sz w:val="16"/>
                <w:szCs w:val="16"/>
                <w:lang w:val="ru-RU" w:eastAsia="ru-RU"/>
              </w:rPr>
              <w:t>(Подпись)</w:t>
            </w:r>
          </w:p>
        </w:tc>
        <w:tc>
          <w:tcPr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noProof/>
                <w:color w:val="000000"/>
                <w:lang w:val="ru-RU" w:eastAsia="ru-RU"/>
              </w:rPr>
              <w:t>Авакян Артур Анастасович</w:t>
            </w:r>
          </w:p>
        </w:tc>
      </w:tr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CellSpacing w:w="15" w:type="dxa"/>
        </w:trPr>
        <w:tc>
          <w:tcPr>
            <w:noWrap w:val="0"/>
            <w:vAlign w:val="center"/>
            <w:hideMark/>
          </w:tcPr>
          <w:p>
            <w:pPr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</w:p>
        </w:tc>
        <w:tc>
          <w:tcPr>
            <w:noWrap w:val="0"/>
            <w:vAlign w:val="center"/>
            <w:hideMark/>
          </w:tcPr>
          <w:p>
            <w:pPr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</w:p>
        </w:tc>
        <w:tc>
          <w:tcPr>
            <w:noWrap w:val="0"/>
            <w:vAlign w:val="center"/>
            <w:hideMark/>
          </w:tcPr>
          <w:p>
            <w:pPr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</w:p>
        </w:tc>
      </w:tr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CellSpacing w:w="15" w:type="dxa"/>
        </w:trPr>
        <w:tc>
          <w:tcPr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noProof/>
                <w:color w:val="000000"/>
                <w:lang w:val="ru-RU" w:eastAsia="ru-RU"/>
              </w:rPr>
              <w:t>Член комиссии</w:t>
            </w:r>
          </w:p>
        </w:tc>
        <w:tc>
          <w:tcPr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pStyle w:val="anyParagraph"/>
              <w:ind w:left="720" w:firstLine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noProof/>
                <w:color w:val="000000"/>
                <w:lang w:val="ru-RU" w:eastAsia="ru-RU"/>
              </w:rPr>
              <w:t>_____________</w:t>
            </w:r>
          </w:p>
          <w:p>
            <w:pPr>
              <w:pStyle w:val="anyParagraph"/>
              <w:spacing w:after="240"/>
              <w:ind w:left="720" w:firstLine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  <w:r>
              <w:rPr>
                <w:rStyle w:val="any"/>
                <w:b w:val="0"/>
                <w:bCs w:val="0"/>
                <w:i/>
                <w:iCs/>
                <w:smallCaps w:val="0"/>
                <w:noProof/>
                <w:color w:val="000000"/>
                <w:sz w:val="16"/>
                <w:szCs w:val="16"/>
                <w:lang w:val="ru-RU" w:eastAsia="ru-RU"/>
              </w:rPr>
              <w:t>(Подпись)</w:t>
            </w:r>
          </w:p>
        </w:tc>
        <w:tc>
          <w:tcPr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noProof/>
                <w:color w:val="000000"/>
                <w:lang w:val="ru-RU" w:eastAsia="ru-RU"/>
              </w:rPr>
              <w:t>Никитина Татьяна Александровна</w:t>
            </w:r>
          </w:p>
        </w:tc>
      </w:tr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CellSpacing w:w="15" w:type="dxa"/>
        </w:trPr>
        <w:tc>
          <w:tcPr>
            <w:noWrap w:val="0"/>
            <w:vAlign w:val="center"/>
            <w:hideMark/>
          </w:tcPr>
          <w:p>
            <w:pPr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</w:p>
        </w:tc>
        <w:tc>
          <w:tcPr>
            <w:noWrap w:val="0"/>
            <w:vAlign w:val="center"/>
            <w:hideMark/>
          </w:tcPr>
          <w:p>
            <w:pPr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</w:p>
        </w:tc>
        <w:tc>
          <w:tcPr>
            <w:noWrap w:val="0"/>
            <w:vAlign w:val="center"/>
            <w:hideMark/>
          </w:tcPr>
          <w:p>
            <w:pPr>
              <w:rPr>
                <w:b w:val="0"/>
                <w:bCs w:val="0"/>
                <w:i w:val="0"/>
                <w:iCs w:val="0"/>
                <w:smallCaps w:val="0"/>
                <w:color w:val="000000"/>
                <w:lang w:val="ru-RU" w:eastAsia="ru-RU"/>
              </w:rPr>
            </w:pPr>
          </w:p>
        </w:tc>
      </w:tr>
    </w:tbl>
    <w:p>
      <w:pPr>
        <w:spacing w:before="15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Сведения о подписях членов комиссии</w:t>
      </w:r>
    </w:p>
    <w:p>
      <w:pPr>
        <w:rPr>
          <w:rFonts w:ascii="Times New Roman" w:eastAsia="Times New Roman" w:hAnsi="Times New Roman" w:cs="Times New Roman"/>
        </w:rPr>
      </w:pPr>
    </w:p>
    <w:tbl>
      <w:tblPr>
        <w:tblStyle w:val="signsTable"/>
        <w:tblW w:w="5000" w:type="pct"/>
        <w:tblInd w:w="116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1584"/>
        <w:gridCol w:w="3995"/>
        <w:gridCol w:w="4091"/>
        <w:gridCol w:w="1320"/>
      </w:tblGrid>
      <w:tr>
        <w:tblPrEx>
          <w:tblW w:w="5000" w:type="pct"/>
          <w:tblInd w:w="116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20"/>
                <w:szCs w:val="20"/>
              </w:rPr>
              <w:t>Наименование комиссии</w:t>
            </w:r>
          </w:p>
        </w:tc>
        <w:tc>
          <w:tcPr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20"/>
                <w:szCs w:val="20"/>
              </w:rPr>
              <w:t>Единая комиссия</w:t>
            </w:r>
          </w:p>
        </w:tc>
      </w:tr>
      <w:tr>
        <w:tblPrEx>
          <w:tblW w:w="5000" w:type="pct"/>
          <w:tblInd w:w="116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20"/>
                <w:szCs w:val="20"/>
              </w:rPr>
              <w:t>Роль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20"/>
                <w:szCs w:val="20"/>
              </w:rPr>
              <w:t>Владелец сертификата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20"/>
                <w:szCs w:val="20"/>
              </w:rPr>
              <w:t>Данные сертификата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20"/>
                <w:szCs w:val="20"/>
              </w:rPr>
              <w:t>Дата и время подписания</w:t>
            </w:r>
          </w:p>
        </w:tc>
      </w:tr>
      <w:tr>
        <w:tblPrEx>
          <w:tblW w:w="5000" w:type="pct"/>
          <w:tblInd w:w="116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  <w:t>Председатель комиссии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  <w:t>Владелец: Мезенин Андрей Викторович</w:t>
            </w:r>
          </w:p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  <w:t>Организация: БЮДЖЕТНОЕ УЧРЕЖДЕНИЕ ЗДРАВООХРАНЕНИЯ ОМСКОЙ ОБЛАСТИ "ТАРСКАЯ ЦЕНТРАЛЬНАЯ РАЙОННАЯ БОЛЬНИЦА"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  <w:t>Серийный номер: 00877627582A2D16651047FC9C634D8E78</w:t>
            </w:r>
          </w:p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  <w:t xml:space="preserve">Срок действия: 24.09.2025 10:01:08 (МСК) - 18.12.2026 10:01:08 (МСК) 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  <w:t>15.10.2026 07:03:52</w:t>
            </w:r>
          </w:p>
        </w:tc>
      </w:tr>
      <w:tr>
        <w:tblPrEx>
          <w:tblW w:w="5000" w:type="pct"/>
          <w:tblInd w:w="116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  <w:t>Зам. председателя комиссии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  <w:t>Владелец: Иванова Светлана Владимировна</w:t>
            </w:r>
          </w:p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  <w:t>Организация: БЮДЖЕТНОЕ УЧРЕЖДЕНИЕ ЗДРАВООХРАНЕНИЯ ОМСКОЙ ОБЛАСТИ "ТАРСКАЯ ЦЕНТРАЛЬНАЯ РАЙОННАЯ БОЛЬНИЦА"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  <w:t>Серийный номер: 79B2BCC374E2C146A9A6EAF298DA2389</w:t>
            </w:r>
          </w:p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  <w:t xml:space="preserve">Срок действия: 27.08.2025 06:55:37 (МСК) - 20.11.2026 06:55:37 (МСК) 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  <w:t>15.10.2026 07:03:54</w:t>
            </w:r>
          </w:p>
        </w:tc>
      </w:tr>
      <w:tr>
        <w:tblPrEx>
          <w:tblW w:w="5000" w:type="pct"/>
          <w:tblInd w:w="116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  <w:t>Член комиссии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  <w:t>Владелец: Авакян Артур Анастасович</w:t>
            </w:r>
          </w:p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  <w:t>Организация: БЮДЖЕТНОЕ УЧРЕЖДЕНИЕ ЗДРАВООХРАНЕНИЯ ОМСКОЙ ОБЛАСТИ "ТАРСКАЯ ЦЕНТРАЛЬНАЯ РАЙОННАЯ БОЛЬНИЦА"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  <w:t>Серийный номер: 00C444B140B324EFA48C24616C07A5CCFE</w:t>
            </w:r>
          </w:p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  <w:t xml:space="preserve">Срок действия: 24.09.2025 09:52:03 (МСК) - 18.12.2026 09:52:03 (МСК) 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  <w:t>15.10.2026 07:03:56</w:t>
            </w:r>
          </w:p>
        </w:tc>
      </w:tr>
      <w:tr>
        <w:tblPrEx>
          <w:tblW w:w="5000" w:type="pct"/>
          <w:tblInd w:w="116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  <w:t>Член комиссии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  <w:t>Владелец: Никитина Татьяна Александровна</w:t>
            </w:r>
          </w:p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  <w:t>Организация: БЮДЖЕТНОЕ УЧРЕЖДЕНИЕ ЗДРАВООХРАНЕНИЯ ОМСКОЙ ОБЛАСТИ "ТАРСКАЯ ЦЕНТРАЛЬНАЯ РАЙОННАЯ БОЛЬНИЦА"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  <w:t>Серийный номер: 009529701E625AA2EC9DBCA131C914BA0F</w:t>
            </w:r>
          </w:p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  <w:t xml:space="preserve">Срок действия: 24.09.2025 11:09:15 (МСК) - 18.12.2026 11:09:15 (МСК) 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  <w:t>15.10.2026 07:03:57</w:t>
            </w:r>
          </w:p>
        </w:tc>
      </w:tr>
    </w:tbl>
    <w:p>
      <w:pPr>
        <w:spacing w:before="15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Лицо, уполномоченное на размещение протокола</w:t>
      </w:r>
    </w:p>
    <w:p>
      <w:pPr>
        <w:rPr>
          <w:rFonts w:ascii="Times New Roman" w:eastAsia="Times New Roman" w:hAnsi="Times New Roman" w:cs="Times New Roman"/>
        </w:rPr>
      </w:pPr>
    </w:p>
    <w:tbl>
      <w:tblPr>
        <w:tblStyle w:val="signsTable"/>
        <w:tblW w:w="5000" w:type="pct"/>
        <w:tblInd w:w="116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5824"/>
        <w:gridCol w:w="3846"/>
        <w:gridCol w:w="1320"/>
      </w:tblGrid>
      <w:tr>
        <w:tblPrEx>
          <w:tblW w:w="5000" w:type="pct"/>
          <w:tblInd w:w="116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20"/>
                <w:szCs w:val="20"/>
              </w:rPr>
              <w:t>Владелец сертификата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20"/>
                <w:szCs w:val="20"/>
              </w:rPr>
              <w:t>Данные сертификата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20"/>
                <w:szCs w:val="20"/>
              </w:rPr>
              <w:t>Дата и время подписания</w:t>
            </w:r>
          </w:p>
        </w:tc>
      </w:tr>
      <w:tr>
        <w:tblPrEx>
          <w:tblW w:w="5000" w:type="pct"/>
          <w:tblInd w:w="116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  <w:t>Владелец: Ильина Ирина Сергеевна</w:t>
            </w:r>
          </w:p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  <w:t>Организация: БЮДЖЕТНОЕ УЧРЕЖДЕНИЕ ЗДРАВООХРАНЕНИЯ ОМСКОЙ ОБЛАСТИ "ТАРСКАЯ ЦЕНТРАЛЬНАЯ РАЙОННАЯ БОЛЬНИЦА"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  <w:t>Серийный номер: 1580E203DF8789DE74A59246DD2AD5B3</w:t>
            </w:r>
          </w:p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  <w:t xml:space="preserve">Срок действия: 10.03.2026 12:03:43 (МСК) - 03.06.2027 12:03:43 (МСК) 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0"/>
                <w:szCs w:val="20"/>
              </w:rPr>
              <w:t>15.10.2026 07:04:28</w:t>
            </w:r>
          </w:p>
        </w:tc>
      </w:tr>
    </w:tbl>
    <w:p w:rsidR="00A77B3E">
      <w:pPr>
        <w:rPr>
          <w:lang w:val="ru-RU"/>
        </w:rPr>
      </w:pPr>
    </w:p>
    <w:sectPr>
      <w:pgSz w:w="12240" w:h="15840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divWordSection1">
    <w:name w:val="div_WordSection1"/>
    <w:basedOn w:val="Normal"/>
  </w:style>
  <w:style w:type="paragraph" w:customStyle="1" w:styleId="headingcenter1">
    <w:name w:val="headingcenter1"/>
    <w:basedOn w:val="Normal"/>
    <w:pPr>
      <w:jc w:val="center"/>
    </w:pPr>
    <w:rPr>
      <w:rFonts w:ascii="Times New Roman" w:eastAsia="Times New Roman" w:hAnsi="Times New Roman" w:cs="Times New Roman"/>
      <w:b w:val="0"/>
      <w:bCs w:val="0"/>
      <w:sz w:val="28"/>
      <w:szCs w:val="28"/>
    </w:rPr>
  </w:style>
  <w:style w:type="table" w:customStyle="1" w:styleId="table">
    <w:name w:val="table"/>
    <w:basedOn w:val="TableNormal"/>
    <w:tblPr/>
  </w:style>
  <w:style w:type="paragraph" w:customStyle="1" w:styleId="divusual1">
    <w:name w:val="div_usual1"/>
    <w:basedOn w:val="Normal"/>
    <w:rPr>
      <w:rFonts w:ascii="Times New Roman" w:eastAsia="Times New Roman" w:hAnsi="Times New Roman" w:cs="Times New Roman"/>
    </w:rPr>
  </w:style>
  <w:style w:type="character" w:customStyle="1" w:styleId="boldText">
    <w:name w:val="boldText"/>
    <w:basedOn w:val="DefaultParagraphFont"/>
    <w:rPr>
      <w:b/>
      <w:bCs/>
    </w:rPr>
  </w:style>
  <w:style w:type="paragraph" w:customStyle="1" w:styleId="commonText">
    <w:name w:val="commonText"/>
    <w:basedOn w:val="Normal"/>
    <w:pPr>
      <w:pBdr>
        <w:bottom w:val="none" w:sz="0" w:space="7" w:color="auto"/>
      </w:pBdr>
      <w:jc w:val="both"/>
    </w:pPr>
  </w:style>
  <w:style w:type="character" w:customStyle="1" w:styleId="any">
    <w:name w:val="any"/>
    <w:basedOn w:val="DefaultParagraphFont"/>
  </w:style>
  <w:style w:type="table" w:customStyle="1" w:styleId="dt">
    <w:name w:val="dt"/>
    <w:basedOn w:val="TableNormal"/>
    <w:tblPr/>
  </w:style>
  <w:style w:type="paragraph" w:customStyle="1" w:styleId="anyParagraph">
    <w:name w:val="any Paragraph"/>
    <w:basedOn w:val="Normal"/>
  </w:style>
  <w:style w:type="table" w:customStyle="1" w:styleId="commissionTable">
    <w:name w:val="commissionTable"/>
    <w:basedOn w:val="TableNormal"/>
    <w:tblPr/>
  </w:style>
  <w:style w:type="table" w:customStyle="1" w:styleId="signsTable">
    <w:name w:val="signsTable"/>
    <w:basedOn w:val="TableNormal"/>
    <w:tblPr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zakupki.gov.ru" TargetMode="External" /><Relationship Id="rId5" Type="http://schemas.openxmlformats.org/officeDocument/2006/relationships/hyperlink" Target="http://www.sberbank-ast.ru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