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14663" w:type="dxa"/>
        <w:tblLayout w:type="fixed"/>
        <w:tblCellMar>
          <w:left w:w="62" w:type="dxa"/>
          <w:top w:w="102" w:type="dxa"/>
          <w:right w:w="62" w:type="dxa"/>
          <w:bottom w:w="102" w:type="dxa"/>
        </w:tblCellMar>
        <w:tblLook w:val="04A0" w:firstRow="1" w:lastRow="0" w:firstColumn="1" w:lastColumn="0" w:noHBand="0" w:noVBand="1"/>
      </w:tblPr>
      <w:tblGrid>
        <w:gridCol w:w="14663"/>
      </w:tblGrid>
      <w:tr>
        <w:tblPrEx/>
        <w:trPr/>
        <w:tc>
          <w:tcPr>
            <w:tcBorders>
              <w:top w:val="none" w:color="000000" w:sz="4" w:space="0"/>
              <w:left w:val="none" w:color="000000" w:sz="4" w:space="0"/>
              <w:bottom w:val="none" w:color="000000" w:sz="4" w:space="0"/>
              <w:right w:val="none" w:color="000000" w:sz="4" w:space="0"/>
            </w:tcBorders>
            <w:tcW w:w="14663" w:type="dxa"/>
            <w:vAlign w:val="bottom"/>
            <w:textDirection w:val="lrTb"/>
            <w:noWrap w:val="false"/>
          </w:tcPr>
          <w:p>
            <w:pPr>
              <w:pStyle w:val="880"/>
              <w:jc w:val="center"/>
              <w:rPr>
                <w:rFonts w:ascii="Courier New" w:hAnsi="Courier New" w:cs="Courier New"/>
                <w:b/>
                <w:sz w:val="18"/>
                <w:szCs w:val="18"/>
              </w:rPr>
            </w:pPr>
            <w:r>
              <w:rPr>
                <w:rFonts w:ascii="Courier New" w:hAnsi="Courier New" w:cs="Courier New"/>
                <w:b/>
                <w:sz w:val="18"/>
                <w:szCs w:val="18"/>
              </w:rPr>
              <w:t xml:space="preserve">ПОРЯДОК</w:t>
            </w:r>
            <w:r>
              <w:rPr>
                <w:rFonts w:ascii="Courier New" w:hAnsi="Courier New" w:cs="Courier New"/>
                <w:b/>
                <w:sz w:val="18"/>
                <w:szCs w:val="18"/>
              </w:rPr>
            </w:r>
          </w:p>
          <w:p>
            <w:pPr>
              <w:pStyle w:val="880"/>
              <w:jc w:val="center"/>
              <w:rPr>
                <w:rFonts w:ascii="Courier New" w:hAnsi="Courier New" w:cs="Courier New"/>
                <w:b/>
                <w:sz w:val="18"/>
                <w:szCs w:val="18"/>
              </w:rPr>
            </w:pPr>
            <w:r>
              <w:rPr>
                <w:rFonts w:ascii="Courier New" w:hAnsi="Courier New" w:cs="Courier New"/>
                <w:b/>
                <w:sz w:val="18"/>
                <w:szCs w:val="18"/>
              </w:rPr>
              <w:t xml:space="preserve">рассмотрения и оценки заявок на участие в конкурсе</w:t>
            </w:r>
            <w:r>
              <w:rPr>
                <w:rFonts w:ascii="Courier New" w:hAnsi="Courier New" w:cs="Courier New"/>
                <w:b/>
                <w:sz w:val="18"/>
                <w:szCs w:val="18"/>
              </w:rPr>
            </w:r>
          </w:p>
          <w:p>
            <w:pPr>
              <w:pStyle w:val="880"/>
              <w:jc w:val="center"/>
              <w:rPr>
                <w:rFonts w:ascii="Courier New" w:hAnsi="Courier New" w:cs="Courier New"/>
                <w:b/>
                <w:sz w:val="18"/>
                <w:szCs w:val="18"/>
              </w:rPr>
            </w:pPr>
            <w:r>
              <w:rPr>
                <w:rFonts w:ascii="Courier New" w:hAnsi="Courier New" w:cs="Courier New"/>
                <w:b/>
                <w:sz w:val="18"/>
                <w:szCs w:val="18"/>
              </w:rPr>
            </w:r>
            <w:r>
              <w:rPr>
                <w:rFonts w:ascii="Courier New" w:hAnsi="Courier New" w:cs="Courier New"/>
                <w:b/>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rPr/>
        <w:tc>
          <w:tcPr>
            <w:tcBorders>
              <w:top w:val="none" w:color="000000" w:sz="4" w:space="0"/>
              <w:left w:val="none" w:color="000000" w:sz="4" w:space="0"/>
              <w:bottom w:val="none" w:color="000000" w:sz="4" w:space="0"/>
              <w:right w:val="none" w:color="000000" w:sz="4" w:space="0"/>
            </w:tcBorders>
            <w:tcW w:w="14663" w:type="dxa"/>
            <w:textDirection w:val="lrTb"/>
            <w:noWrap w:val="false"/>
          </w:tcPr>
          <w:p>
            <w:pPr>
              <w:pStyle w:val="880"/>
              <w:jc w:val="center"/>
              <w:rPr>
                <w:rFonts w:ascii="Courier New" w:hAnsi="Courier New" w:cs="Courier New"/>
                <w:sz w:val="18"/>
                <w:szCs w:val="18"/>
              </w:rPr>
              <w:outlineLvl w:val="2"/>
            </w:pPr>
            <w:r/>
            <w:bookmarkStart w:id="0" w:name="P268"/>
            <w:r/>
            <w:bookmarkEnd w:id="0"/>
            <w:r>
              <w:rPr>
                <w:rFonts w:ascii="Courier New" w:hAnsi="Courier New" w:cs="Courier New"/>
                <w:sz w:val="18"/>
                <w:szCs w:val="18"/>
              </w:rPr>
              <w:t xml:space="preserve">I. Информация о заказчике и закупке товаров, работ, услуг для обеспечения государственных и муниципальных нужд (далее - закупка)</w:t>
            </w:r>
            <w:r>
              <w:rPr>
                <w:rFonts w:ascii="Courier New" w:hAnsi="Courier New" w:cs="Courier New"/>
                <w:sz w:val="18"/>
                <w:szCs w:val="18"/>
              </w:rPr>
            </w:r>
          </w:p>
        </w:tc>
      </w:tr>
    </w:tbl>
    <w:p>
      <w:pPr>
        <w:pStyle w:val="880"/>
        <w:jc w:val="both"/>
        <w:rPr>
          <w:rFonts w:ascii="Courier New" w:hAnsi="Courier New" w:cs="Courier New"/>
          <w:sz w:val="20"/>
        </w:rPr>
      </w:pPr>
      <w:r>
        <w:rPr>
          <w:rFonts w:ascii="Courier New" w:hAnsi="Courier New" w:cs="Courier New"/>
          <w:sz w:val="20"/>
        </w:rPr>
      </w:r>
      <w:r>
        <w:rPr>
          <w:rFonts w:ascii="Courier New" w:hAnsi="Courier New" w:cs="Courier New"/>
          <w:sz w:val="20"/>
        </w:rPr>
      </w:r>
    </w:p>
    <w:tbl>
      <w:tblPr>
        <w:tblW w:w="151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245"/>
        <w:gridCol w:w="7021"/>
        <w:gridCol w:w="1201"/>
        <w:gridCol w:w="1701"/>
      </w:tblGrid>
      <w:tr>
        <w:tblPrEx/>
        <w:trPr>
          <w:trHeight w:val="235"/>
        </w:trPr>
        <w:tc>
          <w:tcPr>
            <w:tcBorders>
              <w:top w:val="none" w:color="000000" w:sz="4" w:space="0"/>
              <w:left w:val="none" w:color="000000" w:sz="4" w:space="0"/>
              <w:bottom w:val="none" w:color="000000" w:sz="4" w:space="0"/>
              <w:right w:val="none" w:color="000000" w:sz="4" w:space="0"/>
            </w:tcBorders>
            <w:tcW w:w="5245" w:type="dxa"/>
            <w:textDirection w:val="lrTb"/>
            <w:noWrap w:val="false"/>
          </w:tcPr>
          <w:p>
            <w:pPr>
              <w:pStyle w:val="880"/>
              <w:spacing w:line="240" w:lineRule="atLeast"/>
              <w:rPr>
                <w:rFonts w:ascii="Courier New" w:hAnsi="Courier New" w:cs="Courier New"/>
                <w:sz w:val="18"/>
                <w:szCs w:val="18"/>
              </w:rPr>
            </w:pPr>
            <w:r/>
            <w:bookmarkStart w:id="1" w:name="P306"/>
            <w:r/>
            <w:bookmarkEnd w:id="1"/>
            <w:r/>
            <w:r>
              <w:rPr>
                <w:rFonts w:ascii="Courier New" w:hAnsi="Courier New" w:cs="Courier New"/>
                <w:sz w:val="18"/>
                <w:szCs w:val="18"/>
              </w:rPr>
            </w:r>
          </w:p>
        </w:tc>
        <w:tc>
          <w:tcPr>
            <w:tcBorders>
              <w:top w:val="none" w:color="000000" w:sz="4" w:space="0"/>
              <w:left w:val="none" w:color="000000" w:sz="4" w:space="0"/>
              <w:bottom w:val="none" w:color="000000" w:sz="4" w:space="0"/>
              <w:right w:val="none" w:color="000000" w:sz="4" w:space="0"/>
            </w:tcBorders>
            <w:tcW w:w="702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left w:val="single" w:color="000000" w:sz="4" w:space="0"/>
            </w:tcBorders>
            <w:tcW w:w="1701" w:type="dxa"/>
            <w:vAlign w:val="center"/>
            <w:textDirection w:val="lrTb"/>
            <w:noWrap w:val="false"/>
          </w:tcPr>
          <w:p>
            <w:pPr>
              <w:pStyle w:val="880"/>
              <w:jc w:val="center"/>
              <w:spacing w:line="240" w:lineRule="atLeast"/>
              <w:rPr>
                <w:rFonts w:ascii="Courier New" w:hAnsi="Courier New" w:cs="Courier New"/>
                <w:sz w:val="18"/>
                <w:szCs w:val="18"/>
              </w:rPr>
            </w:pPr>
            <w:r>
              <w:rPr>
                <w:rFonts w:ascii="Courier New" w:hAnsi="Courier New" w:cs="Courier New"/>
                <w:sz w:val="18"/>
                <w:szCs w:val="18"/>
              </w:rPr>
              <w:t xml:space="preserve">Коды</w:t>
            </w:r>
            <w:r>
              <w:rPr>
                <w:rFonts w:ascii="Courier New" w:hAnsi="Courier New" w:cs="Courier New"/>
                <w:sz w:val="18"/>
                <w:szCs w:val="18"/>
              </w:rPr>
            </w:r>
          </w:p>
        </w:tc>
      </w:tr>
      <w:tr>
        <w:tblPrEx/>
        <w:trPr>
          <w:trHeight w:val="235"/>
        </w:trPr>
        <w:tc>
          <w:tcPr>
            <w:tcBorders>
              <w:top w:val="none" w:color="000000" w:sz="4" w:space="0"/>
              <w:left w:val="none" w:color="000000" w:sz="4" w:space="0"/>
              <w:bottom w:val="none" w:color="000000" w:sz="4" w:space="0"/>
              <w:right w:val="none" w:color="000000" w:sz="4" w:space="0"/>
            </w:tcBorders>
            <w:tcW w:w="5245"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Полное наименование</w:t>
            </w:r>
            <w:r>
              <w:rPr>
                <w:rFonts w:ascii="Courier New" w:hAnsi="Courier New" w:cs="Courier New"/>
                <w:sz w:val="18"/>
                <w:szCs w:val="18"/>
              </w:rPr>
            </w:r>
          </w:p>
        </w:tc>
        <w:tc>
          <w:tcPr>
            <w:tcBorders>
              <w:top w:val="none" w:color="000000" w:sz="4" w:space="0"/>
              <w:left w:val="none" w:color="000000" w:sz="4" w:space="0"/>
              <w:bottom w:val="single" w:color="000000" w:sz="4" w:space="0"/>
              <w:right w:val="none" w:color="000000" w:sz="4" w:space="0"/>
            </w:tcBorders>
            <w:tcW w:w="7021" w:type="dxa"/>
            <w:vAlign w:val="center"/>
            <w:textDirection w:val="lrTb"/>
            <w:noWrap w:val="false"/>
          </w:tcPr>
          <w:p>
            <w:pPr>
              <w:pStyle w:val="880"/>
              <w:jc w:val="both"/>
              <w:spacing w:line="240" w:lineRule="atLeast"/>
              <w:rPr>
                <w:rFonts w:ascii="Courier New" w:hAnsi="Courier New" w:cs="Courier New"/>
                <w:sz w:val="18"/>
                <w:szCs w:val="18"/>
              </w:rPr>
            </w:pPr>
            <w:r>
              <w:rPr>
                <w:rFonts w:ascii="Courier New" w:hAnsi="Courier New" w:cs="Courier New"/>
                <w:sz w:val="18"/>
                <w:szCs w:val="18"/>
              </w:rPr>
              <w:t xml:space="preserve">Министерство информационного развития и связи Пермского края</w:t>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ИНН</w:t>
            </w:r>
            <w:r>
              <w:rPr>
                <w:rFonts w:ascii="Courier New" w:hAnsi="Courier New" w:cs="Courier New"/>
                <w:sz w:val="18"/>
                <w:szCs w:val="18"/>
              </w:rPr>
            </w:r>
          </w:p>
        </w:tc>
        <w:tc>
          <w:tcPr>
            <w:tcBorders>
              <w:left w:val="single" w:color="000000" w:sz="4" w:space="0"/>
            </w:tcBorders>
            <w:tcW w:w="170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5902221423</w:t>
            </w:r>
            <w:r>
              <w:rPr>
                <w:rFonts w:ascii="Courier New" w:hAnsi="Courier New" w:cs="Courier New"/>
                <w:sz w:val="18"/>
                <w:szCs w:val="18"/>
              </w:rPr>
            </w:r>
          </w:p>
        </w:tc>
      </w:tr>
      <w:tr>
        <w:tblPrEx/>
        <w:trPr>
          <w:trHeight w:val="235"/>
        </w:trPr>
        <w:tc>
          <w:tcPr>
            <w:tcBorders>
              <w:top w:val="none" w:color="000000" w:sz="4" w:space="0"/>
              <w:left w:val="none" w:color="000000" w:sz="4" w:space="0"/>
              <w:bottom w:val="none" w:color="000000" w:sz="4" w:space="0"/>
              <w:right w:val="none" w:color="000000" w:sz="4" w:space="0"/>
            </w:tcBorders>
            <w:tcW w:w="5245"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Место нахождения, телефон, адрес электронной почты</w:t>
            </w:r>
            <w:r>
              <w:rPr>
                <w:rFonts w:ascii="Courier New" w:hAnsi="Courier New" w:cs="Courier New"/>
                <w:sz w:val="18"/>
                <w:szCs w:val="18"/>
              </w:rPr>
            </w:r>
          </w:p>
        </w:tc>
        <w:tc>
          <w:tcPr>
            <w:tcBorders>
              <w:left w:val="none" w:color="000000" w:sz="4" w:space="0"/>
              <w:bottom w:val="single" w:color="000000" w:sz="4" w:space="0"/>
              <w:right w:val="none" w:color="000000" w:sz="4" w:space="0"/>
            </w:tcBorders>
            <w:tcW w:w="7021" w:type="dxa"/>
            <w:vAlign w:val="center"/>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614000, г. Пермь, ул. Ленина, 66, </w:t>
            </w:r>
            <w:r>
              <w:rPr>
                <w:rFonts w:ascii="Courier New" w:hAnsi="Courier New" w:cs="Courier New"/>
                <w:sz w:val="18"/>
                <w:szCs w:val="18"/>
              </w:rPr>
            </w:r>
          </w:p>
          <w:p>
            <w:pPr>
              <w:pStyle w:val="880"/>
              <w:spacing w:line="240" w:lineRule="atLeast"/>
              <w:rPr>
                <w:rFonts w:ascii="Courier New" w:hAnsi="Courier New" w:cs="Courier New"/>
                <w:bCs/>
                <w:sz w:val="18"/>
                <w:szCs w:val="18"/>
              </w:rPr>
            </w:pPr>
            <w:r>
              <w:rPr>
                <w:rFonts w:ascii="Courier New" w:hAnsi="Courier New" w:cs="Courier New"/>
                <w:sz w:val="18"/>
                <w:szCs w:val="18"/>
              </w:rPr>
              <w:t xml:space="preserve">Тел.(</w:t>
            </w:r>
            <w:r>
              <w:rPr>
                <w:rFonts w:ascii="Courier New" w:hAnsi="Courier New" w:cs="Courier New"/>
                <w:sz w:val="18"/>
                <w:szCs w:val="18"/>
              </w:rPr>
              <w:t xml:space="preserve">342) 200-91-85, info@mirs.permkrai.ru</w:t>
            </w:r>
            <w:r>
              <w:rPr>
                <w:rFonts w:ascii="Courier New" w:hAnsi="Courier New" w:cs="Courier New"/>
                <w:bCs/>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КПП</w:t>
            </w:r>
            <w:r>
              <w:rPr>
                <w:rFonts w:ascii="Courier New" w:hAnsi="Courier New" w:cs="Courier New"/>
                <w:sz w:val="18"/>
                <w:szCs w:val="18"/>
              </w:rPr>
            </w:r>
          </w:p>
        </w:tc>
        <w:tc>
          <w:tcPr>
            <w:tcBorders>
              <w:left w:val="single" w:color="000000" w:sz="4" w:space="0"/>
            </w:tcBorders>
            <w:tcW w:w="170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590201001</w:t>
            </w:r>
            <w:r>
              <w:rPr>
                <w:rFonts w:ascii="Courier New" w:hAnsi="Courier New" w:cs="Courier New"/>
                <w:sz w:val="18"/>
                <w:szCs w:val="18"/>
              </w:rPr>
            </w:r>
          </w:p>
        </w:tc>
      </w:tr>
      <w:tr>
        <w:tblPrEx/>
        <w:trPr>
          <w:trHeight w:val="470"/>
        </w:trPr>
        <w:tc>
          <w:tcPr>
            <w:tcBorders>
              <w:top w:val="none" w:color="000000" w:sz="4" w:space="0"/>
              <w:left w:val="none" w:color="000000" w:sz="4" w:space="0"/>
              <w:bottom w:val="none" w:color="000000" w:sz="4" w:space="0"/>
              <w:right w:val="none" w:color="000000" w:sz="4" w:space="0"/>
            </w:tcBorders>
            <w:tcW w:w="5245" w:type="dxa"/>
            <w:vMerge w:val="restart"/>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r>
              <w:rPr>
                <w:rFonts w:ascii="Courier New" w:hAnsi="Courier New" w:cs="Courier New"/>
                <w:sz w:val="18"/>
                <w:szCs w:val="18"/>
              </w:rPr>
            </w:r>
          </w:p>
        </w:tc>
        <w:tc>
          <w:tcPr>
            <w:tcBorders>
              <w:top w:val="single" w:color="000000" w:sz="4" w:space="0"/>
              <w:left w:val="none" w:color="000000" w:sz="4" w:space="0"/>
              <w:bottom w:val="single" w:color="000000" w:sz="4" w:space="0"/>
              <w:right w:val="none" w:color="000000" w:sz="4" w:space="0"/>
            </w:tcBorders>
            <w:tcW w:w="7021" w:type="dxa"/>
            <w:vAlign w:val="center"/>
            <w:vMerge w:val="restart"/>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по ОКТМО</w:t>
            </w:r>
            <w:r>
              <w:rPr>
                <w:rFonts w:ascii="Courier New" w:hAnsi="Courier New" w:cs="Courier New"/>
                <w:sz w:val="18"/>
                <w:szCs w:val="18"/>
              </w:rPr>
            </w:r>
          </w:p>
        </w:tc>
        <w:tc>
          <w:tcPr>
            <w:tcBorders>
              <w:left w:val="single" w:color="000000" w:sz="4" w:space="0"/>
            </w:tcBorders>
            <w:tcW w:w="170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57701000001</w:t>
            </w:r>
            <w:r>
              <w:rPr>
                <w:rFonts w:ascii="Courier New" w:hAnsi="Courier New" w:cs="Courier New"/>
                <w:sz w:val="18"/>
                <w:szCs w:val="18"/>
              </w:rPr>
            </w:r>
          </w:p>
        </w:tc>
      </w:tr>
      <w:tr>
        <w:tblPrEx/>
        <w:trPr>
          <w:trHeight w:val="470"/>
        </w:trPr>
        <w:tc>
          <w:tcPr>
            <w:tcBorders>
              <w:top w:val="none" w:color="000000" w:sz="4" w:space="0"/>
              <w:left w:val="none" w:color="000000" w:sz="4" w:space="0"/>
              <w:bottom w:val="none" w:color="000000" w:sz="4" w:space="0"/>
              <w:right w:val="none" w:color="000000" w:sz="4" w:space="0"/>
            </w:tcBorders>
            <w:tcW w:w="5245" w:type="dxa"/>
            <w:vMerge w:val="continue"/>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single" w:color="000000" w:sz="4" w:space="0"/>
              <w:left w:val="none" w:color="000000" w:sz="4" w:space="0"/>
              <w:bottom w:val="single" w:color="000000" w:sz="4" w:space="0"/>
              <w:right w:val="none" w:color="000000" w:sz="4" w:space="0"/>
            </w:tcBorders>
            <w:tcW w:w="7021" w:type="dxa"/>
            <w:vAlign w:val="center"/>
            <w:vMerge w:val="continue"/>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ИНН</w:t>
            </w:r>
            <w:r>
              <w:rPr>
                <w:rFonts w:ascii="Courier New" w:hAnsi="Courier New" w:cs="Courier New"/>
                <w:sz w:val="18"/>
                <w:szCs w:val="18"/>
              </w:rPr>
            </w:r>
          </w:p>
        </w:tc>
        <w:tc>
          <w:tcPr>
            <w:tcBorders>
              <w:left w:val="single" w:color="000000" w:sz="4" w:space="0"/>
            </w:tcBorders>
            <w:tcW w:w="1701" w:type="dxa"/>
            <w:vAlign w:val="center"/>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rPr>
          <w:trHeight w:val="414"/>
        </w:trPr>
        <w:tc>
          <w:tcPr>
            <w:tcBorders>
              <w:top w:val="none" w:color="000000" w:sz="4" w:space="0"/>
              <w:left w:val="none" w:color="000000" w:sz="4" w:space="0"/>
              <w:bottom w:val="none" w:color="000000" w:sz="4" w:space="0"/>
              <w:right w:val="none" w:color="000000" w:sz="4" w:space="0"/>
            </w:tcBorders>
            <w:tcW w:w="5245"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Место нахождения, телефон, адрес электронной почты </w:t>
            </w:r>
            <w:r>
              <w:rPr>
                <w:rFonts w:ascii="Courier New" w:hAnsi="Courier New" w:cs="Courier New"/>
                <w:sz w:val="18"/>
                <w:szCs w:val="18"/>
              </w:rPr>
            </w:r>
          </w:p>
        </w:tc>
        <w:tc>
          <w:tcPr>
            <w:tcBorders>
              <w:top w:val="single" w:color="000000" w:sz="4" w:space="0"/>
              <w:left w:val="none" w:color="000000" w:sz="4" w:space="0"/>
              <w:bottom w:val="single" w:color="000000" w:sz="4" w:space="0"/>
              <w:right w:val="none" w:color="000000" w:sz="4" w:space="0"/>
            </w:tcBorders>
            <w:tcW w:w="702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КПП</w:t>
            </w:r>
            <w:r>
              <w:rPr>
                <w:rFonts w:ascii="Courier New" w:hAnsi="Courier New" w:cs="Courier New"/>
                <w:sz w:val="18"/>
                <w:szCs w:val="18"/>
              </w:rPr>
            </w:r>
          </w:p>
        </w:tc>
        <w:tc>
          <w:tcPr>
            <w:tcBorders>
              <w:left w:val="single" w:color="000000" w:sz="4" w:space="0"/>
            </w:tcBorders>
            <w:tcW w:w="1701" w:type="dxa"/>
            <w:vAlign w:val="center"/>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rPr>
          <w:trHeight w:val="423"/>
        </w:trPr>
        <w:tc>
          <w:tcPr>
            <w:tcBorders>
              <w:top w:val="none" w:color="000000" w:sz="4" w:space="0"/>
              <w:left w:val="none" w:color="000000" w:sz="4" w:space="0"/>
              <w:bottom w:val="none" w:color="000000" w:sz="4" w:space="0"/>
              <w:right w:val="none" w:color="000000" w:sz="4" w:space="0"/>
            </w:tcBorders>
            <w:tcW w:w="5245"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single" w:color="000000" w:sz="4" w:space="0"/>
              <w:left w:val="none" w:color="000000" w:sz="4" w:space="0"/>
              <w:bottom w:val="none" w:color="000000" w:sz="4" w:space="0"/>
              <w:right w:val="none" w:color="000000" w:sz="4" w:space="0"/>
            </w:tcBorders>
            <w:tcW w:w="7021" w:type="dxa"/>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Borders>
              <w:top w:val="none" w:color="000000" w:sz="4" w:space="0"/>
              <w:left w:val="none" w:color="000000" w:sz="4" w:space="0"/>
              <w:bottom w:val="none" w:color="000000" w:sz="4" w:space="0"/>
              <w:right w:val="single" w:color="000000" w:sz="4" w:space="0"/>
            </w:tcBorders>
            <w:tcW w:w="1201" w:type="dxa"/>
            <w:vAlign w:val="center"/>
            <w:textDirection w:val="lrTb"/>
            <w:noWrap w:val="false"/>
          </w:tcPr>
          <w:p>
            <w:pPr>
              <w:pStyle w:val="880"/>
              <w:jc w:val="right"/>
              <w:spacing w:line="240" w:lineRule="atLeast"/>
              <w:rPr>
                <w:rFonts w:ascii="Courier New" w:hAnsi="Courier New" w:cs="Courier New"/>
                <w:sz w:val="18"/>
                <w:szCs w:val="18"/>
              </w:rPr>
            </w:pPr>
            <w:r>
              <w:rPr>
                <w:rFonts w:ascii="Courier New" w:hAnsi="Courier New" w:cs="Courier New"/>
                <w:sz w:val="18"/>
                <w:szCs w:val="18"/>
              </w:rPr>
              <w:t xml:space="preserve">по ОКТМО</w:t>
            </w:r>
            <w:r>
              <w:rPr>
                <w:rFonts w:ascii="Courier New" w:hAnsi="Courier New" w:cs="Courier New"/>
                <w:sz w:val="18"/>
                <w:szCs w:val="18"/>
              </w:rPr>
            </w:r>
          </w:p>
        </w:tc>
        <w:tc>
          <w:tcPr>
            <w:tcBorders>
              <w:left w:val="single" w:color="000000" w:sz="4" w:space="0"/>
            </w:tcBorders>
            <w:tcW w:w="1701" w:type="dxa"/>
            <w:vAlign w:val="center"/>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rPr>
          <w:trHeight w:val="235"/>
        </w:trPr>
        <w:tc>
          <w:tcPr>
            <w:tcBorders>
              <w:top w:val="none" w:color="000000" w:sz="4" w:space="0"/>
              <w:left w:val="none" w:color="000000" w:sz="4" w:space="0"/>
              <w:bottom w:val="none" w:color="000000" w:sz="4" w:space="0"/>
              <w:right w:val="none" w:color="000000" w:sz="4" w:space="0"/>
            </w:tcBorders>
            <w:tcW w:w="5245" w:type="dxa"/>
            <w:vAlign w:val="bottom"/>
            <w:textDirection w:val="lrTb"/>
            <w:noWrap w:val="false"/>
          </w:tcPr>
          <w:p>
            <w:pPr>
              <w:pStyle w:val="880"/>
              <w:spacing w:line="240" w:lineRule="atLeast"/>
              <w:rPr>
                <w:rFonts w:ascii="Courier New" w:hAnsi="Courier New" w:cs="Courier New"/>
                <w:sz w:val="18"/>
                <w:szCs w:val="18"/>
              </w:rPr>
            </w:pPr>
            <w:r>
              <w:rPr>
                <w:rFonts w:ascii="Courier New" w:hAnsi="Courier New" w:cs="Courier New"/>
                <w:sz w:val="18"/>
                <w:szCs w:val="18"/>
              </w:rPr>
              <w:t xml:space="preserve">Наименование объекта закупки</w:t>
            </w:r>
            <w:r>
              <w:rPr>
                <w:rFonts w:ascii="Courier New" w:hAnsi="Courier New" w:cs="Courier New"/>
                <w:sz w:val="18"/>
                <w:szCs w:val="18"/>
              </w:rPr>
            </w:r>
          </w:p>
        </w:tc>
        <w:tc>
          <w:tcPr>
            <w:gridSpan w:val="3"/>
            <w:tcBorders>
              <w:top w:val="none" w:color="000000" w:sz="4" w:space="0"/>
              <w:left w:val="none" w:color="000000" w:sz="4" w:space="0"/>
              <w:bottom w:val="single" w:color="000000" w:sz="4" w:space="0"/>
              <w:right w:val="none" w:color="000000" w:sz="4" w:space="0"/>
            </w:tcBorders>
            <w:tcW w:w="9923" w:type="dxa"/>
            <w:vAlign w:val="center"/>
            <w:textDirection w:val="lrTb"/>
            <w:noWrap w:val="false"/>
          </w:tcPr>
          <w:p>
            <w:pPr>
              <w:pStyle w:val="880"/>
              <w:spacing w:line="240" w:lineRule="atLeast"/>
              <w:rPr>
                <w:rFonts w:ascii="Courier New" w:hAnsi="Courier New" w:cs="Courier New"/>
                <w:sz w:val="18"/>
                <w:szCs w:val="18"/>
                <w:highlight w:val="yellow"/>
              </w:rPr>
            </w:pPr>
            <w:r>
              <w:rPr>
                <w:rFonts w:ascii="Courier New" w:hAnsi="Courier New" w:cs="Courier New"/>
                <w:sz w:val="18"/>
                <w:szCs w:val="18"/>
              </w:rPr>
              <w:t xml:space="preserve">Выполнение работ по развитию автоматизированной информационной системы мониторинга и управления строительной отраслью Пермского края</w:t>
            </w:r>
            <w:r>
              <w:rPr>
                <w:rFonts w:ascii="Courier New" w:hAnsi="Courier New" w:cs="Courier New"/>
                <w:sz w:val="18"/>
                <w:szCs w:val="18"/>
                <w:highlight w:val="yellow"/>
              </w:rPr>
            </w:r>
          </w:p>
        </w:tc>
      </w:tr>
    </w:tbl>
    <w:p>
      <w:r>
        <w:br w:type="page" w:clear="all"/>
      </w:r>
      <w:r/>
    </w:p>
    <w:tbl>
      <w:tblPr>
        <w:tblW w:w="15207" w:type="dxa"/>
        <w:tblInd w:w="35" w:type="dxa"/>
        <w:tblLayout w:type="fixed"/>
        <w:tblCellMar>
          <w:left w:w="62" w:type="dxa"/>
          <w:top w:w="102" w:type="dxa"/>
          <w:right w:w="62" w:type="dxa"/>
          <w:bottom w:w="102" w:type="dxa"/>
        </w:tblCellMar>
        <w:tblLook w:val="04A0" w:firstRow="1" w:lastRow="0" w:firstColumn="1" w:lastColumn="0" w:noHBand="0" w:noVBand="1"/>
      </w:tblPr>
      <w:tblGrid>
        <w:gridCol w:w="454"/>
        <w:gridCol w:w="1451"/>
        <w:gridCol w:w="1418"/>
        <w:gridCol w:w="992"/>
        <w:gridCol w:w="1417"/>
        <w:gridCol w:w="1746"/>
        <w:gridCol w:w="1515"/>
        <w:gridCol w:w="283"/>
        <w:gridCol w:w="5931"/>
      </w:tblGrid>
      <w:tr>
        <w:tblPrEx/>
        <w:trPr>
          <w:gridAfter w:val="1"/>
        </w:trPr>
        <w:tc>
          <w:tcPr>
            <w:gridSpan w:val="8"/>
            <w:tcBorders>
              <w:top w:val="none" w:color="000000" w:sz="4" w:space="0"/>
              <w:left w:val="none" w:color="000000" w:sz="4" w:space="0"/>
              <w:bottom w:val="none" w:color="000000" w:sz="4" w:space="0"/>
            </w:tcBorders>
            <w:tcW w:w="9276" w:type="dxa"/>
            <w:textDirection w:val="lrTb"/>
            <w:noWrap w:val="false"/>
          </w:tcPr>
          <w:p>
            <w:pPr>
              <w:pStyle w:val="880"/>
              <w:jc w:val="center"/>
              <w:rPr>
                <w:rFonts w:ascii="Courier New" w:hAnsi="Courier New" w:cs="Courier New"/>
                <w:sz w:val="18"/>
                <w:szCs w:val="18"/>
              </w:rPr>
              <w:outlineLvl w:val="2"/>
            </w:pPr>
            <w:r>
              <w:rPr>
                <w:rFonts w:ascii="Courier New" w:hAnsi="Courier New" w:cs="Courier New"/>
                <w:sz w:val="18"/>
                <w:szCs w:val="18"/>
              </w:rPr>
              <w:t xml:space="preserve">II. Критерии и показатели оценки заявок на участие в закупке</w:t>
            </w:r>
            <w:r>
              <w:rPr>
                <w:rFonts w:ascii="Courier New" w:hAnsi="Courier New" w:cs="Courier New"/>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454"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tcW w:w="1451"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Критерий оценки</w:t>
            </w:r>
            <w:r>
              <w:rPr>
                <w:rFonts w:ascii="Courier New" w:hAnsi="Courier New" w:cs="Courier New"/>
                <w:sz w:val="18"/>
                <w:szCs w:val="18"/>
              </w:rPr>
            </w:r>
          </w:p>
        </w:tc>
        <w:tc>
          <w:tcPr>
            <w:tcW w:w="1418"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Значимость критерия оценки, процентов</w:t>
            </w:r>
            <w:r>
              <w:rPr>
                <w:rFonts w:ascii="Courier New" w:hAnsi="Courier New" w:cs="Courier New"/>
                <w:sz w:val="18"/>
                <w:szCs w:val="18"/>
              </w:rPr>
            </w:r>
          </w:p>
        </w:tc>
        <w:tc>
          <w:tcPr>
            <w:tcW w:w="992"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Показатель оценки</w:t>
            </w:r>
            <w:r>
              <w:rPr>
                <w:rFonts w:ascii="Courier New" w:hAnsi="Courier New" w:cs="Courier New"/>
                <w:sz w:val="18"/>
                <w:szCs w:val="18"/>
              </w:rPr>
            </w:r>
          </w:p>
        </w:tc>
        <w:tc>
          <w:tcPr>
            <w:tcW w:w="1417"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Значимость показателя оценки, процентов</w:t>
            </w:r>
            <w:r>
              <w:rPr>
                <w:rFonts w:ascii="Courier New" w:hAnsi="Courier New" w:cs="Courier New"/>
                <w:sz w:val="18"/>
                <w:szCs w:val="18"/>
              </w:rPr>
            </w:r>
          </w:p>
        </w:tc>
        <w:tc>
          <w:tcPr>
            <w:tcW w:w="1746"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Показатель оценки, детализирующий показатель оценки</w:t>
            </w:r>
            <w:r>
              <w:rPr>
                <w:rFonts w:ascii="Courier New" w:hAnsi="Courier New" w:cs="Courier New"/>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Значимость показателя, детализирующего показатель оценки, процентов</w:t>
            </w:r>
            <w:r>
              <w:rPr>
                <w:rFonts w:ascii="Courier New" w:hAnsi="Courier New" w:cs="Courier New"/>
                <w:sz w:val="18"/>
                <w:szCs w:val="18"/>
              </w:rPr>
            </w:r>
          </w:p>
        </w:tc>
        <w:tc>
          <w:tcPr>
            <w:gridSpan w:val="2"/>
            <w:tcW w:w="6214"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Формула оценки или шкала оценки</w:t>
            </w:r>
            <w:r>
              <w:rPr>
                <w:rFonts w:ascii="Courier New" w:hAnsi="Courier New" w:cs="Courier New"/>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454"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w:t>
            </w:r>
            <w:r>
              <w:rPr>
                <w:rFonts w:ascii="Courier New" w:hAnsi="Courier New" w:cs="Courier New"/>
                <w:sz w:val="18"/>
                <w:szCs w:val="18"/>
              </w:rPr>
            </w:r>
          </w:p>
        </w:tc>
        <w:tc>
          <w:tcPr>
            <w:tcW w:w="145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Цена контракта (далее также договор), сумма цен единиц товара, работы, услуги</w:t>
            </w:r>
            <w:r>
              <w:rPr>
                <w:rFonts w:ascii="Courier New" w:hAnsi="Courier New" w:cs="Courier New"/>
                <w:sz w:val="18"/>
                <w:szCs w:val="18"/>
              </w:rPr>
            </w:r>
          </w:p>
        </w:tc>
        <w:tc>
          <w:tcPr>
            <w:tcW w:w="1418"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3</w:t>
            </w:r>
            <w:r>
              <w:rPr>
                <w:rFonts w:ascii="Courier New" w:hAnsi="Courier New" w:cs="Courier New"/>
                <w:sz w:val="18"/>
                <w:szCs w:val="18"/>
                <w:lang w:val="en-US"/>
              </w:rPr>
              <w:t xml:space="preserve">0</w:t>
            </w:r>
            <w:r>
              <w:rPr>
                <w:rFonts w:ascii="Courier New" w:hAnsi="Courier New" w:cs="Courier New"/>
                <w:sz w:val="18"/>
                <w:szCs w:val="18"/>
              </w:rPr>
            </w:r>
          </w:p>
        </w:tc>
        <w:tc>
          <w:tcPr>
            <w:tcW w:w="992"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tcW w:w="1417"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tcW w:w="1746"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gridSpan w:val="2"/>
            <w:tcW w:w="6214"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Оценка заявок осуществляется по формулам, предусмотренным пунктами 9 или 10 Положения об оценке заявок на участие в закупк</w:t>
            </w:r>
            <w:r>
              <w:rPr>
                <w:rFonts w:ascii="Courier New" w:hAnsi="Courier New" w:cs="Courier New"/>
                <w:sz w:val="18"/>
                <w:szCs w:val="18"/>
              </w:rPr>
              <w:t xml:space="preserve">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w:t>
            </w:r>
            <w:r>
              <w:rPr>
                <w:rFonts w:ascii="Courier New" w:hAnsi="Courier New" w:cs="Courier New"/>
                <w:sz w:val="18"/>
                <w:szCs w:val="18"/>
              </w:rPr>
              <w:t xml:space="preserve">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w:t>
            </w:r>
            <w:r>
              <w:rPr>
                <w:rFonts w:ascii="Courier New" w:hAnsi="Courier New" w:cs="Courier New"/>
                <w:sz w:val="18"/>
                <w:szCs w:val="18"/>
              </w:rPr>
              <w:br/>
              <w:t xml:space="preserve">(далее - Положение).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оценке по указанному критерию оценки, (</w:t>
            </w:r>
            <w:r>
              <w:rPr>
                <w:rFonts w:ascii="Courier New" w:hAnsi="Courier New" w:cs="Courier New"/>
                <w:sz w:val="18"/>
                <w:szCs w:val="18"/>
              </w:rPr>
              <w:t xml:space="preserve">БЦi</w:t>
            </w:r>
            <w:r>
              <w:rPr>
                <w:rFonts w:ascii="Courier New" w:hAnsi="Courier New" w:cs="Courier New"/>
                <w:sz w:val="18"/>
                <w:szCs w:val="18"/>
              </w:rPr>
              <w:t xml:space="preserve">) определяется по одной из следующих формул:</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а) за исключением случаев, предусмотренных подпунктом "б" пункта 9 Положения и пунктом 10 Положения, - по формуле: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position w:val="-28"/>
                <w:sz w:val="18"/>
                <w:szCs w:val="18"/>
              </w:rPr>
              <mc:AlternateContent>
                <mc:Choice Requires="wpg">
                  <w:drawing>
                    <wp:inline xmlns:wp="http://schemas.openxmlformats.org/drawingml/2006/wordprocessingDrawing" distT="0" distB="0" distL="0" distR="0">
                      <wp:extent cx="1680870" cy="489014"/>
                      <wp:effectExtent l="0" t="0" r="0" b="0"/>
                      <wp:docPr id="1" name="_x0000_i103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0"/>
                              <a:stretch/>
                            </pic:blipFill>
                            <pic:spPr bwMode="auto">
                              <a:xfrm>
                                <a:off x="0" y="0"/>
                                <a:ext cx="1680870" cy="48901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32.35pt;height:38.51pt;mso-wrap-distance-left:0.00pt;mso-wrap-distance-top:0.00pt;mso-wrap-distance-right:0.00pt;mso-wrap-distance-bottom:0.00pt;" stroked="f">
                      <v:path textboxrect="0,0,0,0"/>
                      <v:imagedata r:id="rId10" o:title=""/>
                    </v:shape>
                  </w:pict>
                </mc:Fallback>
              </mc:AlternateConten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где: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Цi</w:t>
            </w:r>
            <w:r>
              <w:rPr>
                <w:rFonts w:ascii="Courier New" w:hAnsi="Courier New" w:cs="Courier New"/>
                <w:sz w:val="18"/>
                <w:szCs w:val="18"/>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w:t>
            </w:r>
            <w:r>
              <w:rPr>
                <w:rFonts w:ascii="Courier New" w:hAnsi="Courier New" w:cs="Courier New"/>
                <w:sz w:val="18"/>
                <w:szCs w:val="18"/>
              </w:rPr>
              <w:t xml:space="preserve">местного конкурса), или о сумме цен единиц товара, работы, услуги (в случае, предусмотренном частью 24 статьи 22 Федерального закона от 05.04.2013 № 44-ФЗ «О контрактной системе в сфере закупок товаров, работ, услуг для обеспечения государственных и муници</w:t>
            </w:r>
            <w:r>
              <w:rPr>
                <w:rFonts w:ascii="Courier New" w:hAnsi="Courier New" w:cs="Courier New"/>
                <w:sz w:val="18"/>
                <w:szCs w:val="18"/>
              </w:rPr>
              <w:t xml:space="preserve">пальных нужд» (далее – Закон №44-ФЗ), в том числе при проведении в этом случае совместного конкурса), заявка (часть заявки) которого подлежит оценке по критерию оценки «Цена контракта, сумма цен единиц товара, работы, услуги» (далее - ценовое предложение);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Цл</w:t>
            </w:r>
            <w:r>
              <w:rPr>
                <w:rFonts w:ascii="Courier New" w:hAnsi="Courier New" w:cs="Courier New"/>
                <w:sz w:val="18"/>
                <w:szCs w:val="18"/>
              </w:rPr>
              <w:t xml:space="preserve"> - наилучшее ценовое предложение из числа предложенных в соответствии с Законом №44-ФЗ участниками закупки, заявки (части заявки) которых подлежат оценке по критерию оценки «Цена контракта, сумма цен единиц товара, работы, услуги».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spacing w:before="120"/>
              <w:rPr>
                <w:rFonts w:ascii="Courier New" w:hAnsi="Courier New" w:cs="Courier New"/>
                <w:sz w:val="18"/>
                <w:szCs w:val="18"/>
              </w:rPr>
            </w:pPr>
            <w:r>
              <w:rPr>
                <w:rFonts w:ascii="Courier New" w:hAnsi="Courier New" w:cs="Courier New"/>
                <w:sz w:val="18"/>
                <w:szCs w:val="18"/>
              </w:rPr>
              <w:t xml:space="preserve">б) в случае если по результатам применения формулы, предусмотренной подпунктом "а" пункта 9 положения, при оценке хотя бы одной за</w:t>
            </w:r>
            <w:r>
              <w:rPr>
                <w:rFonts w:ascii="Courier New" w:hAnsi="Courier New" w:cs="Courier New"/>
                <w:sz w:val="18"/>
                <w:szCs w:val="18"/>
              </w:rPr>
              <w:t xml:space="preserve">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№44-ФЗ оценке по указанному критерию оценки (</w:t>
            </w:r>
            <w:r>
              <w:rPr>
                <w:rFonts w:ascii="Courier New" w:hAnsi="Courier New" w:cs="Courier New"/>
                <w:sz w:val="18"/>
                <w:szCs w:val="18"/>
              </w:rPr>
              <w:t xml:space="preserve">БЦi</w:t>
            </w:r>
            <w:r>
              <w:rPr>
                <w:rFonts w:ascii="Courier New" w:hAnsi="Courier New" w:cs="Courier New"/>
                <w:sz w:val="18"/>
                <w:szCs w:val="18"/>
              </w:rPr>
              <w:t xml:space="preserve">), определяется по формуле: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position w:val="-21"/>
                <w:sz w:val="24"/>
                <w:szCs w:val="24"/>
              </w:rPr>
              <mc:AlternateContent>
                <mc:Choice Requires="wpg">
                  <w:drawing>
                    <wp:inline xmlns:wp="http://schemas.openxmlformats.org/drawingml/2006/wordprocessingDrawing" distT="0" distB="0" distL="0" distR="0">
                      <wp:extent cx="2285086" cy="510350"/>
                      <wp:effectExtent l="0" t="0" r="0" b="0"/>
                      <wp:docPr id="2"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2285086" cy="510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79.93pt;height:40.19pt;mso-wrap-distance-left:0.00pt;mso-wrap-distance-top:0.00pt;mso-wrap-distance-right:0.00pt;mso-wrap-distance-bottom:0.00pt;" stroked="f">
                      <v:path textboxrect="0,0,0,0"/>
                      <v:imagedata r:id="rId11" o:title=""/>
                    </v:shape>
                  </w:pict>
                </mc:Fallback>
              </mc:AlternateContent>
            </w:r>
            <w:r>
              <w:rPr>
                <w:rFonts w:ascii="Courier New" w:hAnsi="Courier New" w:cs="Courier New"/>
                <w:sz w:val="18"/>
                <w:szCs w:val="18"/>
              </w:rPr>
            </w:r>
          </w:p>
          <w:p>
            <w:pPr>
              <w:pStyle w:val="880"/>
              <w:jc w:val="both"/>
              <w:spacing w:before="120"/>
              <w:rPr>
                <w:rFonts w:ascii="Courier New" w:hAnsi="Courier New" w:cs="Courier New"/>
                <w:sz w:val="18"/>
                <w:szCs w:val="18"/>
              </w:rPr>
            </w:pPr>
            <w:r>
              <w:rPr>
                <w:rFonts w:ascii="Courier New" w:hAnsi="Courier New" w:cs="Courier New"/>
                <w:sz w:val="18"/>
                <w:szCs w:val="18"/>
              </w:rPr>
              <w:t xml:space="preserve">где </w:t>
            </w:r>
            <w:r>
              <w:rPr>
                <w:rFonts w:ascii="Courier New" w:hAnsi="Courier New" w:cs="Courier New"/>
                <w:sz w:val="18"/>
                <w:szCs w:val="18"/>
              </w:rPr>
              <w:t xml:space="preserve">Цнач</w:t>
            </w:r>
            <w:r>
              <w:rPr>
                <w:rFonts w:ascii="Courier New" w:hAnsi="Courier New" w:cs="Courier New"/>
                <w:sz w:val="18"/>
                <w:szCs w:val="18"/>
              </w:rPr>
              <w:t xml:space="preserve"> - начальная (максимальная) цена контракта, или сумма начальных (максимальных) цен каждого контракта, заключаемого по результатам</w:t>
            </w:r>
            <w:r>
              <w:rPr>
                <w:rFonts w:ascii="Courier New" w:hAnsi="Courier New" w:cs="Courier New"/>
                <w:sz w:val="18"/>
                <w:szCs w:val="18"/>
              </w:rPr>
              <w:t xml:space="preserve">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№44-ФЗ, в том числе при проведении в таком случае совместного конкурса).</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или </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jc w:val="both"/>
              <w:spacing w:after="0" w:line="240" w:lineRule="auto"/>
              <w:rPr>
                <w:rFonts w:ascii="Courier New" w:hAnsi="Courier New" w:cs="Courier New"/>
                <w:sz w:val="18"/>
                <w:szCs w:val="18"/>
              </w:rPr>
            </w:pPr>
            <w:r>
              <w:rPr>
                <w:rFonts w:ascii="Courier New" w:hAnsi="Courier New" w:cs="Courier New"/>
                <w:sz w:val="18"/>
                <w:szCs w:val="18"/>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2" w:tooltip="consultantplus://offline/ref=FF3DB571B2F08C93F47E057097A9F3D75325E9609309DA4B28C691DD3EF6BE472DB07AEE7A5ADB278027111782E0D720587FD725AC4DYFE1M" w:history="1">
              <w:r>
                <w:rPr>
                  <w:rFonts w:ascii="Courier New" w:hAnsi="Courier New" w:cs="Courier New"/>
                  <w:sz w:val="18"/>
                  <w:szCs w:val="18"/>
                </w:rPr>
                <w:t xml:space="preserve">частью 24 статьи 22</w:t>
              </w:r>
            </w:hyperlink>
            <w:r>
              <w:rPr>
                <w:rFonts w:ascii="Courier New" w:hAnsi="Courier New" w:cs="Courier New"/>
                <w:sz w:val="18"/>
                <w:szCs w:val="18"/>
              </w:rPr>
              <w:t xml:space="preserve"> Закона №44-ФЗ) в соответствии с Законом </w:t>
            </w:r>
            <w:r>
              <w:rPr>
                <w:rFonts w:ascii="Courier New" w:hAnsi="Courier New" w:cs="Courier New"/>
                <w:sz w:val="18"/>
                <w:szCs w:val="18"/>
              </w:rPr>
              <w:br w:type="textWrapping" w:clear="all"/>
              <w:t xml:space="preserve">№ 44-ФЗ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r>
              <w:rPr>
                <w:rFonts w:ascii="Courier New" w:hAnsi="Courier New" w:cs="Courier New"/>
                <w:sz w:val="18"/>
                <w:szCs w:val="18"/>
              </w:rPr>
              <w:t xml:space="preserve">БЦ</w:t>
            </w:r>
            <w:r>
              <w:rPr>
                <w:rFonts w:ascii="Courier New" w:hAnsi="Courier New" w:cs="Courier New"/>
                <w:sz w:val="18"/>
                <w:szCs w:val="18"/>
                <w:vertAlign w:val="subscript"/>
              </w:rPr>
              <w:t xml:space="preserve">i</w:t>
            </w:r>
            <w:r>
              <w:rPr>
                <w:rFonts w:ascii="Courier New" w:hAnsi="Courier New" w:cs="Courier New"/>
                <w:sz w:val="18"/>
                <w:szCs w:val="18"/>
              </w:rPr>
              <w:t xml:space="preserve">) определяется в следующем порядке:</w:t>
            </w:r>
            <w:r>
              <w:rPr>
                <w:rFonts w:ascii="Courier New" w:hAnsi="Courier New" w:cs="Courier New"/>
                <w:sz w:val="18"/>
                <w:szCs w:val="18"/>
              </w:rPr>
            </w:r>
          </w:p>
          <w:p>
            <w:pPr>
              <w:ind w:firstLine="540"/>
              <w:jc w:val="both"/>
              <w:spacing w:before="200" w:after="0" w:line="240" w:lineRule="auto"/>
              <w:rPr>
                <w:rFonts w:ascii="Courier New" w:hAnsi="Courier New" w:cs="Courier New"/>
                <w:sz w:val="18"/>
                <w:szCs w:val="18"/>
              </w:rPr>
            </w:pPr>
            <w:r>
              <w:rPr>
                <w:rFonts w:ascii="Courier New" w:hAnsi="Courier New" w:cs="Courier New"/>
                <w:sz w:val="18"/>
                <w:szCs w:val="18"/>
              </w:rPr>
              <w:t xml:space="preserve">а) для подлежащей в соответствии с Законом №44-ФЗ оценке зая</w:t>
            </w:r>
            <w:r>
              <w:rPr>
                <w:rFonts w:ascii="Courier New" w:hAnsi="Courier New" w:cs="Courier New"/>
                <w:sz w:val="18"/>
                <w:szCs w:val="18"/>
              </w:rPr>
              <w:t xml:space="preserve">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Pr>
                <w:rFonts w:ascii="Courier New" w:hAnsi="Courier New" w:cs="Courier New"/>
                <w:sz w:val="18"/>
                <w:szCs w:val="18"/>
              </w:rPr>
              <w:t xml:space="preserve">БЦ</w:t>
            </w:r>
            <w:r>
              <w:rPr>
                <w:rFonts w:ascii="Courier New" w:hAnsi="Courier New" w:cs="Courier New"/>
                <w:sz w:val="18"/>
                <w:szCs w:val="18"/>
                <w:vertAlign w:val="subscript"/>
              </w:rPr>
              <w:t xml:space="preserve">i</w:t>
            </w:r>
            <w:r>
              <w:rPr>
                <w:rFonts w:ascii="Courier New" w:hAnsi="Courier New" w:cs="Courier New"/>
                <w:sz w:val="18"/>
                <w:szCs w:val="18"/>
              </w:rPr>
              <w:t xml:space="preserve">) определяется по формуле:</w:t>
            </w:r>
            <w:r>
              <w:rPr>
                <w:rFonts w:ascii="Courier New" w:hAnsi="Courier New" w:cs="Courier New"/>
                <w:sz w:val="18"/>
                <w:szCs w:val="18"/>
              </w:rPr>
            </w:r>
          </w:p>
          <w:p>
            <w:pPr>
              <w:jc w:val="center"/>
              <w:spacing w:after="0" w:line="240" w:lineRule="auto"/>
              <w:rPr>
                <w:rFonts w:ascii="Courier New" w:hAnsi="Courier New" w:cs="Courier New"/>
                <w:sz w:val="18"/>
                <w:szCs w:val="18"/>
              </w:rPr>
            </w:pPr>
            <w:r>
              <w:rPr>
                <w:rFonts w:ascii="Courier New" w:hAnsi="Courier New" w:cs="Courier New"/>
                <w:sz w:val="18"/>
                <w:szCs w:val="18"/>
                <w:lang w:eastAsia="ru-RU"/>
              </w:rPr>
              <mc:AlternateContent>
                <mc:Choice Requires="wpg">
                  <w:drawing>
                    <wp:inline xmlns:wp="http://schemas.openxmlformats.org/drawingml/2006/wordprocessingDrawing" distT="0" distB="0" distL="0" distR="0">
                      <wp:extent cx="1891716" cy="436550"/>
                      <wp:effectExtent l="0" t="0" r="0" b="0"/>
                      <wp:docPr id="3"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3"/>
                              <a:stretch/>
                            </pic:blipFill>
                            <pic:spPr bwMode="auto">
                              <a:xfrm>
                                <a:off x="0" y="0"/>
                                <a:ext cx="1891716" cy="436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48.95pt;height:34.37pt;mso-wrap-distance-left:0.00pt;mso-wrap-distance-top:0.00pt;mso-wrap-distance-right:0.00pt;mso-wrap-distance-bottom:0.00pt;" stroked="f">
                      <v:path textboxrect="0,0,0,0"/>
                      <v:imagedata r:id="rId13" o:title=""/>
                    </v:shape>
                  </w:pict>
                </mc:Fallback>
              </mc:AlternateContent>
            </w:r>
            <w:r>
              <w:rPr>
                <w:rFonts w:ascii="Courier New" w:hAnsi="Courier New" w:cs="Courier New"/>
                <w:sz w:val="18"/>
                <w:szCs w:val="18"/>
              </w:rPr>
            </w:r>
          </w:p>
          <w:p>
            <w:pPr>
              <w:jc w:val="both"/>
              <w:spacing w:after="0" w:line="240" w:lineRule="auto"/>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ind w:firstLine="540"/>
              <w:jc w:val="both"/>
              <w:spacing w:before="200" w:after="0" w:line="240" w:lineRule="auto"/>
              <w:rPr>
                <w:rFonts w:ascii="Courier New" w:hAnsi="Courier New" w:cs="Courier New"/>
                <w:sz w:val="18"/>
                <w:szCs w:val="18"/>
              </w:rPr>
            </w:pPr>
            <w:r>
              <w:rPr>
                <w:rFonts w:ascii="Courier New" w:hAnsi="Courier New" w:cs="Courier New"/>
                <w:sz w:val="18"/>
                <w:szCs w:val="18"/>
              </w:rPr>
              <w:t xml:space="preserve">б) для подлежащей в соответствии с Законом №44-ФЗ оценке </w:t>
            </w:r>
            <w:r>
              <w:rPr>
                <w:rFonts w:ascii="Courier New" w:hAnsi="Courier New" w:cs="Courier New"/>
                <w:sz w:val="18"/>
                <w:szCs w:val="18"/>
              </w:rPr>
              <w:t xml:space="preserve">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Pr>
                <w:rFonts w:ascii="Courier New" w:hAnsi="Courier New" w:cs="Courier New"/>
                <w:sz w:val="18"/>
                <w:szCs w:val="18"/>
              </w:rPr>
              <w:t xml:space="preserve">БЦ</w:t>
            </w:r>
            <w:r>
              <w:rPr>
                <w:rFonts w:ascii="Courier New" w:hAnsi="Courier New" w:cs="Courier New"/>
                <w:sz w:val="18"/>
                <w:szCs w:val="18"/>
                <w:vertAlign w:val="subscript"/>
              </w:rPr>
              <w:t xml:space="preserve">i</w:t>
            </w:r>
            <w:r>
              <w:rPr>
                <w:rFonts w:ascii="Courier New" w:hAnsi="Courier New" w:cs="Courier New"/>
                <w:sz w:val="18"/>
                <w:szCs w:val="18"/>
              </w:rPr>
              <w:t xml:space="preserve">) определяется по формуле:</w:t>
            </w:r>
            <w:r>
              <w:rPr>
                <w:rFonts w:ascii="Courier New" w:hAnsi="Courier New" w:cs="Courier New"/>
                <w:sz w:val="18"/>
                <w:szCs w:val="18"/>
              </w:rPr>
            </w:r>
          </w:p>
          <w:p>
            <w:pPr>
              <w:jc w:val="center"/>
              <w:spacing w:after="0" w:line="240" w:lineRule="auto"/>
              <w:rPr>
                <w:rFonts w:ascii="Courier New" w:hAnsi="Courier New" w:cs="Courier New"/>
                <w:sz w:val="18"/>
                <w:szCs w:val="18"/>
              </w:rPr>
            </w:pPr>
            <w:r>
              <w:rPr>
                <w:rFonts w:ascii="Courier New" w:hAnsi="Courier New" w:cs="Courier New"/>
                <w:position w:val="-28"/>
                <w:sz w:val="18"/>
                <w:szCs w:val="18"/>
                <w:lang w:eastAsia="ru-RU"/>
              </w:rPr>
              <mc:AlternateContent>
                <mc:Choice Requires="wpg">
                  <w:drawing>
                    <wp:inline xmlns:wp="http://schemas.openxmlformats.org/drawingml/2006/wordprocessingDrawing" distT="0" distB="0" distL="0" distR="0">
                      <wp:extent cx="1849946" cy="478003"/>
                      <wp:effectExtent l="0" t="0" r="0" b="0"/>
                      <wp:docPr id="4"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4"/>
                              <a:stretch/>
                            </pic:blipFill>
                            <pic:spPr bwMode="auto">
                              <a:xfrm>
                                <a:off x="0" y="0"/>
                                <a:ext cx="1849946" cy="47800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45.67pt;height:37.64pt;mso-wrap-distance-left:0.00pt;mso-wrap-distance-top:0.00pt;mso-wrap-distance-right:0.00pt;mso-wrap-distance-bottom:0.00pt;" stroked="f">
                      <v:path textboxrect="0,0,0,0"/>
                      <v:imagedata r:id="rId14" o:title=""/>
                    </v:shape>
                  </w:pict>
                </mc:Fallback>
              </mc:AlternateConten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Значение </w:t>
            </w:r>
            <w:r>
              <w:rPr>
                <w:rFonts w:ascii="Courier New" w:hAnsi="Courier New" w:cs="Courier New"/>
                <w:sz w:val="18"/>
                <w:szCs w:val="18"/>
              </w:rPr>
              <w:t xml:space="preserve">Цл</w:t>
            </w:r>
            <w:r>
              <w:rPr>
                <w:rFonts w:ascii="Courier New" w:hAnsi="Courier New" w:cs="Courier New"/>
                <w:sz w:val="18"/>
                <w:szCs w:val="18"/>
              </w:rPr>
              <w:t xml:space="preserve"> при применении формулы, предусмотренной подпунктом «а» пункта 10 Положения, и значения </w:t>
            </w:r>
            <w:r>
              <w:rPr>
                <w:rFonts w:ascii="Courier New" w:hAnsi="Courier New" w:cs="Courier New"/>
                <w:sz w:val="18"/>
                <w:szCs w:val="18"/>
              </w:rPr>
              <w:t xml:space="preserve">Цл</w:t>
            </w:r>
            <w:r>
              <w:rPr>
                <w:rFonts w:ascii="Courier New" w:hAnsi="Courier New" w:cs="Courier New"/>
                <w:sz w:val="18"/>
                <w:szCs w:val="18"/>
              </w:rPr>
              <w:t xml:space="preserve"> и </w:t>
            </w:r>
            <w:r>
              <w:rPr>
                <w:rFonts w:ascii="Courier New" w:hAnsi="Courier New" w:cs="Courier New"/>
                <w:sz w:val="18"/>
                <w:szCs w:val="18"/>
              </w:rPr>
              <w:t xml:space="preserve">Цi</w:t>
            </w:r>
            <w:r>
              <w:rPr>
                <w:rFonts w:ascii="Courier New" w:hAnsi="Courier New" w:cs="Courier New"/>
                <w:sz w:val="18"/>
                <w:szCs w:val="18"/>
              </w:rPr>
              <w:t xml:space="preserve"> при применении формулы, предусмотренной подпунктом «б» пункта 10 Положения, указываются без знака «минус».</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Заявкам, содержащим наилучшее ценовое предложение, а также предложение, равное такому наилучшему ценовому предложению, присваивается 100 баллов.</w:t>
            </w:r>
            <w:r>
              <w:rPr>
                <w:rFonts w:ascii="Courier New" w:hAnsi="Courier New" w:cs="Courier New"/>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11"/>
        </w:trPr>
        <w:tc>
          <w:tcPr>
            <w:tcW w:w="454" w:type="dxa"/>
            <w:vMerge w:val="restart"/>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2.</w:t>
            </w:r>
            <w:r>
              <w:rPr>
                <w:rFonts w:ascii="Courier New" w:hAnsi="Courier New" w:cs="Courier New"/>
                <w:sz w:val="18"/>
                <w:szCs w:val="18"/>
              </w:rPr>
            </w:r>
          </w:p>
        </w:tc>
        <w:tc>
          <w:tcPr>
            <w:tcW w:w="1451" w:type="dxa"/>
            <w:vMerge w:val="restart"/>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Качественные, функциональные и экологические характеристики объекта закупки (далее - характеристика объекта закупки)</w:t>
            </w:r>
            <w:r>
              <w:rPr>
                <w:rFonts w:ascii="Courier New" w:hAnsi="Courier New" w:cs="Courier New"/>
                <w:sz w:val="18"/>
                <w:szCs w:val="18"/>
              </w:rPr>
            </w:r>
          </w:p>
        </w:tc>
        <w:tc>
          <w:tcPr>
            <w:tcW w:w="1418" w:type="dxa"/>
            <w:vMerge w:val="restart"/>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20</w:t>
            </w:r>
            <w:r>
              <w:rPr>
                <w:rFonts w:ascii="Courier New" w:hAnsi="Courier New" w:cs="Courier New"/>
                <w:sz w:val="18"/>
                <w:szCs w:val="18"/>
              </w:rPr>
            </w:r>
          </w:p>
        </w:tc>
        <w:tc>
          <w:tcPr>
            <w:tcW w:w="992" w:type="dxa"/>
            <w:vMerge w:val="restart"/>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Качественные характеристики объекта закупки</w:t>
            </w:r>
            <w:r>
              <w:rPr>
                <w:rFonts w:ascii="Courier New" w:hAnsi="Courier New" w:cs="Courier New"/>
                <w:sz w:val="18"/>
                <w:szCs w:val="18"/>
              </w:rPr>
            </w:r>
          </w:p>
        </w:tc>
        <w:tc>
          <w:tcPr>
            <w:tcW w:w="1417" w:type="dxa"/>
            <w:vMerge w:val="restart"/>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100</w:t>
            </w:r>
            <w:r>
              <w:rPr>
                <w:rFonts w:ascii="Courier New" w:hAnsi="Courier New" w:cs="Courier New"/>
                <w:sz w:val="18"/>
                <w:szCs w:val="18"/>
              </w:rPr>
            </w:r>
          </w:p>
        </w:tc>
        <w:tc>
          <w:tcPr>
            <w:tcW w:w="1746"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Характеристика №1.</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rPr>
                <w:rFonts w:ascii="Courier New" w:hAnsi="Courier New" w:eastAsia="Courier New" w:cs="Courier New"/>
                <w:color w:val="000000"/>
                <w:sz w:val="18"/>
                <w:szCs w:val="18"/>
              </w:rPr>
            </w:pPr>
            <w:r>
              <w:rPr>
                <w:rFonts w:ascii="Courier New" w:hAnsi="Courier New" w:eastAsia="Courier New" w:cs="Courier New"/>
                <w:color w:val="000000"/>
                <w:sz w:val="18"/>
                <w:szCs w:val="18"/>
              </w:rPr>
              <w:t xml:space="preserve">«Предложение по доработке подсистемы ведения рее</w:t>
            </w:r>
            <w:r>
              <w:rPr>
                <w:rFonts w:ascii="Courier New" w:hAnsi="Courier New" w:eastAsia="Courier New" w:cs="Courier New"/>
                <w:color w:val="000000"/>
                <w:sz w:val="18"/>
                <w:szCs w:val="18"/>
              </w:rPr>
              <w:t xml:space="preserve">стров в части реализации создания реестра технико-экономических показателей на основании Постановления Правительства РФ от 16.02.2008 №87 «О составе разделов проектной документации и требованиях к их содержанию»,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t xml:space="preserve"> «Об установлении типовой формы выписки из реес</w:t>
            </w:r>
            <w:r>
              <w:rPr>
                <w:rFonts w:ascii="Courier New" w:hAnsi="Courier New" w:eastAsia="Courier New" w:cs="Courier New"/>
                <w:color w:val="000000"/>
                <w:sz w:val="18"/>
                <w:szCs w:val="18"/>
              </w:rPr>
              <w:t xml:space="preserve">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включая реализацию функций редактирования, фильтрации и выгрузки данных реестра» </w:t>
            </w:r>
            <w:r>
              <w:rPr>
                <w:rFonts w:ascii="Courier New" w:hAnsi="Courier New" w:eastAsia="Courier New" w:cs="Courier New"/>
                <w:sz w:val="18"/>
                <w:szCs w:val="18"/>
              </w:rPr>
              <w:t xml:space="preserve">(</w:t>
            </w:r>
            <w:r>
              <w:rPr>
                <w:rFonts w:ascii="Courier New" w:hAnsi="Courier New" w:cs="Courier New"/>
                <w:sz w:val="18"/>
                <w:szCs w:val="18"/>
              </w:rPr>
              <w:t xml:space="preserve">п.3.6.1 Технического задания)</w:t>
            </w:r>
            <w:r>
              <w:rPr>
                <w:rFonts w:ascii="Courier New" w:hAnsi="Courier New" w:eastAsia="Courier New" w:cs="Courier New"/>
                <w:color w:val="000000"/>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50</w:t>
            </w:r>
            <w:r>
              <w:rPr>
                <w:rFonts w:ascii="Courier New" w:hAnsi="Courier New" w:cs="Courier New"/>
                <w:sz w:val="18"/>
                <w:szCs w:val="18"/>
              </w:rPr>
            </w:r>
          </w:p>
        </w:tc>
        <w:tc>
          <w:tcPr>
            <w:gridSpan w:val="2"/>
            <w:tcW w:w="6214" w:type="dxa"/>
            <w:vMerge w:val="restart"/>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Значение количества баллов по детализирующему показателю, присваиваемых заявке, подлежащей в соответствии с Законом №44-ФЗ оценке по критерию оценки «характеристика объекта закупки» рассчитывается по шкале в соответствии с пунктом 22 Положения и подпунктом</w:t>
            </w:r>
            <w:r>
              <w:rPr>
                <w:rFonts w:ascii="Courier New" w:hAnsi="Courier New" w:cs="Courier New"/>
                <w:b/>
                <w:sz w:val="18"/>
                <w:szCs w:val="18"/>
              </w:rPr>
              <w:t xml:space="preserve"> а) </w:t>
            </w:r>
            <w:r>
              <w:rPr>
                <w:rFonts w:ascii="Courier New" w:hAnsi="Courier New" w:cs="Courier New"/>
                <w:sz w:val="18"/>
                <w:szCs w:val="18"/>
              </w:rPr>
              <w:t xml:space="preserve">пункта 23 Положения.</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В соответствии с подпунктом</w:t>
            </w:r>
            <w:r>
              <w:rPr>
                <w:rFonts w:ascii="Courier New" w:hAnsi="Courier New" w:cs="Courier New"/>
                <w:b/>
                <w:sz w:val="18"/>
                <w:szCs w:val="18"/>
              </w:rPr>
              <w:t xml:space="preserve"> а) </w:t>
            </w:r>
            <w:r>
              <w:rPr>
                <w:rFonts w:ascii="Courier New" w:hAnsi="Courier New" w:cs="Courier New"/>
                <w:sz w:val="18"/>
                <w:szCs w:val="18"/>
              </w:rPr>
              <w:t xml:space="preserve">пункта 23 Положения предусмотрена оценка наличия или отсутствия характеристики объекта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w:t>
            </w:r>
            <w:r>
              <w:rPr>
                <w:rFonts w:ascii="Courier New" w:hAnsi="Courier New" w:cs="Courier New"/>
                <w:sz w:val="18"/>
                <w:szCs w:val="18"/>
              </w:rPr>
              <w:t xml:space="preserve">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Оценка заявки</w:t>
            </w:r>
            <w:r>
              <w:rPr>
                <w:rFonts w:ascii="Courier New" w:hAnsi="Courier New" w:cs="Courier New"/>
                <w:sz w:val="18"/>
                <w:szCs w:val="18"/>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Courier New" w:hAnsi="Courier New" w:cs="Courier New"/>
                <w:sz w:val="18"/>
                <w:szCs w:val="18"/>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454" w:type="dxa"/>
            <w:vMerge w:val="continue"/>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451" w:type="dxa"/>
            <w:vMerge w:val="continue"/>
            <w:textDirection w:val="lrTb"/>
            <w:noWrap w:val="false"/>
          </w:tcPr>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418" w:type="dxa"/>
            <w:vMerge w:val="continue"/>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992" w:type="dxa"/>
            <w:vMerge w:val="continue"/>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417" w:type="dxa"/>
            <w:vMerge w:val="continue"/>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746"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Характеристика №2.</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pPr>
            <w:r>
              <w:rPr>
                <w:rFonts w:ascii="Courier New" w:hAnsi="Courier New" w:eastAsia="Courier New" w:cs="Courier New"/>
                <w:color w:val="000000"/>
                <w:sz w:val="18"/>
                <w:szCs w:val="18"/>
              </w:rPr>
              <w:t xml:space="preserve">«Предложение по развитию подсистемы мониторинга хода строительства в части реализации процесса создания карточки объекта капитального строительства на основании Постановления Правительства РФ от 05.03.2007 №145</w:t>
            </w:r>
            <w:r/>
          </w:p>
          <w:p>
            <w:pPr>
              <w:pStyle w:val="880"/>
              <w:rPr>
                <w:rFonts w:ascii="Courier New" w:hAnsi="Courier New" w:eastAsia="Courier New" w:cs="Courier New"/>
                <w:color w:val="000000"/>
                <w:sz w:val="18"/>
                <w:szCs w:val="18"/>
              </w:rPr>
            </w:pPr>
            <w:r>
              <w:rPr>
                <w:rFonts w:ascii="Courier New" w:hAnsi="Courier New" w:eastAsia="Courier New" w:cs="Courier New"/>
                <w:color w:val="000000"/>
                <w:sz w:val="18"/>
                <w:szCs w:val="18"/>
              </w:rPr>
              <w:t xml:space="preserve">«О порядке организации и проведения государственной экспертизы проектной документации и результатов инженерных изысканий» и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r>
          </w:p>
          <w:p>
            <w:pPr>
              <w:pStyle w:val="880"/>
              <w:rPr>
                <w:rFonts w:ascii="Courier New" w:hAnsi="Courier New" w:cs="Courier New"/>
                <w:sz w:val="18"/>
                <w:szCs w:val="18"/>
              </w:rPr>
            </w:pPr>
            <w:r>
              <w:rPr>
                <w:rFonts w:ascii="Courier New" w:hAnsi="Courier New" w:eastAsia="Courier New" w:cs="Courier New"/>
                <w:color w:val="000000"/>
                <w:sz w:val="18"/>
                <w:szCs w:val="18"/>
              </w:rPr>
              <w:t xml:space="preserve">«Об установлении типовой формы вы</w:t>
            </w:r>
            <w:r>
              <w:rPr>
                <w:rFonts w:ascii="Courier New" w:hAnsi="Courier New" w:eastAsia="Courier New" w:cs="Courier New"/>
                <w:color w:val="000000"/>
                <w:sz w:val="18"/>
                <w:szCs w:val="18"/>
              </w:rPr>
              <w:t xml:space="preserve">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с учетом отображения в ней признака дочерних (вложенных) объектов» (</w:t>
            </w:r>
            <w:r>
              <w:rPr>
                <w:rFonts w:ascii="Courier New" w:hAnsi="Courier New" w:cs="Courier New"/>
                <w:sz w:val="18"/>
                <w:szCs w:val="18"/>
              </w:rPr>
              <w:t xml:space="preserve">п.3.6.4 Технического задания)</w:t>
            </w:r>
            <w:r>
              <w:rPr>
                <w:rFonts w:ascii="Courier New" w:hAnsi="Courier New" w:cs="Courier New"/>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50</w:t>
            </w:r>
            <w:r>
              <w:rPr>
                <w:rFonts w:ascii="Courier New" w:hAnsi="Courier New" w:cs="Courier New"/>
                <w:sz w:val="18"/>
                <w:szCs w:val="18"/>
              </w:rPr>
            </w:r>
          </w:p>
        </w:tc>
        <w:tc>
          <w:tcPr>
            <w:gridSpan w:val="2"/>
            <w:tcW w:w="6214" w:type="dxa"/>
            <w:vMerge w:val="continue"/>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4"/>
        </w:trPr>
        <w:tc>
          <w:tcPr>
            <w:tcW w:w="454"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3.</w:t>
            </w:r>
            <w:r>
              <w:rPr>
                <w:rFonts w:ascii="Courier New" w:hAnsi="Courier New" w:cs="Courier New"/>
                <w:sz w:val="18"/>
                <w:szCs w:val="18"/>
              </w:rPr>
            </w:r>
          </w:p>
        </w:tc>
        <w:tc>
          <w:tcPr>
            <w:tcW w:w="145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Квалификация участников закупки, в том числе наличие у них финансовых ресурсов, оборудования и д</w:t>
            </w:r>
            <w:r>
              <w:rPr>
                <w:rFonts w:ascii="Courier New" w:hAnsi="Courier New" w:cs="Courier New"/>
                <w:sz w:val="18"/>
                <w:szCs w:val="18"/>
              </w:rPr>
              <w:t xml:space="preserve">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 квалификация участников закупки) </w:t>
            </w:r>
            <w:r>
              <w:rPr>
                <w:rFonts w:ascii="Courier New" w:hAnsi="Courier New" w:cs="Courier New"/>
                <w:sz w:val="18"/>
                <w:szCs w:val="18"/>
              </w:rPr>
            </w:r>
          </w:p>
        </w:tc>
        <w:tc>
          <w:tcPr>
            <w:tcW w:w="1418"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50</w:t>
            </w:r>
            <w:r>
              <w:rPr>
                <w:rFonts w:ascii="Courier New" w:hAnsi="Courier New" w:cs="Courier New"/>
                <w:sz w:val="18"/>
                <w:szCs w:val="18"/>
              </w:rPr>
            </w:r>
          </w:p>
        </w:tc>
        <w:tc>
          <w:tcPr>
            <w:tcW w:w="992"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1.Наличие у участников закупки опыта работы, связанного с предметом контракта</w:t>
            </w:r>
            <w:r>
              <w:rPr>
                <w:rFonts w:ascii="Courier New" w:hAnsi="Courier New" w:cs="Courier New"/>
                <w:sz w:val="18"/>
                <w:szCs w:val="18"/>
              </w:rPr>
            </w:r>
          </w:p>
        </w:tc>
        <w:tc>
          <w:tcPr>
            <w:tcW w:w="1417"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80</w:t>
            </w:r>
            <w:r>
              <w:rPr>
                <w:rFonts w:ascii="Courier New" w:hAnsi="Courier New" w:cs="Courier New"/>
                <w:sz w:val="18"/>
                <w:szCs w:val="18"/>
              </w:rPr>
            </w:r>
          </w:p>
        </w:tc>
        <w:tc>
          <w:tcPr>
            <w:tcW w:w="1746"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Характеристика квалификации участников закупки №1.</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Наибольшая цена одного из исполненных участником закупки договоров</w:t>
            </w:r>
            <w:r>
              <w:rPr>
                <w:rFonts w:ascii="Courier New" w:hAnsi="Courier New" w:cs="Courier New"/>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100</w:t>
            </w:r>
            <w:r>
              <w:rPr>
                <w:rFonts w:ascii="Courier New" w:hAnsi="Courier New" w:cs="Courier New"/>
                <w:sz w:val="18"/>
                <w:szCs w:val="18"/>
              </w:rPr>
            </w:r>
          </w:p>
        </w:tc>
        <w:tc>
          <w:tcPr>
            <w:gridSpan w:val="2"/>
            <w:tcW w:w="6214"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Значение количества баллов по детализирующему показателю, присваиваемых заявке, подлежащей в соответствии с Законом №44-ФЗ оценке по критерию оценки «квалификация участников закупки» (</w:t>
            </w:r>
            <w:r>
              <w:rPr>
                <w:rFonts w:ascii="Courier New" w:hAnsi="Courier New" w:cs="Courier New"/>
                <w:sz w:val="18"/>
                <w:szCs w:val="18"/>
              </w:rPr>
              <w:t xml:space="preserve">БХi</w:t>
            </w:r>
            <w:r>
              <w:rPr>
                <w:rFonts w:ascii="Courier New" w:hAnsi="Courier New" w:cs="Courier New"/>
                <w:sz w:val="18"/>
                <w:szCs w:val="18"/>
              </w:rPr>
              <w:t xml:space="preserve">) рассчитывается по формуле, предусмотренной</w:t>
            </w:r>
            <w:r>
              <w:rPr>
                <w:rFonts w:ascii="Courier New" w:hAnsi="Courier New" w:cs="Courier New"/>
                <w:b/>
                <w:sz w:val="18"/>
                <w:szCs w:val="18"/>
              </w:rPr>
              <w:t xml:space="preserve"> подпунктом б) </w:t>
            </w:r>
            <w:r>
              <w:rPr>
                <w:rFonts w:ascii="Courier New" w:hAnsi="Courier New" w:cs="Courier New"/>
                <w:sz w:val="18"/>
                <w:szCs w:val="18"/>
              </w:rPr>
              <w:t xml:space="preserve">пункта 20 Положения (в случае, если лучшим является наибольшее значение):</w:t>
            </w:r>
            <w:r>
              <w:rPr>
                <w:rFonts w:ascii="Courier New" w:hAnsi="Courier New" w:cs="Courier New"/>
                <w:sz w:val="18"/>
                <w:szCs w:val="18"/>
              </w:rPr>
            </w:r>
          </w:p>
          <w:p>
            <w:pPr>
              <w:pStyle w:val="880"/>
              <w:jc w:val="both"/>
              <w:rPr>
                <w:rFonts w:ascii="Courier New" w:hAnsi="Courier New" w:cs="Courier New"/>
                <w:sz w:val="18"/>
                <w:szCs w:val="18"/>
              </w:rPr>
            </w:pPr>
            <w:r>
              <w:rPr>
                <w:position w:val="-28"/>
                <w:sz w:val="18"/>
                <w:szCs w:val="18"/>
              </w:rPr>
              <mc:AlternateContent>
                <mc:Choice Requires="wpg">
                  <w:drawing>
                    <wp:inline xmlns:wp="http://schemas.openxmlformats.org/drawingml/2006/wordprocessingDrawing" distT="0" distB="0" distL="0" distR="0">
                      <wp:extent cx="2254860" cy="446456"/>
                      <wp:effectExtent l="0" t="0" r="0" b="0"/>
                      <wp:docPr id="5"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5"/>
                              <a:stretch/>
                            </pic:blipFill>
                            <pic:spPr bwMode="auto">
                              <a:xfrm>
                                <a:off x="0" y="0"/>
                                <a:ext cx="2254860" cy="44645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77.55pt;height:35.15pt;mso-wrap-distance-left:0.00pt;mso-wrap-distance-top:0.00pt;mso-wrap-distance-right:0.00pt;mso-wrap-distance-bottom:0.00pt;" stroked="f">
                      <v:path textboxrect="0,0,0,0"/>
                      <v:imagedata r:id="rId15" o:title=""/>
                    </v:shape>
                  </w:pict>
                </mc:Fallback>
              </mc:AlternateConten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где: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Хmax</w:t>
            </w:r>
            <w:r>
              <w:rPr>
                <w:rFonts w:ascii="Courier New" w:hAnsi="Courier New" w:cs="Courier New"/>
                <w:sz w:val="18"/>
                <w:szCs w:val="18"/>
              </w:rPr>
              <w:t xml:space="preserve"> - максимальное значение, содержащееся в заявках (частях заявок), подлежащих в соответствии с Законом №44-ФЗ оценке по критерию оценки</w:t>
            </w:r>
            <w:r>
              <w:rPr>
                <w:rFonts w:ascii="Courier New" w:hAnsi="Courier New" w:eastAsia="Calibri" w:cs="Courier New"/>
                <w:sz w:val="18"/>
                <w:szCs w:val="18"/>
                <w:lang w:eastAsia="en-US"/>
              </w:rPr>
              <w:t xml:space="preserve"> «квалификация участников</w:t>
            </w:r>
            <w:r>
              <w:rPr>
                <w:rFonts w:ascii="Courier New" w:hAnsi="Courier New" w:cs="Courier New"/>
                <w:sz w:val="18"/>
                <w:szCs w:val="18"/>
              </w:rPr>
              <w:t xml:space="preserve">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Хi</w:t>
            </w:r>
            <w:r>
              <w:rPr>
                <w:rFonts w:ascii="Courier New" w:hAnsi="Courier New" w:cs="Courier New"/>
                <w:sz w:val="18"/>
                <w:szCs w:val="18"/>
              </w:rPr>
              <w:t xml:space="preserve"> - значение, содержащееся в предложении участника закупки, заявка (часть заявки) которого подлежит в соответствии с Законом №44-ФЗ оценке по критерию оценки «квалификация участников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Хmin</w:t>
            </w:r>
            <w:r>
              <w:rPr>
                <w:rFonts w:ascii="Courier New" w:hAnsi="Courier New" w:cs="Courier New"/>
                <w:sz w:val="18"/>
                <w:szCs w:val="18"/>
              </w:rPr>
              <w:t xml:space="preserve"> - минимальное значение, содержащееся в заявках (частях заявок), подлежащих в соответствии с Законом 44-ФЗ оценке по критерию оценки «квалификация участников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w:t>
            </w:r>
            <w:r>
              <w:rPr>
                <w:rFonts w:ascii="Courier New" w:hAnsi="Courier New" w:cs="Courier New"/>
                <w:sz w:val="18"/>
                <w:szCs w:val="18"/>
              </w:rPr>
              <w:t xml:space="preserve">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i/>
                <w:sz w:val="18"/>
                <w:szCs w:val="18"/>
              </w:rPr>
            </w:pPr>
            <w:r>
              <w:rPr>
                <w:rFonts w:ascii="Courier New" w:hAnsi="Courier New" w:cs="Courier New"/>
                <w:sz w:val="18"/>
                <w:szCs w:val="18"/>
              </w:rPr>
              <w:t xml:space="preserve">Оценка заявки</w:t>
            </w:r>
            <w:r>
              <w:rPr>
                <w:rFonts w:ascii="Courier New" w:hAnsi="Courier New" w:cs="Courier New"/>
                <w:sz w:val="18"/>
                <w:szCs w:val="18"/>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Courier New" w:hAnsi="Courier New" w:cs="Courier New"/>
                <w:sz w:val="18"/>
                <w:szCs w:val="18"/>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i/>
                <w:sz w:val="18"/>
                <w:szCs w:val="18"/>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4"/>
        </w:trPr>
        <w:tc>
          <w:tcPr>
            <w:tcW w:w="454"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451" w:type="dxa"/>
            <w:textDirection w:val="lrTb"/>
            <w:noWrap w:val="false"/>
          </w:tcPr>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1418"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c>
          <w:tcPr>
            <w:tcW w:w="992"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2.Наличие у участников закупки специалистов и иных работников определённого уровня квалификации</w:t>
            </w:r>
            <w:r>
              <w:rPr>
                <w:rFonts w:ascii="Courier New" w:hAnsi="Courier New" w:cs="Courier New"/>
                <w:sz w:val="18"/>
                <w:szCs w:val="18"/>
              </w:rPr>
            </w:r>
          </w:p>
        </w:tc>
        <w:tc>
          <w:tcPr>
            <w:tcW w:w="1417"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20</w:t>
            </w:r>
            <w:r>
              <w:rPr>
                <w:rFonts w:ascii="Courier New" w:hAnsi="Courier New" w:cs="Courier New"/>
                <w:sz w:val="18"/>
                <w:szCs w:val="18"/>
              </w:rPr>
            </w:r>
          </w:p>
        </w:tc>
        <w:tc>
          <w:tcPr>
            <w:tcW w:w="1746"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Характеристика квалификации участников закупки №1 (Количество специалистов и иных работников определённого уровня квалификации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по информационным системам)</w:t>
            </w:r>
            <w:r>
              <w:rPr>
                <w:rFonts w:ascii="Courier New" w:hAnsi="Courier New" w:cs="Courier New"/>
                <w:sz w:val="18"/>
                <w:szCs w:val="18"/>
              </w:rPr>
            </w:r>
          </w:p>
        </w:tc>
        <w:tc>
          <w:tcPr>
            <w:tcW w:w="1515"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100</w:t>
            </w:r>
            <w:r>
              <w:rPr>
                <w:rFonts w:ascii="Courier New" w:hAnsi="Courier New" w:cs="Courier New"/>
                <w:sz w:val="18"/>
                <w:szCs w:val="18"/>
              </w:rPr>
            </w:r>
          </w:p>
        </w:tc>
        <w:tc>
          <w:tcPr>
            <w:gridSpan w:val="2"/>
            <w:tcW w:w="6214"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Значение количества баллов по детализирующему показателю, присваиваемых заявке, подлежащей в соответствии с Законом №44-ФЗ оценке по критерию оценки квалификация участников закупки (</w:t>
            </w:r>
            <w:r>
              <w:rPr>
                <w:rFonts w:ascii="Courier New" w:hAnsi="Courier New" w:cs="Courier New"/>
                <w:sz w:val="18"/>
                <w:szCs w:val="18"/>
              </w:rPr>
              <w:t xml:space="preserve">БХi</w:t>
            </w:r>
            <w:r>
              <w:rPr>
                <w:rFonts w:ascii="Courier New" w:hAnsi="Courier New" w:cs="Courier New"/>
                <w:sz w:val="18"/>
                <w:szCs w:val="18"/>
              </w:rPr>
              <w:t xml:space="preserve">) рассчитывается по формуле, предусмотренной</w:t>
            </w:r>
            <w:r>
              <w:rPr>
                <w:rFonts w:ascii="Courier New" w:hAnsi="Courier New" w:cs="Courier New"/>
                <w:b/>
                <w:sz w:val="18"/>
                <w:szCs w:val="18"/>
              </w:rPr>
              <w:t xml:space="preserve"> </w:t>
            </w:r>
            <w:r>
              <w:rPr>
                <w:rFonts w:ascii="Courier New" w:hAnsi="Courier New" w:cs="Courier New"/>
                <w:b/>
                <w:sz w:val="18"/>
                <w:szCs w:val="18"/>
              </w:rPr>
              <w:br w:type="textWrapping" w:clear="all"/>
              <w:t xml:space="preserve">подпунктом е) </w:t>
            </w:r>
            <w:r>
              <w:rPr>
                <w:rFonts w:ascii="Courier New" w:hAnsi="Courier New" w:cs="Courier New"/>
                <w:sz w:val="18"/>
                <w:szCs w:val="18"/>
              </w:rPr>
              <w:t xml:space="preserve">пункта 20 Положения: (в случае, если лучшим является наибольшее значение и установлено предельное максимальное значение): </w:t>
            </w:r>
            <w:r>
              <w:rPr>
                <w:rFonts w:ascii="Courier New" w:hAnsi="Courier New" w:cs="Courier New"/>
                <w:sz w:val="18"/>
                <w:szCs w:val="18"/>
              </w:rPr>
            </w:r>
          </w:p>
          <w:p>
            <w:pPr>
              <w:pStyle w:val="880"/>
              <w:jc w:val="center"/>
              <w:rPr>
                <w:rFonts w:ascii="Courier New" w:hAnsi="Courier New" w:cs="Courier New"/>
                <w:sz w:val="18"/>
                <w:szCs w:val="18"/>
              </w:rPr>
            </w:pPr>
            <w:r>
              <w:rPr>
                <w:rFonts w:ascii="Courier New" w:hAnsi="Courier New" w:cs="Courier New"/>
                <w:position w:val="-21"/>
                <w:sz w:val="24"/>
                <w:szCs w:val="24"/>
              </w:rPr>
              <mc:AlternateContent>
                <mc:Choice Requires="wpg">
                  <w:drawing>
                    <wp:inline xmlns:wp="http://schemas.openxmlformats.org/drawingml/2006/wordprocessingDrawing" distT="0" distB="0" distL="0" distR="0">
                      <wp:extent cx="2095767" cy="478346"/>
                      <wp:effectExtent l="0" t="0" r="0" b="0"/>
                      <wp:docPr id="6" name="_x0000_i103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stretch/>
                            </pic:blipFill>
                            <pic:spPr bwMode="auto">
                              <a:xfrm>
                                <a:off x="0" y="0"/>
                                <a:ext cx="2095767" cy="47834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65.02pt;height:37.67pt;mso-wrap-distance-left:0.00pt;mso-wrap-distance-top:0.00pt;mso-wrap-distance-right:0.00pt;mso-wrap-distance-bottom:0.00pt;" stroked="f">
                      <v:path textboxrect="0,0,0,0"/>
                      <v:imagedata r:id="rId16" o:title=""/>
                    </v:shape>
                  </w:pict>
                </mc:Fallback>
              </mc:AlternateConten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где:</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Хi</w:t>
            </w:r>
            <w:r>
              <w:rPr>
                <w:rFonts w:ascii="Courier New" w:hAnsi="Courier New" w:cs="Courier New"/>
                <w:sz w:val="18"/>
                <w:szCs w:val="18"/>
              </w:rPr>
              <w:t xml:space="preserve"> -– значение, содержащееся в предложении участника закупки, заявка (часть заявки) которого подлежит в соответствии с Законом №44-ФЗ оценке по критерию оценки квалификация участников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Хmin</w:t>
            </w:r>
            <w:r>
              <w:rPr>
                <w:rFonts w:ascii="Courier New" w:hAnsi="Courier New" w:cs="Courier New"/>
                <w:sz w:val="18"/>
                <w:szCs w:val="18"/>
              </w:rPr>
              <w:t xml:space="preserve"> -– минимальное значение, содержащееся в заявках (частях заявок), подлежащих в соответствии с Законом №44-ФЗ оценке по критерию оценки квалификация участников закупки;</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position w:val="-7"/>
                <w:sz w:val="18"/>
                <w:szCs w:val="18"/>
              </w:rPr>
              <mc:AlternateContent>
                <mc:Choice Requires="wpg">
                  <w:drawing>
                    <wp:inline xmlns:wp="http://schemas.openxmlformats.org/drawingml/2006/wordprocessingDrawing" distT="0" distB="0" distL="0" distR="0">
                      <wp:extent cx="351130" cy="255270"/>
                      <wp:effectExtent l="0" t="0" r="0" b="0"/>
                      <wp:docPr id="7"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7"/>
                              <a:stretch/>
                            </pic:blipFill>
                            <pic:spPr bwMode="auto">
                              <a:xfrm>
                                <a:off x="0" y="0"/>
                                <a:ext cx="351130" cy="2552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27.65pt;height:20.10pt;mso-wrap-distance-left:0.00pt;mso-wrap-distance-top:0.00pt;mso-wrap-distance-right:0.00pt;mso-wrap-distance-bottom:0.00pt;" stroked="f">
                      <v:path textboxrect="0,0,0,0"/>
                      <v:imagedata r:id="rId17" o:title=""/>
                    </v:shape>
                  </w:pict>
                </mc:Fallback>
              </mc:AlternateContent>
            </w:r>
            <w:r>
              <w:rPr>
                <w:rFonts w:ascii="Courier New" w:hAnsi="Courier New" w:cs="Courier New"/>
                <w:sz w:val="18"/>
                <w:szCs w:val="18"/>
              </w:rPr>
              <w:t xml:space="preserve">- предельное максимальное значение, установленное заказчиком.</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sz w:val="18"/>
              </w:rPr>
            </w:pPr>
            <w:r>
              <w:rPr>
                <w:rFonts w:ascii="Courier New" w:hAnsi="Courier New" w:cs="Courier New"/>
                <w:sz w:val="18"/>
                <w:szCs w:val="18"/>
              </w:rPr>
              <w:t xml:space="preserve">Если установлены предусмотренные пунктом 20 Положения предельное максимальное и (или) предельное минимальное значение и в предложении участника </w:t>
            </w:r>
            <w:r>
              <w:rPr>
                <w:rFonts w:ascii="Courier New" w:hAnsi="Courier New" w:cs="Courier New"/>
                <w:sz w:val="18"/>
                <w:szCs w:val="18"/>
              </w:rPr>
              <w:t xml:space="preserve">закупки содержится значение, которое выше и (или) ниже такого предельного значения соответственно, баллы по детализирующему показателю в соответствии с пунктом 20 Положения присваиваются в размере, предусмотренном для соответствующего предельного значения.</w:t>
            </w:r>
            <w:r>
              <w:rPr>
                <w:rFonts w:ascii="Courier New" w:hAnsi="Courier New"/>
                <w:sz w:val="18"/>
              </w:rPr>
            </w:r>
          </w:p>
          <w:p>
            <w:pPr>
              <w:pStyle w:val="880"/>
              <w:jc w:val="both"/>
              <w:rPr>
                <w:rFonts w:ascii="Courier New" w:hAnsi="Courier New"/>
                <w:sz w:val="18"/>
              </w:rPr>
            </w:pPr>
            <w:r>
              <w:rPr>
                <w:rFonts w:ascii="Courier New" w:hAnsi="Courier New"/>
                <w:sz w:val="18"/>
              </w:rPr>
            </w:r>
            <w:r>
              <w:rPr>
                <w:rFonts w:ascii="Courier New" w:hAnsi="Courier New"/>
                <w:sz w:val="18"/>
              </w:rPr>
            </w:r>
          </w:p>
          <w:p>
            <w:pPr>
              <w:pStyle w:val="880"/>
              <w:jc w:val="both"/>
              <w:rPr>
                <w:rFonts w:ascii="Courier New" w:hAnsi="Courier New" w:cs="Courier New"/>
                <w:sz w:val="18"/>
                <w:szCs w:val="18"/>
              </w:rPr>
            </w:pPr>
            <w:r>
              <w:rPr>
                <w:rFonts w:ascii="Courier New" w:hAnsi="Courier New" w:cs="Courier New"/>
                <w:sz w:val="18"/>
                <w:szCs w:val="18"/>
              </w:rPr>
              <w:t xml:space="preserve">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w:t>
            </w:r>
            <w:r>
              <w:rPr>
                <w:rFonts w:ascii="Courier New" w:hAnsi="Courier New" w:cs="Courier New"/>
                <w:sz w:val="18"/>
                <w:szCs w:val="18"/>
              </w:rPr>
              <w:t xml:space="preserve">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Оценка заявки</w:t>
            </w:r>
            <w:r>
              <w:rPr>
                <w:rFonts w:ascii="Courier New" w:hAnsi="Courier New" w:cs="Courier New"/>
                <w:sz w:val="18"/>
                <w:szCs w:val="18"/>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Courier New" w:hAnsi="Courier New" w:cs="Courier New"/>
                <w:sz w:val="18"/>
                <w:szCs w:val="18"/>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Courier New" w:hAnsi="Courier New" w:cs="Courier New"/>
                <w:sz w:val="18"/>
                <w:szCs w:val="18"/>
              </w:rPr>
            </w:r>
          </w:p>
        </w:tc>
      </w:tr>
    </w:tbl>
    <w:p>
      <w:pPr>
        <w:pStyle w:val="880"/>
        <w:jc w:val="both"/>
        <w:rPr>
          <w:rFonts w:ascii="Courier New" w:hAnsi="Courier New" w:cs="Courier New"/>
          <w:sz w:val="20"/>
        </w:rPr>
      </w:pPr>
      <w:r>
        <w:rPr>
          <w:rFonts w:ascii="Courier New" w:hAnsi="Courier New" w:cs="Courier New"/>
          <w:sz w:val="20"/>
        </w:rPr>
      </w:r>
      <w:r>
        <w:rPr>
          <w:rFonts w:ascii="Courier New" w:hAnsi="Courier New" w:cs="Courier New"/>
          <w:sz w:val="20"/>
        </w:rPr>
      </w:r>
    </w:p>
    <w:tbl>
      <w:tblPr>
        <w:tblW w:w="15088" w:type="dxa"/>
        <w:tblLayout w:type="fixed"/>
        <w:tblCellMar>
          <w:left w:w="62" w:type="dxa"/>
          <w:top w:w="102" w:type="dxa"/>
          <w:right w:w="62" w:type="dxa"/>
          <w:bottom w:w="102" w:type="dxa"/>
        </w:tblCellMar>
        <w:tblLook w:val="04A0" w:firstRow="1" w:lastRow="0" w:firstColumn="1" w:lastColumn="0" w:noHBand="0" w:noVBand="1"/>
      </w:tblPr>
      <w:tblGrid>
        <w:gridCol w:w="15088"/>
      </w:tblGrid>
      <w:tr>
        <w:tblPrEx/>
        <w:trPr/>
        <w:tc>
          <w:tcPr>
            <w:tcBorders>
              <w:top w:val="none" w:color="000000" w:sz="4" w:space="0"/>
              <w:left w:val="none" w:color="000000" w:sz="4" w:space="0"/>
              <w:bottom w:val="none" w:color="000000" w:sz="4" w:space="0"/>
              <w:right w:val="none" w:color="000000" w:sz="4" w:space="0"/>
            </w:tcBorders>
            <w:tcW w:w="15088" w:type="dxa"/>
            <w:textDirection w:val="lrTb"/>
            <w:noWrap w:val="false"/>
          </w:tcPr>
          <w:p>
            <w:pPr>
              <w:pStyle w:val="880"/>
              <w:jc w:val="center"/>
              <w:rPr>
                <w:rFonts w:ascii="Courier New" w:hAnsi="Courier New" w:cs="Courier New"/>
                <w:sz w:val="18"/>
                <w:szCs w:val="18"/>
              </w:rPr>
              <w:outlineLvl w:val="2"/>
            </w:pPr>
            <w:r/>
            <w:bookmarkStart w:id="2" w:name="P425"/>
            <w:r/>
            <w:bookmarkEnd w:id="2"/>
            <w:r>
              <w:rPr>
                <w:rFonts w:ascii="Courier New" w:hAnsi="Courier New" w:cs="Courier New"/>
                <w:sz w:val="18"/>
                <w:szCs w:val="18"/>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tooltip="#P306" w:anchor="P306" w:history="1">
              <w:r>
                <w:rPr>
                  <w:rFonts w:ascii="Courier New" w:hAnsi="Courier New" w:cs="Courier New"/>
                  <w:color w:val="0000ff"/>
                  <w:sz w:val="18"/>
                  <w:szCs w:val="18"/>
                </w:rPr>
                <w:t xml:space="preserve">разделом II</w:t>
              </w:r>
            </w:hyperlink>
            <w:r>
              <w:rPr>
                <w:rFonts w:ascii="Courier New" w:hAnsi="Courier New" w:cs="Courier New"/>
                <w:sz w:val="18"/>
                <w:szCs w:val="18"/>
              </w:rPr>
              <w:t xml:space="preserve"> настоящего документа</w:t>
            </w:r>
            <w:r>
              <w:rPr>
                <w:rFonts w:ascii="Courier New" w:hAnsi="Courier New" w:cs="Courier New"/>
                <w:sz w:val="18"/>
                <w:szCs w:val="18"/>
              </w:rPr>
            </w:r>
          </w:p>
        </w:tc>
      </w:tr>
    </w:tbl>
    <w:p>
      <w:pPr>
        <w:pStyle w:val="880"/>
        <w:jc w:val="both"/>
        <w:rPr>
          <w:rFonts w:ascii="Courier New" w:hAnsi="Courier New" w:cs="Courier New"/>
          <w:sz w:val="20"/>
        </w:rPr>
      </w:pPr>
      <w:r>
        <w:rPr>
          <w:rFonts w:ascii="Courier New" w:hAnsi="Courier New" w:cs="Courier New"/>
          <w:sz w:val="20"/>
        </w:rPr>
      </w:r>
      <w:r>
        <w:rPr>
          <w:rFonts w:ascii="Courier New" w:hAnsi="Courier New" w:cs="Courier New"/>
          <w:sz w:val="20"/>
        </w:rPr>
      </w:r>
    </w:p>
    <w:tbl>
      <w:tblPr>
        <w:tblW w:w="15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771"/>
        <w:gridCol w:w="4473"/>
        <w:gridCol w:w="9986"/>
      </w:tblGrid>
      <w:tr>
        <w:tblPrEx/>
        <w:trPr/>
        <w:tc>
          <w:tcPr>
            <w:tcW w:w="771"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r>
          </w:p>
        </w:tc>
        <w:tc>
          <w:tcPr>
            <w:tcW w:w="4473"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tooltip="#P432" w:anchor="P432" w:history="1">
              <w:r>
                <w:rPr>
                  <w:rFonts w:ascii="Courier New" w:hAnsi="Courier New" w:cs="Courier New"/>
                  <w:color w:val="0000ff"/>
                  <w:sz w:val="18"/>
                  <w:szCs w:val="18"/>
                </w:rPr>
                <w:t xml:space="preserve">графой 3</w:t>
              </w:r>
            </w:hyperlink>
            <w:r/>
            <w:r>
              <w:rPr>
                <w:rFonts w:ascii="Courier New" w:hAnsi="Courier New" w:cs="Courier New"/>
                <w:sz w:val="18"/>
                <w:szCs w:val="18"/>
              </w:rPr>
            </w:r>
          </w:p>
        </w:tc>
        <w:tc>
          <w:tcPr>
            <w:tcW w:w="9986"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Положение о применении критерия оценки, показателя оценки, показателя оценки, детализирующего показатель оценки</w:t>
            </w:r>
            <w:r>
              <w:rPr>
                <w:rFonts w:ascii="Courier New" w:hAnsi="Courier New" w:cs="Courier New"/>
                <w:sz w:val="18"/>
                <w:szCs w:val="18"/>
              </w:rPr>
            </w:r>
          </w:p>
        </w:tc>
      </w:tr>
      <w:tr>
        <w:tblPrEx/>
        <w:trPr>
          <w:trHeight w:val="23"/>
        </w:trPr>
        <w:tc>
          <w:tcPr>
            <w:tcW w:w="771"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w:t>
            </w:r>
            <w:r>
              <w:rPr>
                <w:rFonts w:ascii="Courier New" w:hAnsi="Courier New" w:cs="Courier New"/>
                <w:sz w:val="18"/>
                <w:szCs w:val="18"/>
              </w:rPr>
            </w:r>
          </w:p>
        </w:tc>
        <w:tc>
          <w:tcPr>
            <w:tcW w:w="4473" w:type="dxa"/>
            <w:textDirection w:val="lrTb"/>
            <w:noWrap w:val="false"/>
          </w:tcPr>
          <w:p>
            <w:pPr>
              <w:pStyle w:val="880"/>
              <w:jc w:val="center"/>
              <w:rPr>
                <w:rFonts w:ascii="Courier New" w:hAnsi="Courier New" w:cs="Courier New"/>
                <w:sz w:val="18"/>
                <w:szCs w:val="18"/>
              </w:rPr>
            </w:pPr>
            <w:r/>
            <w:bookmarkStart w:id="3" w:name="P431"/>
            <w:r/>
            <w:bookmarkEnd w:id="3"/>
            <w:r>
              <w:rPr>
                <w:rFonts w:ascii="Courier New" w:hAnsi="Courier New" w:cs="Courier New"/>
                <w:sz w:val="18"/>
                <w:szCs w:val="18"/>
              </w:rPr>
              <w:t xml:space="preserve">2</w:t>
            </w:r>
            <w:r>
              <w:rPr>
                <w:rFonts w:ascii="Courier New" w:hAnsi="Courier New" w:cs="Courier New"/>
                <w:sz w:val="18"/>
                <w:szCs w:val="18"/>
              </w:rPr>
            </w:r>
          </w:p>
        </w:tc>
        <w:tc>
          <w:tcPr>
            <w:tcW w:w="9986" w:type="dxa"/>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3</w:t>
            </w:r>
            <w:r>
              <w:rPr>
                <w:rFonts w:ascii="Courier New" w:hAnsi="Courier New" w:cs="Courier New"/>
                <w:sz w:val="18"/>
                <w:szCs w:val="18"/>
              </w:rPr>
            </w:r>
          </w:p>
        </w:tc>
      </w:tr>
      <w:tr>
        <w:tblPrEx/>
        <w:trPr/>
        <w:tc>
          <w:tcPr>
            <w:tcW w:w="771" w:type="dxa"/>
            <w:vAlign w:val="center"/>
            <w:textDirection w:val="lrTb"/>
            <w:noWrap w:val="false"/>
          </w:tcPr>
          <w:p>
            <w:pPr>
              <w:pStyle w:val="880"/>
              <w:jc w:val="center"/>
              <w:rPr>
                <w:rFonts w:ascii="Courier New" w:hAnsi="Courier New" w:cs="Courier New"/>
                <w:sz w:val="18"/>
                <w:szCs w:val="18"/>
              </w:rPr>
            </w:pPr>
            <w:r>
              <w:rPr>
                <w:rFonts w:ascii="Courier New" w:hAnsi="Courier New" w:cs="Courier New"/>
                <w:sz w:val="18"/>
                <w:szCs w:val="18"/>
              </w:rPr>
              <w:t xml:space="preserve">1</w:t>
            </w:r>
            <w:r>
              <w:rPr>
                <w:rFonts w:ascii="Courier New" w:hAnsi="Courier New" w:cs="Courier New"/>
                <w:sz w:val="18"/>
                <w:szCs w:val="18"/>
              </w:rPr>
            </w:r>
          </w:p>
        </w:tc>
        <w:tc>
          <w:tcPr>
            <w:gridSpan w:val="2"/>
            <w:tcW w:w="14459"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Критерий:</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характеристики объекта закупки</w:t>
            </w:r>
            <w:r>
              <w:rPr>
                <w:rFonts w:ascii="Courier New" w:hAnsi="Courier New" w:cs="Courier New"/>
                <w:sz w:val="18"/>
                <w:szCs w:val="18"/>
              </w:rPr>
            </w:r>
          </w:p>
        </w:tc>
      </w:tr>
      <w:tr>
        <w:tblPrEx/>
        <w:trPr/>
        <w:tc>
          <w:tcPr>
            <w:tcW w:w="771" w:type="dxa"/>
            <w:vAlign w:val="center"/>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1.1</w:t>
            </w:r>
            <w:r>
              <w:rPr>
                <w:rFonts w:ascii="Courier New" w:hAnsi="Courier New" w:cs="Courier New"/>
                <w:sz w:val="18"/>
                <w:szCs w:val="18"/>
              </w:rPr>
            </w:r>
          </w:p>
        </w:tc>
        <w:tc>
          <w:tcPr>
            <w:gridSpan w:val="2"/>
            <w:tcW w:w="14459"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Показатель оценки: </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качественные характеристики объекта закупки</w:t>
            </w:r>
            <w:r>
              <w:rPr>
                <w:rFonts w:ascii="Courier New" w:hAnsi="Courier New" w:cs="Courier New"/>
                <w:sz w:val="18"/>
                <w:szCs w:val="18"/>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1.1.1</w:t>
            </w:r>
            <w:r>
              <w:rPr>
                <w:rFonts w:ascii="Courier New" w:hAnsi="Courier New" w:cs="Courier New"/>
                <w:sz w:val="18"/>
                <w:szCs w:val="18"/>
              </w:rPr>
            </w:r>
          </w:p>
        </w:tc>
        <w:tc>
          <w:tcPr>
            <w:tcW w:w="4473"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Детализирующий показатель: </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eastAsia="Courier New" w:cs="Courier New"/>
                <w:color w:val="000000"/>
                <w:sz w:val="18"/>
                <w:szCs w:val="18"/>
              </w:rPr>
              <w:t xml:space="preserve">«Предложение по доработке подсистемы ведения рее</w:t>
            </w:r>
            <w:r>
              <w:rPr>
                <w:rFonts w:ascii="Courier New" w:hAnsi="Courier New" w:eastAsia="Courier New" w:cs="Courier New"/>
                <w:color w:val="000000"/>
                <w:sz w:val="18"/>
                <w:szCs w:val="18"/>
              </w:rPr>
              <w:t xml:space="preserve">стров в части реализации создания реестра технико-экономических показателей на основании Постановления Правительства РФ от 16.02.2008 №87 «О составе разделов проектной документации и требованиях к их содержанию»,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t xml:space="preserve"> «Об установлении типовой формы выписки из реес</w:t>
            </w:r>
            <w:r>
              <w:rPr>
                <w:rFonts w:ascii="Courier New" w:hAnsi="Courier New" w:eastAsia="Courier New" w:cs="Courier New"/>
                <w:color w:val="000000"/>
                <w:sz w:val="18"/>
                <w:szCs w:val="18"/>
              </w:rPr>
              <w:t xml:space="preserve">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включая реализацию функций редактирования, фильтрации и выгрузки данных реестра» </w:t>
            </w:r>
            <w:r>
              <w:rPr>
                <w:rFonts w:ascii="Courier New" w:hAnsi="Courier New" w:eastAsia="Courier New" w:cs="Courier New"/>
                <w:sz w:val="18"/>
                <w:szCs w:val="18"/>
              </w:rPr>
              <w:t xml:space="preserve">(</w:t>
            </w:r>
            <w:r>
              <w:rPr>
                <w:rFonts w:ascii="Courier New" w:hAnsi="Courier New" w:cs="Courier New"/>
                <w:sz w:val="18"/>
                <w:szCs w:val="18"/>
              </w:rPr>
              <w:t xml:space="preserve">п.3.6.1 Технического задания)</w:t>
            </w:r>
            <w:r>
              <w:rPr>
                <w:rFonts w:ascii="Courier New" w:hAnsi="Courier New" w:cs="Courier New"/>
                <w:sz w:val="18"/>
                <w:szCs w:val="18"/>
              </w:rPr>
            </w:r>
          </w:p>
        </w:tc>
        <w:tc>
          <w:tcPr>
            <w:tcW w:w="9986"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Перечень свойств объекта закупки по детализирующему показателю:</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Предложение должно содержать:</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1) схему бизнес-процесса создания</w:t>
            </w:r>
            <w:r>
              <w:rPr>
                <w:rFonts w:ascii="Courier New" w:hAnsi="Courier New" w:cs="Courier New"/>
                <w:color w:val="000000" w:themeColor="text1"/>
                <w:sz w:val="18"/>
                <w:szCs w:val="18"/>
                <w:lang w:eastAsia="en-US"/>
              </w:rPr>
              <w:t xml:space="preserve"> реестра технико-экономических показателей. </w:t>
            </w:r>
            <w:r>
              <w:rPr>
                <w:rFonts w:ascii="Courier New" w:hAnsi="Courier New" w:cs="Courier New"/>
                <w:sz w:val="18"/>
                <w:szCs w:val="18"/>
              </w:rPr>
              <w:t xml:space="preserve">Схема должна</w:t>
            </w:r>
            <w:r>
              <w:rPr>
                <w:rFonts w:ascii="Courier New" w:hAnsi="Courier New" w:eastAsia="MS Mincho" w:cs="Courier New"/>
                <w:bCs/>
                <w:sz w:val="18"/>
                <w:szCs w:val="18"/>
              </w:rPr>
              <w:t xml:space="preserve"> быть представлена в нотации </w:t>
            </w:r>
            <w:r>
              <w:rPr>
                <w:rFonts w:ascii="Courier New" w:hAnsi="Courier New" w:eastAsia="MS Mincho" w:cs="Courier New"/>
                <w:bCs/>
                <w:sz w:val="18"/>
                <w:szCs w:val="18"/>
                <w:lang w:val="en-US"/>
              </w:rPr>
              <w:t xml:space="preserve">BPMN</w:t>
            </w:r>
            <w:r>
              <w:rPr>
                <w:rFonts w:ascii="Courier New" w:hAnsi="Courier New" w:eastAsia="MS Mincho" w:cs="Courier New"/>
                <w:bCs/>
                <w:sz w:val="18"/>
                <w:szCs w:val="18"/>
              </w:rPr>
              <w:t xml:space="preserve"> 2.0 (</w:t>
            </w:r>
            <w:r>
              <w:rPr>
                <w:rFonts w:ascii="Courier New" w:hAnsi="Courier New" w:eastAsia="MS Mincho" w:cs="Courier New"/>
                <w:bCs/>
                <w:sz w:val="18"/>
                <w:szCs w:val="18"/>
                <w:lang w:val="en-US"/>
              </w:rPr>
              <w:t xml:space="preserve">Business</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Process</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Model</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and</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Notation</w:t>
            </w:r>
            <w:r>
              <w:rPr>
                <w:rFonts w:ascii="Courier New" w:hAnsi="Courier New" w:eastAsia="MS Mincho" w:cs="Courier New"/>
                <w:bCs/>
                <w:sz w:val="18"/>
                <w:szCs w:val="18"/>
              </w:rPr>
              <w:t xml:space="preserve">)</w:t>
            </w:r>
            <w:r>
              <w:rPr>
                <w:rFonts w:ascii="Courier New" w:hAnsi="Courier New" w:eastAsia="Courier New" w:cs="Courier New"/>
                <w:sz w:val="18"/>
                <w:szCs w:val="18"/>
              </w:rPr>
              <w:t xml:space="preserve"> (Международный стандарт ISO/IEC 19510:2013)</w:t>
            </w:r>
            <w:r>
              <w:rPr>
                <w:rFonts w:ascii="Courier New" w:hAnsi="Courier New" w:eastAsia="MS Mincho" w:cs="Courier New"/>
                <w:bCs/>
                <w:sz w:val="18"/>
                <w:szCs w:val="18"/>
              </w:rPr>
              <w:t xml:space="preserve"> или </w:t>
            </w:r>
            <w:r>
              <w:rPr>
                <w:rFonts w:ascii="Courier New" w:hAnsi="Courier New" w:eastAsia="MS Mincho" w:cs="Courier New"/>
                <w:bCs/>
                <w:sz w:val="18"/>
                <w:szCs w:val="18"/>
                <w:lang w:val="en-US"/>
              </w:rPr>
              <w:t xml:space="preserve">UML</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Unified</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Modeling</w:t>
            </w:r>
            <w:r>
              <w:rPr>
                <w:rFonts w:ascii="Courier New" w:hAnsi="Courier New" w:eastAsia="MS Mincho" w:cs="Courier New"/>
                <w:bCs/>
                <w:sz w:val="18"/>
                <w:szCs w:val="18"/>
              </w:rPr>
              <w:t xml:space="preserve"> </w:t>
            </w:r>
            <w:r>
              <w:rPr>
                <w:rFonts w:ascii="Courier New" w:hAnsi="Courier New" w:eastAsia="MS Mincho" w:cs="Courier New"/>
                <w:bCs/>
                <w:sz w:val="18"/>
                <w:szCs w:val="18"/>
                <w:lang w:val="en-US"/>
              </w:rPr>
              <w:t xml:space="preserve">Language</w:t>
            </w:r>
            <w:r>
              <w:rPr>
                <w:rFonts w:ascii="Courier New" w:hAnsi="Courier New" w:eastAsia="Courier New" w:cs="Courier New"/>
                <w:sz w:val="18"/>
                <w:szCs w:val="18"/>
              </w:rPr>
              <w:t xml:space="preserve">) (Международный стандарт ISO/IEC 19501:2005)</w:t>
            </w:r>
            <w:r>
              <w:rPr>
                <w:rFonts w:ascii="Courier New" w:hAnsi="Courier New" w:cs="Courier New"/>
                <w:sz w:val="18"/>
                <w:szCs w:val="18"/>
              </w:rPr>
              <w:t xml:space="preserve">;</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2) </w:t>
            </w:r>
            <w:r>
              <w:rPr>
                <w:rFonts w:ascii="Courier New" w:hAnsi="Courier New" w:cs="Courier New"/>
                <w:sz w:val="18"/>
                <w:szCs w:val="18"/>
              </w:rPr>
              <w:t xml:space="preserve">текстовое описание всех элементов </w:t>
            </w:r>
            <w:r>
              <w:rPr>
                <w:rFonts w:ascii="Courier New" w:hAnsi="Courier New" w:cs="Courier New"/>
                <w:sz w:val="18"/>
                <w:szCs w:val="18"/>
              </w:rPr>
              <w:t xml:space="preserve">схемы </w:t>
            </w:r>
            <w:r>
              <w:rPr>
                <w:rFonts w:ascii="Courier New" w:hAnsi="Courier New" w:cs="Courier New"/>
                <w:sz w:val="18"/>
                <w:szCs w:val="18"/>
              </w:rPr>
              <w:t xml:space="preserve">бизнес-процесса</w:t>
            </w:r>
            <w:r>
              <w:rPr>
                <w:rFonts w:ascii="Courier New" w:hAnsi="Courier New" w:cs="Courier New"/>
                <w:sz w:val="18"/>
                <w:szCs w:val="18"/>
              </w:rPr>
              <w:t xml:space="preserve"> </w:t>
            </w:r>
            <w:r>
              <w:rPr>
                <w:rFonts w:ascii="Courier New" w:hAnsi="Courier New" w:cs="Courier New"/>
                <w:sz w:val="18"/>
                <w:szCs w:val="18"/>
              </w:rPr>
              <w:t xml:space="preserve">создания реестра технико-экономических показателей</w:t>
            </w:r>
            <w:r>
              <w:rPr>
                <w:rFonts w:ascii="Courier New" w:hAnsi="Courier New" w:cs="Courier New"/>
                <w:sz w:val="18"/>
                <w:szCs w:val="18"/>
              </w:rPr>
              <w:t xml:space="preserve">;</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3)</w:t>
            </w:r>
            <w:r>
              <w:rPr>
                <w:rFonts w:ascii="Courier New" w:hAnsi="Courier New" w:cs="Courier New"/>
                <w:sz w:val="18"/>
                <w:szCs w:val="18"/>
              </w:rPr>
              <w:t xml:space="preserve">текстовое описание порядка</w:t>
            </w:r>
            <w:r>
              <w:rPr>
                <w:rFonts w:ascii="Courier New" w:hAnsi="Courier New" w:cs="Courier New"/>
                <w:color w:val="000000" w:themeColor="text1"/>
                <w:sz w:val="18"/>
                <w:szCs w:val="18"/>
                <w:lang w:eastAsia="en-US"/>
              </w:rPr>
              <w:t xml:space="preserve"> создания реестра технико-экономических показателей, включая реализацию функций редактирования, фильтрации и выгрузки данных реестра. Текстовое описание должно также </w:t>
            </w:r>
            <w:r>
              <w:rPr>
                <w:rFonts w:ascii="Courier New" w:hAnsi="Courier New" w:cs="Courier New"/>
                <w:sz w:val="18"/>
                <w:szCs w:val="18"/>
              </w:rPr>
              <w:t xml:space="preserve">содержать описание процесса внесения, изменения и хранения содержащихся в реестре сведений;</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4</w:t>
            </w:r>
            <w:r>
              <w:rPr>
                <w:rFonts w:ascii="Courier New" w:hAnsi="Courier New" w:cs="Courier New"/>
                <w:sz w:val="18"/>
                <w:szCs w:val="18"/>
              </w:rPr>
              <w:t xml:space="preserve">) макет (макеты) экранных форм, отображающий пользовательский интерфейс при создании и ведении реестра, а также реализацию функциональных возможностей редактирования, фильтрации и выгрузки данных реестра. Макет должен содержать краткое т</w:t>
            </w:r>
            <w:r>
              <w:rPr>
                <w:rFonts w:ascii="Courier New" w:hAnsi="Courier New" w:cs="Courier New"/>
                <w:sz w:val="18"/>
                <w:szCs w:val="18"/>
                <w:lang w:eastAsia="en-US"/>
              </w:rPr>
              <w:t xml:space="preserve">екстовое описание всех функциональных элементов макета (макетов).</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1.1.2</w:t>
            </w:r>
            <w:r>
              <w:rPr>
                <w:rFonts w:ascii="Courier New" w:hAnsi="Courier New" w:cs="Courier New"/>
                <w:sz w:val="18"/>
                <w:szCs w:val="18"/>
              </w:rPr>
            </w:r>
          </w:p>
        </w:tc>
        <w:tc>
          <w:tcPr>
            <w:tcW w:w="4473"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Детализирующий показатель: </w:t>
            </w:r>
            <w:r>
              <w:rPr>
                <w:rFonts w:ascii="Courier New" w:hAnsi="Courier New" w:cs="Courier New"/>
                <w:sz w:val="18"/>
                <w:szCs w:val="18"/>
              </w:rPr>
            </w:r>
          </w:p>
          <w:p>
            <w:pPr>
              <w:pStyle w:val="880"/>
              <w:rPr>
                <w:rFonts w:ascii="Courier New" w:hAnsi="Courier New" w:eastAsia="Courier New" w:cs="Courier New"/>
                <w:color w:val="000000"/>
                <w:sz w:val="18"/>
                <w:szCs w:val="18"/>
              </w:rPr>
            </w:pPr>
            <w:r>
              <w:rPr>
                <w:rFonts w:ascii="Courier New" w:hAnsi="Courier New" w:eastAsia="Courier New" w:cs="Courier New"/>
                <w:color w:val="000000"/>
                <w:sz w:val="18"/>
                <w:szCs w:val="18"/>
              </w:rPr>
              <w:t xml:space="preserve">«Предложение по развитию подсистемы мониторинга хода строительства в части реализации процесса создания карточки объекта к</w:t>
            </w:r>
            <w:r>
              <w:rPr>
                <w:rFonts w:ascii="Courier New" w:hAnsi="Courier New" w:eastAsia="Courier New" w:cs="Courier New"/>
                <w:color w:val="000000"/>
                <w:sz w:val="18"/>
                <w:szCs w:val="18"/>
              </w:rPr>
              <w:t xml:space="preserve">апитального строительства на основании Постановления Правительства РФ от 05.03.2007 №145 «О порядке организации и проведения государственной экспертизы проектной документации и результатов инженерных изысканий» и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t xml:space="preserve"> «Об установлении типовой формы вы</w:t>
            </w:r>
            <w:r>
              <w:rPr>
                <w:rFonts w:ascii="Courier New" w:hAnsi="Courier New" w:eastAsia="Courier New" w:cs="Courier New"/>
                <w:color w:val="000000"/>
                <w:sz w:val="18"/>
                <w:szCs w:val="18"/>
              </w:rPr>
              <w:t xml:space="preserve">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с учетом отображения в ней признака дочерних (вложенных) объектов» (</w:t>
            </w:r>
            <w:r>
              <w:rPr>
                <w:rFonts w:ascii="Courier New" w:hAnsi="Courier New" w:cs="Courier New"/>
                <w:sz w:val="18"/>
                <w:szCs w:val="18"/>
              </w:rPr>
              <w:t xml:space="preserve">п.3.6.4 Технического задания)</w:t>
            </w:r>
            <w:r>
              <w:rPr>
                <w:rFonts w:ascii="Courier New" w:hAnsi="Courier New" w:eastAsia="Courier New" w:cs="Courier New"/>
                <w:color w:val="000000"/>
                <w:sz w:val="18"/>
                <w:szCs w:val="18"/>
              </w:rPr>
            </w:r>
          </w:p>
        </w:tc>
        <w:tc>
          <w:tcPr>
            <w:tcW w:w="9986" w:type="dxa"/>
            <w:textDirection w:val="lrTb"/>
            <w:noWrap w:val="false"/>
          </w:tcPr>
          <w:p>
            <w:pPr>
              <w:pStyle w:val="880"/>
              <w:rPr>
                <w:rFonts w:ascii="Courier New" w:hAnsi="Courier New" w:cs="Courier New"/>
                <w:sz w:val="18"/>
                <w:szCs w:val="18"/>
                <w:lang w:eastAsia="en-US"/>
              </w:rPr>
            </w:pPr>
            <w:r>
              <w:rPr>
                <w:rFonts w:ascii="Courier New" w:hAnsi="Courier New" w:cs="Courier New"/>
                <w:sz w:val="18"/>
                <w:szCs w:val="18"/>
                <w:lang w:eastAsia="en-US"/>
              </w:rPr>
              <w:t xml:space="preserve">Перечень свойств объекта закупки по детализирующему показателю:</w:t>
            </w:r>
            <w:r>
              <w:rPr>
                <w:rFonts w:ascii="Courier New" w:hAnsi="Courier New" w:cs="Courier New"/>
                <w:sz w:val="18"/>
                <w:szCs w:val="18"/>
                <w:lang w:eastAsia="en-US"/>
              </w:rPr>
            </w:r>
          </w:p>
          <w:p>
            <w:pPr>
              <w:pStyle w:val="880"/>
              <w:rPr>
                <w:rFonts w:ascii="Courier New" w:hAnsi="Courier New" w:cs="Courier New"/>
                <w:sz w:val="18"/>
                <w:szCs w:val="18"/>
                <w:lang w:eastAsia="en-US"/>
              </w:rPr>
            </w:pPr>
            <w:r>
              <w:rPr>
                <w:rFonts w:ascii="Courier New" w:hAnsi="Courier New" w:cs="Courier New"/>
                <w:sz w:val="18"/>
                <w:szCs w:val="18"/>
                <w:lang w:eastAsia="en-US"/>
              </w:rPr>
            </w:r>
            <w:r>
              <w:rPr>
                <w:rFonts w:ascii="Courier New" w:hAnsi="Courier New" w:cs="Courier New"/>
                <w:sz w:val="18"/>
                <w:szCs w:val="18"/>
                <w:lang w:eastAsia="en-US"/>
              </w:rPr>
            </w:r>
          </w:p>
          <w:p>
            <w:pPr>
              <w:pStyle w:val="880"/>
              <w:rPr>
                <w:rFonts w:ascii="Courier New" w:hAnsi="Courier New" w:cs="Courier New"/>
                <w:sz w:val="18"/>
                <w:szCs w:val="18"/>
              </w:rPr>
            </w:pPr>
            <w:r>
              <w:rPr>
                <w:rFonts w:ascii="Courier New" w:hAnsi="Courier New" w:cs="Courier New"/>
                <w:sz w:val="18"/>
                <w:szCs w:val="18"/>
                <w:lang w:eastAsia="en-US"/>
              </w:rPr>
              <w:t xml:space="preserve">Предложение должно содержать:</w:t>
            </w:r>
            <w:r>
              <w:rPr>
                <w:rFonts w:ascii="Courier New" w:hAnsi="Courier New" w:cs="Courier New"/>
                <w:sz w:val="18"/>
                <w:szCs w:val="18"/>
              </w:rPr>
            </w:r>
          </w:p>
          <w:p>
            <w:pPr>
              <w:pStyle w:val="880"/>
              <w:jc w:val="both"/>
              <w:rPr>
                <w:rFonts w:ascii="Courier New" w:hAnsi="Courier New" w:cs="Courier New"/>
                <w:sz w:val="18"/>
                <w:szCs w:val="18"/>
                <w:lang w:eastAsia="en-US"/>
              </w:rPr>
            </w:pPr>
            <w:r>
              <w:rPr>
                <w:rFonts w:ascii="Courier New" w:hAnsi="Courier New" w:cs="Courier New"/>
                <w:sz w:val="18"/>
                <w:szCs w:val="18"/>
              </w:rPr>
              <w:t xml:space="preserve">1) схему бизнес-процесса создания карточки объекта капитального строительства, с учетом отображения в ней признака дочерних (вложенных) объектов</w:t>
            </w:r>
            <w:r>
              <w:rPr>
                <w:rFonts w:ascii="Courier New" w:hAnsi="Courier New" w:cs="Courier New"/>
                <w:sz w:val="18"/>
                <w:szCs w:val="18"/>
                <w:lang w:eastAsia="en-US"/>
              </w:rPr>
              <w:t xml:space="preserve">;</w:t>
            </w:r>
            <w:r>
              <w:rPr>
                <w:rFonts w:ascii="Courier New" w:hAnsi="Courier New" w:cs="Courier New"/>
                <w:sz w:val="18"/>
                <w:szCs w:val="18"/>
                <w:lang w:eastAsia="en-US"/>
              </w:rPr>
            </w:r>
          </w:p>
          <w:p>
            <w:pPr>
              <w:pStyle w:val="880"/>
              <w:jc w:val="both"/>
              <w:rPr>
                <w:rFonts w:ascii="Courier New" w:hAnsi="Courier New" w:eastAsia="Courier New" w:cs="Courier New"/>
                <w:color w:val="000000"/>
                <w:sz w:val="18"/>
                <w:szCs w:val="18"/>
              </w:rPr>
            </w:pPr>
            <w:r>
              <w:rPr>
                <w:rFonts w:ascii="Courier New" w:hAnsi="Courier New" w:eastAsia="Courier New" w:cs="Courier New"/>
                <w:color w:val="000000"/>
                <w:sz w:val="18"/>
                <w:szCs w:val="18"/>
              </w:rPr>
              <w:t xml:space="preserve">2) текстовое описание шагов бизнес-процесса </w:t>
            </w:r>
            <w:r>
              <w:rPr>
                <w:rFonts w:ascii="Courier New" w:hAnsi="Courier New" w:cs="Courier New"/>
                <w:sz w:val="18"/>
                <w:szCs w:val="18"/>
              </w:rPr>
              <w:t xml:space="preserve">создания карточки объекта капитального строительства;</w:t>
            </w:r>
            <w:r>
              <w:rPr>
                <w:rFonts w:ascii="Courier New" w:hAnsi="Courier New" w:eastAsia="Courier New" w:cs="Courier New"/>
                <w:color w:val="000000"/>
                <w:sz w:val="18"/>
                <w:szCs w:val="18"/>
              </w:rPr>
            </w:r>
          </w:p>
          <w:p>
            <w:pPr>
              <w:pStyle w:val="880"/>
              <w:jc w:val="both"/>
              <w:rPr>
                <w:rFonts w:ascii="Courier New" w:hAnsi="Courier New" w:cs="Courier New"/>
                <w:sz w:val="18"/>
                <w:szCs w:val="18"/>
                <w:lang w:eastAsia="en-US"/>
              </w:rPr>
            </w:pPr>
            <w:r>
              <w:rPr>
                <w:rFonts w:ascii="Courier New" w:hAnsi="Courier New" w:cs="Courier New"/>
                <w:sz w:val="18"/>
                <w:szCs w:val="18"/>
                <w:lang w:eastAsia="en-US"/>
              </w:rPr>
              <w:t xml:space="preserve">3) текстовое описание полей карточки объекта капитального строительства, в том числе описание </w:t>
            </w:r>
            <w:r>
              <w:rPr>
                <w:rFonts w:ascii="Courier New" w:hAnsi="Courier New" w:cs="Courier New"/>
                <w:sz w:val="18"/>
                <w:szCs w:val="18"/>
              </w:rPr>
              <w:t xml:space="preserve">признака дочерних (вложенных) объектов</w:t>
            </w:r>
            <w:r>
              <w:rPr>
                <w:rFonts w:ascii="Courier New" w:hAnsi="Courier New" w:cs="Courier New"/>
                <w:sz w:val="18"/>
                <w:szCs w:val="18"/>
                <w:lang w:eastAsia="en-US"/>
              </w:rPr>
              <w:t xml:space="preserve">;</w:t>
            </w:r>
            <w:r>
              <w:rPr>
                <w:rFonts w:ascii="Courier New" w:hAnsi="Courier New" w:cs="Courier New"/>
                <w:sz w:val="18"/>
                <w:szCs w:val="18"/>
                <w:lang w:eastAsia="en-US"/>
              </w:rPr>
            </w:r>
          </w:p>
          <w:p>
            <w:pPr>
              <w:pStyle w:val="880"/>
              <w:jc w:val="both"/>
              <w:rPr>
                <w:rFonts w:ascii="Courier New" w:hAnsi="Courier New" w:cs="Courier New"/>
                <w:sz w:val="18"/>
                <w:szCs w:val="18"/>
              </w:rPr>
            </w:pPr>
            <w:r>
              <w:rPr>
                <w:rFonts w:ascii="Courier New" w:hAnsi="Courier New" w:cs="Courier New"/>
                <w:sz w:val="18"/>
                <w:szCs w:val="18"/>
                <w:lang w:eastAsia="en-US"/>
              </w:rPr>
              <w:t xml:space="preserve">4) макет (макеты) экранных форм, отображающий п</w:t>
            </w:r>
            <w:r>
              <w:rPr>
                <w:rFonts w:ascii="Courier New" w:hAnsi="Courier New" w:cs="Courier New"/>
                <w:sz w:val="18"/>
                <w:szCs w:val="18"/>
                <w:lang w:eastAsia="en-US"/>
              </w:rPr>
              <w:t xml:space="preserve">редлагаемый пользовательский интерфейс карточки объекта капитального строительства, в том числе функциональный элемент признака дочерних (вложенных) объектов. Макет должен содержать краткое текстовое описание всех функциональных элементов макета (макетов).</w:t>
            </w:r>
            <w:r>
              <w:rPr>
                <w:rFonts w:ascii="Courier New" w:hAnsi="Courier New" w:cs="Courier New"/>
                <w:sz w:val="18"/>
                <w:szCs w:val="18"/>
              </w:rPr>
            </w:r>
          </w:p>
          <w:p>
            <w:pPr>
              <w:pStyle w:val="880"/>
              <w:spacing w:line="276" w:lineRule="auto"/>
              <w:rPr>
                <w:rFonts w:ascii="Courier New" w:hAnsi="Courier New" w:cs="Courier New"/>
                <w:sz w:val="18"/>
                <w:szCs w:val="18"/>
                <w:lang w:eastAsia="en-US"/>
              </w:rPr>
            </w:pPr>
            <w:r/>
            <w:bookmarkStart w:id="4" w:name="_GoBack"/>
            <w:r/>
            <w:bookmarkEnd w:id="4"/>
            <w:r>
              <w:t xml:space="preserve">  </w:t>
            </w:r>
            <w:r>
              <w:rPr>
                <w:rFonts w:ascii="Courier New" w:hAnsi="Courier New" w:cs="Courier New"/>
                <w:sz w:val="18"/>
                <w:szCs w:val="18"/>
                <w:lang w:eastAsia="en-US"/>
              </w:rPr>
            </w:r>
          </w:p>
          <w:p>
            <w:pPr>
              <w:pStyle w:val="880"/>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tabs>
                <w:tab w:val="left" w:pos="1527" w:leader="none"/>
              </w:tabs>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r>
              <w:rPr>
                <w:rFonts w:ascii="Courier New" w:hAnsi="Courier New" w:cs="Courier New"/>
                <w:sz w:val="18"/>
                <w:szCs w:val="18"/>
              </w:rPr>
            </w:r>
          </w:p>
        </w:tc>
      </w:tr>
      <w:tr>
        <w:tblPrEx/>
        <w:trPr/>
        <w:tc>
          <w:tcPr>
            <w:tcW w:w="771"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2</w:t>
            </w:r>
            <w:r>
              <w:rPr>
                <w:rFonts w:ascii="Courier New" w:hAnsi="Courier New" w:cs="Courier New"/>
                <w:sz w:val="18"/>
                <w:szCs w:val="18"/>
              </w:rPr>
            </w:r>
          </w:p>
        </w:tc>
        <w:tc>
          <w:tcPr>
            <w:gridSpan w:val="2"/>
            <w:tcW w:w="14459"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Критерий:</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квалификация участников закупки</w:t>
            </w:r>
            <w:r>
              <w:rPr>
                <w:rFonts w:ascii="Courier New" w:hAnsi="Courier New" w:cs="Courier New"/>
                <w:sz w:val="18"/>
                <w:szCs w:val="18"/>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2.1</w:t>
            </w:r>
            <w:r>
              <w:rPr>
                <w:rFonts w:ascii="Courier New" w:hAnsi="Courier New" w:cs="Courier New"/>
                <w:sz w:val="18"/>
                <w:szCs w:val="18"/>
              </w:rPr>
            </w:r>
          </w:p>
        </w:tc>
        <w:tc>
          <w:tcPr>
            <w:gridSpan w:val="2"/>
            <w:tcW w:w="14459"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Показатель оценки: </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наличие у участников закупки опыта работы, связанного с предметом контракта</w:t>
            </w:r>
            <w:r>
              <w:rPr>
                <w:rFonts w:ascii="Courier New" w:hAnsi="Courier New" w:cs="Courier New"/>
                <w:sz w:val="18"/>
                <w:szCs w:val="18"/>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2.1.1</w:t>
            </w:r>
            <w:r>
              <w:rPr>
                <w:rFonts w:ascii="Courier New" w:hAnsi="Courier New" w:cs="Courier New"/>
                <w:sz w:val="18"/>
                <w:szCs w:val="18"/>
              </w:rPr>
            </w:r>
          </w:p>
        </w:tc>
        <w:tc>
          <w:tcPr>
            <w:tcW w:w="4473"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Детализирующий показатель: </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«Наибольшая цена одного из исполненных участником закупки договоров»</w:t>
            </w:r>
            <w:r>
              <w:rPr>
                <w:rFonts w:ascii="Courier New" w:hAnsi="Courier New" w:cs="Courier New"/>
                <w:sz w:val="18"/>
                <w:szCs w:val="18"/>
              </w:rPr>
            </w:r>
          </w:p>
        </w:tc>
        <w:tc>
          <w:tcPr>
            <w:tcW w:w="9986" w:type="dxa"/>
            <w:textDirection w:val="lrTb"/>
            <w:noWrap w:val="false"/>
          </w:tcPr>
          <w:p>
            <w:pPr>
              <w:pStyle w:val="880"/>
              <w:jc w:val="both"/>
              <w:rPr>
                <w:rFonts w:ascii="Courier New" w:hAnsi="Courier New" w:cs="Courier New"/>
                <w:sz w:val="18"/>
                <w:szCs w:val="18"/>
                <w:u w:val="single"/>
              </w:rPr>
            </w:pPr>
            <w:r>
              <w:rPr>
                <w:rFonts w:ascii="Courier New" w:hAnsi="Courier New" w:cs="Courier New"/>
                <w:sz w:val="18"/>
                <w:szCs w:val="18"/>
                <w:u w:val="single"/>
              </w:rPr>
              <w:t xml:space="preserve">Предмет договора (договоров), оцениваемый по данному детализирующему показателю, сопоставимый* с предметом контракта, заключаемого по результатам определения поставщика (подрядчика, исполнителя):</w:t>
            </w:r>
            <w:r>
              <w:rPr>
                <w:rFonts w:ascii="Courier New" w:hAnsi="Courier New" w:cs="Courier New"/>
                <w:sz w:val="18"/>
                <w:szCs w:val="18"/>
                <w:u w:val="single"/>
              </w:rPr>
            </w:r>
          </w:p>
          <w:p>
            <w:pPr>
              <w:pStyle w:val="880"/>
              <w:jc w:val="both"/>
              <w:rPr>
                <w:rFonts w:ascii="Courier New" w:hAnsi="Courier New" w:cs="Courier New"/>
                <w:sz w:val="18"/>
                <w:szCs w:val="18"/>
                <w:u w:val="single"/>
              </w:rPr>
            </w:pPr>
            <w:r>
              <w:rPr>
                <w:rFonts w:ascii="Courier New" w:hAnsi="Courier New" w:cs="Courier New"/>
                <w:sz w:val="18"/>
                <w:szCs w:val="18"/>
                <w:u w:val="single"/>
              </w:rPr>
            </w:r>
            <w:r>
              <w:rPr>
                <w:rFonts w:ascii="Courier New" w:hAnsi="Courier New" w:cs="Courier New"/>
                <w:sz w:val="18"/>
                <w:szCs w:val="18"/>
                <w:u w:val="single"/>
              </w:rPr>
            </w:r>
          </w:p>
          <w:p>
            <w:pPr>
              <w:pStyle w:val="880"/>
              <w:jc w:val="both"/>
              <w:rPr>
                <w:rFonts w:ascii="Courier New" w:hAnsi="Courier New" w:cs="Courier New"/>
                <w:iCs/>
                <w:sz w:val="18"/>
                <w:szCs w:val="18"/>
              </w:rPr>
            </w:pPr>
            <w:r>
              <w:rPr>
                <w:rFonts w:ascii="Courier New" w:hAnsi="Courier New" w:cs="Courier New"/>
                <w:i/>
                <w:sz w:val="18"/>
                <w:szCs w:val="18"/>
              </w:rPr>
              <w:t xml:space="preserve">*</w:t>
            </w:r>
            <w:r>
              <w:rPr>
                <w:rFonts w:ascii="Courier New" w:hAnsi="Courier New" w:eastAsia="Calibri" w:cs="Courier New"/>
                <w:iCs/>
                <w:sz w:val="18"/>
                <w:szCs w:val="18"/>
              </w:rPr>
              <w:t xml:space="preserve"> </w:t>
            </w:r>
            <w:r>
              <w:rPr>
                <w:rFonts w:ascii="Courier New" w:hAnsi="Courier New" w:cs="Courier New"/>
                <w:iCs/>
                <w:color w:val="000000"/>
                <w:sz w:val="18"/>
                <w:szCs w:val="18"/>
              </w:rPr>
              <w:t xml:space="preserve">создание и/или развитие и/или модернизация и/или расширение функциональных возможностей и/или разработка и/или </w:t>
            </w:r>
            <w:r>
              <w:rPr>
                <w:rFonts w:ascii="Courier New" w:hAnsi="Courier New" w:cs="Courier New"/>
                <w:iCs/>
                <w:color w:val="000000"/>
                <w:sz w:val="18"/>
                <w:szCs w:val="18"/>
              </w:rPr>
              <w:t xml:space="preserve">модификация</w:t>
            </w:r>
            <w:r>
              <w:rPr>
                <w:rFonts w:ascii="Courier New" w:hAnsi="Courier New" w:cs="Courier New"/>
                <w:iCs/>
                <w:color w:val="000000"/>
                <w:sz w:val="18"/>
                <w:szCs w:val="18"/>
              </w:rPr>
              <w:t xml:space="preserve"> </w:t>
            </w:r>
            <w:r>
              <w:rPr>
                <w:rFonts w:ascii="Courier New" w:hAnsi="Courier New" w:cs="Courier New"/>
                <w:iCs/>
                <w:color w:val="000000"/>
                <w:sz w:val="18"/>
                <w:szCs w:val="18"/>
              </w:rPr>
              <w:t xml:space="preserve">и/или внедрение </w:t>
            </w:r>
            <w:r>
              <w:rPr>
                <w:rFonts w:ascii="Courier New" w:hAnsi="Courier New" w:cs="Courier New"/>
                <w:iCs/>
                <w:color w:val="000000"/>
                <w:sz w:val="18"/>
                <w:szCs w:val="18"/>
              </w:rPr>
              <w:t xml:space="preserve">информационных систем.</w:t>
            </w:r>
            <w:r>
              <w:rPr>
                <w:rFonts w:ascii="Courier New" w:hAnsi="Courier New" w:cs="Courier New"/>
                <w:iCs/>
                <w:sz w:val="18"/>
                <w:szCs w:val="18"/>
              </w:rPr>
            </w:r>
          </w:p>
          <w:p>
            <w:pPr>
              <w:pStyle w:val="880"/>
              <w:jc w:val="both"/>
              <w:rPr>
                <w:rFonts w:ascii="Courier New" w:hAnsi="Courier New" w:cs="Courier New"/>
                <w:i/>
                <w:sz w:val="18"/>
                <w:szCs w:val="18"/>
              </w:rPr>
            </w:pPr>
            <w:r>
              <w:rPr>
                <w:rFonts w:ascii="Courier New" w:hAnsi="Courier New" w:cs="Courier New"/>
                <w:i/>
                <w:sz w:val="18"/>
                <w:szCs w:val="18"/>
              </w:rPr>
            </w:r>
            <w:r>
              <w:rPr>
                <w:rFonts w:ascii="Courier New" w:hAnsi="Courier New" w:cs="Courier New"/>
                <w:i/>
                <w:sz w:val="18"/>
                <w:szCs w:val="18"/>
              </w:rPr>
            </w:r>
          </w:p>
          <w:p>
            <w:pPr>
              <w:pStyle w:val="880"/>
              <w:jc w:val="both"/>
              <w:rPr>
                <w:rFonts w:ascii="Courier New" w:hAnsi="Courier New" w:cs="Courier New"/>
                <w:sz w:val="18"/>
                <w:szCs w:val="18"/>
                <w:u w:val="single"/>
              </w:rPr>
            </w:pPr>
            <w:r>
              <w:rPr>
                <w:rFonts w:ascii="Courier New" w:hAnsi="Courier New" w:cs="Courier New"/>
                <w:sz w:val="18"/>
                <w:szCs w:val="18"/>
                <w:u w:val="single"/>
              </w:rPr>
              <w:t xml:space="preserve">Перечень документов</w:t>
            </w:r>
            <w:r>
              <w:rPr>
                <w:rFonts w:ascii="Courier New" w:hAnsi="Courier New" w:cs="Courier New"/>
                <w:sz w:val="18"/>
                <w:szCs w:val="18"/>
                <w:u w:val="single"/>
              </w:rPr>
              <w:t xml:space="preserve">*</w:t>
            </w:r>
            <w:r>
              <w:rPr>
                <w:rFonts w:ascii="Courier New" w:hAnsi="Courier New" w:cs="Courier New"/>
                <w:sz w:val="18"/>
                <w:szCs w:val="18"/>
                <w:u w:val="single"/>
              </w:rPr>
              <w:t xml:space="preserve">*</w:t>
            </w:r>
            <w:r>
              <w:rPr>
                <w:rFonts w:ascii="Courier New" w:hAnsi="Courier New" w:cs="Courier New"/>
                <w:sz w:val="18"/>
                <w:szCs w:val="18"/>
                <w:u w:val="single"/>
              </w:rPr>
              <w:t xml:space="preserve">, подтверждающих наличие у участника закупки опыта поставки товара, выполнения работы, оказания услуги, связанного с предметом контракта:</w:t>
            </w:r>
            <w:r>
              <w:rPr>
                <w:rFonts w:ascii="Courier New" w:hAnsi="Courier New" w:cs="Courier New"/>
                <w:sz w:val="18"/>
                <w:szCs w:val="18"/>
                <w:u w:val="single"/>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исполненный договор;</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акт (акты) приемки поставленного товара, выполненных работ, оказанных услуг, составленные при исполнении такого договора;</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при этом:</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последний акт, составленный при исполнении </w:t>
            </w:r>
            <w:r>
              <w:rPr>
                <w:rFonts w:ascii="Courier New" w:hAnsi="Courier New" w:cs="Courier New"/>
                <w:sz w:val="18"/>
                <w:szCs w:val="18"/>
              </w:rPr>
              <w:t xml:space="preserve">договора</w:t>
            </w:r>
            <w:r>
              <w:rPr>
                <w:rFonts w:ascii="Courier New" w:hAnsi="Courier New" w:cs="Courier New"/>
                <w:sz w:val="18"/>
                <w:szCs w:val="18"/>
              </w:rPr>
              <w:t xml:space="preserve"> должен быть подписан не ранее чем за 5 лет до даты </w:t>
            </w:r>
            <w:r>
              <w:rPr>
                <w:rFonts w:ascii="Courier New" w:hAnsi="Courier New" w:cs="Courier New"/>
                <w:sz w:val="18"/>
                <w:szCs w:val="18"/>
              </w:rPr>
              <w:t xml:space="preserve">окончания </w:t>
            </w:r>
            <w:r>
              <w:rPr>
                <w:rFonts w:ascii="Courier New" w:hAnsi="Courier New" w:cs="Courier New"/>
                <w:sz w:val="18"/>
                <w:szCs w:val="18"/>
              </w:rPr>
              <w:t xml:space="preserve">срока </w:t>
            </w:r>
            <w:r>
              <w:rPr>
                <w:rFonts w:ascii="Courier New" w:hAnsi="Courier New" w:cs="Courier New"/>
                <w:sz w:val="18"/>
                <w:szCs w:val="18"/>
              </w:rPr>
              <w:t xml:space="preserve">подачи заявок;</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к оценке принимается исполненный участником закупки с учетом правопреемства (в случае наличия в заявке подтверждающего документа) гражданско-правовой договор, а именно: к оценке прини</w:t>
            </w:r>
            <w:r>
              <w:rPr>
                <w:rFonts w:ascii="Courier New" w:hAnsi="Courier New" w:cs="Courier New"/>
                <w:sz w:val="18"/>
                <w:szCs w:val="18"/>
              </w:rPr>
              <w:t xml:space="preserve">мается исключительно контракт, заключенный и исполненный в соответствии с Законом №44-ФЗ, и договор, заключенный и исполненный в соответствии с Федеральным законом от 18.07.2011 № 223-ФЗ «О закупках товаров, работ, услуг отдельными видами юридических лиц»;</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к оценке принимаются документы, в случае их предоставления в заявке в полном объеме и со всеми пр</w:t>
            </w:r>
            <w:r>
              <w:rPr>
                <w:rFonts w:ascii="Courier New" w:hAnsi="Courier New" w:cs="Courier New"/>
                <w:sz w:val="18"/>
                <w:szCs w:val="18"/>
              </w:rPr>
              <w:t xml:space="preserve">иложениями (в том числе, если к ним не приложена проектная документация (если проектная документация является приложением к таким документам). Такие документы направляются в форме электронных документов или в форме электронных образов бумажных документов. </w:t>
            </w:r>
            <w:r>
              <w:rPr>
                <w:rFonts w:ascii="Courier New" w:hAnsi="Courier New" w:cs="Courier New"/>
                <w:sz w:val="18"/>
                <w:szCs w:val="18"/>
              </w:rPr>
            </w:r>
          </w:p>
          <w:p>
            <w:pPr>
              <w:pStyle w:val="880"/>
              <w:jc w:val="both"/>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r>
            <w:r>
              <w:rPr>
                <w:rFonts w:ascii="Courier New" w:hAnsi="Courier New" w:cs="Courier New"/>
                <w:color w:val="000000"/>
                <w:sz w:val="18"/>
                <w:szCs w:val="18"/>
                <w:shd w:val="clear" w:color="auto" w:fill="ffffff"/>
              </w:rPr>
            </w:r>
          </w:p>
          <w:p>
            <w:pPr>
              <w:pStyle w:val="880"/>
              <w:jc w:val="both"/>
              <w:rPr>
                <w:rFonts w:ascii="Courier New" w:hAnsi="Courier New" w:cs="Courier New"/>
                <w:sz w:val="18"/>
                <w:szCs w:val="18"/>
              </w:rPr>
            </w:pPr>
            <w:r/>
            <w:r>
              <w:rPr>
                <w:rFonts w:ascii="Courier New" w:hAnsi="Courier New" w:cs="Courier New"/>
                <w:sz w:val="18"/>
                <w:szCs w:val="18"/>
              </w:rPr>
              <w:t xml:space="preserve">*</w:t>
            </w:r>
            <w:r>
              <w:rPr>
                <w:rFonts w:ascii="Courier New" w:hAnsi="Courier New" w:cs="Courier New"/>
                <w:sz w:val="18"/>
                <w:szCs w:val="18"/>
              </w:rPr>
              <w:t xml:space="preserve">*</w:t>
            </w:r>
            <w:r>
              <w:rPr>
                <w:rFonts w:ascii="Courier New" w:hAnsi="Courier New" w:cs="Courier New"/>
                <w:sz w:val="18"/>
                <w:szCs w:val="18"/>
              </w:rPr>
              <w:t xml:space="preserve">если документы и информация о таки</w:t>
            </w:r>
            <w:r>
              <w:rPr>
                <w:rFonts w:ascii="Courier New" w:hAnsi="Courier New" w:cs="Courier New"/>
                <w:sz w:val="18"/>
                <w:szCs w:val="18"/>
              </w:rPr>
              <w:t xml:space="preserve">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w:t>
            </w:r>
            <w:r>
              <w:rPr>
                <w:rFonts w:ascii="Courier New" w:hAnsi="Courier New" w:cs="Courier New"/>
                <w:sz w:val="18"/>
                <w:szCs w:val="18"/>
              </w:rPr>
              <w:t xml:space="preserve">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w:t>
            </w:r>
            <w:r>
              <w:rPr>
                <w:rFonts w:ascii="Courier New" w:hAnsi="Courier New" w:cs="Courier New"/>
                <w:sz w:val="18"/>
                <w:szCs w:val="18"/>
              </w:rPr>
              <w:t xml:space="preserve">к оценке принимается исключительно исполненный договор, при исполнении которого поставщиком (подрядчиком, исполнителем) исполнены требования об уплате неустоек (штрафов, пеней) (в случае начисления неустоек)</w:t>
            </w:r>
            <w:r>
              <w:rPr>
                <w:rFonts w:ascii="Courier New" w:hAnsi="Courier New" w:cs="Courier New"/>
                <w:sz w:val="18"/>
                <w:szCs w:val="18"/>
              </w:rPr>
              <w:t xml:space="preserve">. </w:t>
            </w:r>
            <w:r>
              <w:rPr>
                <w:rFonts w:ascii="Courier New" w:hAnsi="Courier New" w:cs="Courier New"/>
                <w:sz w:val="18"/>
                <w:szCs w:val="18"/>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2.2.</w:t>
            </w:r>
            <w:r>
              <w:rPr>
                <w:rFonts w:ascii="Courier New" w:hAnsi="Courier New" w:cs="Courier New"/>
                <w:sz w:val="18"/>
                <w:szCs w:val="18"/>
              </w:rPr>
            </w:r>
          </w:p>
        </w:tc>
        <w:tc>
          <w:tcPr>
            <w:gridSpan w:val="2"/>
            <w:tcW w:w="14459" w:type="dxa"/>
            <w:textDirection w:val="lrTb"/>
            <w:noWrap w:val="false"/>
          </w:tcPr>
          <w:p>
            <w:pPr>
              <w:pStyle w:val="880"/>
              <w:jc w:val="both"/>
              <w:rPr>
                <w:rFonts w:ascii="Courier New" w:hAnsi="Courier New"/>
                <w:sz w:val="18"/>
              </w:rPr>
            </w:pPr>
            <w:r>
              <w:rPr>
                <w:rFonts w:ascii="Courier New" w:hAnsi="Courier New"/>
                <w:sz w:val="18"/>
              </w:rPr>
              <w:t xml:space="preserve">Показатель оценки:</w:t>
            </w:r>
            <w:r>
              <w:rPr>
                <w:rFonts w:ascii="Courier New" w:hAnsi="Courier New"/>
                <w:sz w:val="18"/>
              </w:rPr>
            </w:r>
          </w:p>
          <w:p>
            <w:pPr>
              <w:pStyle w:val="880"/>
              <w:jc w:val="both"/>
              <w:rPr>
                <w:rFonts w:ascii="Courier New" w:hAnsi="Courier New" w:cs="Courier New"/>
                <w:sz w:val="18"/>
                <w:szCs w:val="18"/>
                <w:u w:val="single"/>
              </w:rPr>
            </w:pPr>
            <w:r>
              <w:rPr>
                <w:rFonts w:ascii="Courier New" w:hAnsi="Courier New"/>
                <w:sz w:val="18"/>
              </w:rPr>
              <w:t xml:space="preserve">«Наличие у участников закупки специалистов и иных работников определенного уровня квалификации»</w:t>
            </w:r>
            <w:r>
              <w:rPr>
                <w:rFonts w:ascii="Courier New" w:hAnsi="Courier New" w:cs="Courier New"/>
                <w:sz w:val="18"/>
                <w:szCs w:val="18"/>
                <w:u w:val="single"/>
              </w:rPr>
            </w:r>
          </w:p>
        </w:tc>
      </w:tr>
      <w:tr>
        <w:tblPrEx/>
        <w:trPr/>
        <w:tc>
          <w:tcPr>
            <w:tcW w:w="771" w:type="dxa"/>
            <w:textDirection w:val="lrTb"/>
            <w:noWrap w:val="false"/>
          </w:tcPr>
          <w:p>
            <w:pPr>
              <w:pStyle w:val="880"/>
              <w:rPr>
                <w:rFonts w:ascii="Courier New" w:hAnsi="Courier New" w:cs="Courier New"/>
                <w:sz w:val="18"/>
                <w:szCs w:val="18"/>
              </w:rPr>
            </w:pPr>
            <w:r>
              <w:rPr>
                <w:rFonts w:ascii="Courier New" w:hAnsi="Courier New" w:cs="Courier New"/>
                <w:sz w:val="18"/>
                <w:szCs w:val="18"/>
              </w:rPr>
              <w:t xml:space="preserve">2.2.1</w:t>
            </w:r>
            <w:r>
              <w:rPr>
                <w:rFonts w:ascii="Courier New" w:hAnsi="Courier New" w:cs="Courier New"/>
                <w:sz w:val="18"/>
                <w:szCs w:val="18"/>
              </w:rPr>
            </w:r>
          </w:p>
        </w:tc>
        <w:tc>
          <w:tcPr>
            <w:tcW w:w="4473" w:type="dxa"/>
            <w:textDirection w:val="lrTb"/>
            <w:noWrap w:val="false"/>
          </w:tcPr>
          <w:p>
            <w:pPr>
              <w:pStyle w:val="880"/>
              <w:jc w:val="both"/>
              <w:rPr>
                <w:rFonts w:ascii="Courier New" w:hAnsi="Courier New" w:cs="Courier New"/>
                <w:sz w:val="18"/>
                <w:szCs w:val="18"/>
              </w:rPr>
            </w:pPr>
            <w:r>
              <w:rPr>
                <w:rFonts w:ascii="Courier New" w:hAnsi="Courier New" w:cs="Courier New"/>
                <w:sz w:val="18"/>
                <w:szCs w:val="18"/>
              </w:rPr>
              <w:t xml:space="preserve">Детализирующий показатель:</w:t>
            </w:r>
            <w:r>
              <w:rPr>
                <w:rFonts w:ascii="Courier New" w:hAnsi="Courier New" w:cs="Courier New"/>
                <w:sz w:val="18"/>
                <w:szCs w:val="18"/>
              </w:rPr>
            </w:r>
          </w:p>
          <w:p>
            <w:pPr>
              <w:pStyle w:val="880"/>
              <w:jc w:val="both"/>
              <w:rPr>
                <w:rFonts w:ascii="Courier New" w:hAnsi="Courier New" w:cs="Courier New"/>
                <w:sz w:val="18"/>
                <w:szCs w:val="18"/>
                <w:highlight w:val="yellow"/>
              </w:rPr>
            </w:pPr>
            <w:r>
              <w:rPr>
                <w:rFonts w:ascii="Courier New" w:hAnsi="Courier New" w:cs="Courier New"/>
                <w:sz w:val="18"/>
                <w:szCs w:val="18"/>
              </w:rPr>
              <w:t xml:space="preserve">«Количество специалистов и иных работников определенного уровня квалификации по информационным системам»</w:t>
            </w:r>
            <w:r>
              <w:rPr>
                <w:rFonts w:ascii="Courier New" w:hAnsi="Courier New" w:cs="Courier New"/>
                <w:sz w:val="18"/>
                <w:szCs w:val="18"/>
                <w:highlight w:val="yellow"/>
              </w:rPr>
            </w:r>
          </w:p>
        </w:tc>
        <w:tc>
          <w:tcPr>
            <w:tcW w:w="9986" w:type="dxa"/>
            <w:textDirection w:val="lrTb"/>
            <w:noWrap w:val="false"/>
          </w:tcPr>
          <w:p>
            <w:pPr>
              <w:pStyle w:val="880"/>
              <w:ind w:left="80"/>
              <w:jc w:val="both"/>
              <w:rPr>
                <w:rFonts w:ascii="Courier New" w:hAnsi="Courier New" w:cs="Courier New"/>
                <w:sz w:val="18"/>
                <w:szCs w:val="18"/>
              </w:rPr>
            </w:pPr>
            <w:r>
              <w:rPr>
                <w:rFonts w:ascii="Courier New" w:hAnsi="Courier New" w:cs="Courier New"/>
                <w:sz w:val="18"/>
                <w:szCs w:val="18"/>
              </w:rPr>
              <w:t xml:space="preserve">По данному детализирующему показателю оцениваются специалисты и иные работники, необходимые для выполнения работ, оказания услуг, являющихся объектом закупки и обладающие определенным уровнем квалификации, а именно имеющие высшее образование </w:t>
            </w:r>
            <w:r>
              <w:rPr>
                <w:rFonts w:ascii="Courier New" w:hAnsi="Courier New" w:cs="Courier New"/>
                <w:sz w:val="18"/>
                <w:szCs w:val="18"/>
              </w:rPr>
              <w:t xml:space="preserve">по одному </w:t>
            </w:r>
            <w:r>
              <w:rPr>
                <w:rFonts w:ascii="Courier New" w:hAnsi="Courier New" w:cs="Courier New"/>
                <w:sz w:val="18"/>
                <w:szCs w:val="18"/>
              </w:rPr>
              <w:t xml:space="preserve">или нескольким </w:t>
            </w:r>
            <w:r>
              <w:rPr>
                <w:rFonts w:ascii="Courier New" w:hAnsi="Courier New" w:cs="Courier New"/>
                <w:sz w:val="18"/>
                <w:szCs w:val="18"/>
              </w:rPr>
              <w:t xml:space="preserve">из нижеперечисленных направлений подготовки (специальностям)</w:t>
            </w:r>
            <w:r>
              <w:rPr>
                <w:rFonts w:ascii="Courier New" w:hAnsi="Courier New" w:cs="Courier New"/>
                <w:sz w:val="18"/>
                <w:szCs w:val="18"/>
              </w:rPr>
              <w:t xml:space="preserve">: </w:t>
            </w:r>
            <w:r>
              <w:rPr>
                <w:rStyle w:val="890"/>
                <w:rFonts w:eastAsia="Calibri" w:cs="Times New Roman"/>
                <w:lang w:eastAsia="en-US"/>
              </w:rPr>
            </w:r>
            <w:r>
              <w:rPr>
                <w:rFonts w:ascii="Courier New" w:hAnsi="Courier New" w:cs="Courier New"/>
                <w:sz w:val="18"/>
                <w:szCs w:val="18"/>
              </w:rPr>
            </w:r>
          </w:p>
          <w:p>
            <w:pPr>
              <w:pStyle w:val="880"/>
              <w:ind w:left="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«Прикладная математика и информатика»</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t xml:space="preserve">Прикладная математика</w:t>
            </w:r>
            <w:r>
              <w:rPr>
                <w:rFonts w:ascii="Courier New" w:hAnsi="Courier New" w:cs="Courier New"/>
                <w:sz w:val="18"/>
                <w:szCs w:val="18"/>
              </w:rPr>
              <w:t xml:space="preserve">»</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«Прикладная информатика»</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«Прикладная информатика (бакалавриат)»</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«Бизнес-информатика»</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«Информатика и вычислительная техника»</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«Информационные системы и технологии»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«Применение и эксплуатация автоматизированных систем специального назначения»</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«Фундаментальная информатика и информационные технологии»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 </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«Компьютерные и информационные науки»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«Математическое обеспечение и администрирование информационных систем»</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«Системный анализ и управление»</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«Программная инженерия»</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w:t>
            </w:r>
            <w:r>
              <w:rPr>
                <w:rFonts w:ascii="Courier New" w:hAnsi="Courier New" w:cs="Courier New"/>
                <w:sz w:val="18"/>
                <w:szCs w:val="18"/>
              </w:rPr>
              <w:t xml:space="preserve">Математика и компьютерные науки</w:t>
            </w:r>
            <w:r>
              <w:rPr>
                <w:rFonts w:ascii="Courier New" w:hAnsi="Courier New" w:cs="Courier New"/>
                <w:sz w:val="18"/>
                <w:szCs w:val="18"/>
              </w:rPr>
              <w:t xml:space="preserve">»</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rPr>
            </w:pPr>
            <w:r>
              <w:rPr>
                <w:rFonts w:ascii="Courier New" w:hAnsi="Courier New" w:cs="Courier New"/>
                <w:sz w:val="18"/>
                <w:szCs w:val="18"/>
              </w:rPr>
              <w:t xml:space="preserve">«Информационная безопасность автоматизированных систем»</w:t>
            </w:r>
            <w:r>
              <w:rPr>
                <w:rFonts w:ascii="Courier New" w:hAnsi="Courier New" w:cs="Courier New"/>
              </w:rPr>
            </w:r>
          </w:p>
          <w:p>
            <w:pPr>
              <w:pStyle w:val="880"/>
              <w:rPr>
                <w:rFonts w:ascii="Courier New" w:hAnsi="Courier New" w:cs="Courier New"/>
                <w:sz w:val="18"/>
                <w:szCs w:val="18"/>
              </w:rPr>
            </w:pPr>
            <w:r>
              <w:rPr>
                <w:rFonts w:ascii="Courier New" w:hAnsi="Courier New" w:cs="Courier New"/>
                <w:sz w:val="18"/>
                <w:szCs w:val="18"/>
              </w:rPr>
              <w:t xml:space="preserve">и/или</w:t>
            </w:r>
            <w:r>
              <w:rPr>
                <w:rFonts w:ascii="Courier New" w:hAnsi="Courier New" w:cs="Courier New"/>
                <w:sz w:val="18"/>
                <w:szCs w:val="18"/>
              </w:rPr>
            </w:r>
          </w:p>
          <w:p>
            <w:pPr>
              <w:pStyle w:val="880"/>
              <w:rPr>
                <w:rFonts w:ascii="Courier New" w:hAnsi="Courier New" w:cs="Courier New"/>
                <w:sz w:val="18"/>
                <w:szCs w:val="18"/>
              </w:rPr>
            </w:pPr>
            <w:r>
              <w:rPr>
                <w:rFonts w:ascii="Courier New" w:hAnsi="Courier New" w:cs="Courier New"/>
                <w:sz w:val="18"/>
                <w:szCs w:val="18"/>
              </w:rPr>
              <w:t xml:space="preserve">«Управление в технических </w:t>
            </w:r>
            <w:r>
              <w:rPr>
                <w:rFonts w:ascii="Courier New" w:hAnsi="Courier New" w:cs="Courier New"/>
                <w:sz w:val="18"/>
                <w:szCs w:val="18"/>
              </w:rPr>
              <w:t xml:space="preserve">системах»*</w:t>
            </w:r>
            <w:r>
              <w:rPr>
                <w:rFonts w:ascii="Courier New" w:hAnsi="Courier New" w:cs="Courier New"/>
                <w:sz w:val="18"/>
                <w:szCs w:val="18"/>
              </w:rPr>
            </w:r>
          </w:p>
          <w:p>
            <w:pPr>
              <w:pStyle w:val="880"/>
              <w:jc w:val="both"/>
              <w:rPr>
                <w:szCs w:val="22"/>
              </w:rPr>
            </w:pPr>
            <w:r>
              <w:rPr>
                <w:rFonts w:ascii="Courier New" w:hAnsi="Courier New" w:cs="Courier New"/>
                <w:sz w:val="18"/>
                <w:szCs w:val="18"/>
              </w:rPr>
              <w:t xml:space="preserve">Предельное максимальное значение – 18 специалистов</w:t>
            </w:r>
            <w:r>
              <w:rPr>
                <w:szCs w:val="22"/>
              </w:rPr>
              <w:t xml:space="preserve"> (</w:t>
            </w:r>
            <w:r>
              <w:rPr>
                <w:position w:val="-9"/>
                <w:szCs w:val="22"/>
              </w:rPr>
              <mc:AlternateContent>
                <mc:Choice Requires="wpg">
                  <w:drawing>
                    <wp:inline xmlns:wp="http://schemas.openxmlformats.org/drawingml/2006/wordprocessingDrawing" distT="0" distB="0" distL="0" distR="0">
                      <wp:extent cx="384048" cy="254813"/>
                      <wp:effectExtent l="0" t="0" r="0" b="0"/>
                      <wp:docPr id="8" name="_x0000_i103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8"/>
                              <a:stretch/>
                            </pic:blipFill>
                            <pic:spPr bwMode="auto">
                              <a:xfrm>
                                <a:off x="0" y="0"/>
                                <a:ext cx="384048" cy="25481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0.24pt;height:20.06pt;mso-wrap-distance-left:0.00pt;mso-wrap-distance-top:0.00pt;mso-wrap-distance-right:0.00pt;mso-wrap-distance-bottom:0.00pt;" stroked="f">
                      <v:path textboxrect="0,0,0,0"/>
                      <v:imagedata r:id="rId18" o:title=""/>
                    </v:shape>
                  </w:pict>
                </mc:Fallback>
              </mc:AlternateContent>
            </w:r>
            <w:r>
              <w:rPr>
                <w:szCs w:val="22"/>
              </w:rPr>
              <w:t xml:space="preserve">).</w:t>
            </w:r>
            <w:r>
              <w:rPr>
                <w:szCs w:val="22"/>
              </w:rPr>
            </w:r>
          </w:p>
          <w:p>
            <w:pPr>
              <w:pStyle w:val="880"/>
              <w:jc w:val="both"/>
              <w:rPr>
                <w:szCs w:val="22"/>
              </w:rPr>
            </w:pPr>
            <w:r>
              <w:rPr>
                <w:szCs w:val="22"/>
              </w:rPr>
            </w:r>
            <w:r>
              <w:rPr>
                <w:szCs w:val="22"/>
              </w:rPr>
            </w:r>
          </w:p>
          <w:p>
            <w:pPr>
              <w:pStyle w:val="880"/>
              <w:ind w:left="80"/>
              <w:jc w:val="both"/>
              <w:rPr>
                <w:rFonts w:ascii="Courier New" w:hAnsi="Courier New" w:cs="Courier New"/>
                <w:sz w:val="18"/>
                <w:szCs w:val="18"/>
              </w:rPr>
            </w:pPr>
            <w:r>
              <w:rPr>
                <w:rFonts w:ascii="Courier New" w:hAnsi="Courier New" w:cs="Courier New"/>
                <w:sz w:val="18"/>
                <w:szCs w:val="18"/>
              </w:rPr>
              <w:t xml:space="preserve">* иные направления подготовки (специальности) высшего образования, соответствие которых вышепер</w:t>
            </w:r>
            <w:r>
              <w:rPr>
                <w:rFonts w:ascii="Courier New" w:hAnsi="Courier New" w:cs="Courier New"/>
                <w:sz w:val="18"/>
                <w:szCs w:val="18"/>
              </w:rPr>
              <w:t xml:space="preserve">ечисленным направлениям подготовки (специальностям) определено в порядке, установленном в соответствии с Федеральным законом от 29.12.2012 №273-ФЗ «Об образовании в Российской Федерации». Учитывая письмо Минобрнауки России от 24.06.2014 № АК-1666/05 устана</w:t>
            </w:r>
            <w:r>
              <w:rPr>
                <w:rFonts w:ascii="Courier New" w:hAnsi="Courier New" w:cs="Courier New"/>
                <w:sz w:val="18"/>
                <w:szCs w:val="18"/>
              </w:rPr>
              <w:t xml:space="preserve">вливается соответствие направлений подготовки высшего образования - бакалавриата, направлений подготовки высшего образования - магистратуры, специальностей высшего образования - специалитета, содержащихся в новых и старых перечнях, установленных приказами:</w:t>
            </w:r>
            <w:r>
              <w:rPr>
                <w:rFonts w:ascii="Courier New" w:hAnsi="Courier New" w:cs="Courier New"/>
                <w:sz w:val="18"/>
                <w:szCs w:val="18"/>
              </w:rPr>
            </w:r>
          </w:p>
          <w:p>
            <w:pPr>
              <w:pStyle w:val="880"/>
              <w:ind w:left="80"/>
              <w:jc w:val="both"/>
              <w:rPr>
                <w:rFonts w:ascii="Courier New" w:hAnsi="Courier New" w:cs="Courier New"/>
                <w:sz w:val="18"/>
                <w:szCs w:val="18"/>
              </w:rPr>
            </w:pPr>
            <w:r>
              <w:rPr>
                <w:rFonts w:ascii="Courier New" w:hAnsi="Courier New" w:cs="Courier New"/>
                <w:sz w:val="18"/>
                <w:szCs w:val="18"/>
              </w:rPr>
              <w:t xml:space="preserve">- приказом Министерства образования и науки Российской Федерации от 17 февраля 2011 г. № 201 (зарегистрирован Минюстом России 20 мая 2011 г. № 20824) </w:t>
            </w:r>
            <w:r>
              <w:rPr>
                <w:rFonts w:ascii="Courier New" w:hAnsi="Courier New" w:cs="Courier New"/>
                <w:sz w:val="18"/>
                <w:szCs w:val="18"/>
              </w:rPr>
              <w:t xml:space="preserve">с изменениями</w:t>
            </w:r>
            <w:r>
              <w:rPr>
                <w:rFonts w:ascii="Courier New" w:hAnsi="Courier New" w:cs="Courier New"/>
                <w:sz w:val="18"/>
                <w:szCs w:val="18"/>
              </w:rPr>
              <w:t xml:space="preserve"> внесенными приказом Министерства образования и науки Российской Федерации от 5 июля 2011 г. № 2105 (зарегистрирован Минюстом России 31 августа 2011 г., регистрационный № 21719);</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t xml:space="preserve">- приказом Министерства образования и науки Российской Федерации от 18 ноября 2013 г. № 1245 (зарегистрирован Минюстом России 31 декабря 2013 г., регистрационный № 30964).</w:t>
            </w:r>
            <w:r>
              <w:rPr>
                <w:rFonts w:ascii="Courier New" w:hAnsi="Courier New" w:cs="Courier New"/>
                <w:sz w:val="18"/>
                <w:szCs w:val="18"/>
              </w:rPr>
            </w:r>
          </w:p>
          <w:p>
            <w:pPr>
              <w:pStyle w:val="880"/>
              <w:jc w:val="both"/>
              <w:rPr>
                <w:rFonts w:ascii="Courier New" w:hAnsi="Courier New" w:cs="Courier New"/>
                <w:sz w:val="18"/>
                <w:szCs w:val="18"/>
              </w:rPr>
            </w:pPr>
            <w:r>
              <w:rPr>
                <w:rFonts w:ascii="Courier New" w:hAnsi="Courier New" w:cs="Courier New"/>
                <w:sz w:val="18"/>
                <w:szCs w:val="18"/>
              </w:rPr>
            </w:r>
            <w:r>
              <w:rPr>
                <w:rFonts w:ascii="Courier New" w:hAnsi="Courier New" w:cs="Courier New"/>
                <w:sz w:val="18"/>
                <w:szCs w:val="18"/>
              </w:rPr>
            </w:r>
          </w:p>
          <w:p>
            <w:pPr>
              <w:jc w:val="both"/>
              <w:spacing w:after="0" w:line="240" w:lineRule="auto"/>
              <w:widowControl w:val="off"/>
              <w:tabs>
                <w:tab w:val="left" w:pos="328" w:leader="none"/>
              </w:tabs>
              <w:rPr>
                <w:rFonts w:ascii="Courier New" w:hAnsi="Courier New" w:eastAsia="Times New Roman" w:cs="Courier New"/>
                <w:sz w:val="18"/>
                <w:szCs w:val="18"/>
                <w:lang w:eastAsia="ru-RU"/>
              </w:rPr>
            </w:pPr>
            <w:r>
              <w:rPr>
                <w:rFonts w:ascii="Courier New" w:hAnsi="Courier New" w:eastAsia="Times New Roman" w:cs="Courier New"/>
                <w:sz w:val="18"/>
                <w:szCs w:val="18"/>
                <w:lang w:eastAsia="ru-RU"/>
              </w:rPr>
            </w:r>
            <w:r>
              <w:rPr>
                <w:rFonts w:ascii="Courier New" w:hAnsi="Courier New" w:eastAsia="Times New Roman" w:cs="Courier New"/>
                <w:sz w:val="18"/>
                <w:szCs w:val="18"/>
                <w:lang w:eastAsia="ru-RU"/>
              </w:rPr>
            </w:r>
          </w:p>
          <w:p>
            <w:pPr>
              <w:jc w:val="both"/>
              <w:spacing w:after="0" w:line="240" w:lineRule="auto"/>
              <w:widowControl w:val="off"/>
              <w:rPr>
                <w:rFonts w:ascii="Courier New" w:hAnsi="Courier New" w:eastAsia="Times New Roman" w:cs="Courier New"/>
                <w:sz w:val="18"/>
                <w:szCs w:val="18"/>
                <w:u w:val="single"/>
                <w:lang w:eastAsia="ru-RU"/>
              </w:rPr>
              <w:pBdr>
                <w:bottom w:val="single" w:color="000000" w:sz="4" w:space="1"/>
              </w:pBdr>
            </w:pPr>
            <w:r>
              <w:rPr>
                <w:rFonts w:ascii="Courier New" w:hAnsi="Courier New" w:eastAsia="Times New Roman" w:cs="Courier New"/>
                <w:sz w:val="18"/>
                <w:szCs w:val="18"/>
                <w:u w:val="single"/>
                <w:lang w:eastAsia="ru-RU"/>
              </w:rPr>
              <w:t xml:space="preserve">Перечень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по данному детализирующему показателю:</w:t>
            </w:r>
            <w:r>
              <w:rPr>
                <w:rFonts w:ascii="Courier New" w:hAnsi="Courier New" w:eastAsia="Times New Roman" w:cs="Courier New"/>
                <w:sz w:val="18"/>
                <w:szCs w:val="18"/>
                <w:u w:val="single"/>
                <w:lang w:eastAsia="ru-RU"/>
              </w:rPr>
            </w:r>
          </w:p>
          <w:p>
            <w:pPr>
              <w:jc w:val="both"/>
              <w:spacing w:after="0" w:line="240" w:lineRule="auto"/>
              <w:widowControl w:val="off"/>
              <w:rPr>
                <w:rFonts w:ascii="Courier New" w:hAnsi="Courier New" w:eastAsia="Times New Roman" w:cs="Courier New"/>
                <w:sz w:val="18"/>
                <w:szCs w:val="18"/>
                <w:u w:val="single"/>
                <w:lang w:eastAsia="ru-RU"/>
              </w:rPr>
              <w:pBdr>
                <w:bottom w:val="single" w:color="000000" w:sz="4" w:space="1"/>
              </w:pBdr>
            </w:pPr>
            <w:r>
              <w:rPr>
                <w:rFonts w:ascii="Courier New" w:hAnsi="Courier New" w:eastAsia="Times New Roman" w:cs="Courier New"/>
                <w:sz w:val="18"/>
                <w:szCs w:val="18"/>
                <w:u w:val="single"/>
                <w:lang w:eastAsia="ru-RU"/>
              </w:rPr>
            </w:r>
            <w:r>
              <w:rPr>
                <w:rFonts w:ascii="Courier New" w:hAnsi="Courier New" w:eastAsia="Times New Roman" w:cs="Courier New"/>
                <w:sz w:val="18"/>
                <w:szCs w:val="18"/>
                <w:u w:val="single"/>
                <w:lang w:eastAsia="ru-RU"/>
              </w:rPr>
            </w:r>
          </w:p>
          <w:p>
            <w:pPr>
              <w:jc w:val="both"/>
              <w:spacing w:after="0" w:line="240" w:lineRule="auto"/>
              <w:widowControl w:val="off"/>
              <w:rPr>
                <w:rFonts w:ascii="Courier New" w:hAnsi="Courier New" w:eastAsia="Times New Roman" w:cs="Courier New"/>
                <w:sz w:val="18"/>
                <w:szCs w:val="18"/>
                <w:lang w:eastAsia="ru-RU"/>
              </w:rPr>
              <w:pBdr>
                <w:bottom w:val="single" w:color="000000" w:sz="4" w:space="1"/>
              </w:pBdr>
            </w:pPr>
            <w:r>
              <w:rPr>
                <w:rFonts w:ascii="Courier New" w:hAnsi="Courier New" w:eastAsia="Times New Roman" w:cs="Courier New"/>
                <w:sz w:val="18"/>
                <w:szCs w:val="18"/>
                <w:lang w:eastAsia="ru-RU"/>
              </w:rPr>
              <w:t xml:space="preserve">- трудовая книжка или сведения о трудовой деятельности, предусмотренные статьей 66.1 Трудового кодекса Российской Федерации;</w:t>
            </w:r>
            <w:r>
              <w:rPr>
                <w:rFonts w:ascii="Courier New" w:hAnsi="Courier New" w:eastAsia="Times New Roman" w:cs="Courier New"/>
                <w:sz w:val="18"/>
                <w:szCs w:val="18"/>
                <w:lang w:eastAsia="ru-RU"/>
              </w:rPr>
            </w:r>
          </w:p>
          <w:p>
            <w:pPr>
              <w:jc w:val="both"/>
              <w:spacing w:after="0" w:line="240" w:lineRule="auto"/>
              <w:widowControl w:val="off"/>
              <w:rPr>
                <w:rFonts w:ascii="Courier New" w:hAnsi="Courier New" w:cs="Courier New"/>
                <w:sz w:val="18"/>
                <w:szCs w:val="18"/>
                <w:u w:val="single"/>
              </w:rPr>
              <w:pBdr>
                <w:bottom w:val="single" w:color="000000" w:sz="4" w:space="1"/>
              </w:pBdr>
            </w:pPr>
            <w:r>
              <w:rPr>
                <w:rFonts w:ascii="Courier New" w:hAnsi="Courier New" w:cs="Courier New"/>
                <w:sz w:val="18"/>
                <w:szCs w:val="18"/>
              </w:rPr>
              <w:t xml:space="preserve">-информация (в том числе данные), результаты применения информационных технологий и документы, подтверждающие квалификацию участника закупки, е</w:t>
            </w:r>
            <w:r>
              <w:rPr>
                <w:rFonts w:ascii="Courier New" w:hAnsi="Courier New" w:cs="Courier New"/>
                <w:sz w:val="18"/>
                <w:szCs w:val="18"/>
              </w:rPr>
              <w:t xml:space="preserve">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Pr>
                <w:rFonts w:ascii="Courier New" w:hAnsi="Courier New" w:cs="Courier New"/>
                <w:sz w:val="18"/>
                <w:szCs w:val="18"/>
                <w:u w:val="single"/>
              </w:rPr>
            </w:r>
          </w:p>
        </w:tc>
      </w:tr>
    </w:tbl>
    <w:p>
      <w:pPr>
        <w:pStyle w:val="880"/>
        <w:jc w:val="both"/>
        <w:rPr>
          <w:rFonts w:ascii="Courier New" w:hAnsi="Courier New" w:cs="Courier New"/>
          <w:sz w:val="20"/>
        </w:rPr>
        <w:sectPr>
          <w:footnotePr/>
          <w:endnotePr/>
          <w:type w:val="nextPage"/>
          <w:pgSz w:w="16838" w:h="11905" w:orient="landscape"/>
          <w:pgMar w:top="1134" w:right="1134" w:bottom="568" w:left="1134" w:header="0" w:footer="0" w:gutter="0"/>
          <w:cols w:num="1" w:sep="0" w:space="720" w:equalWidth="1"/>
          <w:docGrid w:linePitch="360"/>
        </w:sectPr>
      </w:pPr>
      <w:r>
        <w:rPr>
          <w:rFonts w:ascii="Courier New" w:hAnsi="Courier New" w:cs="Courier New"/>
          <w:sz w:val="20"/>
        </w:rPr>
      </w:r>
      <w:r>
        <w:rPr>
          <w:rFonts w:ascii="Courier New" w:hAnsi="Courier New" w:cs="Courier New"/>
          <w:sz w:val="20"/>
        </w:rPr>
      </w:r>
    </w:p>
    <w:p>
      <w:pPr>
        <w:jc w:val="right"/>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Приложение 1 к Порядку </w:t>
      </w:r>
      <w:r>
        <w:rPr>
          <w:rFonts w:ascii="Courier New" w:hAnsi="Courier New" w:eastAsia="Times New Roman" w:cs="Courier New"/>
          <w:sz w:val="20"/>
          <w:szCs w:val="20"/>
          <w:lang w:eastAsia="ru-RU"/>
        </w:rPr>
      </w:r>
    </w:p>
    <w:p>
      <w:pPr>
        <w:jc w:val="right"/>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рассмотрения и оценки заявок на участие в конкурсе</w:t>
      </w:r>
      <w:r>
        <w:rPr>
          <w:rFonts w:ascii="Courier New" w:hAnsi="Courier New" w:eastAsia="Times New Roman" w:cs="Courier New"/>
          <w:sz w:val="20"/>
          <w:szCs w:val="20"/>
          <w:lang w:eastAsia="ru-RU"/>
        </w:rPr>
      </w:r>
    </w:p>
    <w:p>
      <w:pPr>
        <w:jc w:val="right"/>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jc w:val="center"/>
        <w:spacing w:after="0" w:line="240" w:lineRule="auto"/>
        <w:widowControl w:val="off"/>
        <w:rPr>
          <w:rFonts w:ascii="Courier New" w:hAnsi="Courier New" w:eastAsia="Times New Roman" w:cs="Courier New"/>
          <w:b/>
          <w:sz w:val="20"/>
          <w:szCs w:val="20"/>
          <w:lang w:eastAsia="ru-RU"/>
        </w:rPr>
      </w:pPr>
      <w:r>
        <w:rPr>
          <w:rFonts w:ascii="Courier New" w:hAnsi="Courier New" w:eastAsia="Times New Roman" w:cs="Courier New"/>
          <w:b/>
          <w:sz w:val="20"/>
          <w:szCs w:val="20"/>
          <w:lang w:eastAsia="ru-RU"/>
        </w:rPr>
      </w:r>
      <w:r>
        <w:rPr>
          <w:rFonts w:ascii="Courier New" w:hAnsi="Courier New" w:eastAsia="Times New Roman" w:cs="Courier New"/>
          <w:b/>
          <w:sz w:val="20"/>
          <w:szCs w:val="20"/>
          <w:lang w:eastAsia="ru-RU"/>
        </w:rPr>
      </w:r>
    </w:p>
    <w:p>
      <w:pPr>
        <w:jc w:val="center"/>
        <w:spacing w:after="0" w:line="240" w:lineRule="auto"/>
        <w:widowControl w:val="off"/>
        <w:rPr>
          <w:rFonts w:ascii="Courier New" w:hAnsi="Courier New" w:eastAsia="Times New Roman" w:cs="Courier New"/>
          <w:b/>
          <w:sz w:val="20"/>
          <w:szCs w:val="20"/>
          <w:lang w:eastAsia="ru-RU"/>
        </w:rPr>
      </w:pPr>
      <w:r>
        <w:rPr>
          <w:rFonts w:ascii="Courier New" w:hAnsi="Courier New" w:eastAsia="Times New Roman" w:cs="Courier New"/>
          <w:b/>
          <w:sz w:val="20"/>
          <w:szCs w:val="20"/>
          <w:lang w:eastAsia="ru-RU"/>
        </w:rPr>
      </w:r>
      <w:r>
        <w:rPr>
          <w:rFonts w:ascii="Courier New" w:hAnsi="Courier New" w:eastAsia="Times New Roman" w:cs="Courier New"/>
          <w:b/>
          <w:sz w:val="20"/>
          <w:szCs w:val="20"/>
          <w:lang w:eastAsia="ru-RU"/>
        </w:rPr>
      </w:r>
    </w:p>
    <w:p>
      <w:pPr>
        <w:jc w:val="center"/>
        <w:spacing w:after="0" w:line="240" w:lineRule="auto"/>
        <w:widowControl w:val="off"/>
        <w:rPr>
          <w:rFonts w:ascii="Courier New" w:hAnsi="Courier New" w:eastAsia="Times New Roman" w:cs="Courier New"/>
          <w:b/>
          <w:sz w:val="20"/>
          <w:szCs w:val="20"/>
          <w:lang w:eastAsia="ru-RU"/>
        </w:rPr>
      </w:pPr>
      <w:r>
        <w:rPr>
          <w:rFonts w:ascii="Courier New" w:hAnsi="Courier New" w:eastAsia="Times New Roman" w:cs="Courier New"/>
          <w:b/>
          <w:sz w:val="20"/>
          <w:szCs w:val="20"/>
          <w:lang w:eastAsia="ru-RU"/>
        </w:rPr>
        <w:t xml:space="preserve">Форма предложения сведений*</w:t>
      </w:r>
      <w:r>
        <w:rPr>
          <w:rFonts w:ascii="Courier New" w:hAnsi="Courier New" w:eastAsia="Times New Roman" w:cs="Courier New"/>
          <w:b/>
          <w:sz w:val="20"/>
          <w:szCs w:val="20"/>
          <w:lang w:eastAsia="ru-RU"/>
        </w:rPr>
      </w:r>
    </w:p>
    <w:p>
      <w:pPr>
        <w:jc w:val="center"/>
        <w:spacing w:after="0" w:line="240" w:lineRule="auto"/>
        <w:widowControl w:val="off"/>
        <w:rPr>
          <w:rFonts w:ascii="Courier New" w:hAnsi="Courier New" w:eastAsia="Times New Roman" w:cs="Courier New"/>
          <w:b/>
          <w:sz w:val="20"/>
          <w:szCs w:val="20"/>
          <w:lang w:eastAsia="ru-RU"/>
        </w:rPr>
      </w:pPr>
      <w:r>
        <w:rPr>
          <w:rFonts w:ascii="Courier New" w:hAnsi="Courier New" w:eastAsia="Times New Roman" w:cs="Courier New"/>
          <w:b/>
          <w:sz w:val="20"/>
          <w:szCs w:val="20"/>
          <w:lang w:eastAsia="ru-RU"/>
        </w:rPr>
      </w:r>
      <w:r>
        <w:rPr>
          <w:rFonts w:ascii="Courier New" w:hAnsi="Courier New" w:eastAsia="Times New Roman" w:cs="Courier New"/>
          <w:b/>
          <w:sz w:val="20"/>
          <w:szCs w:val="20"/>
          <w:lang w:eastAsia="ru-RU"/>
        </w:rPr>
      </w:r>
    </w:p>
    <w:p>
      <w:pPr>
        <w:spacing w:after="0" w:line="240" w:lineRule="auto"/>
        <w:widowControl w:val="off"/>
        <w:tabs>
          <w:tab w:val="left" w:pos="426" w:leader="none"/>
          <w:tab w:val="left" w:pos="567" w:leader="none"/>
        </w:tabs>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1. По критерию оценки: характеристики объекта закупки.</w:t>
      </w:r>
      <w:r>
        <w:rPr>
          <w:rFonts w:ascii="Courier New" w:hAnsi="Courier New" w:eastAsia="Times New Roman" w:cs="Courier New"/>
          <w:sz w:val="20"/>
          <w:szCs w:val="20"/>
          <w:lang w:eastAsia="ru-RU"/>
        </w:rPr>
      </w:r>
    </w:p>
    <w:p>
      <w:pPr>
        <w:jc w:val="both"/>
        <w:spacing w:after="0" w:line="240" w:lineRule="auto"/>
        <w:widowControl w:val="off"/>
        <w:tabs>
          <w:tab w:val="left" w:pos="426" w:leader="none"/>
          <w:tab w:val="left" w:pos="567" w:leader="none"/>
        </w:tabs>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Показатель оценки: качественные характеристики объекта закупки.</w:t>
      </w:r>
      <w:r>
        <w:rPr>
          <w:rFonts w:ascii="Courier New" w:hAnsi="Courier New" w:eastAsia="Times New Roman" w:cs="Courier New"/>
          <w:sz w:val="20"/>
          <w:szCs w:val="20"/>
          <w:lang w:eastAsia="ru-RU"/>
        </w:rPr>
      </w:r>
    </w:p>
    <w:p>
      <w:pPr>
        <w:jc w:val="both"/>
        <w:spacing w:after="0"/>
        <w:rPr>
          <w:rFonts w:ascii="Courier New" w:hAnsi="Courier New" w:eastAsia="Times New Roman" w:cs="Courier New"/>
          <w:sz w:val="20"/>
          <w:szCs w:val="20"/>
        </w:rPr>
      </w:pPr>
      <w:r>
        <w:rPr>
          <w:rFonts w:ascii="Courier New" w:hAnsi="Courier New" w:eastAsia="Times New Roman" w:cs="Courier New"/>
          <w:sz w:val="20"/>
          <w:szCs w:val="20"/>
          <w:lang w:eastAsia="ru-RU"/>
        </w:rPr>
        <w:t xml:space="preserve">- Детализирующий показатель: </w:t>
      </w:r>
      <w:r>
        <w:rPr>
          <w:rFonts w:ascii="Courier New" w:hAnsi="Courier New" w:eastAsia="Courier New" w:cs="Courier New"/>
          <w:color w:val="000000"/>
          <w:sz w:val="18"/>
          <w:szCs w:val="18"/>
        </w:rPr>
        <w:t xml:space="preserve">«Предложение по доработке подсистемы ведения рее</w:t>
      </w:r>
      <w:r>
        <w:rPr>
          <w:rFonts w:ascii="Courier New" w:hAnsi="Courier New" w:eastAsia="Courier New" w:cs="Courier New"/>
          <w:color w:val="000000"/>
          <w:sz w:val="18"/>
          <w:szCs w:val="18"/>
        </w:rPr>
        <w:t xml:space="preserve">стров в части реализации создания реестра технико-экономических показателей на основании Постановления Правительства РФ от 16.02.2008 №87 «О составе разделов проектной документации и требованиях к их содержанию»,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t xml:space="preserve"> «Об установлении типовой формы выписки из реестра разрешений на строительств</w:t>
      </w:r>
      <w:r>
        <w:rPr>
          <w:rFonts w:ascii="Courier New" w:hAnsi="Courier New" w:eastAsia="Courier New" w:cs="Courier New"/>
          <w:color w:val="000000"/>
          <w:sz w:val="18"/>
          <w:szCs w:val="18"/>
        </w:rPr>
        <w:t xml:space="preserve">о объектов капитального строительства и типовой формы выписки из реестра разрешений на ввод объектов капитального строительства в эксплуатацию», включая реализацию функций редактирования, фильтрации и выгрузки данных реестра» (п.3.6.1 Технического задания)</w:t>
      </w:r>
      <w:r>
        <w:rPr>
          <w:rFonts w:ascii="Courier New" w:hAnsi="Courier New" w:eastAsia="Times New Roman" w:cs="Courier New"/>
          <w:sz w:val="20"/>
          <w:szCs w:val="20"/>
          <w:lang w:eastAsia="ru-RU"/>
        </w:rPr>
        <w:t xml:space="preserve">;</w:t>
      </w:r>
      <w:r>
        <w:rPr>
          <w:rFonts w:ascii="Courier New" w:hAnsi="Courier New" w:eastAsia="Times New Roman" w:cs="Courier New"/>
          <w:sz w:val="20"/>
          <w:szCs w:val="20"/>
        </w:rPr>
      </w:r>
    </w:p>
    <w:p>
      <w:pPr>
        <w:jc w:val="both"/>
        <w:spacing w:after="0"/>
        <w:rPr>
          <w:rFonts w:ascii="Courier New" w:hAnsi="Courier New" w:eastAsia="Times New Roman" w:cs="Courier New"/>
          <w:sz w:val="20"/>
          <w:szCs w:val="20"/>
        </w:rPr>
      </w:pPr>
      <w:r>
        <w:rPr>
          <w:rFonts w:ascii="Courier New" w:hAnsi="Courier New" w:eastAsia="Times New Roman" w:cs="Courier New"/>
          <w:sz w:val="20"/>
          <w:szCs w:val="20"/>
          <w:lang w:eastAsia="ru-RU"/>
        </w:rPr>
        <w:t xml:space="preserve">- Детализирующий показатель: </w:t>
      </w:r>
      <w:r>
        <w:rPr>
          <w:rFonts w:ascii="Courier New" w:hAnsi="Courier New" w:eastAsia="Courier New" w:cs="Courier New"/>
          <w:color w:val="000000"/>
          <w:sz w:val="18"/>
          <w:szCs w:val="18"/>
        </w:rPr>
        <w:t xml:space="preserve">«Предложение по развитию подсистемы мониторинга хода строительства в части реализации процесса создания карточки объекта к</w:t>
      </w:r>
      <w:r>
        <w:rPr>
          <w:rFonts w:ascii="Courier New" w:hAnsi="Courier New" w:eastAsia="Courier New" w:cs="Courier New"/>
          <w:color w:val="000000"/>
          <w:sz w:val="18"/>
          <w:szCs w:val="18"/>
        </w:rPr>
        <w:t xml:space="preserve">апитального строительства на основании Постановления Правительства РФ от 05.03.2007 №145 «О порядке организации и проведения государственной экспертизы проектной документации и результатов инженерных изысканий» и Приказа Минстроя России от 17.07.2026 №457/</w:t>
      </w:r>
      <w:r>
        <w:rPr>
          <w:rFonts w:ascii="Courier New" w:hAnsi="Courier New" w:eastAsia="Courier New" w:cs="Courier New"/>
          <w:color w:val="000000"/>
          <w:sz w:val="18"/>
          <w:szCs w:val="18"/>
        </w:rPr>
        <w:t xml:space="preserve">пр</w:t>
      </w:r>
      <w:r>
        <w:rPr>
          <w:rFonts w:ascii="Courier New" w:hAnsi="Courier New" w:eastAsia="Courier New" w:cs="Courier New"/>
          <w:color w:val="000000"/>
          <w:sz w:val="18"/>
          <w:szCs w:val="18"/>
        </w:rPr>
        <w:t xml:space="preserve"> «Об установлении типовой формы выписки из реестра разрешений н</w:t>
      </w:r>
      <w:r>
        <w:rPr>
          <w:rFonts w:ascii="Courier New" w:hAnsi="Courier New" w:eastAsia="Courier New" w:cs="Courier New"/>
          <w:color w:val="000000"/>
          <w:sz w:val="18"/>
          <w:szCs w:val="18"/>
        </w:rPr>
        <w:t xml:space="preserve">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 с учетом отображения в ней признака дочерних (вложенных) объектов» (п.3.6.4 Технического задания)</w:t>
      </w:r>
      <w:r>
        <w:rPr>
          <w:rFonts w:ascii="Courier New" w:hAnsi="Courier New" w:eastAsia="Times New Roman" w:cs="Courier New"/>
          <w:sz w:val="20"/>
          <w:szCs w:val="20"/>
          <w:lang w:eastAsia="ru-RU"/>
        </w:rPr>
        <w:t xml:space="preserve">;</w:t>
      </w:r>
      <w:r>
        <w:rPr>
          <w:rFonts w:ascii="Courier New" w:hAnsi="Courier New" w:eastAsia="Times New Roman" w:cs="Courier New"/>
          <w:sz w:val="20"/>
          <w:szCs w:val="20"/>
        </w:rPr>
      </w:r>
    </w:p>
    <w:p>
      <w:pPr>
        <w:pStyle w:val="701"/>
        <w:ind w:left="851"/>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spacing w:after="0" w:line="240" w:lineRule="auto"/>
        <w:widowControl w:val="off"/>
        <w:rPr>
          <w:rFonts w:ascii="Courier New" w:hAnsi="Courier New" w:eastAsia="Times New Roman" w:cs="Courier New"/>
          <w:sz w:val="20"/>
          <w:szCs w:val="20"/>
          <w:lang w:eastAsia="ru-RU"/>
        </w:rPr>
      </w:pPr>
      <w:r>
        <w:rPr>
          <w:rFonts w:ascii="Courier New" w:hAnsi="Courier New" w:cs="Courier New"/>
          <w:sz w:val="20"/>
          <w:szCs w:val="20"/>
        </w:rPr>
        <w:t xml:space="preserve">Предложение участника закупки представляется в произвольном виде.</w:t>
      </w:r>
      <w:r>
        <w:rPr>
          <w:rFonts w:ascii="Courier New" w:hAnsi="Courier New" w:eastAsia="Times New Roman" w:cs="Courier New"/>
          <w:sz w:val="20"/>
          <w:szCs w:val="20"/>
          <w:lang w:eastAsia="ru-RU"/>
        </w:rPr>
      </w:r>
    </w:p>
    <w:p>
      <w:pPr>
        <w:ind w:firstLine="851"/>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2.</w:t>
      </w:r>
      <w:r>
        <w:rPr>
          <w:rFonts w:ascii="Courier New" w:hAnsi="Courier New" w:eastAsia="Times New Roman" w:cs="Courier New"/>
          <w:sz w:val="20"/>
          <w:szCs w:val="20"/>
          <w:lang w:eastAsia="ru-RU"/>
        </w:rPr>
        <w:tab/>
        <w:t xml:space="preserve">По критерию оценки: квалификация участников закупки.</w:t>
      </w:r>
      <w:r>
        <w:rPr>
          <w:rFonts w:ascii="Courier New" w:hAnsi="Courier New" w:eastAsia="Times New Roman" w:cs="Courier New"/>
          <w:sz w:val="20"/>
          <w:szCs w:val="20"/>
          <w:lang w:eastAsia="ru-RU"/>
        </w:rPr>
      </w:r>
    </w:p>
    <w:p>
      <w:pPr>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Показатель оценки: наличие у участников закупки опыта работы, связанного с предметом контракта.</w:t>
      </w:r>
      <w:r>
        <w:rPr>
          <w:rFonts w:ascii="Courier New" w:hAnsi="Courier New" w:eastAsia="Times New Roman" w:cs="Courier New"/>
          <w:sz w:val="20"/>
          <w:szCs w:val="20"/>
          <w:lang w:eastAsia="ru-RU"/>
        </w:rPr>
      </w:r>
    </w:p>
    <w:p>
      <w:pPr>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 Детализирующий показатель: Наибольшая цена одного из исполненных участником закупки договоров. </w:t>
      </w:r>
      <w:r>
        <w:rPr>
          <w:rFonts w:ascii="Courier New" w:hAnsi="Courier New" w:eastAsia="Times New Roman" w:cs="Courier New"/>
          <w:sz w:val="20"/>
          <w:szCs w:val="20"/>
          <w:lang w:eastAsia="ru-RU"/>
        </w:rPr>
      </w:r>
    </w:p>
    <w:tbl>
      <w:tblPr>
        <w:tblW w:w="150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4"/>
        <w:gridCol w:w="1418"/>
        <w:gridCol w:w="1143"/>
        <w:gridCol w:w="1418"/>
        <w:gridCol w:w="1275"/>
        <w:gridCol w:w="1985"/>
        <w:gridCol w:w="2259"/>
        <w:gridCol w:w="3118"/>
        <w:gridCol w:w="1701"/>
      </w:tblGrid>
      <w:tr>
        <w:tblPrEx/>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w:t>
            </w:r>
            <w:r>
              <w:rPr>
                <w:rFonts w:ascii="Courier New" w:hAnsi="Courier New"/>
                <w:sz w:val="20"/>
              </w:rPr>
            </w:r>
          </w:p>
          <w:p>
            <w:pPr>
              <w:contextualSpacing/>
              <w:jc w:val="center"/>
              <w:spacing w:after="0" w:line="240" w:lineRule="auto"/>
              <w:rPr>
                <w:rFonts w:ascii="Courier New" w:hAnsi="Courier New"/>
                <w:sz w:val="20"/>
              </w:rPr>
            </w:pPr>
            <w:r>
              <w:rPr>
                <w:rFonts w:ascii="Courier New" w:hAnsi="Courier New"/>
                <w:sz w:val="20"/>
              </w:rPr>
              <w:t xml:space="preserve">п/п</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418" w:type="dxa"/>
            <w:vAlign w:val="center"/>
            <w:textDirection w:val="lrTb"/>
            <w:noWrap w:val="false"/>
          </w:tcPr>
          <w:p>
            <w:pPr>
              <w:contextualSpacing/>
              <w:ind w:left="-40" w:right="-71"/>
              <w:jc w:val="center"/>
              <w:spacing w:after="0" w:line="240" w:lineRule="auto"/>
              <w:rPr>
                <w:rFonts w:ascii="Courier New" w:hAnsi="Courier New"/>
                <w:sz w:val="20"/>
              </w:rPr>
            </w:pPr>
            <w:r>
              <w:rPr>
                <w:rFonts w:ascii="Courier New" w:hAnsi="Courier New"/>
                <w:sz w:val="20"/>
              </w:rPr>
              <w:t xml:space="preserve">Реквизиты и наименование предмета договора</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143" w:type="dxa"/>
            <w:vAlign w:val="center"/>
            <w:textDirection w:val="lrTb"/>
            <w:noWrap w:val="false"/>
          </w:tcPr>
          <w:p>
            <w:pPr>
              <w:contextualSpacing/>
              <w:ind w:left="-113" w:right="-108"/>
              <w:jc w:val="center"/>
              <w:spacing w:after="0" w:line="240" w:lineRule="auto"/>
              <w:rPr>
                <w:rFonts w:ascii="Courier New" w:hAnsi="Courier New"/>
                <w:sz w:val="20"/>
              </w:rPr>
            </w:pPr>
            <w:r>
              <w:rPr>
                <w:rFonts w:ascii="Courier New" w:hAnsi="Courier New"/>
                <w:sz w:val="20"/>
              </w:rPr>
              <w:t xml:space="preserve">Наименование заказчика по договору</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418"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Дата заключения договора</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Цена договора</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985"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Номер, дата и сумма документа(</w:t>
            </w:r>
            <w:r>
              <w:rPr>
                <w:rFonts w:ascii="Courier New" w:hAnsi="Courier New"/>
                <w:sz w:val="20"/>
              </w:rPr>
              <w:t xml:space="preserve">ов</w:t>
            </w:r>
            <w:r>
              <w:rPr>
                <w:rFonts w:ascii="Courier New" w:hAnsi="Courier New"/>
                <w:sz w:val="20"/>
              </w:rPr>
              <w:t xml:space="preserve">), подтверждающих исполнение договора</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2259" w:type="dxa"/>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Информация об исполнении требований об уплате неустоек (штрафов, пеней) (в случае начисления неустоек)</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Документы и информация о таких документах, содержащихся в открытых и общедоступных государственных реестрах, размещенных в информационно-телекоммуникационной сети «Интернет» (номер реестровой записи из соответствующего реестра)</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r>
              <w:rPr>
                <w:rFonts w:ascii="Courier New" w:hAnsi="Courier New"/>
                <w:sz w:val="20"/>
              </w:rPr>
              <w:t xml:space="preserve">Примечание</w:t>
            </w:r>
            <w:r>
              <w:t xml:space="preserve"> </w:t>
            </w:r>
            <w:r/>
          </w:p>
        </w:tc>
      </w:tr>
      <w:tr>
        <w:tblPrEx/>
        <w:trPr>
          <w:trHeight w:val="218"/>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t xml:space="preserve">1</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418"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143" w:type="dxa"/>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418"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985"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2259" w:type="dxa"/>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r/>
            <w:r/>
          </w:p>
        </w:tc>
      </w:tr>
      <w:tr>
        <w:tblPrEx/>
        <w:trPr/>
        <w:tc>
          <w:tcPr>
            <w:gridSpan w:val="8"/>
            <w:tcBorders>
              <w:top w:val="single" w:color="000000" w:sz="4" w:space="0"/>
              <w:left w:val="single" w:color="000000" w:sz="4" w:space="0"/>
              <w:bottom w:val="single" w:color="000000" w:sz="4" w:space="0"/>
              <w:right w:val="single" w:color="000000" w:sz="4" w:space="0"/>
            </w:tcBorders>
            <w:tcW w:w="13320" w:type="dxa"/>
            <w:textDirection w:val="lrTb"/>
            <w:noWrap w:val="false"/>
          </w:tcPr>
          <w:p>
            <w:pPr>
              <w:contextualSpacing/>
              <w:jc w:val="right"/>
              <w:spacing w:after="0" w:line="240" w:lineRule="auto"/>
              <w:rPr>
                <w:rFonts w:ascii="Courier New" w:hAnsi="Courier New"/>
                <w:sz w:val="20"/>
              </w:rPr>
            </w:pPr>
            <w:r>
              <w:rPr>
                <w:rFonts w:ascii="Courier New" w:hAnsi="Courier New"/>
                <w:sz w:val="20"/>
              </w:rPr>
              <w:t xml:space="preserve">Итого:</w:t>
            </w:r>
            <w:r>
              <w:rPr>
                <w:rFonts w:ascii="Courier New" w:hAnsi="Courier New"/>
                <w:sz w:val="20"/>
              </w:rPr>
            </w:r>
          </w:p>
        </w:tc>
        <w:tc>
          <w:tcPr>
            <w:tcBorders>
              <w:top w:val="single" w:color="000000" w:sz="4" w:space="0"/>
              <w:left w:val="single" w:color="000000" w:sz="4" w:space="0"/>
              <w:bottom w:val="single" w:color="000000" w:sz="4" w:space="0"/>
              <w:right w:val="single" w:color="000000" w:sz="4" w:space="0"/>
            </w:tcBorders>
            <w:tcW w:w="1701" w:type="dxa"/>
            <w:vAlign w:val="center"/>
            <w:textDirection w:val="lrTb"/>
            <w:noWrap w:val="false"/>
          </w:tcPr>
          <w:p>
            <w:pPr>
              <w:contextualSpacing/>
              <w:jc w:val="center"/>
              <w:spacing w:after="0" w:line="240" w:lineRule="auto"/>
              <w:rPr>
                <w:rFonts w:ascii="Courier New" w:hAnsi="Courier New"/>
                <w:sz w:val="20"/>
              </w:rPr>
            </w:pPr>
            <w:r>
              <w:rPr>
                <w:rFonts w:ascii="Courier New" w:hAnsi="Courier New"/>
                <w:sz w:val="20"/>
              </w:rPr>
            </w:r>
            <w:r>
              <w:rPr>
                <w:rFonts w:ascii="Courier New" w:hAnsi="Courier New"/>
                <w:sz w:val="20"/>
              </w:rPr>
            </w:r>
          </w:p>
        </w:tc>
      </w:tr>
    </w:tbl>
    <w:p>
      <w:pPr>
        <w:jc w:val="right"/>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jc w:val="right"/>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pStyle w:val="880"/>
        <w:jc w:val="both"/>
        <w:tabs>
          <w:tab w:val="left" w:pos="284" w:leader="none"/>
          <w:tab w:val="left" w:pos="567" w:leader="none"/>
        </w:tabs>
        <w:rPr>
          <w:rFonts w:ascii="Courier New" w:hAnsi="Courier New" w:cs="Courier New"/>
          <w:sz w:val="20"/>
        </w:rPr>
      </w:pPr>
      <w:r>
        <w:rPr>
          <w:rFonts w:ascii="Courier New" w:hAnsi="Courier New" w:cs="Courier New"/>
          <w:sz w:val="20"/>
        </w:rPr>
        <w:t xml:space="preserve">- Детализирующий показатель: Количество специалистов и иных работников определённого уровня квалификации по информационным системам</w:t>
      </w:r>
      <w:r>
        <w:rPr>
          <w:rFonts w:ascii="Courier New" w:hAnsi="Courier New" w:cs="Courier New"/>
          <w:sz w:val="20"/>
        </w:rPr>
      </w:r>
    </w:p>
    <w:p>
      <w:pPr>
        <w:ind w:left="284"/>
        <w:jc w:val="both"/>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tbl>
      <w:tblPr>
        <w:tblW w:w="14371" w:type="dxa"/>
        <w:tblLayout w:type="fixed"/>
        <w:tblLook w:val="0400" w:firstRow="0" w:lastRow="0" w:firstColumn="0" w:lastColumn="0" w:noHBand="0" w:noVBand="1"/>
      </w:tblPr>
      <w:tblGrid>
        <w:gridCol w:w="723"/>
        <w:gridCol w:w="3838"/>
        <w:gridCol w:w="5352"/>
        <w:gridCol w:w="4458"/>
      </w:tblGrid>
      <w:tr>
        <w:tblPrEx/>
        <w:trPr>
          <w:trHeight w:val="2555"/>
        </w:trPr>
        <w:tc>
          <w:tcPr>
            <w:tcBorders>
              <w:top w:val="single" w:color="000000" w:sz="6" w:space="0"/>
              <w:left w:val="single" w:color="000000" w:sz="6" w:space="0"/>
              <w:bottom w:val="single" w:color="000000" w:sz="6" w:space="0"/>
              <w:right w:val="single" w:color="000000" w:sz="6" w:space="0"/>
            </w:tcBorders>
            <w:tcW w:w="723" w:type="dxa"/>
            <w:vAlign w:val="center"/>
            <w:textDirection w:val="lrTb"/>
            <w:noWrap w:val="false"/>
          </w:tcPr>
          <w:p>
            <w:pPr>
              <w:jc w:val="center"/>
              <w:spacing w:after="0" w:line="240" w:lineRule="auto"/>
              <w:rPr>
                <w:rFonts w:ascii="Courier New" w:hAnsi="Courier New" w:eastAsia="Courier New" w:cs="Courier New"/>
                <w:sz w:val="20"/>
                <w:szCs w:val="20"/>
              </w:rPr>
            </w:pPr>
            <w:r>
              <w:rPr>
                <w:rFonts w:ascii="Courier New" w:hAnsi="Courier New" w:eastAsia="Courier New" w:cs="Courier New"/>
                <w:sz w:val="20"/>
                <w:szCs w:val="20"/>
              </w:rPr>
              <w:t xml:space="preserve">№</w:t>
            </w:r>
            <w:r>
              <w:rPr>
                <w:rFonts w:ascii="Courier New" w:hAnsi="Courier New" w:eastAsia="Courier New" w:cs="Courier New"/>
                <w:sz w:val="20"/>
                <w:szCs w:val="20"/>
              </w:rPr>
            </w:r>
          </w:p>
          <w:p>
            <w:pPr>
              <w:jc w:val="center"/>
              <w:spacing w:after="0" w:line="240" w:lineRule="auto"/>
              <w:rPr>
                <w:rFonts w:ascii="Courier New" w:hAnsi="Courier New" w:eastAsia="Courier New" w:cs="Courier New"/>
                <w:sz w:val="20"/>
                <w:szCs w:val="20"/>
              </w:rPr>
            </w:pPr>
            <w:r>
              <w:rPr>
                <w:rFonts w:ascii="Courier New" w:hAnsi="Courier New" w:eastAsia="Courier New" w:cs="Courier New"/>
                <w:sz w:val="20"/>
                <w:szCs w:val="20"/>
              </w:rPr>
              <w:t xml:space="preserve">п/п</w:t>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3838" w:type="dxa"/>
            <w:vAlign w:val="center"/>
            <w:textDirection w:val="lrTb"/>
            <w:noWrap w:val="false"/>
          </w:tcPr>
          <w:p>
            <w:pPr>
              <w:jc w:val="center"/>
              <w:keepNext/>
              <w:spacing w:after="0"/>
              <w:rPr>
                <w:rFonts w:ascii="Courier New" w:hAnsi="Courier New" w:eastAsia="Courier New" w:cs="Courier New"/>
                <w:sz w:val="18"/>
                <w:szCs w:val="18"/>
              </w:rPr>
            </w:pPr>
            <w:r>
              <w:rPr>
                <w:rFonts w:ascii="Courier New" w:hAnsi="Courier New" w:eastAsia="Courier New" w:cs="Courier New"/>
                <w:sz w:val="18"/>
                <w:szCs w:val="18"/>
              </w:rPr>
              <w:t xml:space="preserve">ФИО специалиста</w:t>
            </w:r>
            <w:r>
              <w:rPr>
                <w:rFonts w:ascii="Courier New" w:hAnsi="Courier New" w:eastAsia="Courier New" w:cs="Courier New"/>
                <w:sz w:val="18"/>
                <w:szCs w:val="18"/>
              </w:rPr>
            </w:r>
          </w:p>
        </w:tc>
        <w:tc>
          <w:tcPr>
            <w:tcBorders>
              <w:top w:val="single" w:color="000000" w:sz="6" w:space="0"/>
              <w:left w:val="single" w:color="000000" w:sz="6" w:space="0"/>
              <w:bottom w:val="single" w:color="000000" w:sz="6" w:space="0"/>
              <w:right w:val="single" w:color="000000" w:sz="6" w:space="0"/>
            </w:tcBorders>
            <w:tcW w:w="5352" w:type="dxa"/>
            <w:vAlign w:val="center"/>
            <w:textDirection w:val="lrTb"/>
            <w:noWrap w:val="false"/>
          </w:tcPr>
          <w:p>
            <w:pPr>
              <w:jc w:val="center"/>
              <w:keepNext/>
              <w:spacing w:after="0"/>
              <w:rPr>
                <w:rFonts w:ascii="Courier New" w:hAnsi="Courier New" w:eastAsia="Courier New" w:cs="Courier New"/>
                <w:sz w:val="18"/>
                <w:szCs w:val="18"/>
              </w:rPr>
            </w:pPr>
            <w:r>
              <w:rPr>
                <w:rFonts w:ascii="Courier New" w:hAnsi="Courier New" w:eastAsia="Courier New" w:cs="Courier New"/>
                <w:sz w:val="18"/>
                <w:szCs w:val="18"/>
              </w:rPr>
              <w:t xml:space="preserve">Трудовая книжка или сведения о трудовой деятельности, предусмотренные статьей 66.1 Трудового кодекса Российской Федерации</w:t>
            </w:r>
            <w:r>
              <w:rPr>
                <w:rFonts w:ascii="Courier New" w:hAnsi="Courier New" w:eastAsia="Courier New" w:cs="Courier New"/>
                <w:sz w:val="18"/>
                <w:szCs w:val="18"/>
              </w:rPr>
            </w:r>
          </w:p>
        </w:tc>
        <w:tc>
          <w:tcPr>
            <w:tcBorders>
              <w:top w:val="single" w:color="000000" w:sz="6" w:space="0"/>
              <w:left w:val="single" w:color="000000" w:sz="6" w:space="0"/>
              <w:bottom w:val="single" w:color="000000" w:sz="6" w:space="0"/>
              <w:right w:val="single" w:color="000000" w:sz="6" w:space="0"/>
            </w:tcBorders>
            <w:tcW w:w="4458" w:type="dxa"/>
            <w:vAlign w:val="center"/>
            <w:textDirection w:val="lrTb"/>
            <w:noWrap w:val="false"/>
          </w:tcPr>
          <w:p>
            <w:pPr>
              <w:jc w:val="center"/>
              <w:keepNext/>
              <w:spacing w:after="0"/>
              <w:rPr>
                <w:rFonts w:ascii="Courier New" w:hAnsi="Courier New" w:eastAsia="Courier New" w:cs="Courier New"/>
                <w:sz w:val="18"/>
                <w:szCs w:val="18"/>
              </w:rPr>
            </w:pPr>
            <w:r>
              <w:rPr>
                <w:rFonts w:ascii="Courier New" w:hAnsi="Courier New" w:cs="Courier New"/>
                <w:sz w:val="18"/>
                <w:szCs w:val="18"/>
              </w:rPr>
              <w:t xml:space="preserve">Информация (в том числе данные), результаты применения информационных технологий и документы, подтверждающие квалификацию участника закупки, </w:t>
            </w:r>
            <w:r>
              <w:rPr>
                <w:rFonts w:ascii="Courier New" w:hAnsi="Courier New" w:cs="Courier New"/>
                <w:sz w:val="18"/>
                <w:szCs w:val="18"/>
              </w:rPr>
              <w:t xml:space="preserve">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Pr>
                <w:rFonts w:ascii="Courier New" w:hAnsi="Courier New" w:eastAsia="Courier New" w:cs="Courier New"/>
                <w:sz w:val="18"/>
                <w:szCs w:val="18"/>
              </w:rPr>
            </w:r>
          </w:p>
        </w:tc>
      </w:tr>
      <w:tr>
        <w:tblPrEx/>
        <w:trPr>
          <w:trHeight w:val="306"/>
        </w:trPr>
        <w:tc>
          <w:tcPr>
            <w:tcBorders>
              <w:top w:val="single" w:color="000000" w:sz="6" w:space="0"/>
              <w:left w:val="single" w:color="000000" w:sz="6" w:space="0"/>
              <w:bottom w:val="single" w:color="000000" w:sz="6" w:space="0"/>
              <w:right w:val="single" w:color="000000" w:sz="6" w:space="0"/>
            </w:tcBorders>
            <w:tcW w:w="723" w:type="dxa"/>
            <w:vAlign w:val="center"/>
            <w:textDirection w:val="lrTb"/>
            <w:noWrap w:val="false"/>
          </w:tcPr>
          <w:p>
            <w:pPr>
              <w:jc w:val="center"/>
              <w:spacing w:after="0" w:line="240" w:lineRule="auto"/>
              <w:rPr>
                <w:rFonts w:ascii="Courier New" w:hAnsi="Courier New" w:eastAsia="Courier New" w:cs="Courier New"/>
                <w:sz w:val="20"/>
                <w:szCs w:val="20"/>
              </w:rPr>
            </w:pPr>
            <w:r>
              <w:rPr>
                <w:rFonts w:ascii="Courier New" w:hAnsi="Courier New" w:eastAsia="Courier New" w:cs="Courier New"/>
                <w:sz w:val="20"/>
                <w:szCs w:val="20"/>
              </w:rPr>
              <w:t xml:space="preserve">1</w:t>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3838" w:type="dxa"/>
            <w:vAlign w:val="center"/>
            <w:textDirection w:val="lrTb"/>
            <w:noWrap w:val="false"/>
          </w:tcPr>
          <w:p>
            <w:pPr>
              <w:jc w:val="center"/>
              <w:keepNext/>
              <w:spacing w:after="0"/>
              <w:rPr>
                <w:rFonts w:ascii="Courier New" w:hAnsi="Courier New" w:eastAsia="Courier New" w:cs="Courier New"/>
                <w:sz w:val="18"/>
                <w:szCs w:val="18"/>
              </w:rPr>
            </w:pPr>
            <w:r>
              <w:rPr>
                <w:rFonts w:ascii="Courier New" w:hAnsi="Courier New" w:eastAsia="Courier New" w:cs="Courier New"/>
                <w:sz w:val="18"/>
                <w:szCs w:val="18"/>
              </w:rPr>
            </w:r>
            <w:r>
              <w:rPr>
                <w:rFonts w:ascii="Courier New" w:hAnsi="Courier New" w:eastAsia="Courier New" w:cs="Courier New"/>
                <w:sz w:val="18"/>
                <w:szCs w:val="18"/>
              </w:rPr>
            </w:r>
          </w:p>
        </w:tc>
        <w:tc>
          <w:tcPr>
            <w:tcBorders>
              <w:top w:val="single" w:color="000000" w:sz="6" w:space="0"/>
              <w:left w:val="single" w:color="000000" w:sz="6" w:space="0"/>
              <w:bottom w:val="single" w:color="000000" w:sz="6" w:space="0"/>
              <w:right w:val="single" w:color="000000" w:sz="6" w:space="0"/>
            </w:tcBorders>
            <w:tcW w:w="5352" w:type="dxa"/>
            <w:vAlign w:val="center"/>
            <w:textDirection w:val="lrTb"/>
            <w:noWrap w:val="false"/>
          </w:tcPr>
          <w:p>
            <w:pPr>
              <w:jc w:val="center"/>
              <w:keepNext/>
              <w:spacing w:after="0"/>
              <w:rPr>
                <w:rFonts w:ascii="Courier New" w:hAnsi="Courier New" w:eastAsia="Courier New" w:cs="Courier New"/>
                <w:sz w:val="18"/>
                <w:szCs w:val="18"/>
              </w:rPr>
            </w:pPr>
            <w:r>
              <w:rPr>
                <w:rFonts w:ascii="Courier New" w:hAnsi="Courier New" w:eastAsia="Courier New" w:cs="Courier New"/>
                <w:sz w:val="18"/>
                <w:szCs w:val="18"/>
              </w:rPr>
            </w:r>
            <w:r>
              <w:rPr>
                <w:rFonts w:ascii="Courier New" w:hAnsi="Courier New" w:eastAsia="Courier New" w:cs="Courier New"/>
                <w:sz w:val="18"/>
                <w:szCs w:val="18"/>
              </w:rPr>
            </w:r>
          </w:p>
        </w:tc>
        <w:tc>
          <w:tcPr>
            <w:tcBorders>
              <w:top w:val="single" w:color="000000" w:sz="6" w:space="0"/>
              <w:left w:val="single" w:color="000000" w:sz="6" w:space="0"/>
              <w:bottom w:val="single" w:color="000000" w:sz="6" w:space="0"/>
              <w:right w:val="single" w:color="000000" w:sz="6" w:space="0"/>
            </w:tcBorders>
            <w:tcW w:w="4458" w:type="dxa"/>
            <w:textDirection w:val="lrTb"/>
            <w:noWrap w:val="false"/>
          </w:tcPr>
          <w:p>
            <w:pPr>
              <w:jc w:val="center"/>
              <w:keepNext/>
              <w:spacing w:after="0"/>
              <w:rPr>
                <w:rFonts w:ascii="Courier New" w:hAnsi="Courier New" w:eastAsia="Courier New" w:cs="Courier New"/>
                <w:sz w:val="18"/>
                <w:szCs w:val="18"/>
              </w:rPr>
            </w:pPr>
            <w:r>
              <w:rPr>
                <w:rFonts w:ascii="Courier New" w:hAnsi="Courier New" w:eastAsia="Courier New" w:cs="Courier New"/>
                <w:sz w:val="18"/>
                <w:szCs w:val="18"/>
              </w:rPr>
            </w:r>
            <w:r>
              <w:rPr>
                <w:rFonts w:ascii="Courier New" w:hAnsi="Courier New" w:eastAsia="Courier New" w:cs="Courier New"/>
                <w:sz w:val="18"/>
                <w:szCs w:val="18"/>
              </w:rPr>
            </w:r>
          </w:p>
        </w:tc>
      </w:tr>
      <w:tr>
        <w:tblPrEx/>
        <w:trPr>
          <w:trHeight w:val="54"/>
        </w:trPr>
        <w:tc>
          <w:tcPr>
            <w:tcBorders>
              <w:top w:val="single" w:color="000000" w:sz="6" w:space="0"/>
              <w:left w:val="single" w:color="000000" w:sz="6" w:space="0"/>
              <w:bottom w:val="single" w:color="000000" w:sz="6" w:space="0"/>
              <w:right w:val="single" w:color="000000" w:sz="6" w:space="0"/>
            </w:tcBorders>
            <w:tcW w:w="723" w:type="dxa"/>
            <w:vAlign w:val="center"/>
            <w:textDirection w:val="lrTb"/>
            <w:noWrap w:val="false"/>
          </w:tcPr>
          <w:p>
            <w:pPr>
              <w:jc w:val="center"/>
              <w:spacing w:after="0" w:line="240" w:lineRule="auto"/>
              <w:rPr>
                <w:rFonts w:ascii="Courier New" w:hAnsi="Courier New" w:eastAsia="Courier New" w:cs="Courier New"/>
                <w:sz w:val="20"/>
                <w:szCs w:val="20"/>
              </w:rPr>
            </w:pPr>
            <w:r>
              <w:rPr>
                <w:rFonts w:ascii="Courier New" w:hAnsi="Courier New" w:eastAsia="Courier New" w:cs="Courier New"/>
                <w:sz w:val="20"/>
                <w:szCs w:val="20"/>
              </w:rPr>
              <w:t xml:space="preserve">2</w:t>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3838"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5352"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4458"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r>
      <w:tr>
        <w:tblPrEx/>
        <w:trPr>
          <w:trHeight w:val="76"/>
        </w:trPr>
        <w:tc>
          <w:tcPr>
            <w:tcBorders>
              <w:top w:val="single" w:color="000000" w:sz="6" w:space="0"/>
              <w:left w:val="single" w:color="000000" w:sz="6" w:space="0"/>
              <w:bottom w:val="single" w:color="000000" w:sz="6" w:space="0"/>
              <w:right w:val="single" w:color="000000" w:sz="6" w:space="0"/>
            </w:tcBorders>
            <w:tcW w:w="723" w:type="dxa"/>
            <w:vAlign w:val="center"/>
            <w:textDirection w:val="lrTb"/>
            <w:noWrap w:val="false"/>
          </w:tcPr>
          <w:p>
            <w:pPr>
              <w:jc w:val="center"/>
              <w:spacing w:after="0" w:line="240" w:lineRule="auto"/>
              <w:rPr>
                <w:rFonts w:ascii="Courier New" w:hAnsi="Courier New" w:eastAsia="Courier New" w:cs="Courier New"/>
                <w:sz w:val="20"/>
                <w:szCs w:val="20"/>
              </w:rPr>
            </w:pPr>
            <w:r>
              <w:rPr>
                <w:rFonts w:ascii="Courier New" w:hAnsi="Courier New" w:eastAsia="Courier New" w:cs="Courier New"/>
                <w:sz w:val="20"/>
                <w:szCs w:val="20"/>
              </w:rPr>
              <w:t xml:space="preserve">3</w:t>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3838"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5352"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c>
          <w:tcPr>
            <w:tcBorders>
              <w:top w:val="single" w:color="000000" w:sz="6" w:space="0"/>
              <w:left w:val="single" w:color="000000" w:sz="6" w:space="0"/>
              <w:bottom w:val="single" w:color="000000" w:sz="6" w:space="0"/>
              <w:right w:val="single" w:color="000000" w:sz="6" w:space="0"/>
            </w:tcBorders>
            <w:tcW w:w="4458" w:type="dxa"/>
            <w:textDirection w:val="lrTb"/>
            <w:noWrap w:val="false"/>
          </w:tcPr>
          <w:p>
            <w:pPr>
              <w:jc w:val="both"/>
              <w:rPr>
                <w:rFonts w:ascii="Courier New" w:hAnsi="Courier New" w:eastAsia="Courier New" w:cs="Courier New"/>
                <w:sz w:val="20"/>
                <w:szCs w:val="20"/>
              </w:rPr>
            </w:pPr>
            <w:r>
              <w:rPr>
                <w:rFonts w:ascii="Courier New" w:hAnsi="Courier New" w:eastAsia="Courier New" w:cs="Courier New"/>
                <w:sz w:val="20"/>
                <w:szCs w:val="20"/>
              </w:rPr>
            </w:r>
            <w:r>
              <w:rPr>
                <w:rFonts w:ascii="Courier New" w:hAnsi="Courier New" w:eastAsia="Courier New" w:cs="Courier New"/>
                <w:sz w:val="20"/>
                <w:szCs w:val="20"/>
              </w:rPr>
            </w:r>
          </w:p>
        </w:tc>
      </w:tr>
      <w:tr>
        <w:tblPrEx/>
        <w:trPr>
          <w:trHeight w:val="172"/>
        </w:trPr>
        <w:tc>
          <w:tcPr>
            <w:tcBorders>
              <w:top w:val="single" w:color="000000" w:sz="6" w:space="0"/>
              <w:left w:val="single" w:color="000000" w:sz="6" w:space="0"/>
              <w:bottom w:val="single" w:color="000000" w:sz="6" w:space="0"/>
              <w:right w:val="single" w:color="000000" w:sz="6" w:space="0"/>
            </w:tcBorders>
            <w:tcW w:w="723" w:type="dxa"/>
            <w:textDirection w:val="lrTb"/>
            <w:noWrap w:val="false"/>
          </w:tcPr>
          <w:p>
            <w:pPr>
              <w:widowControl w:val="off"/>
              <w:rPr>
                <w:rFonts w:ascii="Courier New" w:hAnsi="Courier New" w:eastAsia="Courier New" w:cs="Courier New"/>
                <w:sz w:val="18"/>
                <w:szCs w:val="18"/>
              </w:rPr>
            </w:pPr>
            <w:r>
              <w:rPr>
                <w:rFonts w:ascii="Courier New" w:hAnsi="Courier New" w:eastAsia="Courier New" w:cs="Courier New"/>
                <w:sz w:val="18"/>
                <w:szCs w:val="18"/>
              </w:rPr>
            </w:r>
            <w:r>
              <w:rPr>
                <w:rFonts w:ascii="Courier New" w:hAnsi="Courier New" w:eastAsia="Courier New" w:cs="Courier New"/>
                <w:sz w:val="18"/>
                <w:szCs w:val="18"/>
              </w:rPr>
            </w:r>
          </w:p>
        </w:tc>
        <w:tc>
          <w:tcPr>
            <w:tcBorders>
              <w:top w:val="single" w:color="000000" w:sz="6" w:space="0"/>
              <w:left w:val="single" w:color="000000" w:sz="6" w:space="0"/>
              <w:bottom w:val="single" w:color="000000" w:sz="6" w:space="0"/>
              <w:right w:val="single" w:color="000000" w:sz="6" w:space="0"/>
            </w:tcBorders>
            <w:tcW w:w="3838" w:type="dxa"/>
            <w:textDirection w:val="lrTb"/>
            <w:noWrap w:val="false"/>
          </w:tcPr>
          <w:p>
            <w:pPr>
              <w:jc w:val="both"/>
              <w:rPr>
                <w:rFonts w:ascii="Courier New" w:hAnsi="Courier New" w:eastAsia="Courier New" w:cs="Courier New"/>
                <w:i/>
                <w:color w:val="000000"/>
                <w:sz w:val="18"/>
                <w:szCs w:val="18"/>
              </w:rPr>
            </w:pPr>
            <w:r>
              <w:rPr>
                <w:rFonts w:ascii="Courier New" w:hAnsi="Courier New" w:eastAsia="Courier New" w:cs="Courier New"/>
                <w:i/>
                <w:color w:val="000000"/>
                <w:sz w:val="18"/>
                <w:szCs w:val="18"/>
              </w:rPr>
              <w:t xml:space="preserve">Итого специалистов:</w:t>
            </w:r>
            <w:r>
              <w:rPr>
                <w:rFonts w:ascii="Courier New" w:hAnsi="Courier New" w:eastAsia="Courier New" w:cs="Courier New"/>
                <w:i/>
                <w:color w:val="000000"/>
                <w:sz w:val="18"/>
                <w:szCs w:val="18"/>
              </w:rPr>
            </w:r>
          </w:p>
        </w:tc>
        <w:tc>
          <w:tcPr>
            <w:tcBorders>
              <w:top w:val="single" w:color="000000" w:sz="6" w:space="0"/>
              <w:left w:val="single" w:color="000000" w:sz="6" w:space="0"/>
              <w:bottom w:val="single" w:color="000000" w:sz="6" w:space="0"/>
              <w:right w:val="single" w:color="000000" w:sz="6" w:space="0"/>
            </w:tcBorders>
            <w:tcW w:w="5352" w:type="dxa"/>
            <w:textDirection w:val="lrTb"/>
            <w:noWrap w:val="false"/>
          </w:tcPr>
          <w:p>
            <w:pPr>
              <w:jc w:val="both"/>
              <w:rPr>
                <w:rFonts w:ascii="Courier New" w:hAnsi="Courier New" w:eastAsia="Courier New" w:cs="Courier New"/>
                <w:i/>
                <w:color w:val="000000"/>
                <w:sz w:val="18"/>
                <w:szCs w:val="18"/>
              </w:rPr>
            </w:pPr>
            <w:r>
              <w:rPr>
                <w:rFonts w:ascii="Courier New" w:hAnsi="Courier New" w:eastAsia="Courier New" w:cs="Courier New"/>
                <w:i/>
                <w:color w:val="000000"/>
                <w:sz w:val="18"/>
                <w:szCs w:val="18"/>
              </w:rPr>
            </w:r>
            <w:r>
              <w:rPr>
                <w:rFonts w:ascii="Courier New" w:hAnsi="Courier New" w:eastAsia="Courier New" w:cs="Courier New"/>
                <w:i/>
                <w:color w:val="000000"/>
                <w:sz w:val="18"/>
                <w:szCs w:val="18"/>
              </w:rPr>
            </w:r>
          </w:p>
        </w:tc>
        <w:tc>
          <w:tcPr>
            <w:tcBorders>
              <w:top w:val="single" w:color="000000" w:sz="6" w:space="0"/>
              <w:left w:val="single" w:color="000000" w:sz="6" w:space="0"/>
              <w:bottom w:val="single" w:color="000000" w:sz="6" w:space="0"/>
              <w:right w:val="single" w:color="000000" w:sz="6" w:space="0"/>
            </w:tcBorders>
            <w:tcW w:w="4458" w:type="dxa"/>
            <w:textDirection w:val="lrTb"/>
            <w:noWrap w:val="false"/>
          </w:tcPr>
          <w:p>
            <w:pPr>
              <w:jc w:val="both"/>
              <w:rPr>
                <w:rFonts w:ascii="Courier New" w:hAnsi="Courier New" w:eastAsia="Courier New" w:cs="Courier New"/>
                <w:i/>
                <w:color w:val="000000"/>
                <w:sz w:val="18"/>
                <w:szCs w:val="18"/>
              </w:rPr>
            </w:pPr>
            <w:r>
              <w:rPr>
                <w:rFonts w:ascii="Courier New" w:hAnsi="Courier New" w:eastAsia="Courier New" w:cs="Courier New"/>
                <w:i/>
                <w:color w:val="000000"/>
                <w:sz w:val="18"/>
                <w:szCs w:val="18"/>
              </w:rPr>
            </w:r>
            <w:r>
              <w:rPr>
                <w:rFonts w:ascii="Courier New" w:hAnsi="Courier New" w:eastAsia="Courier New" w:cs="Courier New"/>
                <w:i/>
                <w:color w:val="000000"/>
                <w:sz w:val="18"/>
                <w:szCs w:val="18"/>
              </w:rPr>
            </w:r>
          </w:p>
        </w:tc>
      </w:tr>
    </w:tbl>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r>
      <w:r>
        <w:rPr>
          <w:rFonts w:ascii="Courier New" w:hAnsi="Courier New" w:eastAsia="Times New Roman" w:cs="Courier New"/>
          <w:sz w:val="20"/>
          <w:szCs w:val="20"/>
          <w:lang w:eastAsia="ru-RU"/>
        </w:rPr>
      </w:r>
    </w:p>
    <w:p>
      <w:pPr>
        <w:ind w:left="720"/>
        <w:spacing w:after="0" w:line="240" w:lineRule="auto"/>
        <w:widowControl w:val="off"/>
        <w:rPr>
          <w:rFonts w:ascii="Courier New" w:hAnsi="Courier New" w:eastAsia="Times New Roman" w:cs="Courier New"/>
          <w:sz w:val="20"/>
          <w:szCs w:val="20"/>
          <w:lang w:eastAsia="ru-RU"/>
        </w:rPr>
      </w:pPr>
      <w:r>
        <w:rPr>
          <w:rFonts w:ascii="Courier New" w:hAnsi="Courier New" w:eastAsia="Times New Roman" w:cs="Courier New"/>
          <w:sz w:val="20"/>
          <w:szCs w:val="20"/>
          <w:lang w:eastAsia="ru-RU"/>
        </w:rPr>
        <w:t xml:space="preserve">*Форма не является обязательной для заполнения и носит рекомендательный характер.</w:t>
      </w:r>
      <w:r>
        <w:rPr>
          <w:rFonts w:ascii="Courier New" w:hAnsi="Courier New" w:eastAsia="Times New Roman" w:cs="Courier New"/>
          <w:sz w:val="20"/>
          <w:szCs w:val="20"/>
          <w:lang w:eastAsia="ru-RU"/>
        </w:rPr>
      </w:r>
    </w:p>
    <w:sectPr>
      <w:footnotePr/>
      <w:endnotePr/>
      <w:type w:val="nextPage"/>
      <w:pgSz w:w="16838" w:h="11905" w:orient="landscape"/>
      <w:pgMar w:top="1134" w:right="1134" w:bottom="568" w:left="1134"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Arial">
    <w:panose1 w:val="020B0604020202020204"/>
  </w:font>
  <w:font w:name="MS Mincho">
    <w:panose1 w:val="020606060503050B0204"/>
  </w:font>
  <w:font w:name="Tahoma">
    <w:panose1 w:val="020B0606040504020204"/>
  </w:font>
  <w:font w:name="Courier New">
    <w:panose1 w:val="02070409020205020404"/>
  </w:font>
  <w:font w:name="Wingdings">
    <w:panose1 w:val="05010000000000000000"/>
  </w:font>
  <w:font w:name="Liberation Sans">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900"/>
      <w:isLgl w:val="false"/>
      <w:suff w:val="tab"/>
      <w:lvlText w:val=""/>
      <w:lvlJc w:val="left"/>
      <w:pPr>
        <w:ind w:left="1208" w:hanging="357"/>
      </w:pPr>
      <w:rPr>
        <w:rFonts w:ascii="Symbol" w:hAnsi="Symbol"/>
        <w:color w:val="000000"/>
      </w:rPr>
    </w:lvl>
    <w:lvl w:ilvl="1">
      <w:start w:val="1"/>
      <w:numFmt w:val="bullet"/>
      <w:isLgl w:val="false"/>
      <w:suff w:val="tab"/>
      <w:lvlText w:val=""/>
      <w:lvlJc w:val="left"/>
      <w:pPr>
        <w:ind w:left="1928" w:hanging="357"/>
        <w:tabs>
          <w:tab w:val="left" w:pos="1571" w:leader="none"/>
        </w:tabs>
      </w:pPr>
      <w:rPr>
        <w:rFonts w:ascii="Symbol" w:hAnsi="Symbol"/>
      </w:rPr>
    </w:lvl>
    <w:lvl w:ilvl="2">
      <w:start w:val="1"/>
      <w:numFmt w:val="bullet"/>
      <w:isLgl w:val="false"/>
      <w:suff w:val="tab"/>
      <w:lvlText w:val=""/>
      <w:lvlJc w:val="left"/>
      <w:pPr>
        <w:ind w:left="2517" w:hanging="357"/>
      </w:pPr>
      <w:rPr>
        <w:rFonts w:ascii="Symbol" w:hAnsi="Symbol"/>
      </w:rPr>
    </w:lvl>
    <w:lvl w:ilvl="3">
      <w:start w:val="1"/>
      <w:numFmt w:val="decimal"/>
      <w:isLgl w:val="false"/>
      <w:suff w:val="tab"/>
      <w:lvlText w:val="%1.%2.%3.%4."/>
      <w:lvlJc w:val="left"/>
      <w:pPr>
        <w:ind w:left="3368" w:hanging="357"/>
      </w:pPr>
    </w:lvl>
    <w:lvl w:ilvl="4">
      <w:start w:val="1"/>
      <w:numFmt w:val="decimal"/>
      <w:isLgl w:val="false"/>
      <w:suff w:val="tab"/>
      <w:lvlText w:val="%1.%2.%3.%4.%5."/>
      <w:lvlJc w:val="left"/>
      <w:pPr>
        <w:ind w:left="4088" w:hanging="357"/>
      </w:pPr>
    </w:lvl>
    <w:lvl w:ilvl="5">
      <w:start w:val="1"/>
      <w:numFmt w:val="decimal"/>
      <w:isLgl w:val="false"/>
      <w:suff w:val="tab"/>
      <w:lvlText w:val="%1.%2.%3.%4.%5.%6."/>
      <w:lvlJc w:val="left"/>
      <w:pPr>
        <w:ind w:left="4808" w:hanging="357"/>
      </w:pPr>
    </w:lvl>
    <w:lvl w:ilvl="6">
      <w:start w:val="1"/>
      <w:numFmt w:val="decimal"/>
      <w:isLgl w:val="false"/>
      <w:suff w:val="tab"/>
      <w:lvlText w:val="%1.%2.%3.%4.%5.%6.%7."/>
      <w:lvlJc w:val="left"/>
      <w:pPr>
        <w:ind w:left="5528" w:hanging="357"/>
      </w:pPr>
    </w:lvl>
    <w:lvl w:ilvl="7">
      <w:start w:val="1"/>
      <w:numFmt w:val="decimal"/>
      <w:isLgl w:val="false"/>
      <w:suff w:val="tab"/>
      <w:lvlText w:val="%1.%2.%3.%4.%5.%6.%7.%8."/>
      <w:lvlJc w:val="left"/>
      <w:pPr>
        <w:ind w:left="6248" w:hanging="357"/>
      </w:pPr>
    </w:lvl>
    <w:lvl w:ilvl="8">
      <w:start w:val="1"/>
      <w:numFmt w:val="decimal"/>
      <w:isLgl w:val="false"/>
      <w:suff w:val="tab"/>
      <w:lvlText w:val="%1.%2.%3.%4.%5.%6.%7.%8.%9."/>
      <w:lvlJc w:val="left"/>
      <w:pPr>
        <w:ind w:left="6968" w:hanging="357"/>
      </w:p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decimal"/>
      <w:isLgl w:val="false"/>
      <w:suff w:val="tab"/>
      <w:lvlText w:val="%1."/>
      <w:lvlJc w:val="left"/>
      <w:pPr>
        <w:ind w:left="409" w:hanging="360"/>
      </w:pPr>
    </w:lvl>
    <w:lvl w:ilvl="1">
      <w:start w:val="1"/>
      <w:numFmt w:val="lowerLetter"/>
      <w:isLgl w:val="false"/>
      <w:suff w:val="tab"/>
      <w:lvlText w:val="%2."/>
      <w:lvlJc w:val="left"/>
      <w:pPr>
        <w:ind w:left="1129" w:hanging="360"/>
      </w:pPr>
    </w:lvl>
    <w:lvl w:ilvl="2">
      <w:start w:val="1"/>
      <w:numFmt w:val="lowerRoman"/>
      <w:isLgl w:val="false"/>
      <w:suff w:val="tab"/>
      <w:lvlText w:val="%3."/>
      <w:lvlJc w:val="right"/>
      <w:pPr>
        <w:ind w:left="1849" w:hanging="180"/>
      </w:pPr>
    </w:lvl>
    <w:lvl w:ilvl="3">
      <w:start w:val="1"/>
      <w:numFmt w:val="decimal"/>
      <w:isLgl w:val="false"/>
      <w:suff w:val="tab"/>
      <w:lvlText w:val="%4."/>
      <w:lvlJc w:val="left"/>
      <w:pPr>
        <w:ind w:left="2569" w:hanging="360"/>
      </w:pPr>
    </w:lvl>
    <w:lvl w:ilvl="4">
      <w:start w:val="1"/>
      <w:numFmt w:val="lowerLetter"/>
      <w:isLgl w:val="false"/>
      <w:suff w:val="tab"/>
      <w:lvlText w:val="%5."/>
      <w:lvlJc w:val="left"/>
      <w:pPr>
        <w:ind w:left="3289" w:hanging="360"/>
      </w:pPr>
    </w:lvl>
    <w:lvl w:ilvl="5">
      <w:start w:val="1"/>
      <w:numFmt w:val="lowerRoman"/>
      <w:isLgl w:val="false"/>
      <w:suff w:val="tab"/>
      <w:lvlText w:val="%6."/>
      <w:lvlJc w:val="right"/>
      <w:pPr>
        <w:ind w:left="4009" w:hanging="180"/>
      </w:pPr>
    </w:lvl>
    <w:lvl w:ilvl="6">
      <w:start w:val="1"/>
      <w:numFmt w:val="decimal"/>
      <w:isLgl w:val="false"/>
      <w:suff w:val="tab"/>
      <w:lvlText w:val="%7."/>
      <w:lvlJc w:val="left"/>
      <w:pPr>
        <w:ind w:left="4729" w:hanging="360"/>
      </w:pPr>
    </w:lvl>
    <w:lvl w:ilvl="7">
      <w:start w:val="1"/>
      <w:numFmt w:val="lowerLetter"/>
      <w:isLgl w:val="false"/>
      <w:suff w:val="tab"/>
      <w:lvlText w:val="%8."/>
      <w:lvlJc w:val="left"/>
      <w:pPr>
        <w:ind w:left="5449" w:hanging="360"/>
      </w:pPr>
    </w:lvl>
    <w:lvl w:ilvl="8">
      <w:start w:val="1"/>
      <w:numFmt w:val="lowerRoman"/>
      <w:isLgl w:val="false"/>
      <w:suff w:val="tab"/>
      <w:lvlText w:val="%9."/>
      <w:lvlJc w:val="right"/>
      <w:pPr>
        <w:ind w:left="6169" w:hanging="180"/>
      </w:p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space"/>
      <w:lvlText w:val="%1)"/>
      <w:lvlJc w:val="left"/>
      <w:pPr>
        <w:ind w:left="0" w:firstLine="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decimal"/>
      <w:isLgl w:val="false"/>
      <w:suff w:val="tab"/>
      <w:lvlText w:val="%1)"/>
      <w:lvlJc w:val="left"/>
      <w:pPr>
        <w:ind w:left="732" w:hanging="372"/>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20" w:hanging="36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1800" w:hanging="720"/>
      </w:pPr>
    </w:lvl>
    <w:lvl w:ilvl="3">
      <w:start w:val="1"/>
      <w:numFmt w:val="decimal"/>
      <w:isLgl w:val="false"/>
      <w:suff w:val="tab"/>
      <w:lvlText w:val="%1.%2.%3.%4."/>
      <w:lvlJc w:val="left"/>
      <w:pPr>
        <w:ind w:left="2520" w:hanging="1080"/>
      </w:pPr>
    </w:lvl>
    <w:lvl w:ilvl="4">
      <w:start w:val="1"/>
      <w:numFmt w:val="decimal"/>
      <w:isLgl w:val="false"/>
      <w:suff w:val="tab"/>
      <w:lvlText w:val="%1.%2.%3.%4.%5."/>
      <w:lvlJc w:val="left"/>
      <w:pPr>
        <w:ind w:left="3240" w:hanging="1440"/>
      </w:pPr>
    </w:lvl>
    <w:lvl w:ilvl="5">
      <w:start w:val="1"/>
      <w:numFmt w:val="decimal"/>
      <w:isLgl w:val="false"/>
      <w:suff w:val="tab"/>
      <w:lvlText w:val="%1.%2.%3.%4.%5.%6."/>
      <w:lvlJc w:val="left"/>
      <w:pPr>
        <w:ind w:left="3600" w:hanging="1440"/>
      </w:pPr>
    </w:lvl>
    <w:lvl w:ilvl="6">
      <w:start w:val="1"/>
      <w:numFmt w:val="decimal"/>
      <w:isLgl w:val="false"/>
      <w:suff w:val="tab"/>
      <w:lvlText w:val="%1.%2.%3.%4.%5.%6.%7."/>
      <w:lvlJc w:val="left"/>
      <w:pPr>
        <w:ind w:left="4320" w:hanging="1800"/>
      </w:pPr>
    </w:lvl>
    <w:lvl w:ilvl="7">
      <w:start w:val="1"/>
      <w:numFmt w:val="decimal"/>
      <w:isLgl w:val="false"/>
      <w:suff w:val="tab"/>
      <w:lvlText w:val="%1.%2.%3.%4.%5.%6.%7.%8."/>
      <w:lvlJc w:val="left"/>
      <w:pPr>
        <w:ind w:left="5040" w:hanging="2160"/>
      </w:pPr>
    </w:lvl>
    <w:lvl w:ilvl="8">
      <w:start w:val="1"/>
      <w:numFmt w:val="decimal"/>
      <w:isLgl w:val="false"/>
      <w:suff w:val="tab"/>
      <w:lvlText w:val="%1.%2.%3.%4.%5.%6.%7.%8.%9."/>
      <w:lvlJc w:val="left"/>
      <w:pPr>
        <w:ind w:left="5400" w:hanging="2160"/>
      </w:pPr>
    </w:lvl>
  </w:abstractNum>
  <w:abstractNum w:abstractNumId="8">
    <w:multiLevelType w:val="hybridMultilevel"/>
    <w:lvl w:ilvl="0">
      <w:start w:val="2"/>
      <w:numFmt w:val="decimal"/>
      <w:isLgl w:val="false"/>
      <w:suff w:val="tab"/>
      <w:lvlText w:val="%1."/>
      <w:lvlJc w:val="left"/>
      <w:pPr>
        <w:ind w:left="480" w:hanging="480"/>
      </w:pPr>
    </w:lvl>
    <w:lvl w:ilvl="1">
      <w:start w:val="1"/>
      <w:numFmt w:val="decimal"/>
      <w:isLgl w:val="false"/>
      <w:suff w:val="tab"/>
      <w:lvlText w:val="%1.%2."/>
      <w:lvlJc w:val="left"/>
      <w:pPr>
        <w:ind w:left="1440" w:hanging="720"/>
      </w:pPr>
    </w:lvl>
    <w:lvl w:ilvl="2">
      <w:start w:val="1"/>
      <w:numFmt w:val="decimal"/>
      <w:isLgl w:val="false"/>
      <w:suff w:val="tab"/>
      <w:lvlText w:val="%1.%2.%3."/>
      <w:lvlJc w:val="left"/>
      <w:pPr>
        <w:ind w:left="2160" w:hanging="720"/>
      </w:pPr>
    </w:lvl>
    <w:lvl w:ilvl="3">
      <w:start w:val="1"/>
      <w:numFmt w:val="decimal"/>
      <w:isLgl w:val="false"/>
      <w:suff w:val="tab"/>
      <w:lvlText w:val="%1.%2.%3.%4."/>
      <w:lvlJc w:val="left"/>
      <w:pPr>
        <w:ind w:left="3240" w:hanging="1080"/>
      </w:pPr>
    </w:lvl>
    <w:lvl w:ilvl="4">
      <w:start w:val="1"/>
      <w:numFmt w:val="decimal"/>
      <w:isLgl w:val="false"/>
      <w:suff w:val="tab"/>
      <w:lvlText w:val="%1.%2.%3.%4.%5."/>
      <w:lvlJc w:val="left"/>
      <w:pPr>
        <w:ind w:left="4320" w:hanging="1440"/>
      </w:pPr>
    </w:lvl>
    <w:lvl w:ilvl="5">
      <w:start w:val="1"/>
      <w:numFmt w:val="decimal"/>
      <w:isLgl w:val="false"/>
      <w:suff w:val="tab"/>
      <w:lvlText w:val="%1.%2.%3.%4.%5.%6."/>
      <w:lvlJc w:val="left"/>
      <w:pPr>
        <w:ind w:left="5040" w:hanging="1440"/>
      </w:pPr>
    </w:lvl>
    <w:lvl w:ilvl="6">
      <w:start w:val="1"/>
      <w:numFmt w:val="decimal"/>
      <w:isLgl w:val="false"/>
      <w:suff w:val="tab"/>
      <w:lvlText w:val="%1.%2.%3.%4.%5.%6.%7."/>
      <w:lvlJc w:val="left"/>
      <w:pPr>
        <w:ind w:left="6120" w:hanging="1800"/>
      </w:pPr>
    </w:lvl>
    <w:lvl w:ilvl="7">
      <w:start w:val="1"/>
      <w:numFmt w:val="decimal"/>
      <w:isLgl w:val="false"/>
      <w:suff w:val="tab"/>
      <w:lvlText w:val="%1.%2.%3.%4.%5.%6.%7.%8."/>
      <w:lvlJc w:val="left"/>
      <w:pPr>
        <w:ind w:left="7200" w:hanging="2160"/>
      </w:pPr>
    </w:lvl>
    <w:lvl w:ilvl="8">
      <w:start w:val="1"/>
      <w:numFmt w:val="decimal"/>
      <w:isLgl w:val="false"/>
      <w:suff w:val="tab"/>
      <w:lvlText w:val="%1.%2.%3.%4.%5.%6.%7.%8.%9."/>
      <w:lvlJc w:val="left"/>
      <w:pPr>
        <w:ind w:left="7920" w:hanging="2160"/>
      </w:pPr>
    </w:lvl>
  </w:abstractNum>
  <w:abstractNum w:abstractNumId="9">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480" w:hanging="480"/>
      </w:pPr>
    </w:lvl>
    <w:lvl w:ilvl="1">
      <w:start w:val="1"/>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440" w:hanging="144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2160" w:hanging="2160"/>
      </w:pPr>
    </w:lvl>
    <w:lvl w:ilvl="8">
      <w:start w:val="1"/>
      <w:numFmt w:val="decimal"/>
      <w:isLgl w:val="false"/>
      <w:suff w:val="tab"/>
      <w:lvlText w:val="%1.%2.%3.%4.%5.%6.%7.%8.%9."/>
      <w:lvlJc w:val="left"/>
      <w:pPr>
        <w:ind w:left="2160" w:hanging="2160"/>
      </w:pPr>
    </w:lvl>
  </w:abstractNum>
  <w:num w:numId="1">
    <w:abstractNumId w:val="7"/>
  </w:num>
  <w:num w:numId="2">
    <w:abstractNumId w:val="8"/>
  </w:num>
  <w:num w:numId="3">
    <w:abstractNumId w:val="11"/>
  </w:num>
  <w:num w:numId="4">
    <w:abstractNumId w:val="1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num>
  <w:num w:numId="8">
    <w:abstractNumId w:val="2"/>
  </w:num>
  <w:num w:numId="9">
    <w:abstractNumId w:val="0"/>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8" w:default="1">
    <w:name w:val="Normal"/>
    <w:qFormat/>
    <w:pPr>
      <w:spacing w:after="200" w:line="276" w:lineRule="auto"/>
    </w:pPr>
    <w:rPr>
      <w:sz w:val="22"/>
      <w:szCs w:val="22"/>
      <w:lang w:eastAsia="en-US"/>
    </w:rPr>
  </w:style>
  <w:style w:type="paragraph" w:styleId="679">
    <w:name w:val="Heading 1"/>
    <w:basedOn w:val="678"/>
    <w:next w:val="678"/>
    <w:link w:val="755"/>
    <w:uiPriority w:val="9"/>
    <w:qFormat/>
    <w:pPr>
      <w:keepLines/>
      <w:keepNext/>
      <w:spacing w:before="480"/>
      <w:outlineLvl w:val="0"/>
    </w:pPr>
    <w:rPr>
      <w:rFonts w:ascii="Liberation Sans" w:hAnsi="Liberation Sans" w:eastAsia="Liberation Sans" w:cs="Liberation Sans"/>
      <w:sz w:val="40"/>
      <w:szCs w:val="40"/>
    </w:rPr>
  </w:style>
  <w:style w:type="paragraph" w:styleId="680">
    <w:name w:val="Heading 2"/>
    <w:basedOn w:val="678"/>
    <w:next w:val="678"/>
    <w:link w:val="756"/>
    <w:uiPriority w:val="9"/>
    <w:unhideWhenUsed/>
    <w:qFormat/>
    <w:pPr>
      <w:keepLines/>
      <w:keepNext/>
      <w:spacing w:before="360"/>
      <w:outlineLvl w:val="1"/>
    </w:pPr>
    <w:rPr>
      <w:rFonts w:ascii="Liberation Sans" w:hAnsi="Liberation Sans" w:eastAsia="Liberation Sans" w:cs="Liberation Sans"/>
      <w:sz w:val="34"/>
    </w:rPr>
  </w:style>
  <w:style w:type="paragraph" w:styleId="681">
    <w:name w:val="Heading 3"/>
    <w:basedOn w:val="678"/>
    <w:next w:val="678"/>
    <w:link w:val="757"/>
    <w:uiPriority w:val="9"/>
    <w:unhideWhenUsed/>
    <w:qFormat/>
    <w:pPr>
      <w:keepLines/>
      <w:keepNext/>
      <w:spacing w:before="320"/>
      <w:outlineLvl w:val="2"/>
    </w:pPr>
    <w:rPr>
      <w:rFonts w:ascii="Liberation Sans" w:hAnsi="Liberation Sans" w:eastAsia="Liberation Sans" w:cs="Liberation Sans"/>
      <w:sz w:val="30"/>
      <w:szCs w:val="30"/>
    </w:rPr>
  </w:style>
  <w:style w:type="paragraph" w:styleId="682">
    <w:name w:val="Heading 4"/>
    <w:basedOn w:val="678"/>
    <w:next w:val="678"/>
    <w:link w:val="758"/>
    <w:uiPriority w:val="9"/>
    <w:unhideWhenUsed/>
    <w:qFormat/>
    <w:pPr>
      <w:keepLines/>
      <w:keepNext/>
      <w:spacing w:before="320"/>
      <w:outlineLvl w:val="3"/>
    </w:pPr>
    <w:rPr>
      <w:rFonts w:ascii="Liberation Sans" w:hAnsi="Liberation Sans" w:eastAsia="Liberation Sans" w:cs="Liberation Sans"/>
      <w:b/>
      <w:bCs/>
      <w:sz w:val="26"/>
      <w:szCs w:val="26"/>
    </w:rPr>
  </w:style>
  <w:style w:type="paragraph" w:styleId="683">
    <w:name w:val="Heading 5"/>
    <w:basedOn w:val="678"/>
    <w:next w:val="678"/>
    <w:link w:val="759"/>
    <w:uiPriority w:val="9"/>
    <w:unhideWhenUsed/>
    <w:qFormat/>
    <w:pPr>
      <w:keepLines/>
      <w:keepNext/>
      <w:spacing w:before="320"/>
      <w:outlineLvl w:val="4"/>
    </w:pPr>
    <w:rPr>
      <w:rFonts w:ascii="Liberation Sans" w:hAnsi="Liberation Sans" w:eastAsia="Liberation Sans" w:cs="Liberation Sans"/>
      <w:b/>
      <w:bCs/>
      <w:sz w:val="24"/>
      <w:szCs w:val="24"/>
    </w:rPr>
  </w:style>
  <w:style w:type="paragraph" w:styleId="684">
    <w:name w:val="Heading 6"/>
    <w:basedOn w:val="678"/>
    <w:next w:val="678"/>
    <w:link w:val="760"/>
    <w:uiPriority w:val="9"/>
    <w:unhideWhenUsed/>
    <w:qFormat/>
    <w:pPr>
      <w:keepLines/>
      <w:keepNext/>
      <w:spacing w:before="320"/>
      <w:outlineLvl w:val="5"/>
    </w:pPr>
    <w:rPr>
      <w:rFonts w:ascii="Liberation Sans" w:hAnsi="Liberation Sans" w:eastAsia="Liberation Sans" w:cs="Liberation Sans"/>
      <w:b/>
      <w:bCs/>
    </w:rPr>
  </w:style>
  <w:style w:type="paragraph" w:styleId="685">
    <w:name w:val="Heading 7"/>
    <w:basedOn w:val="678"/>
    <w:next w:val="678"/>
    <w:link w:val="761"/>
    <w:uiPriority w:val="9"/>
    <w:unhideWhenUsed/>
    <w:qFormat/>
    <w:pPr>
      <w:keepLines/>
      <w:keepNext/>
      <w:spacing w:before="320"/>
      <w:outlineLvl w:val="6"/>
    </w:pPr>
    <w:rPr>
      <w:rFonts w:ascii="Liberation Sans" w:hAnsi="Liberation Sans" w:eastAsia="Liberation Sans" w:cs="Liberation Sans"/>
      <w:b/>
      <w:bCs/>
      <w:i/>
      <w:iCs/>
    </w:rPr>
  </w:style>
  <w:style w:type="paragraph" w:styleId="686">
    <w:name w:val="Heading 8"/>
    <w:basedOn w:val="678"/>
    <w:next w:val="678"/>
    <w:link w:val="762"/>
    <w:uiPriority w:val="9"/>
    <w:unhideWhenUsed/>
    <w:qFormat/>
    <w:pPr>
      <w:keepLines/>
      <w:keepNext/>
      <w:spacing w:before="320"/>
      <w:outlineLvl w:val="7"/>
    </w:pPr>
    <w:rPr>
      <w:rFonts w:ascii="Liberation Sans" w:hAnsi="Liberation Sans" w:eastAsia="Liberation Sans" w:cs="Liberation Sans"/>
      <w:i/>
      <w:iCs/>
    </w:rPr>
  </w:style>
  <w:style w:type="paragraph" w:styleId="687">
    <w:name w:val="Heading 9"/>
    <w:basedOn w:val="678"/>
    <w:next w:val="678"/>
    <w:link w:val="763"/>
    <w:uiPriority w:val="9"/>
    <w:unhideWhenUsed/>
    <w:qFormat/>
    <w:pPr>
      <w:keepLines/>
      <w:keepNext/>
      <w:spacing w:before="320"/>
      <w:outlineLvl w:val="8"/>
    </w:pPr>
    <w:rPr>
      <w:rFonts w:ascii="Liberation Sans" w:hAnsi="Liberation Sans" w:eastAsia="Liberation Sans" w:cs="Liberation Sans"/>
      <w:i/>
      <w:iCs/>
      <w:sz w:val="21"/>
      <w:szCs w:val="21"/>
    </w:rPr>
  </w:style>
  <w:style w:type="character" w:styleId="688" w:default="1">
    <w:name w:val="Default Paragraph Font"/>
    <w:uiPriority w:val="1"/>
    <w:semiHidden/>
    <w:unhideWhenUsed/>
  </w:style>
  <w:style w:type="table" w:styleId="689" w:default="1">
    <w:name w:val="Normal Table"/>
    <w:uiPriority w:val="99"/>
    <w:semiHidden/>
    <w:unhideWhenUsed/>
    <w:tblPr>
      <w:tblInd w:w="0" w:type="dxa"/>
      <w:tblCellMar>
        <w:left w:w="108" w:type="dxa"/>
        <w:top w:w="0" w:type="dxa"/>
        <w:right w:w="108" w:type="dxa"/>
        <w:bottom w:w="0" w:type="dxa"/>
      </w:tblCellMar>
    </w:tblPr>
  </w:style>
  <w:style w:type="numbering" w:styleId="690" w:default="1">
    <w:name w:val="No List"/>
    <w:uiPriority w:val="99"/>
    <w:semiHidden/>
    <w:unhideWhenUsed/>
  </w:style>
  <w:style w:type="character" w:styleId="691" w:customStyle="1">
    <w:name w:val="Title Char"/>
    <w:basedOn w:val="688"/>
    <w:uiPriority w:val="10"/>
    <w:rPr>
      <w:sz w:val="48"/>
      <w:szCs w:val="48"/>
    </w:rPr>
  </w:style>
  <w:style w:type="character" w:styleId="692" w:customStyle="1">
    <w:name w:val="Heading 1 Char"/>
    <w:uiPriority w:val="9"/>
    <w:rPr>
      <w:rFonts w:ascii="Liberation Sans" w:hAnsi="Liberation Sans" w:eastAsia="Liberation Sans" w:cs="Liberation Sans"/>
      <w:sz w:val="40"/>
      <w:szCs w:val="40"/>
    </w:rPr>
  </w:style>
  <w:style w:type="character" w:styleId="693" w:customStyle="1">
    <w:name w:val="Heading 2 Char"/>
    <w:uiPriority w:val="9"/>
    <w:rPr>
      <w:rFonts w:ascii="Liberation Sans" w:hAnsi="Liberation Sans" w:eastAsia="Liberation Sans" w:cs="Liberation Sans"/>
      <w:sz w:val="34"/>
    </w:rPr>
  </w:style>
  <w:style w:type="character" w:styleId="694" w:customStyle="1">
    <w:name w:val="Heading 3 Char"/>
    <w:uiPriority w:val="9"/>
    <w:rPr>
      <w:rFonts w:ascii="Liberation Sans" w:hAnsi="Liberation Sans" w:eastAsia="Liberation Sans" w:cs="Liberation Sans"/>
      <w:sz w:val="30"/>
      <w:szCs w:val="30"/>
    </w:rPr>
  </w:style>
  <w:style w:type="character" w:styleId="695" w:customStyle="1">
    <w:name w:val="Heading 4 Char"/>
    <w:uiPriority w:val="9"/>
    <w:rPr>
      <w:rFonts w:ascii="Liberation Sans" w:hAnsi="Liberation Sans" w:eastAsia="Liberation Sans" w:cs="Liberation Sans"/>
      <w:b/>
      <w:bCs/>
      <w:sz w:val="26"/>
      <w:szCs w:val="26"/>
    </w:rPr>
  </w:style>
  <w:style w:type="character" w:styleId="696" w:customStyle="1">
    <w:name w:val="Heading 5 Char"/>
    <w:uiPriority w:val="9"/>
    <w:rPr>
      <w:rFonts w:ascii="Liberation Sans" w:hAnsi="Liberation Sans" w:eastAsia="Liberation Sans" w:cs="Liberation Sans"/>
      <w:b/>
      <w:bCs/>
      <w:sz w:val="24"/>
      <w:szCs w:val="24"/>
    </w:rPr>
  </w:style>
  <w:style w:type="character" w:styleId="697" w:customStyle="1">
    <w:name w:val="Heading 6 Char"/>
    <w:uiPriority w:val="9"/>
    <w:rPr>
      <w:rFonts w:ascii="Liberation Sans" w:hAnsi="Liberation Sans" w:eastAsia="Liberation Sans" w:cs="Liberation Sans"/>
      <w:b/>
      <w:bCs/>
      <w:sz w:val="22"/>
      <w:szCs w:val="22"/>
    </w:rPr>
  </w:style>
  <w:style w:type="character" w:styleId="698" w:customStyle="1">
    <w:name w:val="Heading 7 Char"/>
    <w:uiPriority w:val="9"/>
    <w:rPr>
      <w:rFonts w:ascii="Liberation Sans" w:hAnsi="Liberation Sans" w:eastAsia="Liberation Sans" w:cs="Liberation Sans"/>
      <w:b/>
      <w:bCs/>
      <w:i/>
      <w:iCs/>
      <w:sz w:val="22"/>
      <w:szCs w:val="22"/>
    </w:rPr>
  </w:style>
  <w:style w:type="character" w:styleId="699" w:customStyle="1">
    <w:name w:val="Heading 8 Char"/>
    <w:uiPriority w:val="9"/>
    <w:rPr>
      <w:rFonts w:ascii="Liberation Sans" w:hAnsi="Liberation Sans" w:eastAsia="Liberation Sans" w:cs="Liberation Sans"/>
      <w:i/>
      <w:iCs/>
      <w:sz w:val="22"/>
      <w:szCs w:val="22"/>
    </w:rPr>
  </w:style>
  <w:style w:type="character" w:styleId="700" w:customStyle="1">
    <w:name w:val="Heading 9 Char"/>
    <w:uiPriority w:val="9"/>
    <w:rPr>
      <w:rFonts w:ascii="Liberation Sans" w:hAnsi="Liberation Sans" w:eastAsia="Liberation Sans" w:cs="Liberation Sans"/>
      <w:i/>
      <w:iCs/>
      <w:sz w:val="21"/>
      <w:szCs w:val="21"/>
    </w:rPr>
  </w:style>
  <w:style w:type="paragraph" w:styleId="701">
    <w:name w:val="List Paragraph"/>
    <w:basedOn w:val="678"/>
    <w:link w:val="898"/>
    <w:uiPriority w:val="34"/>
    <w:qFormat/>
    <w:pPr>
      <w:contextualSpacing/>
      <w:ind w:left="720"/>
      <w:spacing w:after="160" w:line="259" w:lineRule="auto"/>
    </w:pPr>
  </w:style>
  <w:style w:type="paragraph" w:styleId="702">
    <w:name w:val="No Spacing"/>
    <w:uiPriority w:val="1"/>
    <w:qFormat/>
    <w:rPr>
      <w:sz w:val="22"/>
      <w:szCs w:val="22"/>
      <w:lang w:eastAsia="en-US"/>
    </w:rPr>
  </w:style>
  <w:style w:type="paragraph" w:styleId="703">
    <w:name w:val="Title"/>
    <w:basedOn w:val="678"/>
    <w:next w:val="678"/>
    <w:link w:val="704"/>
    <w:uiPriority w:val="10"/>
    <w:qFormat/>
    <w:pPr>
      <w:contextualSpacing/>
      <w:spacing w:before="300"/>
    </w:pPr>
    <w:rPr>
      <w:sz w:val="48"/>
      <w:szCs w:val="48"/>
    </w:rPr>
  </w:style>
  <w:style w:type="character" w:styleId="704" w:customStyle="1">
    <w:name w:val="Заголовок Знак1"/>
    <w:link w:val="703"/>
    <w:uiPriority w:val="10"/>
    <w:rPr>
      <w:sz w:val="48"/>
      <w:szCs w:val="48"/>
    </w:rPr>
  </w:style>
  <w:style w:type="paragraph" w:styleId="705">
    <w:name w:val="Subtitle"/>
    <w:basedOn w:val="678"/>
    <w:next w:val="678"/>
    <w:link w:val="766"/>
    <w:uiPriority w:val="11"/>
    <w:qFormat/>
    <w:pPr>
      <w:spacing w:before="200"/>
    </w:pPr>
    <w:rPr>
      <w:sz w:val="24"/>
      <w:szCs w:val="24"/>
    </w:rPr>
  </w:style>
  <w:style w:type="character" w:styleId="706" w:customStyle="1">
    <w:name w:val="Subtitle Char"/>
    <w:uiPriority w:val="11"/>
    <w:rPr>
      <w:sz w:val="24"/>
      <w:szCs w:val="24"/>
    </w:rPr>
  </w:style>
  <w:style w:type="paragraph" w:styleId="707">
    <w:name w:val="Quote"/>
    <w:basedOn w:val="678"/>
    <w:next w:val="678"/>
    <w:link w:val="767"/>
    <w:uiPriority w:val="29"/>
    <w:qFormat/>
    <w:pPr>
      <w:ind w:left="720" w:right="720"/>
    </w:pPr>
    <w:rPr>
      <w:i/>
    </w:rPr>
  </w:style>
  <w:style w:type="character" w:styleId="708" w:customStyle="1">
    <w:name w:val="Quote Char"/>
    <w:uiPriority w:val="29"/>
    <w:rPr>
      <w:i/>
    </w:rPr>
  </w:style>
  <w:style w:type="paragraph" w:styleId="709">
    <w:name w:val="Intense Quote"/>
    <w:basedOn w:val="678"/>
    <w:next w:val="678"/>
    <w:link w:val="768"/>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10" w:customStyle="1">
    <w:name w:val="Intense Quote Char"/>
    <w:uiPriority w:val="30"/>
    <w:rPr>
      <w:i/>
    </w:rPr>
  </w:style>
  <w:style w:type="paragraph" w:styleId="711">
    <w:name w:val="Header"/>
    <w:basedOn w:val="678"/>
    <w:link w:val="769"/>
    <w:uiPriority w:val="99"/>
    <w:unhideWhenUsed/>
    <w:pPr>
      <w:spacing w:after="0" w:line="240" w:lineRule="auto"/>
      <w:tabs>
        <w:tab w:val="center" w:pos="7143" w:leader="none"/>
        <w:tab w:val="right" w:pos="14287" w:leader="none"/>
      </w:tabs>
    </w:pPr>
  </w:style>
  <w:style w:type="character" w:styleId="712" w:customStyle="1">
    <w:name w:val="Header Char"/>
    <w:uiPriority w:val="99"/>
  </w:style>
  <w:style w:type="paragraph" w:styleId="713">
    <w:name w:val="Footer"/>
    <w:basedOn w:val="678"/>
    <w:link w:val="770"/>
    <w:uiPriority w:val="99"/>
    <w:unhideWhenUsed/>
    <w:pPr>
      <w:spacing w:after="0" w:line="240" w:lineRule="auto"/>
      <w:tabs>
        <w:tab w:val="center" w:pos="7143" w:leader="none"/>
        <w:tab w:val="right" w:pos="14287" w:leader="none"/>
      </w:tabs>
    </w:pPr>
  </w:style>
  <w:style w:type="character" w:styleId="714" w:customStyle="1">
    <w:name w:val="Footer Char"/>
    <w:uiPriority w:val="99"/>
  </w:style>
  <w:style w:type="paragraph" w:styleId="715">
    <w:name w:val="Caption"/>
    <w:basedOn w:val="678"/>
    <w:next w:val="678"/>
    <w:link w:val="771"/>
    <w:uiPriority w:val="35"/>
    <w:semiHidden/>
    <w:unhideWhenUsed/>
    <w:qFormat/>
    <w:rPr>
      <w:b/>
      <w:bCs/>
      <w:color w:val="4f81bd"/>
      <w:sz w:val="18"/>
      <w:szCs w:val="18"/>
    </w:rPr>
  </w:style>
  <w:style w:type="character" w:styleId="716" w:customStyle="1">
    <w:name w:val="Caption Char"/>
    <w:uiPriority w:val="35"/>
    <w:rPr>
      <w:b/>
      <w:bCs/>
      <w:color w:val="4f81bd" w:themeColor="accent1"/>
      <w:sz w:val="18"/>
      <w:szCs w:val="18"/>
    </w:rPr>
  </w:style>
  <w:style w:type="table" w:styleId="717">
    <w:name w:val="Table Grid"/>
    <w:basedOn w:val="689"/>
    <w:uiPriority w:val="59"/>
    <w:tblPr/>
  </w:style>
  <w:style w:type="table" w:styleId="718">
    <w:name w:val="Plain Table 1"/>
    <w:basedOn w:val="689"/>
    <w:uiPriority w:val="59"/>
    <w:tblPr/>
  </w:style>
  <w:style w:type="table" w:styleId="719">
    <w:name w:val="Plain Table 2"/>
    <w:basedOn w:val="689"/>
    <w:uiPriority w:val="59"/>
    <w:tblPr/>
  </w:style>
  <w:style w:type="table" w:styleId="720">
    <w:name w:val="Plain Table 3"/>
    <w:basedOn w:val="689"/>
    <w:uiPriority w:val="99"/>
    <w:tblPr/>
  </w:style>
  <w:style w:type="table" w:styleId="721">
    <w:name w:val="Plain Table 4"/>
    <w:basedOn w:val="689"/>
    <w:uiPriority w:val="99"/>
    <w:tblPr/>
  </w:style>
  <w:style w:type="table" w:styleId="722">
    <w:name w:val="Plain Table 5"/>
    <w:basedOn w:val="689"/>
    <w:uiPriority w:val="99"/>
    <w:tblPr/>
  </w:style>
  <w:style w:type="table" w:styleId="723">
    <w:name w:val="Grid Table 1 Light"/>
    <w:basedOn w:val="689"/>
    <w:uiPriority w:val="99"/>
    <w:tblPr/>
  </w:style>
  <w:style w:type="table" w:styleId="724">
    <w:name w:val="Grid Table 2"/>
    <w:basedOn w:val="689"/>
    <w:uiPriority w:val="99"/>
    <w:tblPr/>
  </w:style>
  <w:style w:type="table" w:styleId="725">
    <w:name w:val="Grid Table 3"/>
    <w:basedOn w:val="689"/>
    <w:uiPriority w:val="99"/>
    <w:tblPr/>
  </w:style>
  <w:style w:type="table" w:styleId="726">
    <w:name w:val="Grid Table 4"/>
    <w:basedOn w:val="689"/>
    <w:uiPriority w:val="59"/>
    <w:tblPr/>
  </w:style>
  <w:style w:type="table" w:styleId="727">
    <w:name w:val="Grid Table 5 Dark"/>
    <w:basedOn w:val="689"/>
    <w:uiPriority w:val="99"/>
    <w:tblPr/>
  </w:style>
  <w:style w:type="table" w:styleId="728">
    <w:name w:val="Grid Table 6 Colorful"/>
    <w:basedOn w:val="689"/>
    <w:uiPriority w:val="99"/>
    <w:tblPr/>
  </w:style>
  <w:style w:type="table" w:styleId="729">
    <w:name w:val="Grid Table 7 Colorful"/>
    <w:basedOn w:val="689"/>
    <w:uiPriority w:val="99"/>
    <w:tblPr/>
  </w:style>
  <w:style w:type="table" w:styleId="730">
    <w:name w:val="List Table 1 Light"/>
    <w:basedOn w:val="689"/>
    <w:uiPriority w:val="99"/>
    <w:tblPr/>
  </w:style>
  <w:style w:type="table" w:styleId="731">
    <w:name w:val="List Table 2"/>
    <w:basedOn w:val="689"/>
    <w:uiPriority w:val="99"/>
    <w:tblPr/>
  </w:style>
  <w:style w:type="table" w:styleId="732">
    <w:name w:val="List Table 3"/>
    <w:basedOn w:val="689"/>
    <w:uiPriority w:val="99"/>
    <w:tblPr/>
  </w:style>
  <w:style w:type="table" w:styleId="733">
    <w:name w:val="List Table 4"/>
    <w:basedOn w:val="689"/>
    <w:uiPriority w:val="99"/>
    <w:tblPr/>
  </w:style>
  <w:style w:type="table" w:styleId="734">
    <w:name w:val="List Table 5 Dark"/>
    <w:basedOn w:val="689"/>
    <w:uiPriority w:val="99"/>
    <w:tblPr/>
  </w:style>
  <w:style w:type="table" w:styleId="735">
    <w:name w:val="List Table 6 Colorful"/>
    <w:basedOn w:val="689"/>
    <w:uiPriority w:val="99"/>
    <w:tblPr/>
  </w:style>
  <w:style w:type="table" w:styleId="736">
    <w:name w:val="List Table 7 Colorful"/>
    <w:basedOn w:val="689"/>
    <w:uiPriority w:val="99"/>
    <w:tblPr/>
  </w:style>
  <w:style w:type="character" w:styleId="737">
    <w:name w:val="Hyperlink"/>
    <w:uiPriority w:val="99"/>
    <w:semiHidden/>
    <w:unhideWhenUsed/>
    <w:rPr>
      <w:color w:val="0000ff"/>
      <w:u w:val="single"/>
    </w:rPr>
  </w:style>
  <w:style w:type="paragraph" w:styleId="738">
    <w:name w:val="footnote text"/>
    <w:basedOn w:val="678"/>
    <w:link w:val="878"/>
    <w:uiPriority w:val="99"/>
    <w:semiHidden/>
    <w:unhideWhenUsed/>
    <w:pPr>
      <w:spacing w:after="40" w:line="240" w:lineRule="auto"/>
    </w:pPr>
    <w:rPr>
      <w:sz w:val="18"/>
    </w:rPr>
  </w:style>
  <w:style w:type="character" w:styleId="739" w:customStyle="1">
    <w:name w:val="Footnote Text Char"/>
    <w:uiPriority w:val="99"/>
    <w:rPr>
      <w:sz w:val="18"/>
    </w:rPr>
  </w:style>
  <w:style w:type="character" w:styleId="740">
    <w:name w:val="footnote reference"/>
    <w:uiPriority w:val="99"/>
    <w:unhideWhenUsed/>
    <w:rPr>
      <w:vertAlign w:val="superscript"/>
    </w:rPr>
  </w:style>
  <w:style w:type="paragraph" w:styleId="741">
    <w:name w:val="endnote text"/>
    <w:basedOn w:val="678"/>
    <w:link w:val="879"/>
    <w:uiPriority w:val="99"/>
    <w:semiHidden/>
    <w:unhideWhenUsed/>
    <w:pPr>
      <w:spacing w:after="0" w:line="240" w:lineRule="auto"/>
    </w:pPr>
    <w:rPr>
      <w:sz w:val="20"/>
    </w:rPr>
  </w:style>
  <w:style w:type="character" w:styleId="742" w:customStyle="1">
    <w:name w:val="Endnote Text Char"/>
    <w:uiPriority w:val="99"/>
    <w:rPr>
      <w:sz w:val="20"/>
    </w:rPr>
  </w:style>
  <w:style w:type="character" w:styleId="743">
    <w:name w:val="endnote reference"/>
    <w:uiPriority w:val="99"/>
    <w:semiHidden/>
    <w:unhideWhenUsed/>
    <w:rPr>
      <w:vertAlign w:val="superscript"/>
    </w:rPr>
  </w:style>
  <w:style w:type="paragraph" w:styleId="744">
    <w:name w:val="toc 1"/>
    <w:basedOn w:val="678"/>
    <w:next w:val="678"/>
    <w:uiPriority w:val="39"/>
    <w:unhideWhenUsed/>
    <w:pPr>
      <w:spacing w:after="57"/>
    </w:pPr>
  </w:style>
  <w:style w:type="paragraph" w:styleId="745">
    <w:name w:val="toc 2"/>
    <w:basedOn w:val="678"/>
    <w:next w:val="678"/>
    <w:uiPriority w:val="39"/>
    <w:unhideWhenUsed/>
    <w:pPr>
      <w:ind w:left="283"/>
      <w:spacing w:after="57"/>
    </w:pPr>
  </w:style>
  <w:style w:type="paragraph" w:styleId="746">
    <w:name w:val="toc 3"/>
    <w:basedOn w:val="678"/>
    <w:next w:val="678"/>
    <w:uiPriority w:val="39"/>
    <w:unhideWhenUsed/>
    <w:pPr>
      <w:ind w:left="567"/>
      <w:spacing w:after="57"/>
    </w:pPr>
  </w:style>
  <w:style w:type="paragraph" w:styleId="747">
    <w:name w:val="toc 4"/>
    <w:basedOn w:val="678"/>
    <w:next w:val="678"/>
    <w:uiPriority w:val="39"/>
    <w:unhideWhenUsed/>
    <w:pPr>
      <w:ind w:left="850"/>
      <w:spacing w:after="57"/>
    </w:pPr>
  </w:style>
  <w:style w:type="paragraph" w:styleId="748">
    <w:name w:val="toc 5"/>
    <w:basedOn w:val="678"/>
    <w:next w:val="678"/>
    <w:uiPriority w:val="39"/>
    <w:unhideWhenUsed/>
    <w:pPr>
      <w:ind w:left="1134"/>
      <w:spacing w:after="57"/>
    </w:pPr>
  </w:style>
  <w:style w:type="paragraph" w:styleId="749">
    <w:name w:val="toc 6"/>
    <w:basedOn w:val="678"/>
    <w:next w:val="678"/>
    <w:uiPriority w:val="39"/>
    <w:unhideWhenUsed/>
    <w:pPr>
      <w:ind w:left="1417"/>
      <w:spacing w:after="57"/>
    </w:pPr>
  </w:style>
  <w:style w:type="paragraph" w:styleId="750">
    <w:name w:val="toc 7"/>
    <w:basedOn w:val="678"/>
    <w:next w:val="678"/>
    <w:uiPriority w:val="39"/>
    <w:unhideWhenUsed/>
    <w:pPr>
      <w:ind w:left="1701"/>
      <w:spacing w:after="57"/>
    </w:pPr>
  </w:style>
  <w:style w:type="paragraph" w:styleId="751">
    <w:name w:val="toc 8"/>
    <w:basedOn w:val="678"/>
    <w:next w:val="678"/>
    <w:uiPriority w:val="39"/>
    <w:unhideWhenUsed/>
    <w:pPr>
      <w:ind w:left="1984"/>
      <w:spacing w:after="57"/>
    </w:pPr>
  </w:style>
  <w:style w:type="paragraph" w:styleId="752">
    <w:name w:val="toc 9"/>
    <w:basedOn w:val="678"/>
    <w:next w:val="678"/>
    <w:uiPriority w:val="39"/>
    <w:unhideWhenUsed/>
    <w:pPr>
      <w:ind w:left="2268"/>
      <w:spacing w:after="57"/>
    </w:pPr>
  </w:style>
  <w:style w:type="paragraph" w:styleId="753">
    <w:name w:val="TOC Heading"/>
    <w:uiPriority w:val="39"/>
    <w:unhideWhenUsed/>
    <w:pPr>
      <w:spacing w:after="200" w:line="276" w:lineRule="auto"/>
    </w:pPr>
    <w:rPr>
      <w:sz w:val="22"/>
      <w:szCs w:val="22"/>
      <w:lang w:eastAsia="en-US"/>
    </w:rPr>
  </w:style>
  <w:style w:type="paragraph" w:styleId="754">
    <w:name w:val="table of figures"/>
    <w:basedOn w:val="678"/>
    <w:next w:val="678"/>
    <w:uiPriority w:val="99"/>
    <w:unhideWhenUsed/>
    <w:pPr>
      <w:spacing w:after="0"/>
    </w:pPr>
  </w:style>
  <w:style w:type="character" w:styleId="755" w:customStyle="1">
    <w:name w:val="Заголовок 1 Знак"/>
    <w:link w:val="679"/>
    <w:uiPriority w:val="9"/>
    <w:rPr>
      <w:rFonts w:ascii="Liberation Sans" w:hAnsi="Liberation Sans" w:eastAsia="Liberation Sans" w:cs="Liberation Sans"/>
      <w:sz w:val="40"/>
      <w:szCs w:val="40"/>
    </w:rPr>
  </w:style>
  <w:style w:type="character" w:styleId="756" w:customStyle="1">
    <w:name w:val="Заголовок 2 Знак"/>
    <w:link w:val="680"/>
    <w:uiPriority w:val="9"/>
    <w:rPr>
      <w:rFonts w:ascii="Liberation Sans" w:hAnsi="Liberation Sans" w:eastAsia="Liberation Sans" w:cs="Liberation Sans"/>
      <w:sz w:val="34"/>
    </w:rPr>
  </w:style>
  <w:style w:type="character" w:styleId="757" w:customStyle="1">
    <w:name w:val="Заголовок 3 Знак"/>
    <w:link w:val="681"/>
    <w:uiPriority w:val="9"/>
    <w:rPr>
      <w:rFonts w:ascii="Liberation Sans" w:hAnsi="Liberation Sans" w:eastAsia="Liberation Sans" w:cs="Liberation Sans"/>
      <w:sz w:val="30"/>
      <w:szCs w:val="30"/>
    </w:rPr>
  </w:style>
  <w:style w:type="character" w:styleId="758" w:customStyle="1">
    <w:name w:val="Заголовок 4 Знак"/>
    <w:link w:val="682"/>
    <w:uiPriority w:val="9"/>
    <w:rPr>
      <w:rFonts w:ascii="Liberation Sans" w:hAnsi="Liberation Sans" w:eastAsia="Liberation Sans" w:cs="Liberation Sans"/>
      <w:b/>
      <w:bCs/>
      <w:sz w:val="26"/>
      <w:szCs w:val="26"/>
    </w:rPr>
  </w:style>
  <w:style w:type="character" w:styleId="759" w:customStyle="1">
    <w:name w:val="Заголовок 5 Знак"/>
    <w:link w:val="683"/>
    <w:uiPriority w:val="9"/>
    <w:rPr>
      <w:rFonts w:ascii="Liberation Sans" w:hAnsi="Liberation Sans" w:eastAsia="Liberation Sans" w:cs="Liberation Sans"/>
      <w:b/>
      <w:bCs/>
      <w:sz w:val="24"/>
      <w:szCs w:val="24"/>
    </w:rPr>
  </w:style>
  <w:style w:type="character" w:styleId="760" w:customStyle="1">
    <w:name w:val="Заголовок 6 Знак"/>
    <w:link w:val="684"/>
    <w:uiPriority w:val="9"/>
    <w:rPr>
      <w:rFonts w:ascii="Liberation Sans" w:hAnsi="Liberation Sans" w:eastAsia="Liberation Sans" w:cs="Liberation Sans"/>
      <w:b/>
      <w:bCs/>
      <w:sz w:val="22"/>
      <w:szCs w:val="22"/>
    </w:rPr>
  </w:style>
  <w:style w:type="character" w:styleId="761" w:customStyle="1">
    <w:name w:val="Заголовок 7 Знак"/>
    <w:link w:val="685"/>
    <w:uiPriority w:val="9"/>
    <w:rPr>
      <w:rFonts w:ascii="Liberation Sans" w:hAnsi="Liberation Sans" w:eastAsia="Liberation Sans" w:cs="Liberation Sans"/>
      <w:b/>
      <w:bCs/>
      <w:i/>
      <w:iCs/>
      <w:sz w:val="22"/>
      <w:szCs w:val="22"/>
    </w:rPr>
  </w:style>
  <w:style w:type="character" w:styleId="762" w:customStyle="1">
    <w:name w:val="Заголовок 8 Знак"/>
    <w:link w:val="686"/>
    <w:uiPriority w:val="9"/>
    <w:rPr>
      <w:rFonts w:ascii="Liberation Sans" w:hAnsi="Liberation Sans" w:eastAsia="Liberation Sans" w:cs="Liberation Sans"/>
      <w:i/>
      <w:iCs/>
      <w:sz w:val="22"/>
      <w:szCs w:val="22"/>
    </w:rPr>
  </w:style>
  <w:style w:type="character" w:styleId="763" w:customStyle="1">
    <w:name w:val="Заголовок 9 Знак"/>
    <w:link w:val="687"/>
    <w:uiPriority w:val="9"/>
    <w:rPr>
      <w:rFonts w:ascii="Liberation Sans" w:hAnsi="Liberation Sans" w:eastAsia="Liberation Sans" w:cs="Liberation Sans"/>
      <w:i/>
      <w:iCs/>
      <w:sz w:val="21"/>
      <w:szCs w:val="21"/>
    </w:rPr>
  </w:style>
  <w:style w:type="paragraph" w:styleId="764" w:customStyle="1">
    <w:name w:val="Заголовок1"/>
    <w:basedOn w:val="678"/>
    <w:next w:val="678"/>
    <w:link w:val="765"/>
    <w:uiPriority w:val="10"/>
    <w:qFormat/>
    <w:pPr>
      <w:contextualSpacing/>
      <w:spacing w:before="300"/>
    </w:pPr>
    <w:rPr>
      <w:sz w:val="48"/>
      <w:szCs w:val="48"/>
    </w:rPr>
  </w:style>
  <w:style w:type="character" w:styleId="765" w:customStyle="1">
    <w:name w:val="Заголовок Знак"/>
    <w:link w:val="764"/>
    <w:uiPriority w:val="10"/>
    <w:rPr>
      <w:sz w:val="48"/>
      <w:szCs w:val="48"/>
    </w:rPr>
  </w:style>
  <w:style w:type="character" w:styleId="766" w:customStyle="1">
    <w:name w:val="Подзаголовок Знак"/>
    <w:link w:val="705"/>
    <w:uiPriority w:val="11"/>
    <w:rPr>
      <w:sz w:val="24"/>
      <w:szCs w:val="24"/>
    </w:rPr>
  </w:style>
  <w:style w:type="character" w:styleId="767" w:customStyle="1">
    <w:name w:val="Цитата 2 Знак"/>
    <w:link w:val="707"/>
    <w:uiPriority w:val="29"/>
    <w:rPr>
      <w:i/>
    </w:rPr>
  </w:style>
  <w:style w:type="character" w:styleId="768" w:customStyle="1">
    <w:name w:val="Выделенная цитата Знак"/>
    <w:link w:val="709"/>
    <w:uiPriority w:val="30"/>
    <w:rPr>
      <w:i/>
    </w:rPr>
  </w:style>
  <w:style w:type="character" w:styleId="769" w:customStyle="1">
    <w:name w:val="Верхний колонтитул Знак"/>
    <w:basedOn w:val="688"/>
    <w:link w:val="711"/>
    <w:uiPriority w:val="99"/>
  </w:style>
  <w:style w:type="character" w:styleId="770" w:customStyle="1">
    <w:name w:val="Нижний колонтитул Знак"/>
    <w:basedOn w:val="688"/>
    <w:link w:val="713"/>
    <w:uiPriority w:val="99"/>
  </w:style>
  <w:style w:type="character" w:styleId="771" w:customStyle="1">
    <w:name w:val="Название объекта Знак"/>
    <w:link w:val="715"/>
    <w:uiPriority w:val="35"/>
    <w:rPr>
      <w:b/>
      <w:bCs/>
      <w:color w:val="4f81bd"/>
      <w:sz w:val="18"/>
      <w:szCs w:val="18"/>
    </w:rPr>
  </w:style>
  <w:style w:type="table" w:styleId="772" w:customStyle="1">
    <w:name w:val="Table Grid Light"/>
    <w:basedOn w:val="689"/>
    <w:uiPriority w:val="59"/>
    <w:tblPr/>
  </w:style>
  <w:style w:type="table" w:styleId="773" w:customStyle="1">
    <w:name w:val="Grid Table 1 Light - Accent 1"/>
    <w:basedOn w:val="689"/>
    <w:uiPriority w:val="99"/>
    <w:tblPr/>
  </w:style>
  <w:style w:type="table" w:styleId="774" w:customStyle="1">
    <w:name w:val="Grid Table 1 Light - Accent 2"/>
    <w:basedOn w:val="689"/>
    <w:uiPriority w:val="99"/>
    <w:tblPr/>
  </w:style>
  <w:style w:type="table" w:styleId="775" w:customStyle="1">
    <w:name w:val="Grid Table 1 Light - Accent 3"/>
    <w:basedOn w:val="689"/>
    <w:uiPriority w:val="99"/>
    <w:tblPr/>
  </w:style>
  <w:style w:type="table" w:styleId="776" w:customStyle="1">
    <w:name w:val="Grid Table 1 Light - Accent 4"/>
    <w:basedOn w:val="689"/>
    <w:uiPriority w:val="99"/>
    <w:tblPr/>
  </w:style>
  <w:style w:type="table" w:styleId="777" w:customStyle="1">
    <w:name w:val="Grid Table 1 Light - Accent 5"/>
    <w:basedOn w:val="689"/>
    <w:uiPriority w:val="99"/>
    <w:tblPr/>
  </w:style>
  <w:style w:type="table" w:styleId="778" w:customStyle="1">
    <w:name w:val="Grid Table 1 Light - Accent 6"/>
    <w:basedOn w:val="689"/>
    <w:uiPriority w:val="99"/>
    <w:tblPr/>
  </w:style>
  <w:style w:type="table" w:styleId="779" w:customStyle="1">
    <w:name w:val="Grid Table 2 - Accent 1"/>
    <w:basedOn w:val="689"/>
    <w:uiPriority w:val="99"/>
    <w:tblPr/>
  </w:style>
  <w:style w:type="table" w:styleId="780" w:customStyle="1">
    <w:name w:val="Grid Table 2 - Accent 2"/>
    <w:basedOn w:val="689"/>
    <w:uiPriority w:val="99"/>
    <w:tblPr/>
  </w:style>
  <w:style w:type="table" w:styleId="781" w:customStyle="1">
    <w:name w:val="Grid Table 2 - Accent 3"/>
    <w:basedOn w:val="689"/>
    <w:uiPriority w:val="99"/>
    <w:tblPr/>
  </w:style>
  <w:style w:type="table" w:styleId="782" w:customStyle="1">
    <w:name w:val="Grid Table 2 - Accent 4"/>
    <w:basedOn w:val="689"/>
    <w:uiPriority w:val="99"/>
    <w:tblPr/>
  </w:style>
  <w:style w:type="table" w:styleId="783" w:customStyle="1">
    <w:name w:val="Grid Table 2 - Accent 5"/>
    <w:basedOn w:val="689"/>
    <w:uiPriority w:val="99"/>
    <w:tblPr/>
  </w:style>
  <w:style w:type="table" w:styleId="784" w:customStyle="1">
    <w:name w:val="Grid Table 2 - Accent 6"/>
    <w:basedOn w:val="689"/>
    <w:uiPriority w:val="99"/>
    <w:tblPr/>
  </w:style>
  <w:style w:type="table" w:styleId="785" w:customStyle="1">
    <w:name w:val="Grid Table 3 - Accent 1"/>
    <w:basedOn w:val="689"/>
    <w:uiPriority w:val="99"/>
    <w:tblPr/>
  </w:style>
  <w:style w:type="table" w:styleId="786" w:customStyle="1">
    <w:name w:val="Grid Table 3 - Accent 2"/>
    <w:basedOn w:val="689"/>
    <w:uiPriority w:val="99"/>
    <w:tblPr/>
  </w:style>
  <w:style w:type="table" w:styleId="787" w:customStyle="1">
    <w:name w:val="Grid Table 3 - Accent 3"/>
    <w:basedOn w:val="689"/>
    <w:uiPriority w:val="99"/>
    <w:tblPr/>
  </w:style>
  <w:style w:type="table" w:styleId="788" w:customStyle="1">
    <w:name w:val="Grid Table 3 - Accent 4"/>
    <w:basedOn w:val="689"/>
    <w:uiPriority w:val="99"/>
    <w:tblPr/>
  </w:style>
  <w:style w:type="table" w:styleId="789" w:customStyle="1">
    <w:name w:val="Grid Table 3 - Accent 5"/>
    <w:basedOn w:val="689"/>
    <w:uiPriority w:val="99"/>
    <w:tblPr/>
  </w:style>
  <w:style w:type="table" w:styleId="790" w:customStyle="1">
    <w:name w:val="Grid Table 3 - Accent 6"/>
    <w:basedOn w:val="689"/>
    <w:uiPriority w:val="99"/>
    <w:tblPr/>
  </w:style>
  <w:style w:type="table" w:styleId="791" w:customStyle="1">
    <w:name w:val="Grid Table 4 - Accent 1"/>
    <w:basedOn w:val="689"/>
    <w:uiPriority w:val="59"/>
    <w:tblPr/>
  </w:style>
  <w:style w:type="table" w:styleId="792" w:customStyle="1">
    <w:name w:val="Grid Table 4 - Accent 2"/>
    <w:basedOn w:val="689"/>
    <w:uiPriority w:val="59"/>
    <w:tblPr/>
  </w:style>
  <w:style w:type="table" w:styleId="793" w:customStyle="1">
    <w:name w:val="Grid Table 4 - Accent 3"/>
    <w:basedOn w:val="689"/>
    <w:uiPriority w:val="59"/>
    <w:tblPr/>
  </w:style>
  <w:style w:type="table" w:styleId="794" w:customStyle="1">
    <w:name w:val="Grid Table 4 - Accent 4"/>
    <w:basedOn w:val="689"/>
    <w:uiPriority w:val="59"/>
    <w:tblPr/>
  </w:style>
  <w:style w:type="table" w:styleId="795" w:customStyle="1">
    <w:name w:val="Grid Table 4 - Accent 5"/>
    <w:basedOn w:val="689"/>
    <w:uiPriority w:val="59"/>
    <w:tblPr/>
  </w:style>
  <w:style w:type="table" w:styleId="796" w:customStyle="1">
    <w:name w:val="Grid Table 4 - Accent 6"/>
    <w:basedOn w:val="689"/>
    <w:uiPriority w:val="59"/>
    <w:tblPr/>
  </w:style>
  <w:style w:type="table" w:styleId="797" w:customStyle="1">
    <w:name w:val="Grid Table 5 Dark- Accent 1"/>
    <w:basedOn w:val="689"/>
    <w:uiPriority w:val="99"/>
    <w:tblPr/>
  </w:style>
  <w:style w:type="table" w:styleId="798" w:customStyle="1">
    <w:name w:val="Grid Table 5 Dark - Accent 2"/>
    <w:basedOn w:val="689"/>
    <w:uiPriority w:val="99"/>
    <w:tblPr/>
  </w:style>
  <w:style w:type="table" w:styleId="799" w:customStyle="1">
    <w:name w:val="Grid Table 5 Dark - Accent 3"/>
    <w:basedOn w:val="689"/>
    <w:uiPriority w:val="99"/>
    <w:tblPr/>
  </w:style>
  <w:style w:type="table" w:styleId="800" w:customStyle="1">
    <w:name w:val="Grid Table 5 Dark- Accent 4"/>
    <w:basedOn w:val="689"/>
    <w:uiPriority w:val="99"/>
    <w:tblPr/>
  </w:style>
  <w:style w:type="table" w:styleId="801" w:customStyle="1">
    <w:name w:val="Grid Table 5 Dark - Accent 5"/>
    <w:basedOn w:val="689"/>
    <w:uiPriority w:val="99"/>
    <w:tblPr/>
  </w:style>
  <w:style w:type="table" w:styleId="802" w:customStyle="1">
    <w:name w:val="Grid Table 5 Dark - Accent 6"/>
    <w:basedOn w:val="689"/>
    <w:uiPriority w:val="99"/>
    <w:tblPr/>
  </w:style>
  <w:style w:type="table" w:styleId="803" w:customStyle="1">
    <w:name w:val="Grid Table 6 Colorful - Accent 1"/>
    <w:basedOn w:val="689"/>
    <w:uiPriority w:val="99"/>
    <w:tblPr/>
  </w:style>
  <w:style w:type="table" w:styleId="804" w:customStyle="1">
    <w:name w:val="Grid Table 6 Colorful - Accent 2"/>
    <w:basedOn w:val="689"/>
    <w:uiPriority w:val="99"/>
    <w:tblPr/>
  </w:style>
  <w:style w:type="table" w:styleId="805" w:customStyle="1">
    <w:name w:val="Grid Table 6 Colorful - Accent 3"/>
    <w:basedOn w:val="689"/>
    <w:uiPriority w:val="99"/>
    <w:tblPr/>
  </w:style>
  <w:style w:type="table" w:styleId="806" w:customStyle="1">
    <w:name w:val="Grid Table 6 Colorful - Accent 4"/>
    <w:basedOn w:val="689"/>
    <w:uiPriority w:val="99"/>
    <w:tblPr/>
  </w:style>
  <w:style w:type="table" w:styleId="807" w:customStyle="1">
    <w:name w:val="Grid Table 6 Colorful - Accent 5"/>
    <w:basedOn w:val="689"/>
    <w:uiPriority w:val="99"/>
    <w:tblPr/>
  </w:style>
  <w:style w:type="table" w:styleId="808" w:customStyle="1">
    <w:name w:val="Grid Table 6 Colorful - Accent 6"/>
    <w:basedOn w:val="689"/>
    <w:uiPriority w:val="99"/>
    <w:tblPr/>
  </w:style>
  <w:style w:type="table" w:styleId="809" w:customStyle="1">
    <w:name w:val="Grid Table 7 Colorful - Accent 1"/>
    <w:basedOn w:val="689"/>
    <w:uiPriority w:val="99"/>
    <w:tblPr/>
  </w:style>
  <w:style w:type="table" w:styleId="810" w:customStyle="1">
    <w:name w:val="Grid Table 7 Colorful - Accent 2"/>
    <w:basedOn w:val="689"/>
    <w:uiPriority w:val="99"/>
    <w:tblPr/>
  </w:style>
  <w:style w:type="table" w:styleId="811" w:customStyle="1">
    <w:name w:val="Grid Table 7 Colorful - Accent 3"/>
    <w:basedOn w:val="689"/>
    <w:uiPriority w:val="99"/>
    <w:tblPr/>
  </w:style>
  <w:style w:type="table" w:styleId="812" w:customStyle="1">
    <w:name w:val="Grid Table 7 Colorful - Accent 4"/>
    <w:basedOn w:val="689"/>
    <w:uiPriority w:val="99"/>
    <w:tblPr/>
  </w:style>
  <w:style w:type="table" w:styleId="813" w:customStyle="1">
    <w:name w:val="Grid Table 7 Colorful - Accent 5"/>
    <w:basedOn w:val="689"/>
    <w:uiPriority w:val="99"/>
    <w:tblPr/>
  </w:style>
  <w:style w:type="table" w:styleId="814" w:customStyle="1">
    <w:name w:val="Grid Table 7 Colorful - Accent 6"/>
    <w:basedOn w:val="689"/>
    <w:uiPriority w:val="99"/>
    <w:tblPr/>
  </w:style>
  <w:style w:type="table" w:styleId="815" w:customStyle="1">
    <w:name w:val="List Table 1 Light - Accent 1"/>
    <w:basedOn w:val="689"/>
    <w:uiPriority w:val="99"/>
    <w:tblPr/>
  </w:style>
  <w:style w:type="table" w:styleId="816" w:customStyle="1">
    <w:name w:val="List Table 1 Light - Accent 2"/>
    <w:basedOn w:val="689"/>
    <w:uiPriority w:val="99"/>
    <w:tblPr/>
  </w:style>
  <w:style w:type="table" w:styleId="817" w:customStyle="1">
    <w:name w:val="List Table 1 Light - Accent 3"/>
    <w:basedOn w:val="689"/>
    <w:uiPriority w:val="99"/>
    <w:tblPr/>
  </w:style>
  <w:style w:type="table" w:styleId="818" w:customStyle="1">
    <w:name w:val="List Table 1 Light - Accent 4"/>
    <w:basedOn w:val="689"/>
    <w:uiPriority w:val="99"/>
    <w:tblPr/>
  </w:style>
  <w:style w:type="table" w:styleId="819" w:customStyle="1">
    <w:name w:val="List Table 1 Light - Accent 5"/>
    <w:basedOn w:val="689"/>
    <w:uiPriority w:val="99"/>
    <w:tblPr/>
  </w:style>
  <w:style w:type="table" w:styleId="820" w:customStyle="1">
    <w:name w:val="List Table 1 Light - Accent 6"/>
    <w:basedOn w:val="689"/>
    <w:uiPriority w:val="99"/>
    <w:tblPr/>
  </w:style>
  <w:style w:type="table" w:styleId="821" w:customStyle="1">
    <w:name w:val="List Table 2 - Accent 1"/>
    <w:basedOn w:val="689"/>
    <w:uiPriority w:val="99"/>
    <w:tblPr/>
  </w:style>
  <w:style w:type="table" w:styleId="822" w:customStyle="1">
    <w:name w:val="List Table 2 - Accent 2"/>
    <w:basedOn w:val="689"/>
    <w:uiPriority w:val="99"/>
    <w:tblPr/>
  </w:style>
  <w:style w:type="table" w:styleId="823" w:customStyle="1">
    <w:name w:val="List Table 2 - Accent 3"/>
    <w:basedOn w:val="689"/>
    <w:uiPriority w:val="99"/>
    <w:tblPr/>
  </w:style>
  <w:style w:type="table" w:styleId="824" w:customStyle="1">
    <w:name w:val="List Table 2 - Accent 4"/>
    <w:basedOn w:val="689"/>
    <w:uiPriority w:val="99"/>
    <w:tblPr/>
  </w:style>
  <w:style w:type="table" w:styleId="825" w:customStyle="1">
    <w:name w:val="List Table 2 - Accent 5"/>
    <w:basedOn w:val="689"/>
    <w:uiPriority w:val="99"/>
    <w:tblPr/>
  </w:style>
  <w:style w:type="table" w:styleId="826" w:customStyle="1">
    <w:name w:val="List Table 2 - Accent 6"/>
    <w:basedOn w:val="689"/>
    <w:uiPriority w:val="99"/>
    <w:tblPr/>
  </w:style>
  <w:style w:type="table" w:styleId="827" w:customStyle="1">
    <w:name w:val="List Table 3 - Accent 1"/>
    <w:basedOn w:val="689"/>
    <w:uiPriority w:val="99"/>
    <w:tblPr/>
  </w:style>
  <w:style w:type="table" w:styleId="828" w:customStyle="1">
    <w:name w:val="List Table 3 - Accent 2"/>
    <w:basedOn w:val="689"/>
    <w:uiPriority w:val="99"/>
    <w:tblPr/>
  </w:style>
  <w:style w:type="table" w:styleId="829" w:customStyle="1">
    <w:name w:val="List Table 3 - Accent 3"/>
    <w:basedOn w:val="689"/>
    <w:uiPriority w:val="99"/>
    <w:tblPr/>
  </w:style>
  <w:style w:type="table" w:styleId="830" w:customStyle="1">
    <w:name w:val="List Table 3 - Accent 4"/>
    <w:basedOn w:val="689"/>
    <w:uiPriority w:val="99"/>
    <w:tblPr/>
  </w:style>
  <w:style w:type="table" w:styleId="831" w:customStyle="1">
    <w:name w:val="List Table 3 - Accent 5"/>
    <w:basedOn w:val="689"/>
    <w:uiPriority w:val="99"/>
    <w:tblPr/>
  </w:style>
  <w:style w:type="table" w:styleId="832" w:customStyle="1">
    <w:name w:val="List Table 3 - Accent 6"/>
    <w:basedOn w:val="689"/>
    <w:uiPriority w:val="99"/>
    <w:tblPr/>
  </w:style>
  <w:style w:type="table" w:styleId="833" w:customStyle="1">
    <w:name w:val="List Table 4 - Accent 1"/>
    <w:basedOn w:val="689"/>
    <w:uiPriority w:val="99"/>
    <w:tblPr/>
  </w:style>
  <w:style w:type="table" w:styleId="834" w:customStyle="1">
    <w:name w:val="List Table 4 - Accent 2"/>
    <w:basedOn w:val="689"/>
    <w:uiPriority w:val="99"/>
    <w:tblPr/>
  </w:style>
  <w:style w:type="table" w:styleId="835" w:customStyle="1">
    <w:name w:val="List Table 4 - Accent 3"/>
    <w:basedOn w:val="689"/>
    <w:uiPriority w:val="99"/>
    <w:tblPr/>
  </w:style>
  <w:style w:type="table" w:styleId="836" w:customStyle="1">
    <w:name w:val="List Table 4 - Accent 4"/>
    <w:basedOn w:val="689"/>
    <w:uiPriority w:val="99"/>
    <w:tblPr/>
  </w:style>
  <w:style w:type="table" w:styleId="837" w:customStyle="1">
    <w:name w:val="List Table 4 - Accent 5"/>
    <w:basedOn w:val="689"/>
    <w:uiPriority w:val="99"/>
    <w:tblPr/>
  </w:style>
  <w:style w:type="table" w:styleId="838" w:customStyle="1">
    <w:name w:val="List Table 4 - Accent 6"/>
    <w:basedOn w:val="689"/>
    <w:uiPriority w:val="99"/>
    <w:tblPr/>
  </w:style>
  <w:style w:type="table" w:styleId="839" w:customStyle="1">
    <w:name w:val="List Table 5 Dark - Accent 1"/>
    <w:basedOn w:val="689"/>
    <w:uiPriority w:val="99"/>
    <w:tblPr/>
  </w:style>
  <w:style w:type="table" w:styleId="840" w:customStyle="1">
    <w:name w:val="List Table 5 Dark - Accent 2"/>
    <w:basedOn w:val="689"/>
    <w:uiPriority w:val="99"/>
    <w:tblPr/>
  </w:style>
  <w:style w:type="table" w:styleId="841" w:customStyle="1">
    <w:name w:val="List Table 5 Dark - Accent 3"/>
    <w:basedOn w:val="689"/>
    <w:uiPriority w:val="99"/>
    <w:tblPr/>
  </w:style>
  <w:style w:type="table" w:styleId="842" w:customStyle="1">
    <w:name w:val="List Table 5 Dark - Accent 4"/>
    <w:basedOn w:val="689"/>
    <w:uiPriority w:val="99"/>
    <w:tblPr/>
  </w:style>
  <w:style w:type="table" w:styleId="843" w:customStyle="1">
    <w:name w:val="List Table 5 Dark - Accent 5"/>
    <w:basedOn w:val="689"/>
    <w:uiPriority w:val="99"/>
    <w:tblPr/>
  </w:style>
  <w:style w:type="table" w:styleId="844" w:customStyle="1">
    <w:name w:val="List Table 5 Dark - Accent 6"/>
    <w:basedOn w:val="689"/>
    <w:uiPriority w:val="99"/>
    <w:tblPr/>
  </w:style>
  <w:style w:type="table" w:styleId="845" w:customStyle="1">
    <w:name w:val="List Table 6 Colorful - Accent 1"/>
    <w:basedOn w:val="689"/>
    <w:uiPriority w:val="99"/>
    <w:tblPr/>
  </w:style>
  <w:style w:type="table" w:styleId="846" w:customStyle="1">
    <w:name w:val="List Table 6 Colorful - Accent 2"/>
    <w:basedOn w:val="689"/>
    <w:uiPriority w:val="99"/>
    <w:tblPr/>
  </w:style>
  <w:style w:type="table" w:styleId="847" w:customStyle="1">
    <w:name w:val="List Table 6 Colorful - Accent 3"/>
    <w:basedOn w:val="689"/>
    <w:uiPriority w:val="99"/>
    <w:tblPr/>
  </w:style>
  <w:style w:type="table" w:styleId="848" w:customStyle="1">
    <w:name w:val="List Table 6 Colorful - Accent 4"/>
    <w:basedOn w:val="689"/>
    <w:uiPriority w:val="99"/>
    <w:tblPr/>
  </w:style>
  <w:style w:type="table" w:styleId="849" w:customStyle="1">
    <w:name w:val="List Table 6 Colorful - Accent 5"/>
    <w:basedOn w:val="689"/>
    <w:uiPriority w:val="99"/>
    <w:tblPr/>
  </w:style>
  <w:style w:type="table" w:styleId="850" w:customStyle="1">
    <w:name w:val="List Table 6 Colorful - Accent 6"/>
    <w:basedOn w:val="689"/>
    <w:uiPriority w:val="99"/>
    <w:tblPr/>
  </w:style>
  <w:style w:type="table" w:styleId="851" w:customStyle="1">
    <w:name w:val="List Table 7 Colorful - Accent 1"/>
    <w:basedOn w:val="689"/>
    <w:uiPriority w:val="99"/>
    <w:tblPr/>
  </w:style>
  <w:style w:type="table" w:styleId="852" w:customStyle="1">
    <w:name w:val="List Table 7 Colorful - Accent 2"/>
    <w:basedOn w:val="689"/>
    <w:uiPriority w:val="99"/>
    <w:tblPr/>
  </w:style>
  <w:style w:type="table" w:styleId="853" w:customStyle="1">
    <w:name w:val="List Table 7 Colorful - Accent 3"/>
    <w:basedOn w:val="689"/>
    <w:uiPriority w:val="99"/>
    <w:tblPr/>
  </w:style>
  <w:style w:type="table" w:styleId="854" w:customStyle="1">
    <w:name w:val="List Table 7 Colorful - Accent 4"/>
    <w:basedOn w:val="689"/>
    <w:uiPriority w:val="99"/>
    <w:tblPr/>
  </w:style>
  <w:style w:type="table" w:styleId="855" w:customStyle="1">
    <w:name w:val="List Table 7 Colorful - Accent 5"/>
    <w:basedOn w:val="689"/>
    <w:uiPriority w:val="99"/>
    <w:tblPr/>
  </w:style>
  <w:style w:type="table" w:styleId="856" w:customStyle="1">
    <w:name w:val="List Table 7 Colorful - Accent 6"/>
    <w:basedOn w:val="689"/>
    <w:uiPriority w:val="99"/>
    <w:tblPr/>
  </w:style>
  <w:style w:type="table" w:styleId="857" w:customStyle="1">
    <w:name w:val="Lined - Accent"/>
    <w:basedOn w:val="689"/>
    <w:uiPriority w:val="99"/>
    <w:rPr>
      <w:color w:val="404040"/>
      <w:lang w:eastAsia="ru-RU"/>
    </w:rPr>
    <w:tblPr/>
  </w:style>
  <w:style w:type="table" w:styleId="858" w:customStyle="1">
    <w:name w:val="Lined - Accent 1"/>
    <w:basedOn w:val="689"/>
    <w:uiPriority w:val="99"/>
    <w:rPr>
      <w:color w:val="404040"/>
      <w:lang w:eastAsia="ru-RU"/>
    </w:rPr>
    <w:tblPr/>
  </w:style>
  <w:style w:type="table" w:styleId="859" w:customStyle="1">
    <w:name w:val="Lined - Accent 2"/>
    <w:basedOn w:val="689"/>
    <w:uiPriority w:val="99"/>
    <w:rPr>
      <w:color w:val="404040"/>
      <w:lang w:eastAsia="ru-RU"/>
    </w:rPr>
    <w:tblPr/>
  </w:style>
  <w:style w:type="table" w:styleId="860" w:customStyle="1">
    <w:name w:val="Lined - Accent 3"/>
    <w:basedOn w:val="689"/>
    <w:uiPriority w:val="99"/>
    <w:rPr>
      <w:color w:val="404040"/>
      <w:lang w:eastAsia="ru-RU"/>
    </w:rPr>
    <w:tblPr/>
  </w:style>
  <w:style w:type="table" w:styleId="861" w:customStyle="1">
    <w:name w:val="Lined - Accent 4"/>
    <w:basedOn w:val="689"/>
    <w:uiPriority w:val="99"/>
    <w:rPr>
      <w:color w:val="404040"/>
      <w:lang w:eastAsia="ru-RU"/>
    </w:rPr>
    <w:tblPr/>
  </w:style>
  <w:style w:type="table" w:styleId="862" w:customStyle="1">
    <w:name w:val="Lined - Accent 5"/>
    <w:basedOn w:val="689"/>
    <w:uiPriority w:val="99"/>
    <w:rPr>
      <w:color w:val="404040"/>
      <w:lang w:eastAsia="ru-RU"/>
    </w:rPr>
    <w:tblPr/>
  </w:style>
  <w:style w:type="table" w:styleId="863" w:customStyle="1">
    <w:name w:val="Lined - Accent 6"/>
    <w:basedOn w:val="689"/>
    <w:uiPriority w:val="99"/>
    <w:rPr>
      <w:color w:val="404040"/>
      <w:lang w:eastAsia="ru-RU"/>
    </w:rPr>
    <w:tblPr/>
  </w:style>
  <w:style w:type="table" w:styleId="864" w:customStyle="1">
    <w:name w:val="Bordered &amp; Lined - Accent"/>
    <w:basedOn w:val="689"/>
    <w:uiPriority w:val="99"/>
    <w:rPr>
      <w:color w:val="404040"/>
      <w:lang w:eastAsia="ru-RU"/>
    </w:rPr>
    <w:tblPr/>
  </w:style>
  <w:style w:type="table" w:styleId="865" w:customStyle="1">
    <w:name w:val="Bordered &amp; Lined - Accent 1"/>
    <w:basedOn w:val="689"/>
    <w:uiPriority w:val="99"/>
    <w:rPr>
      <w:color w:val="404040"/>
      <w:lang w:eastAsia="ru-RU"/>
    </w:rPr>
    <w:tblPr/>
  </w:style>
  <w:style w:type="table" w:styleId="866" w:customStyle="1">
    <w:name w:val="Bordered &amp; Lined - Accent 2"/>
    <w:basedOn w:val="689"/>
    <w:uiPriority w:val="99"/>
    <w:rPr>
      <w:color w:val="404040"/>
      <w:lang w:eastAsia="ru-RU"/>
    </w:rPr>
    <w:tblPr/>
  </w:style>
  <w:style w:type="table" w:styleId="867" w:customStyle="1">
    <w:name w:val="Bordered &amp; Lined - Accent 3"/>
    <w:basedOn w:val="689"/>
    <w:uiPriority w:val="99"/>
    <w:rPr>
      <w:color w:val="404040"/>
      <w:lang w:eastAsia="ru-RU"/>
    </w:rPr>
    <w:tblPr/>
  </w:style>
  <w:style w:type="table" w:styleId="868" w:customStyle="1">
    <w:name w:val="Bordered &amp; Lined - Accent 4"/>
    <w:basedOn w:val="689"/>
    <w:uiPriority w:val="99"/>
    <w:rPr>
      <w:color w:val="404040"/>
      <w:lang w:eastAsia="ru-RU"/>
    </w:rPr>
    <w:tblPr/>
  </w:style>
  <w:style w:type="table" w:styleId="869" w:customStyle="1">
    <w:name w:val="Bordered &amp; Lined - Accent 5"/>
    <w:basedOn w:val="689"/>
    <w:uiPriority w:val="99"/>
    <w:rPr>
      <w:color w:val="404040"/>
      <w:lang w:eastAsia="ru-RU"/>
    </w:rPr>
    <w:tblPr/>
  </w:style>
  <w:style w:type="table" w:styleId="870" w:customStyle="1">
    <w:name w:val="Bordered &amp; Lined - Accent 6"/>
    <w:basedOn w:val="689"/>
    <w:uiPriority w:val="99"/>
    <w:rPr>
      <w:color w:val="404040"/>
      <w:lang w:eastAsia="ru-RU"/>
    </w:rPr>
    <w:tblPr/>
  </w:style>
  <w:style w:type="table" w:styleId="871" w:customStyle="1">
    <w:name w:val="Bordered"/>
    <w:basedOn w:val="689"/>
    <w:uiPriority w:val="99"/>
    <w:tblPr/>
  </w:style>
  <w:style w:type="table" w:styleId="872" w:customStyle="1">
    <w:name w:val="Bordered - Accent 1"/>
    <w:basedOn w:val="689"/>
    <w:uiPriority w:val="99"/>
    <w:tblPr/>
  </w:style>
  <w:style w:type="table" w:styleId="873" w:customStyle="1">
    <w:name w:val="Bordered - Accent 2"/>
    <w:basedOn w:val="689"/>
    <w:uiPriority w:val="99"/>
    <w:tblPr/>
  </w:style>
  <w:style w:type="table" w:styleId="874" w:customStyle="1">
    <w:name w:val="Bordered - Accent 3"/>
    <w:basedOn w:val="689"/>
    <w:uiPriority w:val="99"/>
    <w:tblPr/>
  </w:style>
  <w:style w:type="table" w:styleId="875" w:customStyle="1">
    <w:name w:val="Bordered - Accent 4"/>
    <w:basedOn w:val="689"/>
    <w:uiPriority w:val="99"/>
    <w:tblPr/>
  </w:style>
  <w:style w:type="table" w:styleId="876" w:customStyle="1">
    <w:name w:val="Bordered - Accent 5"/>
    <w:basedOn w:val="689"/>
    <w:uiPriority w:val="99"/>
    <w:tblPr/>
  </w:style>
  <w:style w:type="table" w:styleId="877" w:customStyle="1">
    <w:name w:val="Bordered - Accent 6"/>
    <w:basedOn w:val="689"/>
    <w:uiPriority w:val="99"/>
    <w:tblPr/>
  </w:style>
  <w:style w:type="character" w:styleId="878" w:customStyle="1">
    <w:name w:val="Текст сноски Знак"/>
    <w:link w:val="738"/>
    <w:uiPriority w:val="99"/>
    <w:rPr>
      <w:sz w:val="18"/>
    </w:rPr>
  </w:style>
  <w:style w:type="character" w:styleId="879" w:customStyle="1">
    <w:name w:val="Текст концевой сноски Знак"/>
    <w:link w:val="741"/>
    <w:uiPriority w:val="99"/>
    <w:rPr>
      <w:sz w:val="20"/>
    </w:rPr>
  </w:style>
  <w:style w:type="paragraph" w:styleId="880" w:customStyle="1">
    <w:name w:val="ConsPlusNormal"/>
    <w:link w:val="897"/>
    <w:qFormat/>
    <w:pPr>
      <w:widowControl w:val="off"/>
    </w:pPr>
    <w:rPr>
      <w:rFonts w:eastAsia="Times New Roman" w:cs="Calibri"/>
      <w:sz w:val="22"/>
      <w:lang w:eastAsia="ru-RU"/>
    </w:rPr>
  </w:style>
  <w:style w:type="paragraph" w:styleId="881" w:customStyle="1">
    <w:name w:val="ConsPlusNonformat"/>
    <w:pPr>
      <w:widowControl w:val="off"/>
    </w:pPr>
    <w:rPr>
      <w:rFonts w:ascii="Courier New" w:hAnsi="Courier New" w:eastAsia="Times New Roman" w:cs="Courier New"/>
      <w:lang w:eastAsia="ru-RU"/>
    </w:rPr>
  </w:style>
  <w:style w:type="paragraph" w:styleId="882" w:customStyle="1">
    <w:name w:val="ConsPlusTitle"/>
    <w:pPr>
      <w:widowControl w:val="off"/>
    </w:pPr>
    <w:rPr>
      <w:rFonts w:eastAsia="Times New Roman" w:cs="Calibri"/>
      <w:b/>
      <w:sz w:val="22"/>
      <w:lang w:eastAsia="ru-RU"/>
    </w:rPr>
  </w:style>
  <w:style w:type="paragraph" w:styleId="883" w:customStyle="1">
    <w:name w:val="ConsPlusCell"/>
    <w:pPr>
      <w:widowControl w:val="off"/>
    </w:pPr>
    <w:rPr>
      <w:rFonts w:ascii="Courier New" w:hAnsi="Courier New" w:eastAsia="Times New Roman" w:cs="Courier New"/>
      <w:lang w:eastAsia="ru-RU"/>
    </w:rPr>
  </w:style>
  <w:style w:type="paragraph" w:styleId="884" w:customStyle="1">
    <w:name w:val="ConsPlusDocList"/>
    <w:pPr>
      <w:widowControl w:val="off"/>
    </w:pPr>
    <w:rPr>
      <w:rFonts w:eastAsia="Times New Roman" w:cs="Calibri"/>
      <w:sz w:val="22"/>
      <w:lang w:eastAsia="ru-RU"/>
    </w:rPr>
  </w:style>
  <w:style w:type="paragraph" w:styleId="885" w:customStyle="1">
    <w:name w:val="ConsPlusTitlePage"/>
    <w:pPr>
      <w:widowControl w:val="off"/>
    </w:pPr>
    <w:rPr>
      <w:rFonts w:ascii="Tahoma" w:hAnsi="Tahoma" w:eastAsia="Times New Roman" w:cs="Tahoma"/>
      <w:lang w:eastAsia="ru-RU"/>
    </w:rPr>
  </w:style>
  <w:style w:type="paragraph" w:styleId="886" w:customStyle="1">
    <w:name w:val="ConsPlusJurTerm"/>
    <w:pPr>
      <w:widowControl w:val="off"/>
    </w:pPr>
    <w:rPr>
      <w:rFonts w:ascii="Tahoma" w:hAnsi="Tahoma" w:eastAsia="Times New Roman" w:cs="Tahoma"/>
      <w:sz w:val="26"/>
      <w:lang w:eastAsia="ru-RU"/>
    </w:rPr>
  </w:style>
  <w:style w:type="paragraph" w:styleId="887" w:customStyle="1">
    <w:name w:val="ConsPlusTextList"/>
    <w:pPr>
      <w:widowControl w:val="off"/>
    </w:pPr>
    <w:rPr>
      <w:rFonts w:ascii="Arial" w:hAnsi="Arial" w:eastAsia="Times New Roman" w:cs="Arial"/>
      <w:lang w:eastAsia="ru-RU"/>
    </w:rPr>
  </w:style>
  <w:style w:type="paragraph" w:styleId="888">
    <w:name w:val="Balloon Text"/>
    <w:basedOn w:val="678"/>
    <w:link w:val="889"/>
    <w:uiPriority w:val="99"/>
    <w:semiHidden/>
    <w:unhideWhenUsed/>
    <w:pPr>
      <w:spacing w:after="0" w:line="240" w:lineRule="auto"/>
    </w:pPr>
    <w:rPr>
      <w:rFonts w:ascii="Tahoma" w:hAnsi="Tahoma" w:cs="Tahoma"/>
      <w:sz w:val="16"/>
      <w:szCs w:val="16"/>
    </w:rPr>
  </w:style>
  <w:style w:type="character" w:styleId="889" w:customStyle="1">
    <w:name w:val="Текст выноски Знак"/>
    <w:link w:val="888"/>
    <w:uiPriority w:val="99"/>
    <w:semiHidden/>
    <w:rPr>
      <w:rFonts w:ascii="Tahoma" w:hAnsi="Tahoma" w:cs="Tahoma"/>
      <w:sz w:val="16"/>
      <w:szCs w:val="16"/>
    </w:rPr>
  </w:style>
  <w:style w:type="character" w:styleId="890">
    <w:name w:val="annotation reference"/>
    <w:uiPriority w:val="99"/>
    <w:semiHidden/>
    <w:unhideWhenUsed/>
    <w:rPr>
      <w:sz w:val="16"/>
      <w:szCs w:val="16"/>
    </w:rPr>
  </w:style>
  <w:style w:type="paragraph" w:styleId="891">
    <w:name w:val="annotation text"/>
    <w:basedOn w:val="678"/>
    <w:link w:val="892"/>
    <w:uiPriority w:val="99"/>
    <w:unhideWhenUsed/>
    <w:pPr>
      <w:spacing w:line="240" w:lineRule="auto"/>
    </w:pPr>
    <w:rPr>
      <w:sz w:val="20"/>
      <w:szCs w:val="20"/>
    </w:rPr>
  </w:style>
  <w:style w:type="character" w:styleId="892" w:customStyle="1">
    <w:name w:val="Текст примечания Знак"/>
    <w:link w:val="891"/>
    <w:uiPriority w:val="99"/>
    <w:rPr>
      <w:sz w:val="20"/>
      <w:szCs w:val="20"/>
    </w:rPr>
  </w:style>
  <w:style w:type="paragraph" w:styleId="893">
    <w:name w:val="annotation subject"/>
    <w:basedOn w:val="891"/>
    <w:next w:val="891"/>
    <w:link w:val="894"/>
    <w:uiPriority w:val="99"/>
    <w:semiHidden/>
    <w:unhideWhenUsed/>
    <w:rPr>
      <w:b/>
      <w:bCs/>
    </w:rPr>
  </w:style>
  <w:style w:type="character" w:styleId="894" w:customStyle="1">
    <w:name w:val="Тема примечания Знак"/>
    <w:link w:val="893"/>
    <w:uiPriority w:val="99"/>
    <w:semiHidden/>
    <w:rPr>
      <w:b/>
      <w:bCs/>
      <w:sz w:val="20"/>
      <w:szCs w:val="20"/>
    </w:rPr>
  </w:style>
  <w:style w:type="paragraph" w:styleId="895" w:customStyle="1">
    <w:name w:val="Обычный (Интернет)1"/>
    <w:basedOn w:val="678"/>
    <w:uiPriority w:val="99"/>
    <w:semiHidden/>
    <w:unhideWhenUsed/>
    <w:pPr>
      <w:spacing w:after="0" w:line="240" w:lineRule="auto"/>
    </w:pPr>
    <w:rPr>
      <w:rFonts w:ascii="Times New Roman" w:hAnsi="Times New Roman"/>
      <w:sz w:val="24"/>
      <w:szCs w:val="24"/>
      <w:lang w:eastAsia="ru-RU"/>
    </w:rPr>
  </w:style>
  <w:style w:type="paragraph" w:styleId="896">
    <w:name w:val="Revision"/>
    <w:hidden/>
    <w:uiPriority w:val="99"/>
    <w:semiHidden/>
    <w:rPr>
      <w:sz w:val="22"/>
      <w:szCs w:val="22"/>
      <w:lang w:eastAsia="en-US"/>
    </w:rPr>
  </w:style>
  <w:style w:type="character" w:styleId="897" w:customStyle="1">
    <w:name w:val="ConsPlusNormal Знак"/>
    <w:link w:val="880"/>
    <w:rPr>
      <w:rFonts w:ascii="Calibri" w:hAnsi="Calibri" w:eastAsia="Times New Roman" w:cs="Calibri"/>
      <w:szCs w:val="20"/>
      <w:lang w:eastAsia="ru-RU"/>
    </w:rPr>
  </w:style>
  <w:style w:type="character" w:styleId="898" w:customStyle="1">
    <w:name w:val="Абзац списка Знак"/>
    <w:link w:val="701"/>
    <w:uiPriority w:val="34"/>
  </w:style>
  <w:style w:type="paragraph" w:styleId="899" w:customStyle="1">
    <w:name w:val="Текст документа"/>
    <w:basedOn w:val="678"/>
    <w:qFormat/>
    <w:pPr>
      <w:ind w:firstLine="709"/>
      <w:jc w:val="both"/>
      <w:spacing w:after="0" w:line="360" w:lineRule="auto"/>
    </w:pPr>
    <w:rPr>
      <w:rFonts w:ascii="Times New Roman" w:hAnsi="Times New Roman" w:eastAsia="Times New Roman"/>
      <w:sz w:val="24"/>
      <w:szCs w:val="24"/>
      <w:lang w:eastAsia="ru-RU"/>
    </w:rPr>
  </w:style>
  <w:style w:type="paragraph" w:styleId="900" w:customStyle="1">
    <w:name w:val="Маркированный список 1-го уровня"/>
    <w:basedOn w:val="678"/>
    <w:qFormat/>
    <w:pPr>
      <w:numPr>
        <w:ilvl w:val="0"/>
        <w:numId w:val="9"/>
      </w:numPr>
      <w:ind w:left="1134" w:hanging="425"/>
      <w:jc w:val="both"/>
      <w:spacing w:after="0" w:line="360" w:lineRule="auto"/>
    </w:pPr>
    <w:rPr>
      <w:rFonts w:ascii="Times New Roman" w:hAnsi="Times New Roman"/>
      <w:sz w:val="28"/>
      <w:szCs w:val="28"/>
    </w:rPr>
  </w:style>
  <w:style w:type="character" w:styleId="901" w:customStyle="1">
    <w:name w:val="apple-converted-space"/>
    <w:basedOn w:val="688"/>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consultantplus://offline/ref=FF3DB571B2F08C93F47E057097A9F3D75325E9609309DA4B28C691DD3EF6BE472DB07AEE7A5ADB278027111782E0D720587FD725AC4DYFE1M" TargetMode="Externa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00811-AD08-4265-8643-A38FF01A5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Семячкина Татьяна Валерьевна</dc:creator>
  <cp:lastModifiedBy>ingordeeva@pk.gov</cp:lastModifiedBy>
  <cp:revision>3</cp:revision>
  <dcterms:created xsi:type="dcterms:W3CDTF">2026-10-01T11:15:00Z</dcterms:created>
  <dcterms:modified xsi:type="dcterms:W3CDTF">2026-10-01T12:04:29Z</dcterms:modified>
  <cp:version>1048576</cp:version>
</cp:coreProperties>
</file>