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6E" w:rsidRPr="00856B63" w:rsidRDefault="003B1526" w:rsidP="00856B63">
      <w:pPr>
        <w:spacing w:line="240" w:lineRule="exact"/>
        <w:ind w:right="142"/>
        <w:jc w:val="right"/>
        <w:rPr>
          <w:rFonts w:ascii="Courier New" w:hAnsi="Courier New" w:cs="Courier New"/>
          <w:sz w:val="18"/>
          <w:szCs w:val="18"/>
        </w:rPr>
      </w:pPr>
      <w:r w:rsidRPr="00856B63">
        <w:rPr>
          <w:rFonts w:ascii="Courier New" w:hAnsi="Courier New" w:cs="Courier New"/>
          <w:b/>
          <w:bCs/>
          <w:sz w:val="18"/>
          <w:szCs w:val="18"/>
          <w:lang w:eastAsia="en-US"/>
        </w:rPr>
        <w:t>УТВЕРЖДАЮ</w:t>
      </w:r>
      <w:r w:rsidRPr="00856B63">
        <w:rPr>
          <w:rFonts w:ascii="Courier New" w:hAnsi="Courier New" w:cs="Courier New"/>
          <w:b/>
          <w:bCs/>
          <w:sz w:val="18"/>
          <w:szCs w:val="18"/>
          <w:lang w:eastAsia="en-US"/>
        </w:rPr>
        <w:br w:type="textWrapping" w:clear="all"/>
      </w:r>
    </w:p>
    <w:p w:rsidR="00105D6E" w:rsidRPr="00856B63" w:rsidRDefault="003B1526" w:rsidP="00856B63">
      <w:pPr>
        <w:spacing w:line="240" w:lineRule="exact"/>
        <w:ind w:right="142"/>
        <w:jc w:val="right"/>
        <w:rPr>
          <w:rFonts w:ascii="Courier New" w:eastAsia="Courier New" w:hAnsi="Courier New" w:cs="Courier New"/>
          <w:sz w:val="18"/>
          <w:szCs w:val="18"/>
        </w:rPr>
      </w:pPr>
      <w:r w:rsidRPr="00856B63">
        <w:rPr>
          <w:rFonts w:ascii="Courier New" w:eastAsia="Courier New" w:hAnsi="Courier New" w:cs="Courier New"/>
          <w:sz w:val="18"/>
          <w:szCs w:val="18"/>
        </w:rPr>
        <w:t>Заместитель директора</w:t>
      </w:r>
    </w:p>
    <w:p w:rsidR="00105D6E" w:rsidRPr="00856B63" w:rsidRDefault="003B1526" w:rsidP="00856B63">
      <w:pPr>
        <w:spacing w:line="240" w:lineRule="exact"/>
        <w:ind w:right="142"/>
        <w:jc w:val="right"/>
        <w:rPr>
          <w:rFonts w:ascii="Courier New" w:eastAsia="Courier New" w:hAnsi="Courier New" w:cs="Courier New"/>
          <w:sz w:val="18"/>
          <w:szCs w:val="18"/>
        </w:rPr>
      </w:pPr>
      <w:r w:rsidRPr="00856B63">
        <w:rPr>
          <w:rFonts w:ascii="Courier New" w:eastAsia="Courier New" w:hAnsi="Courier New" w:cs="Courier New"/>
          <w:sz w:val="18"/>
          <w:szCs w:val="18"/>
        </w:rPr>
        <w:t>ГКУ ПК «ЦОЗ»</w:t>
      </w:r>
    </w:p>
    <w:p w:rsidR="00105D6E" w:rsidRPr="00856B63" w:rsidRDefault="00105D6E" w:rsidP="00856B63">
      <w:pPr>
        <w:spacing w:line="240" w:lineRule="exact"/>
        <w:ind w:right="142"/>
        <w:jc w:val="right"/>
        <w:rPr>
          <w:rFonts w:ascii="Courier New" w:eastAsia="Courier New" w:hAnsi="Courier New" w:cs="Courier New"/>
          <w:sz w:val="18"/>
          <w:szCs w:val="18"/>
        </w:rPr>
      </w:pPr>
    </w:p>
    <w:p w:rsidR="00105D6E" w:rsidRPr="00856B63" w:rsidRDefault="00105D6E" w:rsidP="00856B63">
      <w:pPr>
        <w:spacing w:line="240" w:lineRule="exact"/>
        <w:ind w:right="142"/>
        <w:jc w:val="right"/>
        <w:rPr>
          <w:rFonts w:ascii="Courier New" w:eastAsia="Courier New" w:hAnsi="Courier New" w:cs="Courier New"/>
          <w:sz w:val="18"/>
          <w:szCs w:val="18"/>
        </w:rPr>
      </w:pPr>
    </w:p>
    <w:p w:rsidR="00105D6E" w:rsidRPr="00856B63" w:rsidRDefault="003B1526" w:rsidP="00856B63">
      <w:pPr>
        <w:spacing w:line="240" w:lineRule="exact"/>
        <w:ind w:right="142"/>
        <w:jc w:val="right"/>
        <w:rPr>
          <w:rFonts w:ascii="Courier New" w:hAnsi="Courier New" w:cs="Courier New"/>
          <w:sz w:val="18"/>
          <w:szCs w:val="18"/>
        </w:rPr>
      </w:pPr>
      <w:r w:rsidRPr="00856B63">
        <w:rPr>
          <w:rFonts w:ascii="Courier New" w:eastAsia="Courier New" w:hAnsi="Courier New" w:cs="Courier New"/>
          <w:sz w:val="18"/>
          <w:szCs w:val="18"/>
        </w:rPr>
        <w:t>__________________Т.А. Токарева</w:t>
      </w:r>
    </w:p>
    <w:p w:rsidR="00105D6E" w:rsidRPr="00856B63" w:rsidRDefault="003B1526" w:rsidP="00856B63">
      <w:pPr>
        <w:spacing w:line="240" w:lineRule="exact"/>
        <w:ind w:right="142"/>
        <w:jc w:val="right"/>
        <w:rPr>
          <w:rFonts w:ascii="Courier New" w:hAnsi="Courier New" w:cs="Courier New"/>
          <w:sz w:val="18"/>
          <w:szCs w:val="18"/>
        </w:rPr>
      </w:pPr>
      <w:r w:rsidRPr="00856B63">
        <w:rPr>
          <w:rFonts w:ascii="Courier New" w:hAnsi="Courier New" w:cs="Courier New"/>
          <w:sz w:val="18"/>
          <w:szCs w:val="18"/>
        </w:rPr>
        <w:t xml:space="preserve">             (подпись)</w:t>
      </w:r>
    </w:p>
    <w:p w:rsidR="00105D6E" w:rsidRPr="00856B63" w:rsidRDefault="00105D6E" w:rsidP="00856B63">
      <w:pPr>
        <w:spacing w:line="200" w:lineRule="exact"/>
        <w:ind w:right="142"/>
        <w:jc w:val="right"/>
        <w:rPr>
          <w:rFonts w:ascii="Courier New" w:hAnsi="Courier New" w:cs="Courier New"/>
          <w:sz w:val="18"/>
          <w:szCs w:val="18"/>
        </w:rPr>
      </w:pPr>
    </w:p>
    <w:p w:rsidR="00105D6E" w:rsidRPr="00856B63" w:rsidRDefault="003B1526" w:rsidP="00856B63">
      <w:pPr>
        <w:ind w:left="227" w:right="142"/>
        <w:jc w:val="right"/>
        <w:rPr>
          <w:rFonts w:ascii="Courier New" w:hAnsi="Courier New" w:cs="Courier New"/>
          <w:sz w:val="18"/>
          <w:szCs w:val="18"/>
        </w:rPr>
      </w:pPr>
      <w:r w:rsidRPr="00856B63">
        <w:rPr>
          <w:rFonts w:ascii="Courier New" w:hAnsi="Courier New" w:cs="Courier New"/>
          <w:sz w:val="18"/>
          <w:szCs w:val="18"/>
        </w:rPr>
        <w:t>«</w:t>
      </w:r>
      <w:r w:rsidR="006F2554">
        <w:rPr>
          <w:rFonts w:ascii="Courier New" w:hAnsi="Courier New" w:cs="Courier New"/>
          <w:sz w:val="18"/>
          <w:szCs w:val="18"/>
        </w:rPr>
        <w:t>14</w:t>
      </w:r>
      <w:r w:rsidRPr="00856B63">
        <w:rPr>
          <w:rFonts w:ascii="Courier New" w:hAnsi="Courier New" w:cs="Courier New"/>
          <w:sz w:val="18"/>
          <w:szCs w:val="18"/>
        </w:rPr>
        <w:t xml:space="preserve">» </w:t>
      </w:r>
      <w:r w:rsidR="006F2554">
        <w:rPr>
          <w:rFonts w:ascii="Courier New" w:hAnsi="Courier New" w:cs="Courier New"/>
          <w:sz w:val="18"/>
          <w:szCs w:val="18"/>
        </w:rPr>
        <w:t>октября</w:t>
      </w:r>
      <w:bookmarkStart w:id="0" w:name="_GoBack"/>
      <w:bookmarkEnd w:id="0"/>
      <w:r w:rsidRPr="00856B63">
        <w:rPr>
          <w:rFonts w:ascii="Courier New" w:hAnsi="Courier New" w:cs="Courier New"/>
          <w:sz w:val="18"/>
          <w:szCs w:val="18"/>
        </w:rPr>
        <w:t xml:space="preserve"> 2026 г.</w:t>
      </w:r>
    </w:p>
    <w:p w:rsidR="00856B63" w:rsidRDefault="00856B63">
      <w:pPr>
        <w:spacing w:line="240" w:lineRule="exact"/>
        <w:jc w:val="center"/>
        <w:rPr>
          <w:rFonts w:ascii="Courier New" w:hAnsi="Courier New" w:cs="Courier New"/>
          <w:b/>
          <w:caps/>
          <w:sz w:val="18"/>
          <w:szCs w:val="18"/>
        </w:rPr>
      </w:pPr>
    </w:p>
    <w:p w:rsidR="00105D6E" w:rsidRPr="00856B63" w:rsidRDefault="003B1526">
      <w:pPr>
        <w:spacing w:line="240" w:lineRule="exact"/>
        <w:jc w:val="center"/>
        <w:rPr>
          <w:rFonts w:ascii="Courier New" w:hAnsi="Courier New" w:cs="Courier New"/>
          <w:b/>
          <w:caps/>
          <w:sz w:val="18"/>
          <w:szCs w:val="18"/>
        </w:rPr>
      </w:pPr>
      <w:r w:rsidRPr="00856B63">
        <w:rPr>
          <w:rFonts w:ascii="Courier New" w:hAnsi="Courier New" w:cs="Courier New"/>
          <w:b/>
          <w:caps/>
          <w:sz w:val="18"/>
          <w:szCs w:val="18"/>
        </w:rPr>
        <w:t xml:space="preserve">разъяснения </w:t>
      </w:r>
    </w:p>
    <w:p w:rsidR="00105D6E" w:rsidRPr="00856B63" w:rsidRDefault="003B1526">
      <w:pPr>
        <w:spacing w:line="240" w:lineRule="exact"/>
        <w:jc w:val="center"/>
        <w:rPr>
          <w:rFonts w:ascii="Courier New" w:hAnsi="Courier New" w:cs="Courier New"/>
          <w:b/>
          <w:caps/>
          <w:sz w:val="18"/>
          <w:szCs w:val="18"/>
        </w:rPr>
      </w:pPr>
      <w:r w:rsidRPr="00856B63">
        <w:rPr>
          <w:rFonts w:ascii="Courier New" w:hAnsi="Courier New" w:cs="Courier New"/>
          <w:b/>
          <w:caps/>
          <w:sz w:val="18"/>
          <w:szCs w:val="18"/>
        </w:rPr>
        <w:t>положений извещения об осуществлении закупки</w:t>
      </w:r>
    </w:p>
    <w:p w:rsidR="00105D6E" w:rsidRPr="00856B63" w:rsidRDefault="00105D6E">
      <w:pPr>
        <w:spacing w:line="240" w:lineRule="exact"/>
        <w:jc w:val="center"/>
        <w:rPr>
          <w:rFonts w:ascii="Courier New" w:hAnsi="Courier New" w:cs="Courier New"/>
          <w:b/>
          <w:caps/>
          <w:sz w:val="18"/>
          <w:szCs w:val="18"/>
        </w:rPr>
      </w:pPr>
    </w:p>
    <w:tbl>
      <w:tblPr>
        <w:tblW w:w="101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962"/>
      </w:tblGrid>
      <w:tr w:rsidR="00856B63" w:rsidRPr="00856B63">
        <w:trPr>
          <w:trHeight w:val="340"/>
        </w:trPr>
        <w:tc>
          <w:tcPr>
            <w:tcW w:w="5211" w:type="dxa"/>
          </w:tcPr>
          <w:p w:rsidR="00856B63" w:rsidRPr="00856B63" w:rsidRDefault="00856B63">
            <w:pPr>
              <w:spacing w:after="40" w:line="240" w:lineRule="exact"/>
              <w:jc w:val="both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  <w:t>Способ определения поставщика (подрядчика, исполнителя)</w:t>
            </w:r>
          </w:p>
        </w:tc>
        <w:tc>
          <w:tcPr>
            <w:tcW w:w="4962" w:type="dxa"/>
          </w:tcPr>
          <w:p w:rsidR="00856B63" w:rsidRPr="00856B63" w:rsidRDefault="00856B63">
            <w:pPr>
              <w:spacing w:after="40" w:line="240" w:lineRule="exact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bCs/>
                <w:sz w:val="18"/>
                <w:szCs w:val="18"/>
              </w:rPr>
              <w:t>Открытый конкурс в электронной форме</w:t>
            </w:r>
          </w:p>
        </w:tc>
      </w:tr>
      <w:tr w:rsidR="00856B63" w:rsidRPr="00856B63">
        <w:trPr>
          <w:trHeight w:val="340"/>
        </w:trPr>
        <w:tc>
          <w:tcPr>
            <w:tcW w:w="5211" w:type="dxa"/>
          </w:tcPr>
          <w:p w:rsidR="00856B63" w:rsidRPr="00856B63" w:rsidRDefault="00856B63">
            <w:pPr>
              <w:spacing w:after="40" w:line="240" w:lineRule="exact"/>
              <w:jc w:val="both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  <w:t>Номер извещения</w:t>
            </w:r>
          </w:p>
        </w:tc>
        <w:tc>
          <w:tcPr>
            <w:tcW w:w="4962" w:type="dxa"/>
          </w:tcPr>
          <w:p w:rsidR="00856B63" w:rsidRPr="00856B63" w:rsidRDefault="00856B63" w:rsidP="00856B63">
            <w:pPr>
              <w:spacing w:after="40" w:line="240" w:lineRule="exact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  <w:t>035650000142600</w:t>
            </w:r>
            <w:r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  <w:t>8902</w:t>
            </w:r>
          </w:p>
        </w:tc>
      </w:tr>
      <w:tr w:rsidR="00856B63" w:rsidRPr="00856B63">
        <w:trPr>
          <w:trHeight w:val="340"/>
        </w:trPr>
        <w:tc>
          <w:tcPr>
            <w:tcW w:w="5211" w:type="dxa"/>
          </w:tcPr>
          <w:p w:rsidR="00856B63" w:rsidRPr="00856B63" w:rsidRDefault="00856B63">
            <w:pPr>
              <w:spacing w:after="40" w:line="240" w:lineRule="exact"/>
              <w:jc w:val="both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  <w:t>Наименование объекта закупки</w:t>
            </w:r>
          </w:p>
        </w:tc>
        <w:tc>
          <w:tcPr>
            <w:tcW w:w="4962" w:type="dxa"/>
          </w:tcPr>
          <w:p w:rsidR="00856B63" w:rsidRPr="00856B63" w:rsidRDefault="00856B63" w:rsidP="00856B63">
            <w:pPr>
              <w:spacing w:after="40" w:line="240" w:lineRule="exact"/>
              <w:jc w:val="both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color w:val="000000"/>
                <w:sz w:val="18"/>
                <w:szCs w:val="18"/>
              </w:rPr>
              <w:t>Выполнение работ по развитию автоматизированной информационной системы мониторинга и управления строительной отраслью Пермского края</w:t>
            </w:r>
          </w:p>
        </w:tc>
      </w:tr>
      <w:tr w:rsidR="00856B63" w:rsidRPr="00856B63">
        <w:trPr>
          <w:trHeight w:val="340"/>
        </w:trPr>
        <w:tc>
          <w:tcPr>
            <w:tcW w:w="5211" w:type="dxa"/>
          </w:tcPr>
          <w:p w:rsidR="00856B63" w:rsidRPr="00856B63" w:rsidRDefault="00856B63">
            <w:pPr>
              <w:spacing w:after="40" w:line="240" w:lineRule="exact"/>
              <w:jc w:val="both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  <w:t>Адрес электронной площадки в сети Интернет</w:t>
            </w:r>
          </w:p>
        </w:tc>
        <w:tc>
          <w:tcPr>
            <w:tcW w:w="4962" w:type="dxa"/>
          </w:tcPr>
          <w:p w:rsidR="00856B63" w:rsidRPr="00856B63" w:rsidRDefault="00856B63">
            <w:pPr>
              <w:spacing w:after="40" w:line="240" w:lineRule="exact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  <w:t>http://www.sberbank-ast.ru</w:t>
            </w:r>
          </w:p>
        </w:tc>
      </w:tr>
      <w:tr w:rsidR="00856B63" w:rsidRPr="00856B63">
        <w:trPr>
          <w:trHeight w:val="340"/>
        </w:trPr>
        <w:tc>
          <w:tcPr>
            <w:tcW w:w="5211" w:type="dxa"/>
          </w:tcPr>
          <w:p w:rsidR="00856B63" w:rsidRPr="00856B63" w:rsidRDefault="00856B63">
            <w:pPr>
              <w:spacing w:after="40" w:line="240" w:lineRule="exact"/>
              <w:jc w:val="both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bCs/>
                <w:color w:val="000000" w:themeColor="text1"/>
                <w:sz w:val="18"/>
                <w:szCs w:val="18"/>
              </w:rPr>
              <w:t>Реквизиты запроса о разъяснении положений извещения</w:t>
            </w:r>
          </w:p>
        </w:tc>
        <w:tc>
          <w:tcPr>
            <w:tcW w:w="4962" w:type="dxa"/>
          </w:tcPr>
          <w:p w:rsidR="00856B63" w:rsidRPr="00856B63" w:rsidRDefault="006F2554">
            <w:pPr>
              <w:spacing w:after="40" w:line="240" w:lineRule="exact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hyperlink r:id="rId7" w:tooltip="https://44.sberbank-ast.ru/tradezone/Customer/Comments/CommentRequestView.html?id=1688805&amp;type=1" w:history="1">
              <w:r w:rsidR="00856B63" w:rsidRPr="00856B63">
                <w:rPr>
                  <w:rStyle w:val="af2"/>
                  <w:rFonts w:ascii="Courier New" w:eastAsia="Liberation Serif" w:hAnsi="Courier New" w:cs="Courier New"/>
                  <w:color w:val="000000" w:themeColor="text1"/>
                  <w:spacing w:val="-4"/>
                  <w:sz w:val="18"/>
                  <w:szCs w:val="18"/>
                  <w:u w:val="none"/>
                </w:rPr>
                <w:t>1688805</w:t>
              </w:r>
            </w:hyperlink>
            <w:r w:rsidR="00856B63" w:rsidRPr="00856B63"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  <w:t xml:space="preserve"> от 12.10.2026</w:t>
            </w:r>
          </w:p>
        </w:tc>
      </w:tr>
      <w:tr w:rsidR="00856B63" w:rsidRPr="00856B63" w:rsidTr="00413298">
        <w:trPr>
          <w:trHeight w:val="340"/>
        </w:trPr>
        <w:tc>
          <w:tcPr>
            <w:tcW w:w="10173" w:type="dxa"/>
            <w:gridSpan w:val="2"/>
          </w:tcPr>
          <w:p w:rsidR="00856B63" w:rsidRPr="00856B63" w:rsidRDefault="00856B63">
            <w:pPr>
              <w:spacing w:after="40" w:line="240" w:lineRule="exact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1A4E32">
              <w:rPr>
                <w:rFonts w:ascii="Courier New" w:hAnsi="Courier New" w:cs="Courier New"/>
                <w:b/>
                <w:bCs/>
                <w:sz w:val="18"/>
                <w:szCs w:val="18"/>
              </w:rPr>
              <w:t>2. Сведения об уполномоченном учреждении</w:t>
            </w:r>
          </w:p>
        </w:tc>
      </w:tr>
      <w:tr w:rsidR="00856B63" w:rsidRPr="00856B63">
        <w:trPr>
          <w:trHeight w:val="340"/>
        </w:trPr>
        <w:tc>
          <w:tcPr>
            <w:tcW w:w="5211" w:type="dxa"/>
          </w:tcPr>
          <w:p w:rsidR="00856B63" w:rsidRPr="00856B63" w:rsidRDefault="00856B63">
            <w:pPr>
              <w:spacing w:after="40" w:line="240" w:lineRule="exact"/>
              <w:jc w:val="both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bCs/>
                <w:color w:val="000000" w:themeColor="text1"/>
                <w:sz w:val="18"/>
                <w:szCs w:val="18"/>
              </w:rPr>
              <w:t>Наименование</w:t>
            </w:r>
          </w:p>
        </w:tc>
        <w:tc>
          <w:tcPr>
            <w:tcW w:w="4962" w:type="dxa"/>
          </w:tcPr>
          <w:p w:rsidR="00856B63" w:rsidRPr="00856B63" w:rsidRDefault="00856B63">
            <w:pPr>
              <w:spacing w:after="40" w:line="240" w:lineRule="exact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bCs/>
                <w:color w:val="000000" w:themeColor="text1"/>
                <w:sz w:val="18"/>
                <w:szCs w:val="18"/>
              </w:rPr>
              <w:t>ГОСУДАРСТВЕННОЕ КАЗЕННОЕ УЧРЕЖДЕНИЕ ПЕРМСКОГО КРАЯ "ЦЕНТР ОРГАНИЗАЦИИ ЗАКУПОК"</w:t>
            </w:r>
          </w:p>
        </w:tc>
      </w:tr>
      <w:tr w:rsidR="00856B63" w:rsidRPr="00856B63">
        <w:trPr>
          <w:trHeight w:val="340"/>
        </w:trPr>
        <w:tc>
          <w:tcPr>
            <w:tcW w:w="5211" w:type="dxa"/>
          </w:tcPr>
          <w:p w:rsidR="00856B63" w:rsidRPr="00856B63" w:rsidRDefault="00856B63">
            <w:pPr>
              <w:spacing w:after="40" w:line="240" w:lineRule="exact"/>
              <w:jc w:val="both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bCs/>
                <w:color w:val="000000" w:themeColor="text1"/>
                <w:sz w:val="18"/>
                <w:szCs w:val="18"/>
              </w:rPr>
              <w:t>Место нахождения</w:t>
            </w:r>
          </w:p>
        </w:tc>
        <w:tc>
          <w:tcPr>
            <w:tcW w:w="4962" w:type="dxa"/>
          </w:tcPr>
          <w:p w:rsidR="00856B63" w:rsidRPr="00856B63" w:rsidRDefault="00856B63">
            <w:pPr>
              <w:spacing w:after="40" w:line="240" w:lineRule="exact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bCs/>
                <w:color w:val="000000" w:themeColor="text1"/>
                <w:sz w:val="18"/>
                <w:szCs w:val="18"/>
              </w:rPr>
              <w:t>614000, Пермский край, г.о. Пермский, г Пермь, ул Петропавловская, 53, офис 100</w:t>
            </w:r>
          </w:p>
        </w:tc>
      </w:tr>
      <w:tr w:rsidR="00856B63" w:rsidRPr="00856B63">
        <w:trPr>
          <w:trHeight w:val="340"/>
        </w:trPr>
        <w:tc>
          <w:tcPr>
            <w:tcW w:w="5211" w:type="dxa"/>
          </w:tcPr>
          <w:p w:rsidR="00856B63" w:rsidRPr="00856B63" w:rsidRDefault="00856B63">
            <w:pPr>
              <w:spacing w:after="40" w:line="240" w:lineRule="exact"/>
              <w:jc w:val="both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bCs/>
                <w:color w:val="000000" w:themeColor="text1"/>
                <w:sz w:val="18"/>
                <w:szCs w:val="18"/>
              </w:rPr>
              <w:t>Адрес электронной почты</w:t>
            </w:r>
          </w:p>
        </w:tc>
        <w:tc>
          <w:tcPr>
            <w:tcW w:w="4962" w:type="dxa"/>
          </w:tcPr>
          <w:p w:rsidR="00856B63" w:rsidRPr="00856B63" w:rsidRDefault="00856B63">
            <w:pPr>
              <w:spacing w:after="40" w:line="240" w:lineRule="exact"/>
              <w:outlineLvl w:val="0"/>
              <w:rPr>
                <w:rFonts w:ascii="Courier New" w:eastAsia="Liberation Serif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bCs/>
                <w:color w:val="000000" w:themeColor="text1"/>
                <w:sz w:val="18"/>
                <w:szCs w:val="18"/>
                <w:lang w:val="en-US"/>
              </w:rPr>
              <w:t>mvzvereva@cz.permkrai.ru</w:t>
            </w:r>
          </w:p>
        </w:tc>
      </w:tr>
      <w:tr w:rsidR="00105D6E" w:rsidRPr="00856B63">
        <w:trPr>
          <w:trHeight w:val="279"/>
        </w:trPr>
        <w:tc>
          <w:tcPr>
            <w:tcW w:w="10173" w:type="dxa"/>
            <w:gridSpan w:val="2"/>
          </w:tcPr>
          <w:p w:rsidR="00105D6E" w:rsidRPr="00856B63" w:rsidRDefault="00856B63">
            <w:pPr>
              <w:spacing w:after="40" w:line="240" w:lineRule="exact"/>
              <w:outlineLvl w:val="0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856B63">
              <w:rPr>
                <w:rFonts w:ascii="Courier New" w:eastAsia="Liberation Serif" w:hAnsi="Courier New" w:cs="Courier New"/>
                <w:b/>
                <w:color w:val="000000" w:themeColor="text1"/>
                <w:sz w:val="18"/>
                <w:szCs w:val="18"/>
              </w:rPr>
              <w:t>3</w:t>
            </w:r>
            <w:r w:rsidR="003B1526" w:rsidRPr="00856B63">
              <w:rPr>
                <w:rFonts w:ascii="Courier New" w:eastAsia="Liberation Serif" w:hAnsi="Courier New" w:cs="Courier New"/>
                <w:b/>
                <w:color w:val="000000" w:themeColor="text1"/>
                <w:sz w:val="18"/>
                <w:szCs w:val="18"/>
              </w:rPr>
              <w:t>. Положения извещения закупки (пункт, раздел), которые требуют разъяснения</w:t>
            </w:r>
          </w:p>
        </w:tc>
      </w:tr>
      <w:tr w:rsidR="00105D6E" w:rsidRPr="00856B63">
        <w:trPr>
          <w:trHeight w:val="654"/>
        </w:trPr>
        <w:tc>
          <w:tcPr>
            <w:tcW w:w="5211" w:type="dxa"/>
          </w:tcPr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1. Устранение уязвимостей в ранее созданном исходном коде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6.1.3 ТЗ устанавливает: «Все уязвимости, снижающие уровень безопасности Системы, должны быть устранены в рамках выполнения работ по развитию Системы». Система эксплуатируется с 2018 года и развивалась в рамках контрактов, указанных в п. 3.8 ТЗ.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1.1. Правильно ли мы понимаем, что обязанность Подрядчика по устранению уязвимостей распространяется только на исходный код, созданный или измененный Подрядчиком при выполнении Заявок по Контракту?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1.2. Если нет — правильно ли мы понимаем, что устранение уязвимостей в исходном коде, созданном до заключения Контракта, выполняется на основании отдельных Заявок с оплатой по цене единицы работы?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2. Объем анализа исходного кода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6.1.3 ТЗ требует, чтобы средствами анализа был «проанализирован весь исходный код Системы на всех используемых в Системе языках программирования», а отчет предоставлялся по каждой Заявке.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анализ исходного кода и отчет по каждой Заявке выполняются в отношении исходного кода, созданного или измененного по соответствующей Заявке, и используемых им зависимостей?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3. Состав технологического стека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3.7 ТЗ приводит перечень языков программирования (PHP, C#, Ruby, Java) без указания подсистем, в которых они применяются.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3.1. Какие языки программирования, фреймворки и их версии используются в исходном коде каждой подсистемы, указанной в Таблице 2 ТЗ?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>3.2. Каков объем исходного кода Системы (количество строк) по каждому языку программирования?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4. Права на платформу «Универсальная отчетность «Акцент»»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4.8.3 ТЗ устанавливает, что в связи с использованием в составе Системы платформы «Универсальная отчетность «Акцент»» Подрядчик должен обладать правами и (или) полномочиями, достаточными для выполнения работ по ГК.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4.1. Правильно ли мы понимаем, что указанное требование применяется только при выполнении Заявок, предусматривающих доработку компонентов Системы, реализованных на платформе «Универсальная отчетность «Акцент»»?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4.2. Правильно ли мы понимаем, что права на использование платформы в составе Системы у Заказчика имеются и Подрядчик не приобретает лицензии на платформу для Заказчика?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5. Согласие на предоставление прав субподрядчикам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4.8.3 ТЗ допускает предоставление прав использования ПО Заказчика субподрядчикам «при письменном согласии Заказчика».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В какой срок с даты получения запроса Подрядчика Заказчик направляет письменное согласие на предоставление прав использования ПО Заказчика субподрядчику?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6. Сроки выполнения работ по Заявкам, направленным в 2027 году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Срок выполнения работ по Контракту — до 30.06.2027 (п. 1.4 Контракта). Сроки стадий по Таблице 6 ТЗ с учетом обработки Заявки (п. 5.1 ТЗ) составляют около 180 календарных дней.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6.1. Правильно ли мы понимаем, что по Заявке, стандартные сроки стадий которой выходят за 30.06.2027, сроки стадий устанавливаются в Протоколе обработки заявки по согласованию сторон в соответствии с п. 6.1.1 ТЗ с окончанием не позднее 30.06.2027?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6.2. Правильно ли мы понимаем, что объем работ по такой Заявке определяется в Протоколе обработки заявки с учетом сокращенных сроков стадий?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7. Объем рабочей документации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6.1.3 ТЗ устанавливает, что содержание рабочей документации «должно охватывать всю функциональность Системы».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7.1. Правильно ли мы понимаем, что по каждой Заявке Подрядчик актуализирует документацию Системы (Таблица 4 ТЗ) в части функциональности, затронутой Заявкой?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7.2. Правильно ли мы понимаем, что перечень отчетных документов по Заявке (Таблица 6 ТЗ) уточняется в Протоколе обработки заявки с учетом состава работ по Заявке?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8. Приобретение лицензий на программное обеспечение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4.4.1 ТЗ предусматривает приобретение дополнительных лицензий на ПО «за счет средств Подрядчика»; цена работ определяется по цене человеко-дня (п. 5.2 ТЗ, Приложение Б).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8.1. Правильно ли мы понимаем, что приобретение Подрядчиком лицензий на ПО третьих лиц осуществляется только в случае, если оно предусмотрено утвержденными ЧТЗ и Протоколом обработки заявки?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8.2. Каким образом стоимость таких лицензий учитывается при оплате работ по Заявке?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9. Основания для отказа в приемке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 xml:space="preserve">Пункт 1.8 ТЗ предусматривает отложение приемки «до момента полного устранения замечаний Заказчика»; п. 7.2 ТЗ устанавливает, что «Как замечания к реализации оформляются </w:t>
            </w: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lastRenderedPageBreak/>
              <w:t>исключительно выявленные отклонения от настоящего ТЗ и ЧТЗ».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основанием для мотивированного отказа от подписания документа о приемке являются исключительно отклонения результатов работ от ТЗ и утвержденного ЧТЗ?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10. Перенос сроков при задержке предоставления доступов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Сроки стадий исчисляются с даты утверждения ЧТЗ (Таблица 6 ТЗ); сроки предоставления доступа к СУРК и контурам Системы установлены Таблицей 7 ТЗ.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при предоставлении доступа к СУРК, тестовому или промышленному контуру позже сроков, установленных Таблицей 7 ТЗ, сроки стадий по Заявке переносятся на период такой задержки?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11. Гарантийные обязательства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Раздел 9 ТЗ устанавливает гарантию «в отношении модернизированной Системы» не менее 12 месяцев с даты приемки работ по последней Заявке; п. 8.1 Контракта — 12 месяцев со дня подписания документа о приемке.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11.1. Правильно ли мы понимаем, что гарантийные обязательства распространяются только на функциональность, созданную или измененную Подрядчиком по Контракту?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11.2. Правильно ли мы понимаем, что гарантийный срок по результатам каждой Заявки составляет 12 месяцев со дня подписания документа о приемке по этой Заявке (п. 8.1 Контракта)?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12. База расчета штрафа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9.5 Контракта устанавливает штраф в процентах «цены Контракта (этапа)»; Контракт заключается с максимальным значением цены (п. 2.1), а приемка и оплата осуществляются по каждой Заявке.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каждая Заявка является этапом исполнения Контракта, и штраф по п. 9.5 Контракта рассчитывается от стоимости работ по соответствующей Заявке?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13. Срок предоставления обеспечения гарантийных обязательств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8.3 Контракта устанавливает срок — до оформления документа о приемке по последней заявке; п. 3.18 Контракта связывает оформление документа о приемке с предоставлением такого обеспечения.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обеспечение гарантийных обязательств предоставляется до подписания документа о приемке по последней Заявке, а подписание документов о приемке по предшествующим Заявкам его предоставления не требует?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14. Ответственность за нарушение прав третьих лиц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4.8.3 ТЗ: «Риск нарушения прав третьих лиц на результаты интеллектуальной деятельности несет Подрядчик».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указанная ответственность Подрядчика распространяется только на результаты, созданные Подрядчиком, и на программное обеспечение, привлеченное Подрядчиком при исполнении Контракта, и не распространяется на ранее созданные компоненты Системы и платформу «Универсальная отчетность «Акцент»»?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15. Меры защиты информации на рабочих местах Подрядчика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4.8.1 ТЗ требует реализовать на АРМ Подрядчика «меры защиты информации, определенные при аттестации Системы».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>15.1. Какие именно  меры защиты информации, определенные при аттестации Системы, должны быть реализованы на АРМ Подрядчика?</w:t>
            </w:r>
          </w:p>
          <w:p w:rsidR="00105D6E" w:rsidRDefault="003B1526">
            <w:pPr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15.2. Правильно ли мы понимаем, что установка на АРМ Подрядчика сертифицированных средств защиты информации от несанкционированного доступа не требуется?</w:t>
            </w:r>
          </w:p>
          <w:p w:rsidR="006C14EC" w:rsidRDefault="006C14EC">
            <w:pPr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  <w:p w:rsidR="006C14EC" w:rsidRPr="00856B63" w:rsidRDefault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16. Средства криптографической защиты информации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4.8.1 ТЗ: СКЗИ (VipNet Client – сеть 1321) приобретаются Подрядчиком самостоятельно и за свой счет.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16.1. У какой организации Подрядчик приобретает СКЗИ VipNet Client для подключения к сети 1321?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16.2. Какая версия VipNet Client требуется для подключения к сети 1321?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17. Аттестация Системы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Система имеет аттестат соответствия № 217к-2020 от 15.12.2020 (п. 4.8.1 ТЗ). Работы по аттестации в составе работ ТЗ не указаны.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работы по аттестации (переаттестации) Системы, в том числе в связи с изменениями по Заявкам, не входят в объем работ по Контракту?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18. Средства анализа исходного кода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6.1.3 ТЗ предусматривает согласование с Заказчиком состава средств анализа исходного кода до начала анализа.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для статического и динамического анализа исходного кода допускается применение свободно распространяемых средств, не имеющих сертификата ФСТЭК России?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19. Сертифицированные операционные системы и СУБД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4.8.1 ТЗ: «В Системе должны использоваться сертифицированные операционные системы и СУБД». В составе Системы указаны Ubuntu Server, CentOS, Debian, MongoDB, MySQL, MariaDB (Таблица 3 ТЗ).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перевод компонентов Системы на сертифицированные ОС и СУБД выполняется только на основании отдельной Заявки и не является условием приемки работ по иным Заявкам?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20. Интеграции с системами Заказчика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4.8.1 ТЗ требует интеграции Системы с системой анализа действий пользователей, с SIEM Заказчика и с системой авторизации и аутентификации Заказчика.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20.1. Правильно ли мы понимаем, что указанные интеграции на дату размещения извещения реализованы в Системе?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20.2. Правильно ли мы понимаем, что работы по указанным интеграциям выполняются только на основании Заявок?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21. Тестовые среды внешних информационных систем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3.5 ТЗ содержит перечень внешних систем, с которыми взаимодействует Система.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Для каких из информационных систем, указанных в п. 3.5 ТЗ, Заказчик предоставляет Подрядчику тестовые среды информационного взаимодействия?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22. Нагрузочные испытания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6.1.6 ТЗ предусматривает доработку «СПО/ОПО/Архитектуры системы» при отрицательных результатах нагрузочных испытаний; показатели п. 4.5 ТЗ установлены «для вновь создаваемых и модернизируемых подсистем».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 xml:space="preserve">22.1. Правильно ли мы понимаем, что показатели назначения п. 4.5 ТЗ при испытаниях по Заявке </w:t>
            </w: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>проверяются только для функциональности, созданной или измененной по этой Заявке?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22.2. Правильно ли мы понимаем, что доработка компонентов Системы, не затронутых Заявкой, по результатам нагрузочных испытаний выполняется на основании отдельной Заявки?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23. Дополнение показателей назначения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6.1.4 ТЗ: «Показатели назначения могут быть дополнены в рамках стадии «Разработка документации технического проекта».»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дополнительные показатели назначения применяются, только если они включены в утвержденное ЧТЗ и учтены в трудоемкости Протокола обработки заявки?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24. Рекомендации приемочной комиссии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7.2 ТЗ относит к рекомендациям замечания, не являющиеся отклонениями от ТЗ и ЧТЗ; п. 6.1.6 ТЗ предусматривает «реализации рекомендаций».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реализация рекомендаций комиссии, не являющихся отклонениями от ТЗ и ЧТЗ, не является условием приемки работ по Заявке и выполняется на основании отдельной Заявки?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25. Приемка и оплата работ по последним Заявкам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Срок окончания исполнения Контракта — 06.08.2027 (п. 12.2 Контракта); п. 12.3 Контракта предусматривает прекращение обязательств по окончании этого срока.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окончание срока исполнения Контракта не прекращает обязательств Заказчика по приемке и оплате работ, документ о приемке по которым размещен Подрядчиком в ЕИС до 30.06.2027 включительно?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26. Работы в гарантийный период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Права использования ПО Заказчика предоставляются «на срок выполнения работ по ГК» (п. 4.8.3 ТЗ); доступ к ресурсам ЦОД ППК прекращается после окончания выполнения работ (п. 4.8.1 ТЗ); гарантийный срок продолжается после окончания срока выполнения работ (разд. 9 ТЗ).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26.1. Правильно ли мы понимаем, что права использования ПО Заказчика, предусмотренные п. 4.8.3 ТЗ, предоставляются Подрядчику также на гарантийный срок в объеме, необходимом для устранения недостатков?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26.2. В какой срок с даты получения запроса Подрядчика Заказчик предоставляет доступ к инфраструктуре Заказчика для устранения недостатков в гарантийный период?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27. Объем выполненных работ для оплаты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2.3 Контракта: оплата «исходя из объема фактически выполненной работы»; Протокол обработки заявки содержит количество человеко-дней и общую стоимость работ (Приложение Б ТЗ).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объем фактически выполненной работы по Заявке для целей оплаты определяется количеством человеко-дней, указанным в утвержденном Протоколе обработки заявки?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28. Сроки устранения недостатков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4.4.5 Контракта устанавливает срок устранения выявленных недостатков 5 рабочих дней; п. 7.3 ТЗ предусматривает, что сроки устранения замечаний определяются в документах по итогам испытаний, а раздел 9 ТЗ — что сроки в гарантийный период устанавливаются «если иной срок не предусмотрен документом «Регламент гарантийного обслуживания»».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 xml:space="preserve">Правильно ли мы понимаем, что срок, установленный п. 4.4.5 Контракта, применяется, если иной срок не установлен в документах по </w:t>
            </w: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>итогам испытаний (п. 7.3 ТЗ) или в Регламенте гарантийного обслуживания (раздел 9 ТЗ)?</w:t>
            </w:r>
          </w:p>
          <w:p w:rsidR="00105D6E" w:rsidRPr="00856B63" w:rsidRDefault="003B1526">
            <w:pPr>
              <w:spacing w:before="120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29. Критичность замечаний при передаче в эксплуатацию</w:t>
            </w:r>
          </w:p>
          <w:p w:rsidR="00105D6E" w:rsidRPr="00856B63" w:rsidRDefault="003B1526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i/>
                <w:sz w:val="18"/>
                <w:szCs w:val="18"/>
              </w:rPr>
              <w:t>Пункт 7.2 ТЗ называет условием передачи Системы в эксплуатацию устранение «всех замечаний с высоким и средним уровнем критичности» (Таблица 8 ТЗ); п. 6.1.6 ТЗ — устранение «всех критичных замечаний».</w:t>
            </w: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b/>
                <w:sz w:val="18"/>
                <w:szCs w:val="18"/>
              </w:rPr>
              <w:t>Правильно ли мы понимаем, что условием передачи Системы в эксплуатацию и подписания документа о приемке по Заявке является устранение замечаний высокого и среднего уровня критичности по Таблице 8 ТЗ, а замечания низкого уровня устраняются в сроки, указанные в протоколе испытаний?</w:t>
            </w:r>
          </w:p>
        </w:tc>
        <w:tc>
          <w:tcPr>
            <w:tcW w:w="4962" w:type="dxa"/>
          </w:tcPr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570BCD">
            <w:pPr>
              <w:pStyle w:val="a3"/>
              <w:numPr>
                <w:ilvl w:val="1"/>
                <w:numId w:val="28"/>
              </w:numPr>
              <w:ind w:left="0"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В соответствии с п.6.1.3 Технического задания средствами анализа должен быть проанализирован весь исходный код Системы на всех используемых в Системе языках программирования.</w:t>
            </w:r>
          </w:p>
          <w:p w:rsidR="00105D6E" w:rsidRPr="00856B63" w:rsidRDefault="003B1526" w:rsidP="00570BCD">
            <w:pPr>
              <w:pStyle w:val="a3"/>
              <w:numPr>
                <w:ilvl w:val="1"/>
                <w:numId w:val="28"/>
              </w:numPr>
              <w:ind w:left="0"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Нет, устранение уязвимостей входит в перечень работ, выполняемых в рамках выполнения работ по Заявке на развитие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570BCD">
            <w:pPr>
              <w:pStyle w:val="a3"/>
              <w:numPr>
                <w:ilvl w:val="0"/>
                <w:numId w:val="28"/>
              </w:numPr>
              <w:ind w:left="0"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Нет, в соответствии с п.6.1.3 Технического задания средствами анализа должен быть проанализирован весь исходный код Системы на всех используемых в Системе языках программирования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856B63" w:rsidRDefault="00856B6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3.1. Языки программирования, фреймворки, используемые в Системе, перечислены в п.3.7 Технического задания. Дополнительная информация, в том числе, версии, используемые языки программирования в подсистемах, будут предоставлены Подрядчику после подписания государственного контракта.</w:t>
            </w: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lastRenderedPageBreak/>
              <w:t>3.2. Объём исходного кода Системы в строках кода в разрезе используемых языков программирования будет предоставлен Подрядчику после подписания государственного контракта.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4.1. Да, правильно.</w:t>
            </w: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4.2. Да, Заказчик обладает достаточным объемом прав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856B63" w:rsidRPr="00856B63" w:rsidRDefault="00856B6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5. Срок ответа в соответствии с внутренними регламентами Заказчика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856B63" w:rsidRPr="00856B63" w:rsidRDefault="00856B6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 xml:space="preserve">6.1. Срок выполнения работ по соответствующей заявке не может превышать общий срок выполнения работ, указанный в п.1.6 Технического задания. </w:t>
            </w:r>
            <w:r w:rsidRPr="003B1526">
              <w:rPr>
                <w:rFonts w:ascii="Courier New" w:hAnsi="Courier New" w:cs="Courier New"/>
                <w:sz w:val="18"/>
                <w:szCs w:val="18"/>
              </w:rPr>
              <w:t>В ином случае, по согласованию Сторон сроки выполнения работ по заявке могут быть сокращены. Дополнительно, в соответствии с п.5.4. Технического</w:t>
            </w:r>
            <w:r w:rsidRPr="00856B63">
              <w:rPr>
                <w:rFonts w:ascii="Courier New" w:hAnsi="Courier New" w:cs="Courier New"/>
                <w:sz w:val="18"/>
                <w:szCs w:val="18"/>
              </w:rPr>
              <w:t xml:space="preserve"> задания максимальный срок выполнения работ по Заявке на развитие составляет 160 календарных дней, а не 180.</w:t>
            </w:r>
          </w:p>
          <w:p w:rsidR="00856B63" w:rsidRPr="00856B63" w:rsidRDefault="00856B63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6.2. Да, объем работ по Заявке определяется в Протоколе обработки заявки, в том числе с учетом сокращенных сроков стадий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7.1. Да, по каждой Заявке Подрядчик актуализирует документацию Системы части функциональности, затронутой Заявкой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7.2. Да, в соответствии с п.5.4. Технического задания, перечень отчетных документов по каждой Заявке уточняется в соответствующем Протоколе обработки заявки с учетом состава работ по Заявке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8.1. Да, приобретение Подрядчиком лицензий на ПО третьих лиц осуществляется только в случае, если оно предусмотрено утвержденными ЧТЗ и Протоколом обработки заявки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8.2. В соответствии с п.4.8.3 Технического задания Программы для ЭВМ, требующие каких-либо отчислений, закупаются Подрядчиком самостоятельно с учетом требований к исключительным и неисключительным правам, предусмотренным ТЗ (стоимость приобретения таких прав включена в цену ГК).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9. Да, основанием для мотивированного отказа от подписания документа о приемке являются исключительно отклонения результатов работ от ТЗ и утвержденного ЧТЗ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10. Все необходимые доступы предоставляются Заказчиком в соответствии со сроками, указанными в Таблице 7 Технического задания. Сроки выполнения работ исчисляются с даты утверждения соответствующего Протокола обработки заявки и Частного технического задания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856B63" w:rsidRDefault="00856B6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856B63" w:rsidRPr="00856B63" w:rsidRDefault="00856B6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11.1. Да, верно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11.2. Нет. В соответствии с разделом 9 Технического задания Подрядчик должен гарантировать, что модернизированная Система будет функционировать в соответствии со своим назначением не менее 12 месяцев с даты подписания документа о приемке работ по последней Заявке на выполнение работ по ГК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856B63" w:rsidRDefault="00856B6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856B63" w:rsidRPr="00856B63" w:rsidRDefault="00856B63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12. Да, верно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13. В соответствии с п.8.3 проекта контракта срок предоставления обеспечения гарантийных обязательств - до оформления документа о приемке по последней заявке Контракта. Предоставление обеспечения гарантийных обязательств по предшествующим заявкам не требуется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14. Да, верно, ответственность Подрядчика распространяется только на результаты, созданные Подрядчиком, и на программное обеспечение, привлеченное Подрядчиком при исполнении Контракта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15.1. Требования определены в документах по защите информации, которые будут предоставлены Подрядчику после заключения Контракта на основании соответствующего запроса</w:t>
            </w:r>
            <w:r w:rsidR="00856B6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3B1526" w:rsidP="00856B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 xml:space="preserve">15.2. В соответствии с Приказом ФСТЭК России от 11 апреля 2025 г. № 117 требуется установка на АРМ Подрядчика </w:t>
            </w:r>
            <w:r w:rsidRPr="00856B63">
              <w:rPr>
                <w:rFonts w:ascii="Courier New" w:hAnsi="Courier New" w:cs="Courier New"/>
                <w:sz w:val="18"/>
                <w:szCs w:val="18"/>
              </w:rPr>
              <w:lastRenderedPageBreak/>
              <w:t>сертифицированных средств защиты информации от несанкционированного доступа. В соответствии с п.4.8.1.2 Технического задания к автоматизированным рабочим местам Подрядчика, с которых осуществляется подключение к ресурсам Заказчика, должна быть исключена возможность несанкционированного доступа третьих лиц и на автоматизированных рабочих местах Подрядчика, с которых осуществляется подключение к ресурсам Заказчика (размещенным в ЦОД ППК), должна быть обеспечена антивирусная защита информации.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16.1. Подрядчик самостоятельно определяет организацию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16.2. Требуется актуальная сертифицированная версия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6C14EC" w:rsidRPr="00856B63" w:rsidRDefault="006C14EC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17. Работы по защите информации не входят в перечень работ, выполняемых в рамках настоящей закупки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18. Допускается, если средство анализа исходного кода покрывает используемые в Системе языки программирования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6C14EC" w:rsidRPr="00856B63" w:rsidRDefault="006C14EC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19. Да, перевод компонентов Системы на сертифицированные ОС и СУБД выполняется только на основании отдельной Заявки и не является условием приемки работ по иным Заявкам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6C14EC" w:rsidRDefault="006C14EC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6C14EC" w:rsidRPr="00856B63" w:rsidRDefault="006C14EC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20.1. Да, реализованы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20.2. Развитие существующих механизмов взаимодействия и обеспечение новых подключений выполняются на основании Заявок Заказчика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21. Для всех систем, перечисленных в п.3.5 Технического задания и развернутых в ЦОД ППК Заказчика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22.1. Да, верно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6C14EC" w:rsidRDefault="006C14EC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6C14EC" w:rsidRDefault="006C14EC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6C14EC" w:rsidRPr="00856B63" w:rsidRDefault="006C14EC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22.2. Да, верно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6C14EC" w:rsidRDefault="006C14EC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6C14EC" w:rsidRDefault="006C14EC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23. Да, верно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24. В соответствии с п.7.3 Технического задания сроки устранения замечаний и рекомендаций, данных приемочной комиссией в ходе испытаний, определяются в документах, содержащих итоги проведения испытаний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25. В соответствии с п.12.3 Контракта окончание срока исполнения Контракта влечет прекращение обязательств по Контракту (за исключением предусмотренных Контрактом гарантийных обязательств).</w:t>
            </w:r>
            <w:r w:rsidR="00705F3E" w:rsidRPr="00856B6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856B63">
              <w:rPr>
                <w:rFonts w:ascii="Courier New" w:hAnsi="Courier New" w:cs="Courier New"/>
                <w:sz w:val="18"/>
                <w:szCs w:val="18"/>
              </w:rPr>
              <w:t xml:space="preserve">Срок окончания исполнения контракта включает в себя сроки по выполнению работ, приемке и оплате по контракту. 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26.1. Да, верно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26.2. В рамках гарантийного периода доступы к инфраструктуре предоставляются аналогично предоставлению доступов для выполнения работ по Контракту, в сроки, указанные в Таблице 7 Технического задания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 w:rsidP="006C14E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27. Да, объем фактически выполненной работы по Заявке для целей оплаты определяется количеством человеко-дней, указанным в утвержденном Протоколе обработки заявки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20FC6" w:rsidRDefault="00720FC6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20FC6" w:rsidRPr="00856B63" w:rsidRDefault="00720FC6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28. Да, верно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4A78EA" w:rsidRDefault="004A78EA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4A78EA" w:rsidRDefault="004A78EA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105D6E" w:rsidRPr="00856B63" w:rsidRDefault="003B152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856B63">
              <w:rPr>
                <w:rFonts w:ascii="Courier New" w:hAnsi="Courier New" w:cs="Courier New"/>
                <w:sz w:val="18"/>
                <w:szCs w:val="18"/>
              </w:rPr>
              <w:t>29. Да, верно</w:t>
            </w:r>
            <w:r w:rsidR="006C14E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105D6E" w:rsidRPr="00856B63" w:rsidRDefault="00105D6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105D6E" w:rsidRPr="00856B63" w:rsidRDefault="00105D6E">
      <w:pPr>
        <w:rPr>
          <w:rFonts w:ascii="Courier New" w:hAnsi="Courier New" w:cs="Courier New"/>
          <w:sz w:val="18"/>
          <w:szCs w:val="18"/>
        </w:rPr>
      </w:pPr>
    </w:p>
    <w:sectPr w:rsidR="00105D6E" w:rsidRPr="00856B63">
      <w:endnotePr>
        <w:numFmt w:val="decimal"/>
        <w:numStart w:val="22"/>
      </w:endnotePr>
      <w:pgSz w:w="11906" w:h="16838"/>
      <w:pgMar w:top="568" w:right="42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D6E" w:rsidRDefault="003B1526">
      <w:r>
        <w:separator/>
      </w:r>
    </w:p>
  </w:endnote>
  <w:endnote w:type="continuationSeparator" w:id="0">
    <w:p w:rsidR="00105D6E" w:rsidRDefault="003B1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D6E" w:rsidRDefault="003B1526">
      <w:r>
        <w:separator/>
      </w:r>
    </w:p>
  </w:footnote>
  <w:footnote w:type="continuationSeparator" w:id="0">
    <w:p w:rsidR="00105D6E" w:rsidRDefault="003B1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7CDC"/>
    <w:multiLevelType w:val="hybridMultilevel"/>
    <w:tmpl w:val="9140C538"/>
    <w:lvl w:ilvl="0" w:tplc="795AFF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21E927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510CA9C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82EE7592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D07A92D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806645CE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5B0EBD7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C4D80A4A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24FA0042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18737B"/>
    <w:multiLevelType w:val="hybridMultilevel"/>
    <w:tmpl w:val="2B30218C"/>
    <w:lvl w:ilvl="0" w:tplc="43DCA036">
      <w:start w:val="1"/>
      <w:numFmt w:val="bullet"/>
      <w:lvlText w:val="●"/>
      <w:lvlJc w:val="left"/>
      <w:pPr>
        <w:ind w:left="1440" w:hanging="360"/>
      </w:pPr>
      <w:rPr>
        <w:sz w:val="18"/>
        <w:szCs w:val="18"/>
        <w:u w:val="none"/>
      </w:rPr>
    </w:lvl>
    <w:lvl w:ilvl="1" w:tplc="A074F260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 w:tplc="D4CAD708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 w:tplc="DBEC79A6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 w:tplc="3E0E0BF2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 w:tplc="B2CE2D2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 w:tplc="76506AF4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 w:tplc="A3F43CCA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 w:tplc="69F2E662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nsid w:val="10A53000"/>
    <w:multiLevelType w:val="hybridMultilevel"/>
    <w:tmpl w:val="5A56292C"/>
    <w:lvl w:ilvl="0" w:tplc="C8DEA2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4B2C2F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191A49E8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BBDEE9F6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3AB8312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C872435E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0166F6C0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ED2401C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59B4CBA6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1DA7A43"/>
    <w:multiLevelType w:val="hybridMultilevel"/>
    <w:tmpl w:val="5A60924E"/>
    <w:lvl w:ilvl="0" w:tplc="581488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18C46A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952EB3F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73587C3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5C64C27E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FC362874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68B0B67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3A24CE4C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B3E61176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2D940C5"/>
    <w:multiLevelType w:val="multilevel"/>
    <w:tmpl w:val="13088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5">
    <w:nsid w:val="1DF2114B"/>
    <w:multiLevelType w:val="hybridMultilevel"/>
    <w:tmpl w:val="3034A97A"/>
    <w:lvl w:ilvl="0" w:tplc="321CC3DE">
      <w:start w:val="1"/>
      <w:numFmt w:val="decimal"/>
      <w:lvlText w:val="%1."/>
      <w:lvlJc w:val="left"/>
      <w:pPr>
        <w:ind w:left="720" w:hanging="360"/>
      </w:pPr>
    </w:lvl>
    <w:lvl w:ilvl="1" w:tplc="D01EC3B8">
      <w:start w:val="1"/>
      <w:numFmt w:val="lowerLetter"/>
      <w:lvlText w:val="%2."/>
      <w:lvlJc w:val="left"/>
      <w:pPr>
        <w:ind w:left="1440" w:hanging="360"/>
      </w:pPr>
    </w:lvl>
    <w:lvl w:ilvl="2" w:tplc="E5FA5BFE">
      <w:start w:val="1"/>
      <w:numFmt w:val="lowerRoman"/>
      <w:lvlText w:val="%3."/>
      <w:lvlJc w:val="right"/>
      <w:pPr>
        <w:ind w:left="2160" w:hanging="180"/>
      </w:pPr>
    </w:lvl>
    <w:lvl w:ilvl="3" w:tplc="9508C6F8">
      <w:start w:val="1"/>
      <w:numFmt w:val="decimal"/>
      <w:lvlText w:val="%4."/>
      <w:lvlJc w:val="left"/>
      <w:pPr>
        <w:ind w:left="2880" w:hanging="360"/>
      </w:pPr>
    </w:lvl>
    <w:lvl w:ilvl="4" w:tplc="B4583D06">
      <w:start w:val="1"/>
      <w:numFmt w:val="lowerLetter"/>
      <w:lvlText w:val="%5."/>
      <w:lvlJc w:val="left"/>
      <w:pPr>
        <w:ind w:left="3600" w:hanging="360"/>
      </w:pPr>
    </w:lvl>
    <w:lvl w:ilvl="5" w:tplc="896A1040">
      <w:start w:val="1"/>
      <w:numFmt w:val="lowerRoman"/>
      <w:lvlText w:val="%6."/>
      <w:lvlJc w:val="right"/>
      <w:pPr>
        <w:ind w:left="4320" w:hanging="180"/>
      </w:pPr>
    </w:lvl>
    <w:lvl w:ilvl="6" w:tplc="A29A817C">
      <w:start w:val="1"/>
      <w:numFmt w:val="decimal"/>
      <w:lvlText w:val="%7."/>
      <w:lvlJc w:val="left"/>
      <w:pPr>
        <w:ind w:left="5040" w:hanging="360"/>
      </w:pPr>
    </w:lvl>
    <w:lvl w:ilvl="7" w:tplc="12F0EB92">
      <w:start w:val="1"/>
      <w:numFmt w:val="lowerLetter"/>
      <w:lvlText w:val="%8."/>
      <w:lvlJc w:val="left"/>
      <w:pPr>
        <w:ind w:left="5760" w:hanging="360"/>
      </w:pPr>
    </w:lvl>
    <w:lvl w:ilvl="8" w:tplc="DA626DC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A7081"/>
    <w:multiLevelType w:val="hybridMultilevel"/>
    <w:tmpl w:val="9EEAE25C"/>
    <w:lvl w:ilvl="0" w:tplc="A59E27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5F6EC1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4DB6BAD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59F2008C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75768D3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D96C9156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0AF4732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90466E5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7C88D92C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2DD2253"/>
    <w:multiLevelType w:val="multilevel"/>
    <w:tmpl w:val="25FEF70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855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8">
    <w:nsid w:val="22F71720"/>
    <w:multiLevelType w:val="hybridMultilevel"/>
    <w:tmpl w:val="C3260718"/>
    <w:lvl w:ilvl="0" w:tplc="8F6A6D46">
      <w:start w:val="1"/>
      <w:numFmt w:val="decimal"/>
      <w:pStyle w:val="-4"/>
      <w:lvlText w:val="4.4.7.%1"/>
      <w:lvlJc w:val="left"/>
      <w:pPr>
        <w:ind w:left="1571" w:hanging="360"/>
      </w:pPr>
    </w:lvl>
    <w:lvl w:ilvl="1" w:tplc="96665FA2">
      <w:start w:val="1"/>
      <w:numFmt w:val="lowerLetter"/>
      <w:lvlText w:val="%2."/>
      <w:lvlJc w:val="left"/>
      <w:pPr>
        <w:ind w:left="2291" w:hanging="360"/>
      </w:pPr>
    </w:lvl>
    <w:lvl w:ilvl="2" w:tplc="387A1D06">
      <w:start w:val="1"/>
      <w:numFmt w:val="lowerRoman"/>
      <w:lvlText w:val="%3."/>
      <w:lvlJc w:val="right"/>
      <w:pPr>
        <w:ind w:left="3011" w:hanging="180"/>
      </w:pPr>
    </w:lvl>
    <w:lvl w:ilvl="3" w:tplc="E472AF24">
      <w:start w:val="1"/>
      <w:numFmt w:val="decimal"/>
      <w:lvlText w:val="%4."/>
      <w:lvlJc w:val="left"/>
      <w:pPr>
        <w:ind w:left="3731" w:hanging="360"/>
      </w:pPr>
    </w:lvl>
    <w:lvl w:ilvl="4" w:tplc="6E38C808">
      <w:start w:val="1"/>
      <w:numFmt w:val="lowerLetter"/>
      <w:pStyle w:val="-5"/>
      <w:lvlText w:val="%5."/>
      <w:lvlJc w:val="left"/>
      <w:pPr>
        <w:ind w:left="4451" w:hanging="360"/>
      </w:pPr>
    </w:lvl>
    <w:lvl w:ilvl="5" w:tplc="679AE1C8">
      <w:start w:val="1"/>
      <w:numFmt w:val="lowerRoman"/>
      <w:pStyle w:val="-6"/>
      <w:lvlText w:val="%6."/>
      <w:lvlJc w:val="right"/>
      <w:pPr>
        <w:ind w:left="5171" w:hanging="180"/>
      </w:pPr>
    </w:lvl>
    <w:lvl w:ilvl="6" w:tplc="45DA2514">
      <w:start w:val="1"/>
      <w:numFmt w:val="decimal"/>
      <w:pStyle w:val="-7"/>
      <w:lvlText w:val="%7."/>
      <w:lvlJc w:val="left"/>
      <w:pPr>
        <w:ind w:left="5891" w:hanging="360"/>
      </w:pPr>
    </w:lvl>
    <w:lvl w:ilvl="7" w:tplc="D00035DA">
      <w:start w:val="1"/>
      <w:numFmt w:val="lowerLetter"/>
      <w:lvlText w:val="%8."/>
      <w:lvlJc w:val="left"/>
      <w:pPr>
        <w:ind w:left="6611" w:hanging="360"/>
      </w:pPr>
    </w:lvl>
    <w:lvl w:ilvl="8" w:tplc="53C624DE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245A3CDB"/>
    <w:multiLevelType w:val="multilevel"/>
    <w:tmpl w:val="E27432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24C31643"/>
    <w:multiLevelType w:val="multilevel"/>
    <w:tmpl w:val="B8B220D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>
    <w:nsid w:val="273671FA"/>
    <w:multiLevelType w:val="hybridMultilevel"/>
    <w:tmpl w:val="ACC69AAC"/>
    <w:lvl w:ilvl="0" w:tplc="20B8BA36">
      <w:start w:val="1"/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 w:tplc="4EC8C2F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 w:tplc="A0CC4B84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 w:tplc="74D230E4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 w:tplc="1A605D28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 w:tplc="4EBCE21A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 w:tplc="94D8C098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 w:tplc="2D16FF38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 w:tplc="A3F201EE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2">
    <w:nsid w:val="31D735C1"/>
    <w:multiLevelType w:val="hybridMultilevel"/>
    <w:tmpl w:val="D676F488"/>
    <w:lvl w:ilvl="0" w:tplc="933267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3C6298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F4BA0C3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BE0EB63C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BE5C6432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543A8B38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7C5C69E0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1F648862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7DA6B0DA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43305A2B"/>
    <w:multiLevelType w:val="hybridMultilevel"/>
    <w:tmpl w:val="F0AC98D4"/>
    <w:lvl w:ilvl="0" w:tplc="828474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31ACEC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7DAE134A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7848DEF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C2C483FE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07DCC7AE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DCD807E4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298C506E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DEA2828C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52B51DC7"/>
    <w:multiLevelType w:val="hybridMultilevel"/>
    <w:tmpl w:val="2384D8D4"/>
    <w:lvl w:ilvl="0" w:tplc="D4C4F6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56238F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8EDAE85A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53EC05FE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48AC457E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4CB65214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592E95DE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C1CCEC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806671AC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546F63E0"/>
    <w:multiLevelType w:val="hybridMultilevel"/>
    <w:tmpl w:val="A566A954"/>
    <w:lvl w:ilvl="0" w:tplc="8E2A4C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52A34A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FEE848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AD6470C0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F7227B7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929CE93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83FCBAD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6B00E7E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4F468362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56136ABA"/>
    <w:multiLevelType w:val="hybridMultilevel"/>
    <w:tmpl w:val="46F6E140"/>
    <w:lvl w:ilvl="0" w:tplc="CDFE16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EEEEE7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2EEA43D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1CAC47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4210ECE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CD0CF9A8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613C994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88D833FA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8826ACAC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587542FF"/>
    <w:multiLevelType w:val="hybridMultilevel"/>
    <w:tmpl w:val="CDD87808"/>
    <w:lvl w:ilvl="0" w:tplc="53C05B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2C6FB5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EB48BE0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F8BCEB82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8FC87AC8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DE90F96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310619D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4CB65DB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ED3E14BA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638C319A"/>
    <w:multiLevelType w:val="hybridMultilevel"/>
    <w:tmpl w:val="481A9314"/>
    <w:lvl w:ilvl="0" w:tplc="C9D6A9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562775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E154EB4A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FDA68FD2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72E9790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F3D49C2E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3B8E4020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767E3C8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0F349904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65541E44"/>
    <w:multiLevelType w:val="hybridMultilevel"/>
    <w:tmpl w:val="99FE31BC"/>
    <w:lvl w:ilvl="0" w:tplc="6EFAE8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61096D0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4942FA8A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46467966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C77A13C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E1FAB6F4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63784B1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A4DE4AC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669858B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667F6C7B"/>
    <w:multiLevelType w:val="hybridMultilevel"/>
    <w:tmpl w:val="DD2EC4FC"/>
    <w:lvl w:ilvl="0" w:tplc="B34AD4A2">
      <w:start w:val="1"/>
      <w:numFmt w:val="decimal"/>
      <w:lvlText w:val="%1."/>
      <w:lvlJc w:val="left"/>
      <w:pPr>
        <w:ind w:left="720" w:hanging="360"/>
      </w:pPr>
    </w:lvl>
    <w:lvl w:ilvl="1" w:tplc="E7F8BADA">
      <w:start w:val="1"/>
      <w:numFmt w:val="lowerLetter"/>
      <w:lvlText w:val="%2."/>
      <w:lvlJc w:val="left"/>
      <w:pPr>
        <w:ind w:left="1440" w:hanging="360"/>
      </w:pPr>
    </w:lvl>
    <w:lvl w:ilvl="2" w:tplc="DCEA8E28">
      <w:start w:val="1"/>
      <w:numFmt w:val="lowerRoman"/>
      <w:lvlText w:val="%3."/>
      <w:lvlJc w:val="right"/>
      <w:pPr>
        <w:ind w:left="2160" w:hanging="180"/>
      </w:pPr>
    </w:lvl>
    <w:lvl w:ilvl="3" w:tplc="0A9E894E">
      <w:start w:val="1"/>
      <w:numFmt w:val="decimal"/>
      <w:lvlText w:val="%4."/>
      <w:lvlJc w:val="left"/>
      <w:pPr>
        <w:ind w:left="2880" w:hanging="360"/>
      </w:pPr>
    </w:lvl>
    <w:lvl w:ilvl="4" w:tplc="01CAEA8E">
      <w:start w:val="1"/>
      <w:numFmt w:val="lowerLetter"/>
      <w:lvlText w:val="%5."/>
      <w:lvlJc w:val="left"/>
      <w:pPr>
        <w:ind w:left="3600" w:hanging="360"/>
      </w:pPr>
    </w:lvl>
    <w:lvl w:ilvl="5" w:tplc="CEB47744">
      <w:start w:val="1"/>
      <w:numFmt w:val="lowerRoman"/>
      <w:lvlText w:val="%6."/>
      <w:lvlJc w:val="right"/>
      <w:pPr>
        <w:ind w:left="4320" w:hanging="180"/>
      </w:pPr>
    </w:lvl>
    <w:lvl w:ilvl="6" w:tplc="0BD684D0">
      <w:start w:val="1"/>
      <w:numFmt w:val="decimal"/>
      <w:lvlText w:val="%7."/>
      <w:lvlJc w:val="left"/>
      <w:pPr>
        <w:ind w:left="5040" w:hanging="360"/>
      </w:pPr>
    </w:lvl>
    <w:lvl w:ilvl="7" w:tplc="99946B30">
      <w:start w:val="1"/>
      <w:numFmt w:val="lowerLetter"/>
      <w:lvlText w:val="%8."/>
      <w:lvlJc w:val="left"/>
      <w:pPr>
        <w:ind w:left="5760" w:hanging="360"/>
      </w:pPr>
    </w:lvl>
    <w:lvl w:ilvl="8" w:tplc="73B684FA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B77A3B"/>
    <w:multiLevelType w:val="multilevel"/>
    <w:tmpl w:val="055AA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nsid w:val="6E532E6D"/>
    <w:multiLevelType w:val="hybridMultilevel"/>
    <w:tmpl w:val="961426A6"/>
    <w:lvl w:ilvl="0" w:tplc="3C6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54A26F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5386D2E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5DEA46F0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D11E0ADA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BE78A6D2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39B8D824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916A3190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B82CF85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6F4905D4"/>
    <w:multiLevelType w:val="hybridMultilevel"/>
    <w:tmpl w:val="6D109D92"/>
    <w:lvl w:ilvl="0" w:tplc="870439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6469E54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9F4250EA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6F5CBAD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2420148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8550E25A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4862271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1842F41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726C39D4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6FC34D69"/>
    <w:multiLevelType w:val="hybridMultilevel"/>
    <w:tmpl w:val="D36A4024"/>
    <w:lvl w:ilvl="0" w:tplc="27983732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</w:lvl>
    <w:lvl w:ilvl="1" w:tplc="EE0494A8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6B540B9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5B7E8656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1ED4343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0F0CB54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F95E272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769A7AE4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1EFAD45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>
    <w:nsid w:val="73BC4DA3"/>
    <w:multiLevelType w:val="hybridMultilevel"/>
    <w:tmpl w:val="693ECA2C"/>
    <w:lvl w:ilvl="0" w:tplc="99F83A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AB0E9A0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50A672CE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D4E4BEC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D9EE3A9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95DEC98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7B723ECE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DA2A313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0B80B204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78D5558C"/>
    <w:multiLevelType w:val="hybridMultilevel"/>
    <w:tmpl w:val="6D3ADC76"/>
    <w:lvl w:ilvl="0" w:tplc="579C6D54">
      <w:start w:val="1"/>
      <w:numFmt w:val="decimal"/>
      <w:lvlText w:val="%1."/>
      <w:lvlJc w:val="left"/>
      <w:pPr>
        <w:ind w:left="720" w:hanging="360"/>
      </w:pPr>
    </w:lvl>
    <w:lvl w:ilvl="1" w:tplc="B008D99E">
      <w:start w:val="1"/>
      <w:numFmt w:val="lowerLetter"/>
      <w:lvlText w:val="%2."/>
      <w:lvlJc w:val="left"/>
      <w:pPr>
        <w:ind w:left="1440" w:hanging="360"/>
      </w:pPr>
    </w:lvl>
    <w:lvl w:ilvl="2" w:tplc="1792B65C">
      <w:start w:val="1"/>
      <w:numFmt w:val="lowerRoman"/>
      <w:lvlText w:val="%3."/>
      <w:lvlJc w:val="right"/>
      <w:pPr>
        <w:ind w:left="2160" w:hanging="180"/>
      </w:pPr>
    </w:lvl>
    <w:lvl w:ilvl="3" w:tplc="5C221F34">
      <w:start w:val="1"/>
      <w:numFmt w:val="decimal"/>
      <w:lvlText w:val="%4."/>
      <w:lvlJc w:val="left"/>
      <w:pPr>
        <w:ind w:left="2880" w:hanging="360"/>
      </w:pPr>
    </w:lvl>
    <w:lvl w:ilvl="4" w:tplc="5E74FE10">
      <w:start w:val="1"/>
      <w:numFmt w:val="lowerLetter"/>
      <w:lvlText w:val="%5."/>
      <w:lvlJc w:val="left"/>
      <w:pPr>
        <w:ind w:left="3600" w:hanging="360"/>
      </w:pPr>
    </w:lvl>
    <w:lvl w:ilvl="5" w:tplc="36C23702">
      <w:start w:val="1"/>
      <w:numFmt w:val="lowerRoman"/>
      <w:lvlText w:val="%6."/>
      <w:lvlJc w:val="right"/>
      <w:pPr>
        <w:ind w:left="4320" w:hanging="180"/>
      </w:pPr>
    </w:lvl>
    <w:lvl w:ilvl="6" w:tplc="D3BEA750">
      <w:start w:val="1"/>
      <w:numFmt w:val="decimal"/>
      <w:lvlText w:val="%7."/>
      <w:lvlJc w:val="left"/>
      <w:pPr>
        <w:ind w:left="5040" w:hanging="360"/>
      </w:pPr>
    </w:lvl>
    <w:lvl w:ilvl="7" w:tplc="35B23EA6">
      <w:start w:val="1"/>
      <w:numFmt w:val="lowerLetter"/>
      <w:lvlText w:val="%8."/>
      <w:lvlJc w:val="left"/>
      <w:pPr>
        <w:ind w:left="5760" w:hanging="360"/>
      </w:pPr>
    </w:lvl>
    <w:lvl w:ilvl="8" w:tplc="DC32EF1E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C2E56"/>
    <w:multiLevelType w:val="hybridMultilevel"/>
    <w:tmpl w:val="8BAE1248"/>
    <w:lvl w:ilvl="0" w:tplc="9F924FE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  <w:lvl w:ilvl="1" w:tplc="B01A81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AE830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0411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5C824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18EEB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1A898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C1065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7DEC7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11"/>
  </w:num>
  <w:num w:numId="3">
    <w:abstractNumId w:val="27"/>
  </w:num>
  <w:num w:numId="4">
    <w:abstractNumId w:val="16"/>
  </w:num>
  <w:num w:numId="5">
    <w:abstractNumId w:val="25"/>
  </w:num>
  <w:num w:numId="6">
    <w:abstractNumId w:val="0"/>
  </w:num>
  <w:num w:numId="7">
    <w:abstractNumId w:val="12"/>
  </w:num>
  <w:num w:numId="8">
    <w:abstractNumId w:val="18"/>
  </w:num>
  <w:num w:numId="9">
    <w:abstractNumId w:val="17"/>
  </w:num>
  <w:num w:numId="10">
    <w:abstractNumId w:val="2"/>
  </w:num>
  <w:num w:numId="11">
    <w:abstractNumId w:val="23"/>
  </w:num>
  <w:num w:numId="12">
    <w:abstractNumId w:val="3"/>
  </w:num>
  <w:num w:numId="13">
    <w:abstractNumId w:val="14"/>
  </w:num>
  <w:num w:numId="14">
    <w:abstractNumId w:val="13"/>
  </w:num>
  <w:num w:numId="15">
    <w:abstractNumId w:val="6"/>
  </w:num>
  <w:num w:numId="16">
    <w:abstractNumId w:val="15"/>
  </w:num>
  <w:num w:numId="17">
    <w:abstractNumId w:val="19"/>
  </w:num>
  <w:num w:numId="18">
    <w:abstractNumId w:val="22"/>
  </w:num>
  <w:num w:numId="19">
    <w:abstractNumId w:val="1"/>
  </w:num>
  <w:num w:numId="20">
    <w:abstractNumId w:val="5"/>
  </w:num>
  <w:num w:numId="21">
    <w:abstractNumId w:val="20"/>
  </w:num>
  <w:num w:numId="22">
    <w:abstractNumId w:val="10"/>
  </w:num>
  <w:num w:numId="23">
    <w:abstractNumId w:val="7"/>
  </w:num>
  <w:num w:numId="24">
    <w:abstractNumId w:val="24"/>
  </w:num>
  <w:num w:numId="25">
    <w:abstractNumId w:val="8"/>
  </w:num>
  <w:num w:numId="26">
    <w:abstractNumId w:val="26"/>
  </w:num>
  <w:num w:numId="27">
    <w:abstractNumId w:val="9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numFmt w:val="decimal"/>
    <w:numStart w:val="22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6E"/>
    <w:rsid w:val="00105D6E"/>
    <w:rsid w:val="00335FE2"/>
    <w:rsid w:val="003B1526"/>
    <w:rsid w:val="00426BEA"/>
    <w:rsid w:val="004A78EA"/>
    <w:rsid w:val="00570BCD"/>
    <w:rsid w:val="006C14EC"/>
    <w:rsid w:val="006F2554"/>
    <w:rsid w:val="00705F3E"/>
    <w:rsid w:val="00720FC6"/>
    <w:rsid w:val="0085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701F9-0698-46F0-BB0F-CD00FC1E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link w:val="30"/>
    <w:qFormat/>
    <w:pPr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0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0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0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0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1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1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1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1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semiHidden/>
    <w:rPr>
      <w:sz w:val="20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semiHidden/>
    <w:rPr>
      <w:vertAlign w:val="superscript"/>
    </w:rPr>
  </w:style>
  <w:style w:type="paragraph" w:styleId="af6">
    <w:name w:val="endnote text"/>
    <w:basedOn w:val="a"/>
    <w:link w:val="af7"/>
    <w:semiHidden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semiHidden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link w:val="afc"/>
    <w:pPr>
      <w:spacing w:line="360" w:lineRule="exact"/>
      <w:ind w:firstLine="720"/>
      <w:jc w:val="both"/>
    </w:pPr>
  </w:style>
  <w:style w:type="paragraph" w:customStyle="1" w:styleId="ConsNormal">
    <w:name w:val="ConsNormal"/>
    <w:pPr>
      <w:widowControl w:val="0"/>
      <w:ind w:firstLine="720"/>
    </w:pPr>
    <w:rPr>
      <w:rFonts w:ascii="Arial" w:eastAsia="MS Mincho" w:hAnsi="Arial" w:cs="Arial"/>
      <w:lang w:eastAsia="zh-TW"/>
    </w:rPr>
  </w:style>
  <w:style w:type="paragraph" w:customStyle="1" w:styleId="afd">
    <w:name w:val="Заголовок к тексту"/>
    <w:basedOn w:val="a"/>
    <w:next w:val="afb"/>
    <w:pPr>
      <w:spacing w:after="480" w:line="240" w:lineRule="exact"/>
    </w:pPr>
    <w:rPr>
      <w:b/>
    </w:rPr>
  </w:style>
  <w:style w:type="paragraph" w:customStyle="1" w:styleId="xl24">
    <w:name w:val="xl24"/>
    <w:basedOn w:val="a"/>
    <w:pPr>
      <w:spacing w:before="100" w:after="100"/>
      <w:jc w:val="center"/>
    </w:pPr>
    <w:rPr>
      <w:sz w:val="24"/>
    </w:rPr>
  </w:style>
  <w:style w:type="paragraph" w:styleId="afe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c">
    <w:name w:val="Основной текст Знак"/>
    <w:link w:val="afb"/>
    <w:rPr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Default">
    <w:name w:val="Default"/>
    <w:rPr>
      <w:color w:val="000000"/>
      <w:sz w:val="24"/>
      <w:szCs w:val="24"/>
      <w:lang w:eastAsia="ru-RU"/>
    </w:rPr>
  </w:style>
  <w:style w:type="numbering" w:customStyle="1" w:styleId="411112">
    <w:name w:val="Стиль411112"/>
  </w:style>
  <w:style w:type="paragraph" w:customStyle="1" w:styleId="2Web">
    <w:name w:val="Обычный (веб);Знак2;Обычный (Web)"/>
    <w:basedOn w:val="a"/>
    <w:uiPriority w:val="99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33">
    <w:name w:val="Стиль3"/>
    <w:basedOn w:val="25"/>
    <w:pPr>
      <w:widowControl w:val="0"/>
      <w:tabs>
        <w:tab w:val="num" w:pos="1307"/>
      </w:tabs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rPr>
      <w:sz w:val="28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7">
    <w:name w:val="Основной текст (2)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styleId="aff">
    <w:name w:val="Strong"/>
    <w:uiPriority w:val="22"/>
    <w:qFormat/>
    <w:rPr>
      <w:b/>
      <w:bCs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character" w:customStyle="1" w:styleId="FontStyle12">
    <w:name w:val="Font Style12"/>
    <w:rPr>
      <w:rFonts w:ascii="Times New Roman" w:hAnsi="Times New Roman" w:cs="Times New Roman"/>
      <w:sz w:val="24"/>
      <w:szCs w:val="24"/>
    </w:rPr>
  </w:style>
  <w:style w:type="paragraph" w:customStyle="1" w:styleId="parametervalue">
    <w:name w:val="parametervalue"/>
    <w:basedOn w:val="a"/>
    <w:pPr>
      <w:spacing w:before="280" w:after="280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character" w:customStyle="1" w:styleId="apple-converted-space">
    <w:name w:val="apple-converted-space"/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</w:rPr>
  </w:style>
  <w:style w:type="paragraph" w:customStyle="1" w:styleId="53">
    <w:name w:val="Стиль5"/>
    <w:basedOn w:val="a"/>
    <w:link w:val="54"/>
    <w:qFormat/>
    <w:pPr>
      <w:jc w:val="both"/>
    </w:pPr>
    <w:rPr>
      <w:rFonts w:ascii="Courier New" w:hAnsi="Courier New" w:cs="Courier New"/>
      <w:bCs/>
      <w:color w:val="FFFFFF"/>
      <w:sz w:val="18"/>
      <w:szCs w:val="18"/>
    </w:rPr>
  </w:style>
  <w:style w:type="character" w:customStyle="1" w:styleId="54">
    <w:name w:val="Стиль5 Знак"/>
    <w:link w:val="53"/>
    <w:rPr>
      <w:rFonts w:ascii="Courier New" w:hAnsi="Courier New" w:cs="Courier New"/>
      <w:bCs/>
      <w:color w:val="FFFFFF"/>
      <w:sz w:val="18"/>
      <w:szCs w:val="18"/>
    </w:rPr>
  </w:style>
  <w:style w:type="paragraph" w:customStyle="1" w:styleId="210">
    <w:name w:val="Основной текст 21"/>
    <w:basedOn w:val="a"/>
    <w:pPr>
      <w:widowControl w:val="0"/>
      <w:ind w:right="-1" w:firstLine="709"/>
      <w:jc w:val="both"/>
    </w:pPr>
  </w:style>
  <w:style w:type="character" w:styleId="aff0">
    <w:name w:val="annotation reference"/>
    <w:rPr>
      <w:sz w:val="16"/>
      <w:szCs w:val="16"/>
    </w:rPr>
  </w:style>
  <w:style w:type="paragraph" w:styleId="aff1">
    <w:name w:val="annotation text"/>
    <w:basedOn w:val="a"/>
    <w:link w:val="aff2"/>
    <w:rPr>
      <w:sz w:val="20"/>
    </w:rPr>
  </w:style>
  <w:style w:type="character" w:customStyle="1" w:styleId="aff2">
    <w:name w:val="Текст примечания Знак"/>
    <w:basedOn w:val="a0"/>
    <w:link w:val="aff1"/>
  </w:style>
  <w:style w:type="paragraph" w:styleId="aff3">
    <w:name w:val="annotation subject"/>
    <w:basedOn w:val="aff1"/>
    <w:next w:val="aff1"/>
    <w:link w:val="aff4"/>
    <w:rPr>
      <w:b/>
      <w:bCs/>
    </w:rPr>
  </w:style>
  <w:style w:type="character" w:customStyle="1" w:styleId="aff4">
    <w:name w:val="Тема примечания Знак"/>
    <w:link w:val="aff3"/>
    <w:rPr>
      <w:b/>
      <w:bCs/>
    </w:rPr>
  </w:style>
  <w:style w:type="paragraph" w:customStyle="1" w:styleId="-4">
    <w:name w:val="Гост-заг4"/>
    <w:basedOn w:val="a"/>
    <w:next w:val="a"/>
    <w:link w:val="-42"/>
    <w:qFormat/>
    <w:pPr>
      <w:keepNext/>
      <w:numPr>
        <w:numId w:val="25"/>
      </w:numPr>
      <w:tabs>
        <w:tab w:val="left" w:pos="709"/>
        <w:tab w:val="left" w:pos="1843"/>
      </w:tabs>
      <w:spacing w:before="240" w:after="120"/>
      <w:ind w:left="851" w:firstLine="0"/>
      <w:jc w:val="both"/>
      <w:outlineLvl w:val="3"/>
    </w:pPr>
    <w:rPr>
      <w:rFonts w:eastAsia="SimSun"/>
      <w:b/>
      <w:iCs/>
      <w:sz w:val="26"/>
      <w:szCs w:val="26"/>
      <w:lang w:eastAsia="en-US" w:bidi="en-US"/>
    </w:rPr>
  </w:style>
  <w:style w:type="paragraph" w:customStyle="1" w:styleId="-5">
    <w:name w:val="Гост-заг5"/>
    <w:basedOn w:val="-4"/>
    <w:qFormat/>
    <w:pPr>
      <w:numPr>
        <w:ilvl w:val="4"/>
      </w:numPr>
      <w:tabs>
        <w:tab w:val="num" w:pos="360"/>
      </w:tabs>
      <w:ind w:left="851" w:firstLine="851"/>
      <w:outlineLvl w:val="4"/>
    </w:pPr>
    <w:rPr>
      <w:i/>
      <w:sz w:val="24"/>
    </w:rPr>
  </w:style>
  <w:style w:type="paragraph" w:customStyle="1" w:styleId="-6">
    <w:name w:val="Гост-заг6"/>
    <w:basedOn w:val="-5"/>
    <w:next w:val="a"/>
    <w:qFormat/>
    <w:pPr>
      <w:numPr>
        <w:ilvl w:val="5"/>
      </w:numPr>
      <w:tabs>
        <w:tab w:val="num" w:pos="360"/>
      </w:tabs>
      <w:ind w:left="851" w:firstLine="851"/>
      <w:outlineLvl w:val="5"/>
    </w:pPr>
  </w:style>
  <w:style w:type="paragraph" w:customStyle="1" w:styleId="-7">
    <w:name w:val="Гост-заг7"/>
    <w:basedOn w:val="-5"/>
    <w:qFormat/>
    <w:pPr>
      <w:numPr>
        <w:ilvl w:val="6"/>
      </w:numPr>
      <w:tabs>
        <w:tab w:val="num" w:pos="360"/>
      </w:tabs>
      <w:ind w:left="851" w:firstLine="851"/>
      <w:outlineLvl w:val="5"/>
    </w:pPr>
  </w:style>
  <w:style w:type="character" w:customStyle="1" w:styleId="-42">
    <w:name w:val="Гост-заг4 Знак"/>
    <w:link w:val="-4"/>
    <w:rPr>
      <w:rFonts w:eastAsia="SimSun"/>
      <w:b/>
      <w:iCs/>
      <w:sz w:val="26"/>
      <w:szCs w:val="26"/>
      <w:lang w:eastAsia="en-US" w:bidi="en-US"/>
    </w:rPr>
  </w:style>
  <w:style w:type="paragraph" w:styleId="aff5">
    <w:name w:val="Revision"/>
    <w:hidden/>
    <w:uiPriority w:val="99"/>
    <w:semiHidden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44.sberbank-ast.ru/tradezone/Customer/Comments/CommentRequestView.html?id=1688805&amp;type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3090</Words>
  <Characters>17616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Осуществляет формирование и размещение на официальном сайте извещений о проведении открытых аукционов в электронной форме  в разделе «Создание и подготовка закупки»</vt:lpstr>
    </vt:vector>
  </TitlesOfParts>
  <Company>ГУЭ</Company>
  <LinksUpToDate>false</LinksUpToDate>
  <CharactersWithSpaces>20665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Осуществляет формирование и размещение на официальном сайте извещений о проведении открытых аукционов в электронной форме  в разделе «Создание и подготовка закупки»</dc:title>
  <dc:creator>Специалист</dc:creator>
  <cp:lastModifiedBy>Зверева Марина Викторовна</cp:lastModifiedBy>
  <cp:revision>10</cp:revision>
  <dcterms:created xsi:type="dcterms:W3CDTF">2026-10-14T12:13:00Z</dcterms:created>
  <dcterms:modified xsi:type="dcterms:W3CDTF">2026-10-14T12:52:00Z</dcterms:modified>
  <cp:version>1048576</cp:version>
</cp:coreProperties>
</file>