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10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0.xml" ContentType="application/vnd.openxmlformats-officedocument.wordprocessingml.head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9.xml" ContentType="application/vnd.openxmlformats-officedocument.wordprocessingml.footer+xml"/>
  <Override PartName="/word/theme/theme1.xml" ContentType="application/vnd.openxmlformats-officedocument.theme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ТЕХНИЧЕСКОЕ ЗАДАНИЕ</w:t>
      </w:r>
      <w:r>
        <w:rPr>
          <w:b/>
          <w:color w:val="000000"/>
          <w:sz w:val="28"/>
          <w:szCs w:val="28"/>
        </w:rPr>
        <w:br/>
        <w:t xml:space="preserve">на оказание услуг по сопровождению и эксплуатации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государственной информационной системы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«Единая платформа сайтов органов власти Пермского края»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Пермь</w:t>
      </w:r>
      <w:r>
        <w:rPr>
          <w:color w:val="000000"/>
          <w:sz w:val="28"/>
          <w:szCs w:val="28"/>
        </w:rPr>
        <w:br/>
      </w:r>
      <w:r>
        <w:t xml:space="preserve">2026</w:t>
      </w:r>
      <w:r>
        <w:br w:type="page" w:clear="all"/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spacing w:before="240" w:after="120" w:line="36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Содержание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sdt>
      <w:sdtPr>
        <w15:appearance w15:val="boundingBox"/>
        <w:id w:val="962473507"/>
        <w:docPartObj>
          <w:docPartGallery w:val="Table of Contents"/>
          <w:docPartUnique w:val="true"/>
        </w:docPartObj>
        <w:rPr>
          <w:rFonts w:eastAsia="WenQuanYi Micro Hei" w:cs="Lohit Devanagari"/>
          <w:lang w:eastAsia="zh-CN" w:bidi="hi-IN"/>
        </w:rPr>
      </w:sdtPr>
      <w:sdtContent>
        <w:p>
          <w:pPr>
            <w:pStyle w:val="1515"/>
            <w:tabs>
              <w:tab w:val="left" w:pos="567" w:leader="none"/>
              <w:tab w:val="right" w:pos="9488" w:leader="none"/>
            </w:tabs>
          </w:pPr>
          <w:r>
            <w:rPr>
              <w:rFonts w:eastAsia="WenQuanYi Micro Hei"/>
            </w:rPr>
            <w:fldChar w:fldCharType="begin"/>
          </w:r>
          <w:r>
            <w:rPr>
              <w:rFonts w:eastAsia="Cambria"/>
              <w:color w:val="000000"/>
            </w:rPr>
            <w:instrText xml:space="preserve">TOC \z \o "1-9" \u \h</w:instrText>
          </w:r>
          <w:r>
            <w:rPr>
              <w:rFonts w:eastAsia="Cambria"/>
              <w:color w:val="000000"/>
            </w:rPr>
            <w:fldChar w:fldCharType="separate"/>
          </w:r>
          <w:r>
            <w:rPr>
              <w:rFonts w:ascii="Calibri" w:hAnsi="Calibri" w:eastAsia="Calibri" w:cs="Calibri"/>
              <w:color w:val="000000"/>
              <w:sz w:val="22"/>
              <w:szCs w:val="22"/>
            </w:rPr>
          </w:r>
          <w:hyperlink w:tooltip="#_Toc1" w:anchor="_Toc1" w:history="1">
            <w:r>
              <w:rPr>
                <w:rFonts w:ascii="Times New Roman" w:hAnsi="Times New Roman" w:eastAsia="SimSun" w:cs="Lohit Devanagari"/>
              </w:rPr>
              <w:t xml:space="preserve">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Общие сведения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4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2" w:anchor="_Toc2" w:history="1">
            <w:r>
              <w:rPr>
                <w:rFonts w:ascii="Times New Roman" w:hAnsi="Times New Roman" w:eastAsia="SimSun" w:cs="Lohit Devanagari"/>
              </w:rPr>
              <w:t xml:space="preserve">1.1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Полное наименование Системы и её условное обозначение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3" w:anchor="_Toc3" w:history="1">
            <w:r>
              <w:rPr>
                <w:rFonts w:ascii="Times New Roman" w:hAnsi="Times New Roman" w:eastAsia="SimSun" w:cs="Lohit Devanagari"/>
              </w:rPr>
              <w:t xml:space="preserve">1.2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Предмет Контракта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4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4" w:anchor="_Toc4" w:history="1">
            <w:r>
              <w:rPr>
                <w:rFonts w:ascii="Times New Roman" w:hAnsi="Times New Roman" w:eastAsia="SimSun" w:cs="Lohit Devanagari"/>
              </w:rPr>
              <w:t xml:space="preserve">1.3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Заказчик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4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5" w:anchor="_Toc5" w:history="1">
            <w:r>
              <w:rPr>
                <w:rFonts w:ascii="Times New Roman" w:hAnsi="Times New Roman" w:eastAsia="SimSun" w:cs="Lohit Devanagari"/>
              </w:rPr>
              <w:t xml:space="preserve">1.4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Исполнитель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5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6" w:anchor="_Toc6" w:history="1">
            <w:r>
              <w:rPr>
                <w:rFonts w:ascii="Times New Roman" w:hAnsi="Times New Roman" w:eastAsia="SimSun" w:cs="Lohit Devanagari"/>
              </w:rPr>
              <w:t xml:space="preserve">1.5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Сроки и место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5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7" w:anchor="_Toc7" w:history="1">
            <w:r>
              <w:rPr>
                <w:rFonts w:ascii="Times New Roman" w:hAnsi="Times New Roman" w:eastAsia="SimSun" w:cs="Lohit Devanagari"/>
              </w:rPr>
              <w:t xml:space="preserve">1.6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Сведения об источниках финансирования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5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8" w:anchor="_Toc8" w:history="1">
            <w:r>
              <w:rPr>
                <w:rFonts w:ascii="Times New Roman" w:hAnsi="Times New Roman" w:eastAsia="SimSun" w:cs="Lohit Devanagari"/>
              </w:rPr>
              <w:t xml:space="preserve">1.7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Перечень документов, методических материалов, регламентирующих сопровождение и эксплуатацию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_Toc8 \h</w:instrText>
              <w:fldChar w:fldCharType="separate"/>
              <w:t xml:space="preserve">5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9" w:anchor="_Toc9" w:history="1">
            <w:r>
              <w:rPr>
                <w:rFonts w:ascii="Times New Roman" w:hAnsi="Times New Roman" w:eastAsia="SimSun" w:cs="Lohit Devanagari"/>
              </w:rPr>
              <w:t xml:space="preserve">1.8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Порядок оформления и предъявления Заказчику результатов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_Toc9 \h</w:instrText>
              <w:fldChar w:fldCharType="separate"/>
              <w:t xml:space="preserve">8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10" w:anchor="_Toc10" w:history="1">
            <w:r>
              <w:rPr>
                <w:rFonts w:ascii="Times New Roman" w:hAnsi="Times New Roman" w:eastAsia="SimSun" w:cs="Lohit Devanagari"/>
              </w:rPr>
              <w:t xml:space="preserve">1.8.1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Порядок внесения изменений и дополнений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_Toc10 \h</w:instrText>
              <w:fldChar w:fldCharType="separate"/>
              <w:t xml:space="preserve">9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11" w:anchor="_Toc11" w:history="1">
            <w:r>
              <w:rPr>
                <w:rFonts w:ascii="Times New Roman" w:hAnsi="Times New Roman" w:eastAsia="SimSun" w:cs="Lohit Devanagari"/>
              </w:rPr>
              <w:t xml:space="preserve">1.9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Перечень терминов, сокращений и обозначений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_Toc11 \h</w:instrText>
              <w:fldChar w:fldCharType="separate"/>
              <w:t xml:space="preserve">9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12" w:anchor="_Toc12" w:history="1">
            <w:r>
              <w:rPr>
                <w:rFonts w:ascii="Times New Roman" w:hAnsi="Times New Roman" w:eastAsia="SimSun" w:cs="Lohit Devanagari"/>
              </w:rPr>
              <w:t xml:space="preserve">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Цели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_Toc12 \h</w:instrText>
              <w:fldChar w:fldCharType="separate"/>
              <w:t xml:space="preserve">15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13" w:anchor="_Toc13" w:history="1">
            <w:r>
              <w:rPr>
                <w:rFonts w:ascii="Times New Roman" w:hAnsi="Times New Roman" w:eastAsia="SimSun" w:cs="Lohit Devanagari"/>
              </w:rPr>
              <w:t xml:space="preserve">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Характеристики объекта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_Toc13 \h</w:instrText>
              <w:fldChar w:fldCharType="separate"/>
              <w:t xml:space="preserve">16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14" w:anchor="_Toc14" w:history="1">
            <w:r>
              <w:rPr>
                <w:rFonts w:ascii="Times New Roman" w:hAnsi="Times New Roman" w:eastAsia="SimSun" w:cs="Lohit Devanagari"/>
              </w:rPr>
              <w:t xml:space="preserve">3.1.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Краткая характеристика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_Toc14 \h</w:instrText>
              <w:fldChar w:fldCharType="separate"/>
              <w:t xml:space="preserve">16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  <w:rPr>
              <w:highlight w:val="white"/>
            </w:rPr>
          </w:pPr>
          <w:r/>
          <w:hyperlink w:tooltip="#_Toc15" w:anchor="_Toc15" w:history="1">
            <w:r>
              <w:rPr>
                <w:rFonts w:ascii="Times New Roman" w:hAnsi="Times New Roman" w:eastAsia="SimSun" w:cs="Lohit Devanagari"/>
              </w:rPr>
              <w:t xml:space="preserve">3.2.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  <w:highlight w:val="white"/>
              </w:rPr>
              <w:t xml:space="preserve">Общие сведения о структуре и функциях Системы</w:t>
            </w:r>
            <w:r>
              <w:rPr>
                <w:rStyle w:val="1518"/>
                <w:highlight w:val="white"/>
              </w:rPr>
            </w:r>
            <w:r>
              <w:tab/>
            </w:r>
            <w:r>
              <w:fldChar w:fldCharType="begin"/>
              <w:instrText xml:space="preserve">PAGEREF _Toc15 \h</w:instrText>
              <w:fldChar w:fldCharType="separate"/>
              <w:t xml:space="preserve">16</w:t>
              <w:fldChar w:fldCharType="end"/>
            </w:r>
          </w:hyperlink>
          <w:r>
            <w:rPr>
              <w:highlight w:val="white"/>
            </w:rPr>
          </w:r>
          <w:r>
            <w:rPr>
              <w:highlight w:val="white"/>
            </w:rPr>
          </w:r>
        </w:p>
        <w:p>
          <w:pPr>
            <w:pStyle w:val="1515"/>
            <w:tabs>
              <w:tab w:val="left" w:pos="850" w:leader="none"/>
              <w:tab w:val="right" w:pos="9488" w:leader="none"/>
            </w:tabs>
            <w:rPr>
              <w:highlight w:val="white"/>
            </w:rPr>
          </w:pPr>
          <w:r/>
          <w:hyperlink w:tooltip="#_Toc16" w:anchor="_Toc16" w:history="1">
            <w:r>
              <w:rPr>
                <w:rFonts w:ascii="Times New Roman" w:hAnsi="Times New Roman" w:eastAsia="SimSun" w:cs="Lohit Devanagari"/>
              </w:rPr>
              <w:t xml:space="preserve">3.3.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  <w:highlight w:val="white"/>
              </w:rPr>
              <w:t xml:space="preserve">Структура Системы и назначение ее частей</w:t>
            </w:r>
            <w:r>
              <w:rPr>
                <w:rStyle w:val="1518"/>
                <w:highlight w:val="white"/>
              </w:rPr>
            </w:r>
            <w:r>
              <w:tab/>
            </w:r>
            <w:r>
              <w:fldChar w:fldCharType="begin"/>
              <w:instrText xml:space="preserve">PAGEREF _Toc16 \h</w:instrText>
              <w:fldChar w:fldCharType="separate"/>
              <w:t xml:space="preserve">16</w:t>
              <w:fldChar w:fldCharType="end"/>
            </w:r>
          </w:hyperlink>
          <w:r>
            <w:rPr>
              <w:highlight w:val="white"/>
            </w:rPr>
          </w:r>
          <w:r>
            <w:rPr>
              <w:highlight w:val="white"/>
            </w:rPr>
          </w:r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17" w:anchor="_Toc17" w:history="1">
            <w:r>
              <w:rPr>
                <w:rFonts w:ascii="Times New Roman" w:hAnsi="Times New Roman" w:eastAsia="SimSun" w:cs="Lohit Devanagari"/>
              </w:rPr>
              <w:t xml:space="preserve">3.4.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Программно-аппаратное обеспечение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_Toc17 \h</w:instrText>
              <w:fldChar w:fldCharType="separate"/>
              <w:t xml:space="preserve">20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18" w:anchor="_Toc18" w:history="1">
            <w:r>
              <w:rPr>
                <w:rFonts w:ascii="Times New Roman" w:hAnsi="Times New Roman" w:eastAsia="SimSun" w:cs="Lohit Devanagari"/>
              </w:rPr>
              <w:t xml:space="preserve">3.5.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Взаимодействие с внешними информационными системам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_Toc18 \h</w:instrText>
              <w:fldChar w:fldCharType="separate"/>
              <w:t xml:space="preserve">22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19" w:anchor="_Toc19" w:history="1">
            <w:r>
              <w:rPr>
                <w:rFonts w:ascii="Times New Roman" w:hAnsi="Times New Roman" w:eastAsia="SimSun" w:cs="Lohit Devanagari"/>
              </w:rPr>
              <w:t xml:space="preserve">3.6.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Перечень документации на Систему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_Toc19 \h</w:instrText>
              <w:fldChar w:fldCharType="separate"/>
              <w:t xml:space="preserve">22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20" w:anchor="_Toc20" w:history="1">
            <w:r>
              <w:rPr>
                <w:rFonts w:ascii="Times New Roman" w:hAnsi="Times New Roman" w:eastAsia="SimSun" w:cs="Lohit Devanagari"/>
              </w:rPr>
              <w:t xml:space="preserve">4.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услугам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_Toc20 \h</w:instrText>
              <w:fldChar w:fldCharType="separate"/>
              <w:t xml:space="preserve">24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1" w:anchor="_Toc21" w:history="1">
            <w:r>
              <w:rPr>
                <w:rFonts w:ascii="Times New Roman" w:hAnsi="Times New Roman" w:eastAsia="SimSun" w:cs="Lohit Devanagari"/>
              </w:rPr>
              <w:t xml:space="preserve">4.1.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услугам в целом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_Toc21 \h</w:instrText>
              <w:fldChar w:fldCharType="separate"/>
              <w:t xml:space="preserve">24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2" w:anchor="_Toc22" w:history="1">
            <w:r>
              <w:rPr>
                <w:rFonts w:ascii="Times New Roman" w:hAnsi="Times New Roman" w:eastAsia="SimSun" w:cs="Lohit Devanagari"/>
              </w:rPr>
              <w:t xml:space="preserve">4.1.1.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численности и квалификации персонала и режиму его работы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_Toc22 \h</w:instrText>
              <w:fldChar w:fldCharType="separate"/>
              <w:t xml:space="preserve">25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3" w:anchor="_Toc23" w:history="1">
            <w:r>
              <w:rPr>
                <w:rFonts w:ascii="Times New Roman" w:hAnsi="Times New Roman" w:eastAsia="SimSun" w:cs="Lohit Devanagari"/>
              </w:rPr>
              <w:t xml:space="preserve">4.1.2.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порядку и режиму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_Toc23 \h</w:instrText>
              <w:fldChar w:fldCharType="separate"/>
              <w:t xml:space="preserve">25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4" w:anchor="_Toc24" w:history="1">
            <w:r>
              <w:rPr>
                <w:rFonts w:ascii="Times New Roman" w:hAnsi="Times New Roman" w:eastAsia="SimSun" w:cs="Lohit Devanagari"/>
              </w:rPr>
              <w:t xml:space="preserve">4.1.3.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конфиденциальности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_Toc24 \h</w:instrText>
              <w:fldChar w:fldCharType="separate"/>
              <w:t xml:space="preserve">25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5" w:anchor="_Toc25" w:history="1">
            <w:r>
              <w:rPr>
                <w:rFonts w:ascii="Times New Roman" w:hAnsi="Times New Roman" w:eastAsia="SimSun" w:cs="Lohit Devanagari"/>
              </w:rPr>
              <w:t xml:space="preserve">4.1.4.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обеспечению информационной безопасности и защите информации от несанкционированного доступа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_Toc25 \h</w:instrText>
              <w:fldChar w:fldCharType="separate"/>
              <w:t xml:space="preserve">26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6" w:anchor="_Toc26" w:history="1">
            <w:r>
              <w:rPr>
                <w:rFonts w:ascii="Times New Roman" w:hAnsi="Times New Roman" w:eastAsia="SimSun" w:cs="Lohit Devanagari"/>
              </w:rPr>
              <w:t xml:space="preserve">4.2.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услугам по сопровождению и эксплуатации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_Toc26 \h</w:instrText>
              <w:fldChar w:fldCharType="separate"/>
              <w:t xml:space="preserve">29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7" w:anchor="_Toc27" w:history="1">
            <w:r>
              <w:rPr>
                <w:rFonts w:ascii="Times New Roman" w:hAnsi="Times New Roman" w:eastAsia="SimSun" w:cs="Lohit Devanagari"/>
              </w:rPr>
              <w:t xml:space="preserve">4.2.1.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мероприятиям по подготовке к оказанию услуг по сопровождению и эксплуатации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_Toc27 \h</w:instrText>
              <w:fldChar w:fldCharType="separate"/>
              <w:t xml:space="preserve">30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28" w:anchor="_Toc28" w:history="1">
            <w:r>
              <w:rPr>
                <w:rFonts w:ascii="Times New Roman" w:hAnsi="Times New Roman" w:eastAsia="SimSun" w:cs="Lohit Devanagari"/>
              </w:rPr>
              <w:t xml:space="preserve">4.2.2.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услугам этапов 1 - 3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_Toc28 \h</w:instrText>
              <w:fldChar w:fldCharType="separate"/>
              <w:t xml:space="preserve">32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29" w:anchor="_Toc29" w:history="1">
            <w:r>
              <w:rPr>
                <w:rFonts w:ascii="Times New Roman" w:hAnsi="Times New Roman" w:eastAsia="SimSun" w:cs="Lohit Devanagari"/>
              </w:rPr>
              <w:t xml:space="preserve">4.2.2.1.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поддержке Пользователей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_Toc29 \h</w:instrText>
              <w:fldChar w:fldCharType="separate"/>
              <w:t xml:space="preserve">34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0" w:anchor="_Toc30" w:history="1">
            <w:r>
              <w:rPr>
                <w:rFonts w:ascii="Times New Roman" w:hAnsi="Times New Roman" w:eastAsia="SimSun" w:cs="Lohit Devanagari"/>
              </w:rPr>
              <w:t xml:space="preserve">4.2.2.1.1.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Консультирование </w:t>
            </w:r>
            <w:r>
              <w:rPr>
                <w:rStyle w:val="1518"/>
                <w:rFonts w:cs="Times New Roman"/>
              </w:rPr>
              <w:t xml:space="preserve">Пользователей/Заказчика/ Функционального заказчика</w:t>
            </w:r>
            <w:r>
              <w:rPr>
                <w:rStyle w:val="1518"/>
              </w:rPr>
              <w:t xml:space="preserve"> по вопросам использования и эксплуатации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_Toc30 \h</w:instrText>
              <w:fldChar w:fldCharType="separate"/>
              <w:t xml:space="preserve">35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1" w:anchor="_Toc31" w:history="1">
            <w:r>
              <w:rPr>
                <w:rFonts w:ascii="Times New Roman" w:hAnsi="Times New Roman" w:eastAsia="SimSun" w:cs="Lohit Devanagari"/>
              </w:rPr>
              <w:t xml:space="preserve">4.2.2.1.2.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Настройка конфигурации Системы по запросу Пользователей/Заказчика/Функционального заказчика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_Toc31 \h</w:instrText>
              <w:fldChar w:fldCharType="separate"/>
              <w:t xml:space="preserve">35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2" w:anchor="_Toc32" w:history="1">
            <w:r>
              <w:rPr>
                <w:rFonts w:ascii="Times New Roman" w:hAnsi="Times New Roman" w:eastAsia="SimSun" w:cs="Lohit Devanagari"/>
              </w:rPr>
              <w:t xml:space="preserve">4.2.2.1.3.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Настройка прав доступа по запросу </w:t>
            </w:r>
            <w:r>
              <w:rPr>
                <w:rStyle w:val="1518"/>
              </w:rPr>
              <w:t xml:space="preserve">Заказчика/</w:t>
            </w:r>
            <w:r>
              <w:rPr>
                <w:rStyle w:val="1518"/>
              </w:rPr>
              <w:t xml:space="preserve">Функционального заказчика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_Toc32 \h</w:instrText>
              <w:fldChar w:fldCharType="separate"/>
              <w:t xml:space="preserve">36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3" w:anchor="_Toc33" w:history="1">
            <w:r>
              <w:rPr>
                <w:rFonts w:ascii="Times New Roman" w:hAnsi="Times New Roman" w:eastAsia="SimSun" w:cs="Lohit Devanagari"/>
              </w:rPr>
              <w:t xml:space="preserve">4.2.2.1.4.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Формирование выборок на основании данных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_Toc33 \h</w:instrText>
              <w:fldChar w:fldCharType="separate"/>
              <w:t xml:space="preserve">36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4" w:anchor="_Toc34" w:history="1">
            <w:r>
              <w:rPr>
                <w:rFonts w:ascii="Times New Roman" w:hAnsi="Times New Roman" w:eastAsia="SimSun" w:cs="Lohit Devanagari"/>
              </w:rPr>
              <w:t xml:space="preserve">4.2.2.2.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решению инцидентов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_Toc34 \h</w:instrText>
              <w:fldChar w:fldCharType="separate"/>
              <w:t xml:space="preserve">37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5" w:anchor="_Toc35" w:history="1">
            <w:r>
              <w:rPr>
                <w:rFonts w:ascii="Times New Roman" w:hAnsi="Times New Roman" w:eastAsia="SimSun" w:cs="Lohit Devanagari"/>
              </w:rPr>
              <w:t xml:space="preserve">4.2.2.3.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мониторингу и обеспечению доступности и работоспособности (производительности) Системы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_Toc35 \h</w:instrText>
              <w:fldChar w:fldCharType="separate"/>
              <w:t xml:space="preserve">38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6" w:anchor="_Toc36" w:history="1">
            <w:r>
              <w:rPr>
                <w:rFonts w:ascii="Times New Roman" w:hAnsi="Times New Roman" w:eastAsia="SimSun" w:cs="Lohit Devanagari"/>
              </w:rPr>
              <w:t xml:space="preserve">4.2.2.4.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регламентному обслуживанию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_Toc36 \h</w:instrText>
              <w:fldChar w:fldCharType="separate"/>
              <w:t xml:space="preserve">39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7" w:anchor="_Toc37" w:history="1">
            <w:r>
              <w:rPr>
                <w:rFonts w:ascii="Times New Roman" w:hAnsi="Times New Roman" w:eastAsia="SimSun" w:cs="Lohit Devanagari"/>
              </w:rPr>
              <w:t xml:space="preserve">4.2.2.4.1.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обеспечению резервного копирования Системы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_Toc37 \h</w:instrText>
              <w:fldChar w:fldCharType="separate"/>
              <w:t xml:space="preserve">40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8" w:anchor="_Toc38" w:history="1">
            <w:r>
              <w:rPr>
                <w:rFonts w:ascii="Times New Roman" w:hAnsi="Times New Roman" w:eastAsia="SimSun" w:cs="Lohit Devanagari"/>
              </w:rPr>
              <w:t xml:space="preserve">4.2.2.4.2.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контрольному восстановлению </w:t>
            </w:r>
            <w:r>
              <w:rPr>
                <w:rStyle w:val="1518"/>
              </w:rPr>
              <w:t xml:space="preserve">виртуальных машин </w:t>
            </w:r>
            <w:r>
              <w:rPr>
                <w:rStyle w:val="1518"/>
              </w:rPr>
              <w:t xml:space="preserve">Системы из резервной копии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_Toc38 \h</w:instrText>
              <w:fldChar w:fldCharType="separate"/>
              <w:t xml:space="preserve">41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39" w:anchor="_Toc39" w:history="1">
            <w:r>
              <w:rPr>
                <w:rFonts w:ascii="Times New Roman" w:hAnsi="Times New Roman" w:eastAsia="SimSun" w:cs="Lohit Devanagari"/>
              </w:rPr>
              <w:t xml:space="preserve">4.2.2.4.3.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нагрузочному тестированию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_Toc39 \h</w:instrText>
              <w:fldChar w:fldCharType="separate"/>
              <w:t xml:space="preserve">41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40" w:anchor="_Toc40" w:history="1">
            <w:r>
              <w:rPr>
                <w:rFonts w:ascii="Times New Roman" w:hAnsi="Times New Roman" w:eastAsia="SimSun" w:cs="Lohit Devanagari"/>
              </w:rPr>
              <w:t xml:space="preserve">4.2.2.5.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обеспечению обновления Системы и устранению уязвимостей Системы по запросу Заказчика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_Toc40 \h</w:instrText>
              <w:fldChar w:fldCharType="separate"/>
              <w:t xml:space="preserve">42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41" w:anchor="_Toc41" w:history="1">
            <w:r>
              <w:rPr>
                <w:rFonts w:ascii="Times New Roman" w:hAnsi="Times New Roman" w:eastAsia="SimSun" w:cs="Lohit Devanagari"/>
              </w:rPr>
              <w:t xml:space="preserve">4.2.2.5.1.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услуге по обеспечению обновления Системы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_Toc41 \h</w:instrText>
              <w:fldChar w:fldCharType="separate"/>
              <w:t xml:space="preserve">42</w:t>
              <w:fldChar w:fldCharType="end"/>
            </w:r>
          </w:hyperlink>
          <w:r/>
          <w:r/>
        </w:p>
        <w:p>
          <w:pPr>
            <w:pStyle w:val="1515"/>
            <w:tabs>
              <w:tab w:val="left" w:pos="1134" w:leader="none"/>
              <w:tab w:val="right" w:pos="9488" w:leader="none"/>
            </w:tabs>
          </w:pPr>
          <w:r/>
          <w:hyperlink w:tooltip="#_Toc42" w:anchor="_Toc42" w:history="1">
            <w:r>
              <w:rPr>
                <w:rFonts w:ascii="Times New Roman" w:hAnsi="Times New Roman" w:eastAsia="SimSun" w:cs="Lohit Devanagari"/>
              </w:rPr>
              <w:t xml:space="preserve">4.2.2.5.2.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Устранение уязвимостей Системы по запросу Заказчика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_Toc42 \h</w:instrText>
              <w:fldChar w:fldCharType="separate"/>
              <w:t xml:space="preserve">43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43" w:anchor="_Toc43" w:history="1">
            <w:r>
              <w:rPr>
                <w:rFonts w:ascii="Times New Roman" w:hAnsi="Times New Roman" w:eastAsia="SimSun" w:cs="Lohit Devanagari"/>
              </w:rPr>
              <w:t xml:space="preserve">5.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Подготовительные мероприятия и этапы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_Toc43 \h</w:instrText>
              <w:fldChar w:fldCharType="separate"/>
              <w:t xml:space="preserve">45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44" w:anchor="_Toc44" w:history="1">
            <w:r>
              <w:rPr>
                <w:rFonts w:ascii="Times New Roman" w:hAnsi="Times New Roman" w:eastAsia="SimSun" w:cs="Lohit Devanagari"/>
              </w:rPr>
              <w:t xml:space="preserve">5.1.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Подготовительные мероприятия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_Toc44 \h</w:instrText>
              <w:fldChar w:fldCharType="separate"/>
              <w:t xml:space="preserve">45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45" w:anchor="_Toc45" w:history="1">
            <w:r>
              <w:rPr>
                <w:rFonts w:ascii="Times New Roman" w:hAnsi="Times New Roman" w:eastAsia="SimSun" w:cs="Lohit Devanagari"/>
              </w:rPr>
              <w:t xml:space="preserve">5.2.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Этапы оказания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_Toc45 \h</w:instrText>
              <w:fldChar w:fldCharType="separate"/>
              <w:t xml:space="preserve">46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46" w:anchor="_Toc46" w:history="1">
            <w:r>
              <w:rPr>
                <w:rFonts w:ascii="Times New Roman" w:hAnsi="Times New Roman" w:eastAsia="SimSun" w:cs="Lohit Devanagari"/>
              </w:rPr>
              <w:t xml:space="preserve">6.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Порядок контроля и приёмки оказанных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_Toc46 \h</w:instrText>
              <w:fldChar w:fldCharType="separate"/>
              <w:t xml:space="preserve">49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47" w:anchor="_Toc47" w:history="1">
            <w:r>
              <w:rPr>
                <w:rFonts w:ascii="Times New Roman" w:hAnsi="Times New Roman" w:eastAsia="SimSun" w:cs="Lohit Devanagari"/>
              </w:rPr>
              <w:t xml:space="preserve">6.1.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Требования к приёмке результатов оказания услуг 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_Toc47 \h</w:instrText>
              <w:fldChar w:fldCharType="separate"/>
              <w:t xml:space="preserve">49</w:t>
              <w:fldChar w:fldCharType="end"/>
            </w:r>
          </w:hyperlink>
          <w:r/>
          <w:r/>
        </w:p>
        <w:p>
          <w:pPr>
            <w:pStyle w:val="1515"/>
            <w:tabs>
              <w:tab w:val="left" w:pos="850" w:leader="none"/>
              <w:tab w:val="right" w:pos="9488" w:leader="none"/>
            </w:tabs>
          </w:pPr>
          <w:r/>
          <w:hyperlink w:tooltip="#_Toc48" w:anchor="_Toc48" w:history="1">
            <w:r>
              <w:rPr>
                <w:rFonts w:ascii="Times New Roman" w:hAnsi="Times New Roman" w:eastAsia="SimSun" w:cs="Lohit Devanagari"/>
              </w:rPr>
              <w:t xml:space="preserve">6.2.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Порядок организации дополнительного контроля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_Toc48 \h</w:instrText>
              <w:fldChar w:fldCharType="separate"/>
              <w:t xml:space="preserve">50</w:t>
              <w:fldChar w:fldCharType="end"/>
            </w:r>
          </w:hyperlink>
          <w:r/>
          <w:r/>
        </w:p>
        <w:p>
          <w:pPr>
            <w:pStyle w:val="1515"/>
            <w:tabs>
              <w:tab w:val="left" w:pos="567" w:leader="none"/>
              <w:tab w:val="right" w:pos="9488" w:leader="none"/>
            </w:tabs>
          </w:pPr>
          <w:r/>
          <w:hyperlink w:tooltip="#_Toc49" w:anchor="_Toc49" w:history="1">
            <w:r>
              <w:rPr>
                <w:rFonts w:ascii="Times New Roman" w:hAnsi="Times New Roman" w:eastAsia="SimSun" w:cs="Lohit Devanagari"/>
              </w:rPr>
              <w:t xml:space="preserve">7.</w:t>
            </w:r>
            <w:r>
              <w:tab/>
            </w:r>
            <w:r>
              <w:rPr>
                <w:rStyle w:val="1518"/>
              </w:rPr>
            </w:r>
            <w:r>
              <w:rPr>
                <w:rStyle w:val="1518"/>
              </w:rPr>
              <w:t xml:space="preserve">Методика оценки качества оказанных услуг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_Toc49 \h</w:instrText>
              <w:fldChar w:fldCharType="separate"/>
              <w:t xml:space="preserve">51</w:t>
              <w:fldChar w:fldCharType="end"/>
            </w:r>
          </w:hyperlink>
          <w:r/>
          <w:r/>
        </w:p>
        <w:p>
          <w:pPr>
            <w:pStyle w:val="1515"/>
            <w:tabs>
              <w:tab w:val="right" w:pos="9488" w:leader="none"/>
            </w:tabs>
          </w:pPr>
          <w:r/>
          <w:hyperlink w:tooltip="#_Toc50" w:anchor="_Toc50" w:history="1">
            <w:r>
              <w:rPr>
                <w:rStyle w:val="1518"/>
              </w:rPr>
            </w:r>
            <w:r>
              <w:rPr>
                <w:rStyle w:val="1518"/>
              </w:rPr>
              <w:t xml:space="preserve">Приложение </w:t>
            </w:r>
            <w:r>
              <w:rPr>
                <w:rStyle w:val="1518"/>
              </w:rPr>
              <w:t xml:space="preserve">А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_Toc50 \h</w:instrText>
              <w:fldChar w:fldCharType="separate"/>
              <w:t xml:space="preserve">54</w:t>
              <w:fldChar w:fldCharType="end"/>
            </w:r>
          </w:hyperlink>
          <w:r/>
          <w:r/>
        </w:p>
        <w:p>
          <w:pPr>
            <w:pStyle w:val="1515"/>
            <w:tabs>
              <w:tab w:val="right" w:pos="9488" w:leader="none"/>
            </w:tabs>
          </w:pPr>
          <w:r/>
          <w:hyperlink w:tooltip="#_Toc51" w:anchor="_Toc51" w:history="1">
            <w:r>
              <w:rPr>
                <w:rStyle w:val="1518"/>
              </w:rPr>
            </w:r>
            <w:r>
              <w:rPr>
                <w:rStyle w:val="1518"/>
              </w:rPr>
              <w:t xml:space="preserve">Приложение </w:t>
            </w:r>
            <w:r>
              <w:rPr>
                <w:rStyle w:val="1518"/>
              </w:rPr>
              <w:t xml:space="preserve">Б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_Toc51 \h</w:instrText>
              <w:fldChar w:fldCharType="separate"/>
              <w:t xml:space="preserve">58</w:t>
              <w:fldChar w:fldCharType="end"/>
            </w:r>
          </w:hyperlink>
          <w:r/>
          <w:r/>
        </w:p>
        <w:p>
          <w:pPr>
            <w:pStyle w:val="1515"/>
            <w:tabs>
              <w:tab w:val="right" w:pos="9488" w:leader="none"/>
            </w:tabs>
          </w:pPr>
          <w:r/>
          <w:hyperlink w:tooltip="#_Toc52" w:anchor="_Toc52" w:history="1">
            <w:r>
              <w:rPr>
                <w:rStyle w:val="1518"/>
              </w:rPr>
            </w:r>
            <w:r>
              <w:rPr>
                <w:rStyle w:val="1518"/>
              </w:rPr>
              <w:t xml:space="preserve">Приложение </w:t>
            </w:r>
            <w:r>
              <w:rPr>
                <w:rStyle w:val="1518"/>
              </w:rPr>
              <w:t xml:space="preserve">В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_Toc52 \h</w:instrText>
              <w:fldChar w:fldCharType="separate"/>
              <w:t xml:space="preserve">70</w:t>
              <w:fldChar w:fldCharType="end"/>
            </w:r>
          </w:hyperlink>
          <w:r/>
          <w:r/>
        </w:p>
        <w:p>
          <w:pPr>
            <w:pStyle w:val="1515"/>
            <w:tabs>
              <w:tab w:val="right" w:pos="9488" w:leader="none"/>
            </w:tabs>
          </w:pPr>
          <w:r/>
          <w:hyperlink w:tooltip="#_Toc53" w:anchor="_Toc53" w:history="1">
            <w:r>
              <w:rPr>
                <w:rStyle w:val="1518"/>
              </w:rPr>
            </w:r>
            <w:r>
              <w:rPr>
                <w:rStyle w:val="1518"/>
              </w:rPr>
              <w:t xml:space="preserve">Приложение Г</w:t>
            </w:r>
            <w:r>
              <w:rPr>
                <w:rStyle w:val="1518"/>
              </w:rPr>
            </w:r>
            <w:r>
              <w:tab/>
            </w:r>
            <w:r>
              <w:fldChar w:fldCharType="begin"/>
              <w:instrText xml:space="preserve">PAGEREF _Toc53 \h</w:instrText>
              <w:fldChar w:fldCharType="separate"/>
              <w:t xml:space="preserve">72</w:t>
              <w:fldChar w:fldCharType="end"/>
            </w:r>
          </w:hyperlink>
          <w:r/>
          <w:r/>
        </w:p>
        <w:p>
          <w:pPr>
            <w:pStyle w:val="1499"/>
            <w:ind w:firstLine="0"/>
            <w:jc w:val="left"/>
            <w:spacing w:after="100" w:line="259" w:lineRule="auto"/>
            <w:tabs>
              <w:tab w:val="right" w:pos="9488" w:leader="none"/>
            </w:tabs>
            <w:rPr>
              <w:rFonts w:ascii="Calibri" w:hAnsi="Calibri" w:eastAsia="Calibri" w:cs="Calibri"/>
              <w:color w:val="000000"/>
              <w:sz w:val="22"/>
              <w:szCs w:val="22"/>
            </w:rPr>
          </w:pPr>
          <w:r>
            <w:rPr>
              <w:rFonts w:eastAsia="Cambria"/>
              <w:color w:val="000000"/>
            </w:rPr>
          </w:r>
          <w:r>
            <w:rPr>
              <w:rFonts w:eastAsia="Cambria"/>
              <w:color w:val="000000"/>
            </w:rPr>
            <w:fldChar w:fldCharType="end"/>
          </w:r>
          <w:r>
            <w:rPr>
              <w:rFonts w:ascii="Calibri" w:hAnsi="Calibri" w:eastAsia="Calibri" w:cs="Calibri"/>
              <w:color w:val="000000"/>
              <w:sz w:val="22"/>
              <w:szCs w:val="22"/>
            </w:rPr>
          </w:r>
          <w:r>
            <w:rPr>
              <w:rFonts w:ascii="Calibri" w:hAnsi="Calibri" w:eastAsia="Calibri" w:cs="Calibri"/>
              <w:color w:val="000000"/>
              <w:sz w:val="22"/>
              <w:szCs w:val="22"/>
            </w:rPr>
          </w:r>
        </w:p>
      </w:sdtContent>
    </w:sdt>
    <w:p>
      <w:pPr>
        <w:pStyle w:val="1499"/>
        <w:rPr>
          <w:b/>
          <w:color w:val="272727"/>
          <w:sz w:val="32"/>
          <w:szCs w:val="32"/>
        </w:rPr>
      </w:pPr>
      <w:r>
        <w:br w:type="page" w:clear="all"/>
      </w:r>
      <w:r>
        <w:rPr>
          <w:b/>
          <w:color w:val="272727"/>
          <w:sz w:val="32"/>
          <w:szCs w:val="32"/>
        </w:rPr>
      </w:r>
      <w:r>
        <w:rPr>
          <w:b/>
          <w:color w:val="272727"/>
          <w:sz w:val="32"/>
          <w:szCs w:val="32"/>
        </w:rPr>
      </w:r>
    </w:p>
    <w:p>
      <w:pPr>
        <w:pStyle w:val="1599"/>
        <w:numPr>
          <w:ilvl w:val="0"/>
          <w:numId w:val="41"/>
        </w:numPr>
      </w:pPr>
      <w:r/>
      <w:bookmarkStart w:id="244" w:name="_Toc1"/>
      <w:r>
        <w:t xml:space="preserve">Общие сведения</w:t>
      </w:r>
      <w:bookmarkEnd w:id="244"/>
      <w:r/>
      <w:r/>
    </w:p>
    <w:p>
      <w:pPr>
        <w:pStyle w:val="1603"/>
      </w:pPr>
      <w:r/>
      <w:bookmarkStart w:id="245" w:name="_Toc2"/>
      <w:r>
        <w:t xml:space="preserve">Полное наименование Системы и её условное обозначение</w:t>
      </w:r>
      <w:bookmarkEnd w:id="245"/>
      <w:r/>
      <w:r/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Полное наименование Системы: Государственная информационная система «Единая платформа сайтов органов власти Пермского края» (далее – </w:t>
      </w:r>
      <w:r>
        <w:rPr>
          <w:rFonts w:eastAsia="Times New Roman" w:cs="Times New Roman"/>
        </w:rPr>
        <w:t xml:space="preserve">ЕПС ПК, </w:t>
      </w:r>
      <w:r>
        <w:rPr>
          <w:color w:val="000000"/>
        </w:rPr>
        <w:t xml:space="preserve">Система).</w:t>
      </w:r>
      <w:r>
        <w:rPr>
          <w:color w:val="000000"/>
        </w:rPr>
      </w:r>
      <w:r>
        <w:rPr>
          <w:color w:val="000000"/>
        </w:rPr>
      </w:r>
    </w:p>
    <w:p>
      <w:pPr>
        <w:pStyle w:val="1603"/>
      </w:pPr>
      <w:r/>
      <w:bookmarkStart w:id="246" w:name="_Toc3"/>
      <w:r>
        <w:t xml:space="preserve">Предмет Контракта</w:t>
      </w:r>
      <w:bookmarkEnd w:id="246"/>
      <w:r/>
      <w:r/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Полное наименование услуг: Оказание услуг по сопровождению и эксплуатации государственной информационной системы «Единая платформа сайтов органов власти Пермского края».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/>
      <w:bookmarkStart w:id="3" w:name="_37m2jsg"/>
      <w:r/>
      <w:bookmarkEnd w:id="3"/>
      <w:r>
        <w:rPr>
          <w:color w:val="000000"/>
        </w:rPr>
        <w:t xml:space="preserve">Краткое наименование услуг: Оказание услуг по сопровождению и эксплуатации ЕПС ПК (далее – оказание услуг).</w:t>
      </w:r>
      <w:r>
        <w:rPr>
          <w:color w:val="000000"/>
        </w:rPr>
      </w:r>
      <w:r>
        <w:rPr>
          <w:color w:val="000000"/>
        </w:rPr>
      </w:r>
    </w:p>
    <w:p>
      <w:pPr>
        <w:pStyle w:val="1505"/>
        <w:ind w:firstLine="720"/>
        <w:jc w:val="both"/>
      </w:pPr>
      <w:r>
        <w:t xml:space="preserve">Предмет Контракта в соответствии с общероссийским классификатором продукции по видам экономической деятельности представлен в таблице ниже (Таблица 1, Таблица 2).</w:t>
      </w:r>
      <w:r/>
    </w:p>
    <w:p>
      <w:pPr>
        <w:pStyle w:val="1546"/>
      </w:pPr>
      <w:r>
        <w:t xml:space="preserve">Таблица 1 – Предмет Контракта в соответствии с общероссийским классификатором продукции по видам экономической деятельности</w:t>
      </w:r>
      <w:r/>
    </w:p>
    <w:tbl>
      <w:tblPr>
        <w:tblW w:w="962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264"/>
        <w:gridCol w:w="6804"/>
      </w:tblGrid>
      <w:tr>
        <w:tblPrEx/>
        <w:trPr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1" w:type="dxa"/>
            <w:vAlign w:val="center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264" w:type="dxa"/>
            <w:vAlign w:val="center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ОКПД2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6804" w:type="dxa"/>
            <w:vAlign w:val="center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62.03.12.130 Услуги по сопровождению компьютерных систем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1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2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26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Единица измерения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680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Условная единица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1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3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26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680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</w:t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</w:tr>
    </w:tbl>
    <w:p>
      <w:pPr>
        <w:pStyle w:val="1546"/>
        <w:spacing w:before="240"/>
      </w:pPr>
      <w:r>
        <w:t xml:space="preserve">Таблица 2 – Сведения о характеристиках услуги</w:t>
      </w:r>
      <w:r/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708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  <w:t xml:space="preserve">№ п/п</w:t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8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  <w:t xml:space="preserve">Наименование</w:t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708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  <w:t xml:space="preserve">Значение</w:t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  <w:r>
              <w:rPr>
                <w:rFonts w:ascii="Times New Roman" w:hAnsi="Times New Roman" w:eastAsia="Symbol" w:cs="Symbol"/>
                <w:b/>
                <w:bCs/>
                <w:lang w:eastAsia="en-US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2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eastAsia="Symbol" w:cs="Symbol"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lang w:eastAsia="en-US" w:bidi="ar-SA"/>
              </w:rPr>
              <w:t xml:space="preserve">1</w:t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85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eastAsia="Symbol" w:cs="Symbol"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lang w:eastAsia="en-US" w:bidi="ar-SA"/>
              </w:rPr>
              <w:t xml:space="preserve">Режим работы</w:t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7087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eastAsia="Symbol" w:cs="Symbol"/>
                <w:lang w:eastAsia="en-US" w:bidi="ar-SA"/>
              </w:rPr>
            </w:pPr>
            <w:r>
              <w:rPr>
                <w:rFonts w:ascii="Times New Roman" w:hAnsi="Times New Roman" w:eastAsia="Symbol" w:cs="Symbol"/>
                <w:lang w:eastAsia="en-US" w:bidi="ar-SA"/>
              </w:rPr>
              <w:t xml:space="preserve">Круглосуточно (24х7)</w:t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  <w:r>
              <w:rPr>
                <w:rFonts w:ascii="Times New Roman" w:hAnsi="Times New Roman" w:eastAsia="Symbol" w:cs="Symbol"/>
                <w:lang w:eastAsia="en-US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62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szCs w:val="24"/>
              </w:rPr>
            </w:pPr>
            <w:r>
              <w:rPr>
                <w:szCs w:val="24"/>
              </w:rPr>
              <w:t xml:space="preserve">2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85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Вид услуги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7087" w:type="dxa"/>
            <w:textDirection w:val="lrTb"/>
            <w:noWrap w:val="false"/>
          </w:tcPr>
          <w:p>
            <w:pPr>
              <w:pStyle w:val="1505"/>
              <w:jc w:val="both"/>
              <w:spacing w:before="40" w:after="40" w:line="240" w:lineRule="auto"/>
              <w:rPr>
                <w:highlight w:val="none"/>
              </w:rPr>
            </w:pPr>
            <w:r>
              <w:rPr>
                <w:szCs w:val="24"/>
              </w:rPr>
              <w:t xml:space="preserve">Сопровождение и эксплуатация государственной информационной системы «Единая платформа сайтов органов власти Пермского края»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505"/>
              <w:jc w:val="both"/>
              <w:spacing w:before="40" w:after="40" w:line="240" w:lineRule="auto"/>
            </w:pP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  <w:r/>
          </w:p>
        </w:tc>
      </w:tr>
    </w:tbl>
    <w:p>
      <w:pPr>
        <w:pStyle w:val="1603"/>
      </w:pPr>
      <w:r/>
      <w:bookmarkStart w:id="247" w:name="_Toc4"/>
      <w:r/>
      <w:bookmarkStart w:id="4" w:name="_1mrcu09"/>
      <w:r/>
      <w:bookmarkEnd w:id="4"/>
      <w:r>
        <w:t xml:space="preserve">Заказчик</w:t>
      </w:r>
      <w:bookmarkEnd w:id="247"/>
      <w:r/>
      <w:r/>
    </w:p>
    <w:p>
      <w:pPr>
        <w:pStyle w:val="1564"/>
        <w:rPr>
          <w:rFonts w:eastAsia="WenQuanYi Micro Hei" w:cs="Lohit Devanagari"/>
          <w:color w:val="000000"/>
          <w:sz w:val="24"/>
          <w:lang w:eastAsia="zh-CN" w:bidi="hi-IN"/>
        </w:rPr>
      </w:pP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Заказчик:</w:t>
      </w:r>
      <w:r>
        <w:rPr>
          <w:rFonts w:eastAsia="WenQuanYi Micro Hei" w:cs="Lohit Devanagari"/>
          <w:color w:val="000000"/>
          <w:sz w:val="24"/>
          <w:lang w:eastAsia="zh-CN" w:bidi="hi-IN"/>
        </w:rPr>
      </w:r>
      <w:r>
        <w:rPr>
          <w:rFonts w:eastAsia="WenQuanYi Micro Hei" w:cs="Lohit Devanagari"/>
          <w:color w:val="000000"/>
          <w:sz w:val="24"/>
          <w:lang w:eastAsia="zh-CN" w:bidi="hi-IN"/>
        </w:rPr>
      </w:r>
    </w:p>
    <w:p>
      <w:pPr>
        <w:pStyle w:val="1564"/>
        <w:rPr>
          <w:rFonts w:eastAsia="WenQuanYi Micro Hei" w:cs="Lohit Devanagari"/>
          <w:color w:val="000000"/>
          <w:sz w:val="24"/>
          <w:lang w:eastAsia="zh-CN" w:bidi="hi-IN"/>
        </w:rPr>
      </w:pP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Государственное бюджетное учреждение Пермского края «Центр информационного развития Пермского края».</w:t>
      </w:r>
      <w:r>
        <w:rPr>
          <w:rFonts w:eastAsia="WenQuanYi Micro Hei" w:cs="Lohit Devanagari"/>
          <w:color w:val="000000"/>
          <w:sz w:val="24"/>
          <w:lang w:eastAsia="zh-CN" w:bidi="hi-IN"/>
        </w:rPr>
      </w:r>
      <w:r>
        <w:rPr>
          <w:rFonts w:eastAsia="WenQuanYi Micro Hei" w:cs="Lohit Devanagari"/>
          <w:color w:val="000000"/>
          <w:sz w:val="24"/>
          <w:lang w:eastAsia="zh-CN" w:bidi="hi-IN"/>
        </w:rPr>
      </w:r>
    </w:p>
    <w:p>
      <w:pPr>
        <w:pStyle w:val="1564"/>
        <w:rPr>
          <w:rFonts w:eastAsia="WenQuanYi Micro Hei" w:cs="Lohit Devanagari"/>
          <w:color w:val="000000"/>
          <w:sz w:val="24"/>
          <w:lang w:eastAsia="zh-CN" w:bidi="hi-IN"/>
        </w:rPr>
      </w:pP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Место нахождения: 614000, г. Пермь, ул. Монастырская, д. 14, </w:t>
      </w: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каб</w:t>
      </w: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. 609.1.</w:t>
      </w:r>
      <w:r>
        <w:rPr>
          <w:rFonts w:eastAsia="WenQuanYi Micro Hei" w:cs="Lohit Devanagari"/>
          <w:color w:val="000000"/>
          <w:sz w:val="24"/>
          <w:lang w:eastAsia="zh-CN" w:bidi="hi-IN"/>
        </w:rPr>
      </w:r>
      <w:r>
        <w:rPr>
          <w:rFonts w:eastAsia="WenQuanYi Micro Hei" w:cs="Lohit Devanagari"/>
          <w:color w:val="000000"/>
          <w:sz w:val="24"/>
          <w:lang w:eastAsia="zh-CN" w:bidi="hi-IN"/>
        </w:rPr>
      </w:r>
    </w:p>
    <w:p>
      <w:pPr>
        <w:pStyle w:val="1564"/>
        <w:rPr>
          <w:rFonts w:eastAsia="WenQuanYi Micro Hei" w:cs="Lohit Devanagari"/>
          <w:color w:val="000000"/>
          <w:sz w:val="24"/>
          <w:lang w:eastAsia="zh-CN" w:bidi="hi-IN"/>
        </w:rPr>
      </w:pP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Почтовый адрес: 614000, г. Пермь, ул. Монастырская, д. 14, </w:t>
      </w: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каб</w:t>
      </w:r>
      <w:r>
        <w:rPr>
          <w:rFonts w:eastAsia="WenQuanYi Micro Hei" w:cs="Lohit Devanagari"/>
          <w:color w:val="000000"/>
          <w:sz w:val="24"/>
          <w:lang w:eastAsia="zh-CN" w:bidi="hi-IN"/>
        </w:rPr>
        <w:t xml:space="preserve">. 609.1.</w:t>
      </w:r>
      <w:r>
        <w:rPr>
          <w:rFonts w:eastAsia="WenQuanYi Micro Hei" w:cs="Lohit Devanagari"/>
          <w:color w:val="000000"/>
          <w:sz w:val="24"/>
          <w:lang w:eastAsia="zh-CN" w:bidi="hi-IN"/>
        </w:rPr>
      </w:r>
      <w:r>
        <w:rPr>
          <w:rFonts w:eastAsia="WenQuanYi Micro Hei" w:cs="Lohit Devanagari"/>
          <w:color w:val="000000"/>
          <w:sz w:val="24"/>
          <w:lang w:eastAsia="zh-CN" w:bidi="hi-IN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Функциональный заказчик: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Министерство информационного развития и связи Пермского края.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Место нахождения: 614000, г. Пермь, </w:t>
      </w:r>
      <w:r>
        <w:rPr>
          <w:color w:val="000000"/>
        </w:rPr>
        <w:t xml:space="preserve">ул</w:t>
      </w:r>
      <w:r>
        <w:rPr>
          <w:color w:val="000000"/>
        </w:rPr>
        <w:t xml:space="preserve">, Ленина, д. 66.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Почтовый адрес: 614000, г. Пермь, </w:t>
      </w:r>
      <w:r>
        <w:rPr>
          <w:color w:val="000000"/>
        </w:rPr>
        <w:t xml:space="preserve">ул</w:t>
      </w:r>
      <w:r>
        <w:rPr>
          <w:color w:val="000000"/>
        </w:rPr>
        <w:t xml:space="preserve">, Ленина, д. 66.</w:t>
      </w:r>
      <w:r>
        <w:rPr>
          <w:color w:val="000000"/>
        </w:rPr>
      </w:r>
      <w:r>
        <w:rPr>
          <w:color w:val="000000"/>
        </w:rPr>
      </w:r>
    </w:p>
    <w:p>
      <w:pPr>
        <w:pStyle w:val="1603"/>
      </w:pPr>
      <w:r/>
      <w:bookmarkStart w:id="248" w:name="_Toc5"/>
      <w:r/>
      <w:bookmarkStart w:id="6" w:name="_46r0co2"/>
      <w:r/>
      <w:bookmarkEnd w:id="6"/>
      <w:r>
        <w:t xml:space="preserve">Исполнитель</w:t>
      </w:r>
      <w:bookmarkEnd w:id="248"/>
      <w:r/>
      <w:r/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Определяется по результатам проведения конкурентной процедуры в соответствии с Федеральным законом от 5 апреля 2013 г. № 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color w:val="000000"/>
        </w:rPr>
      </w:r>
      <w:r>
        <w:rPr>
          <w:color w:val="000000"/>
        </w:rPr>
      </w:r>
    </w:p>
    <w:p>
      <w:pPr>
        <w:pStyle w:val="1564"/>
        <w:rPr>
          <w:sz w:val="24"/>
        </w:rPr>
      </w:pPr>
      <w:r>
        <w:rPr>
          <w:sz w:val="24"/>
        </w:rPr>
        <w:t xml:space="preserve">Исполнитель вправе привлечь к исполнению своих обязательств по Контракту других лиц – соисполнителей. При этом Исполнитель несёт ответственность перед Заказчиком за неисполнение или ненадлежащее исполнение обязательств привлечёнными соисполнителями. Оказан</w:t>
      </w:r>
      <w:r>
        <w:rPr>
          <w:sz w:val="24"/>
        </w:rPr>
        <w:t xml:space="preserve">ие услуг, требующих в соответствии с законодательством РФ наличие прав использования результатов интеллектуальной деятельности третьих лиц, должно осуществляться только при наличии у лица, оказывающего услуги, указанных прав. Привлечение соисполнителей не </w:t>
      </w:r>
      <w:r>
        <w:rPr>
          <w:sz w:val="24"/>
        </w:rPr>
        <w:t xml:space="preserve">влечёт изменение цены Контракта и/или объёмов услуг по Контракту.</w:t>
      </w:r>
      <w:r>
        <w:rPr>
          <w:sz w:val="24"/>
        </w:rPr>
      </w:r>
      <w:r>
        <w:rPr>
          <w:sz w:val="24"/>
        </w:rPr>
      </w:r>
    </w:p>
    <w:p>
      <w:pPr>
        <w:pStyle w:val="1603"/>
      </w:pPr>
      <w:r/>
      <w:bookmarkStart w:id="249" w:name="_Toc6"/>
      <w:r/>
      <w:bookmarkStart w:id="8" w:name="_2lwamvv"/>
      <w:r/>
      <w:bookmarkEnd w:id="8"/>
      <w:r>
        <w:t xml:space="preserve">Сроки и место оказания услуг</w:t>
      </w:r>
      <w:bookmarkEnd w:id="249"/>
      <w:r/>
      <w:r/>
    </w:p>
    <w:p>
      <w:pPr>
        <w:pStyle w:val="1499"/>
        <w:ind w:firstLine="720"/>
        <w:spacing w:before="120" w:line="360" w:lineRule="auto"/>
        <w:rPr>
          <w:color w:val="000000"/>
        </w:rPr>
      </w:pPr>
      <w:r>
        <w:rPr>
          <w:color w:val="000000"/>
        </w:rPr>
        <w:t xml:space="preserve">Сроки оказания услуг указаны в разделе 5 настоящего Технического задания (далее – ТЗ).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720"/>
        <w:spacing w:line="360" w:lineRule="auto"/>
        <w:rPr>
          <w:color w:val="000000"/>
        </w:rPr>
      </w:pPr>
      <w:r>
        <w:rPr>
          <w:color w:val="000000"/>
        </w:rPr>
        <w:t xml:space="preserve">Место оказания услуг – по месту нахождения Исполнителя.</w:t>
      </w:r>
      <w:r>
        <w:rPr>
          <w:color w:val="000000"/>
        </w:rPr>
      </w:r>
      <w:r>
        <w:rPr>
          <w:color w:val="000000"/>
        </w:rPr>
      </w:r>
    </w:p>
    <w:p>
      <w:pPr>
        <w:pStyle w:val="1603"/>
      </w:pPr>
      <w:r/>
      <w:bookmarkStart w:id="250" w:name="_Toc7"/>
      <w:r>
        <w:t xml:space="preserve">Сведения об источниках финансирования услуг</w:t>
      </w:r>
      <w:bookmarkEnd w:id="250"/>
      <w:r/>
      <w:r/>
    </w:p>
    <w:p>
      <w:pPr>
        <w:pStyle w:val="1505"/>
        <w:ind w:firstLine="720"/>
        <w:jc w:val="both"/>
      </w:pPr>
      <w:r>
        <w:rPr>
          <w:szCs w:val="26"/>
        </w:rPr>
        <w:t xml:space="preserve">Источником финансирования услуг является субсидия на выполнение государственного (муниципального) задания.</w:t>
      </w:r>
      <w:r/>
    </w:p>
    <w:p>
      <w:pPr>
        <w:pStyle w:val="1505"/>
        <w:ind w:firstLine="720"/>
        <w:jc w:val="both"/>
      </w:pPr>
      <w:r>
        <w:rPr>
          <w:szCs w:val="26"/>
        </w:rPr>
        <w:t xml:space="preserve">Порядок финансирования определяется условиями Контракта.</w:t>
      </w:r>
      <w:r/>
    </w:p>
    <w:p>
      <w:pPr>
        <w:pStyle w:val="1603"/>
        <w:jc w:val="both"/>
      </w:pPr>
      <w:r/>
      <w:bookmarkStart w:id="251" w:name="_Toc8"/>
      <w:r/>
      <w:bookmarkStart w:id="11" w:name="_111kx3o"/>
      <w:r/>
      <w:bookmarkEnd w:id="11"/>
      <w:r>
        <w:t xml:space="preserve">Перечень документов, методических материалов, регламентирующих сопровождение и эксплуатацию Системы</w:t>
      </w:r>
      <w:bookmarkEnd w:id="251"/>
      <w:r/>
      <w:r/>
    </w:p>
    <w:p>
      <w:pPr>
        <w:pStyle w:val="1505"/>
        <w:ind w:firstLine="851"/>
        <w:jc w:val="both"/>
        <w:rPr>
          <w:szCs w:val="26"/>
        </w:rPr>
      </w:pPr>
      <w:r>
        <w:rPr>
          <w:szCs w:val="26"/>
        </w:rPr>
        <w:t xml:space="preserve">Оказываемые услуги должны отвечать требованиям нормативных правовых актов, а также соответствующих государственных стандартов, в том числе, но не ограничиваясь:</w:t>
      </w:r>
      <w:r>
        <w:rPr>
          <w:szCs w:val="26"/>
        </w:rPr>
      </w:r>
      <w:r>
        <w:rPr>
          <w:szCs w:val="26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</w:rPr>
      </w:pPr>
      <w:r>
        <w:rPr>
          <w:color w:val="000000"/>
          <w:highlight w:val="white"/>
        </w:rPr>
        <w:t xml:space="preserve">Федеральный закон от 27 июля 2006 г. № 149-ФЗ «Об информации, </w:t>
      </w:r>
      <w:r>
        <w:rPr>
          <w:color w:val="000000"/>
        </w:rPr>
        <w:t xml:space="preserve">информационных технологиях и о защите информации»;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</w:pPr>
      <w:r>
        <w:rPr>
          <w:szCs w:val="26"/>
        </w:rPr>
        <w:t xml:space="preserve">Федеральный закон от 27 июля 2006 г. № 152-ФЗ «О персональных данных»;</w:t>
      </w:r>
      <w:r/>
    </w:p>
    <w:p>
      <w:pPr>
        <w:pStyle w:val="1541"/>
        <w:numPr>
          <w:ilvl w:val="0"/>
          <w:numId w:val="68"/>
        </w:numPr>
        <w:ind w:left="850" w:hanging="425"/>
      </w:pPr>
      <w:r>
        <w:t xml:space="preserve">Федеральный закон от 6 апреля 2011 г. № 63-ФЗ «Об электронной подписи»;</w:t>
      </w:r>
      <w:r/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Федеральный закон от 9 февраля 2009 г. №  8-ФЗ «Об обеспечении доступа к информации о деятельности государственных органов и органов местного самоуправления»;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Федеральный закон от 27 июля 2010 г. № 210-ФЗ «Об организации предоставления государственных и муниципальных услуг»;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Указ Президента Российской Федерации от 9 мая 2017 г. № 203 «О стратегии развития информационного общества в Российской Федерации на 2017</w:t>
      </w:r>
      <w:r>
        <w:rPr>
          <w:color w:val="000000"/>
          <w:highlight w:val="white"/>
        </w:rPr>
        <w:noBreakHyphen/>
        <w:t xml:space="preserve">2030 годы»;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</w:t>
      </w:r>
      <w:bookmarkStart w:id="13" w:name="_Hlk119399817"/>
      <w:r>
        <w:rPr>
          <w:color w:val="000000"/>
          <w:highlight w:val="white"/>
        </w:rPr>
        <w:t xml:space="preserve">Указ Президента Российской Федерации от 7 мая 2024 г. № 309 «О национальных целях развития Российской Федерации на период до 2030 года и на перспективу до 2036 года»;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Постановление Правительства РФ от 01 ноября 2012 № 1119 «Об утверждении требований к защите персональных данных при их обработке в информационных системах персональных данных»;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/>
      <w:bookmarkStart w:id="14" w:name="_Hlk119496087"/>
      <w:r/>
      <w:bookmarkEnd w:id="13"/>
      <w:r>
        <w:rPr>
          <w:color w:val="000000"/>
          <w:highlight w:val="white"/>
        </w:rPr>
        <w:t xml:space="preserve">Постановление Правительства Российской Федерации от 15 апреля 2014 г. № 313 «Об утверждении государственной программы Российской Федерации «Информационное общество»;</w:t>
      </w:r>
      <w:bookmarkEnd w:id="14"/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</w:t>
      </w:r>
      <w:bookmarkStart w:id="15" w:name="_Hlk119496108"/>
      <w:r>
        <w:rPr>
          <w:color w:val="000000"/>
          <w:highlight w:val="none"/>
        </w:rPr>
        <w:t xml:space="preserve">Постановление Главного государственного санитарного врача РФ от 02.06.2026 г. № 15 «</w:t>
      </w:r>
      <w:r>
        <w:rPr>
          <w:color w:val="000000"/>
          <w:highlight w:val="none"/>
        </w:rPr>
        <w:t xml:space="preserve">Об утверждении санитарных правил СП 2.2.4285-26 «Санитарно-эпидемиологические требования к условиям труда</w:t>
      </w:r>
      <w:r>
        <w:rPr>
          <w:color w:val="000000"/>
          <w:highlight w:val="none"/>
        </w:rPr>
        <w:t xml:space="preserve">»»;</w:t>
      </w:r>
      <w:r>
        <w:rPr>
          <w:color w:val="000000"/>
          <w:highlight w:val="non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</w:pPr>
      <w:r>
        <w:rPr>
          <w:color w:val="000000"/>
        </w:rPr>
        <w:t xml:space="preserve"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  <w:r/>
    </w:p>
    <w:p>
      <w:pPr>
        <w:pStyle w:val="1499"/>
        <w:numPr>
          <w:ilvl w:val="0"/>
          <w:numId w:val="37"/>
        </w:numPr>
        <w:ind w:left="850" w:hanging="425"/>
        <w:spacing w:line="360" w:lineRule="auto"/>
      </w:pPr>
      <w:r>
        <w:rPr>
          <w:color w:val="000000"/>
        </w:rPr>
        <w:t xml:space="preserve">П</w:t>
      </w:r>
      <w:r>
        <w:rPr>
          <w:color w:val="000000"/>
        </w:rPr>
        <w:t xml:space="preserve">риказ ФС</w:t>
      </w:r>
      <w:r>
        <w:rPr>
          <w:color w:val="000000"/>
        </w:rPr>
        <w:t xml:space="preserve">ТЭК России от 11.04.2025 N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учреждений»;</w:t>
      </w:r>
      <w:r/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Закон Пермского края от 25 декабря 2009 г. № 569-ПК «Об управлении и распоряжении интеллектуальной собственностью Пермского края»;</w:t>
      </w:r>
      <w:bookmarkEnd w:id="15"/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Указ Губернатора Пермского края от 11 апреля 2017 г. № 53 «О централизации функций в сфере региональной информатизации и использования информационно-коммуникационных технологий в Пермском крае»;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Постановление Правительства Пермского края от 25.09.2013 г. № 1270-п «Об утверждении государственной программы Пермского края «Развитие информационного общества»;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</w:rPr>
      </w:pPr>
      <w:r>
        <w:rPr>
          <w:color w:val="000000"/>
        </w:rPr>
        <w:t xml:space="preserve">Постановление Правительства Пермского края от 03 февраля 2014 г. № 56-п «Об обеспечении предоставления государственных и муниципальных услуг (исполнения функций) в электронной форме на территории Пермского края»;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ИСО/МЭК 14764-2002 «Информационная технология. Сопровождение программных средств» (принят и введен в действие Постановлением Госстандарта Российской Федерации от 25 июня 2002 г. № 248-ст);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59853-2021 «Информационные технологии. Комплекс стандартов на автоматизированные системы. Автоматизированные системы. Термины и определения» (принят и введен в действие приказом Росстандарта от 19 ноября 2021 г. № 1520-ст);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34</w:t>
      </w:r>
      <w:r>
        <w:rPr>
          <w:color w:val="000000"/>
          <w:highlight w:val="white"/>
        </w:rPr>
        <w:t xml:space="preserve">.201-2020 «Информационные технологии. Комплекс стандартов на автоматизированные системы. Виды, комплектность и обозначения документов при создании автоматизированных систем» (принят и введен в действие приказом Росстандарта от 19 ноября 2021 г. № 1521-ст);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 (принят и введен в действие приказом Росстандарта от 19 ноября 2021 г. № 1522-ст);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59792-2021 «Информационные технологии. Комплекс стандартов на автоматизированные системы. Виды испытаний автоматизированных систем» (принят и введен в действие Приказом Росстандарта от 25 октября 2021 г. </w:t>
      </w:r>
      <w:r>
        <w:rPr>
          <w:color w:val="000000"/>
          <w:highlight w:val="white"/>
        </w:rPr>
        <w:br/>
        <w:t xml:space="preserve">№</w:t>
      </w:r>
      <w:r>
        <w:rPr>
          <w:color w:val="000000"/>
          <w:highlight w:val="white"/>
          <w:lang w:val="en-US"/>
        </w:rPr>
        <w:t xml:space="preserve"> </w:t>
      </w:r>
      <w:r>
        <w:rPr>
          <w:color w:val="000000"/>
          <w:highlight w:val="white"/>
        </w:rPr>
        <w:t xml:space="preserve">1284-ст);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 (принят и введен в действие Приказом Росстандарта от 25  октября 2021 г. № 1297-ст);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2.105-2019 «Единая система конструкторской документации. Общие требования к текстовым документам» (принят и введен в действие Приказом Росстандарта от 29 апреля 2019 г. № 175-ст);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ГОСТ Р 57100-2025 «Системная и программная инженерия. Описание архитектуры» (</w:t>
      </w:r>
      <w:r>
        <w:rPr>
          <w:color w:val="000000"/>
          <w:highlight w:val="white"/>
        </w:rPr>
        <w:t xml:space="preserve">утвержден и введен в действие Приказом Федерального агентства по техническому регулированию и метрологии от 25 марта 2025 г. № 215-ст);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иные нормативные правовые акты, методические документы, положения которых учитываются при оказании услуг в рамках настоящего ТЗ.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499"/>
        <w:spacing w:line="360" w:lineRule="auto"/>
      </w:pPr>
      <w:r>
        <w:rPr>
          <w:szCs w:val="26"/>
        </w:rPr>
        <w:t xml:space="preserve">В случае внесения изменений, признания утратившими силу норматив</w:t>
      </w:r>
      <w:r>
        <w:rPr>
          <w:szCs w:val="26"/>
        </w:rPr>
        <w:t xml:space="preserve">ных правовых актов, предусмотренных настоящим разделом, положения указанных актов применяются с даты вступления в</w:t>
      </w:r>
      <w:r>
        <w:rPr>
          <w:szCs w:val="26"/>
        </w:rPr>
        <w:t xml:space="preserve"> силу указанных документов и распространяются на оказание услуг по Контракту. Положения нормативных правовых актов, принятых взамен признанных утратившими силу документов, предусмотренных настоящим разделом, распространяются на оказание услуг по Контракту.</w:t>
      </w:r>
      <w:r/>
    </w:p>
    <w:p>
      <w:pPr>
        <w:pStyle w:val="1603"/>
        <w:jc w:val="both"/>
      </w:pPr>
      <w:r/>
      <w:bookmarkStart w:id="252" w:name="_Toc9"/>
      <w:r/>
      <w:bookmarkStart w:id="16" w:name="_3l18frh"/>
      <w:r/>
      <w:bookmarkEnd w:id="16"/>
      <w:r>
        <w:t xml:space="preserve">Порядок оформления и предъявления Заказчику результатов оказания услуг</w:t>
      </w:r>
      <w:bookmarkEnd w:id="252"/>
      <w:r/>
      <w:r/>
    </w:p>
    <w:p>
      <w:pPr>
        <w:pStyle w:val="1499"/>
        <w:ind w:firstLine="850"/>
        <w:spacing w:line="360" w:lineRule="auto"/>
        <w:rPr>
          <w:color w:val="000000"/>
        </w:rPr>
      </w:pPr>
      <w:r>
        <w:rPr>
          <w:color w:val="000000"/>
        </w:rPr>
        <w:t xml:space="preserve">Сдача-приёмка Заказчику результатов оказания услуг производится в порядке, определённом Контрактом, заключаемым по результатам конкурентной процедуры, и в соответствии с требованиями к срокам начала и окончания оказания услуг, установленными в ТЗ.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850"/>
        <w:spacing w:line="360" w:lineRule="auto"/>
        <w:rPr>
          <w:color w:val="000000"/>
        </w:rPr>
      </w:pPr>
      <w:r>
        <w:rPr>
          <w:color w:val="000000"/>
        </w:rPr>
        <w:t xml:space="preserve">Документация по подготовке к оказанию услуг (далее – Подготовительные мероприятия), указанная в пункте 5.1 ТЗ, передаётся на машинном носителе (CD|DVD с</w:t>
      </w:r>
      <w:r>
        <w:rPr>
          <w:color w:val="000000"/>
          <w:highlight w:val="white"/>
        </w:rPr>
        <w:t xml:space="preserve"> </w:t>
      </w:r>
      <w:r>
        <w:rPr>
          <w:color w:val="000000"/>
        </w:rPr>
        <w:t xml:space="preserve">однократной записью), в формате, позволяющем осуществить их просмотр средствами </w:t>
      </w:r>
      <w:r>
        <w:rPr>
          <w:color w:val="000000"/>
        </w:rPr>
        <w:t xml:space="preserve">OpenOffice</w:t>
      </w:r>
      <w:r>
        <w:rPr>
          <w:color w:val="000000"/>
        </w:rPr>
        <w:t xml:space="preserve">, или в ином формате по согласованию с Заказчиком. Протокол проверки результатов Подготовительных мероприятий передаётся Заказчику в бумажном виде в 2-х экземплярах с оформлением сопроводительного документа Исполнителя.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850"/>
        <w:spacing w:line="360" w:lineRule="auto"/>
        <w:rPr>
          <w:color w:val="000000"/>
        </w:rPr>
      </w:pPr>
      <w:r>
        <w:rPr>
          <w:color w:val="000000" w:themeColor="text1"/>
        </w:rPr>
        <w:t xml:space="preserve">Отчётная документация, </w:t>
      </w:r>
      <w:r>
        <w:rPr>
          <w:szCs w:val="26"/>
        </w:rPr>
        <w:t xml:space="preserve">перечисленная в пункте 5.2 ТЗ, </w:t>
      </w:r>
      <w:r>
        <w:t xml:space="preserve">за исключением документа о приёмке,</w:t>
      </w:r>
      <w:r>
        <w:rPr>
          <w:color w:val="000000" w:themeColor="text1"/>
        </w:rPr>
        <w:t xml:space="preserve"> передаётся на машинном носителе (CD|DVD с однократной записью) в формате, позволяющем осуществить их просмотр средствами </w:t>
      </w:r>
      <w:r>
        <w:rPr>
          <w:color w:val="000000" w:themeColor="text1"/>
        </w:rPr>
        <w:t xml:space="preserve">OpenOffice</w:t>
      </w:r>
      <w:r>
        <w:rPr>
          <w:color w:val="000000" w:themeColor="text1"/>
        </w:rPr>
        <w:t xml:space="preserve">. Отчёт об уровне оказания услуг формируется в формате электронных таблиц. Лист утверждения к документу «Описание архитектуры Системы» передаётся Заказчику в бумажном виде в 2-х экземплярах с оформлением сопроводительного документа Исполнителя.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850"/>
        <w:spacing w:line="360" w:lineRule="auto"/>
        <w:rPr>
          <w:color w:val="000000"/>
        </w:rPr>
      </w:pPr>
      <w:r>
        <w:rPr>
          <w:color w:val="000000"/>
        </w:rPr>
        <w:t xml:space="preserve">Акт передачи доступов (Приложени</w:t>
      </w:r>
      <w:r>
        <w:rPr>
          <w:color w:val="000000"/>
        </w:rPr>
        <w:t xml:space="preserve">е Г к настоящему ТЗ) предоставляется Исполнителем Заказчику любым способом по усмотрению Заказчика за 5 рабочих дней до </w:t>
      </w:r>
      <w:r>
        <w:rPr>
          <w:color w:val="000000"/>
        </w:rPr>
        <w:t xml:space="preserve">окончания последнего этапа (или в случае расторжения Контракта). С момента передачи атрибутов Заказчику Исполнитель не вправе их менять.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850"/>
        <w:spacing w:line="360" w:lineRule="auto"/>
        <w:rPr>
          <w:color w:val="000000"/>
        </w:rPr>
      </w:pPr>
      <w:r>
        <w:rPr>
          <w:color w:val="000000"/>
        </w:rPr>
        <w:t xml:space="preserve">Шаблон документа «Отчёт об</w:t>
      </w:r>
      <w:r>
        <w:rPr>
          <w:color w:val="000000"/>
        </w:rPr>
        <w:t xml:space="preserve"> уровне оказания услуг» может быть актуализирован путём добавления дополнительной информации, необходимой для более полного отражения результатов Исполнителя, в течение каждого этапа оказания услуг и закреплён в документе «Единый регламент оказания услуг».</w:t>
      </w:r>
      <w:r>
        <w:rPr>
          <w:color w:val="000000"/>
        </w:rPr>
      </w:r>
      <w:r>
        <w:rPr>
          <w:color w:val="000000"/>
        </w:rPr>
      </w:r>
    </w:p>
    <w:p>
      <w:pPr>
        <w:ind w:firstLine="850"/>
        <w:jc w:val="both"/>
        <w:spacing w:line="360" w:lineRule="auto"/>
      </w:pPr>
      <w:r>
        <w:t xml:space="preserve">В случае актуализации документа «Описание архитектуры» лист утверждения к </w:t>
      </w:r>
      <w:r>
        <w:rPr>
          <w:color w:val="000000"/>
          <w:highlight w:val="white"/>
        </w:rPr>
        <w:t xml:space="preserve"> </w:t>
      </w:r>
      <w:r>
        <w:t xml:space="preserve">нему передается Заказчику в бумажном виде в 2-х экземплярах с оформлением сопроводительного документа Исполнителя.</w:t>
      </w:r>
      <w:r/>
    </w:p>
    <w:p>
      <w:pPr>
        <w:ind w:firstLine="850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/>
      <w:bookmarkStart w:id="18" w:name="_206ipza"/>
      <w:r/>
      <w:bookmarkEnd w:id="18"/>
      <w:r>
        <w:rPr>
          <w:rFonts w:eastAsia="WenQuanYi Micro Hei" w:cs="Lohit Devanagari"/>
          <w:color w:val="000000"/>
          <w:lang w:eastAsia="zh-CN" w:bidi="hi-IN"/>
        </w:rPr>
        <w:t xml:space="preserve">Отчётная документация и материалы за этап передаются Заказчику с сопроводительными документами Исполнителя в соответствии с условиями Контракта.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0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В установленный Контрактом срок Исполнитель с использованием е</w:t>
      </w:r>
      <w:r>
        <w:rPr>
          <w:rFonts w:eastAsia="WenQuanYi Micro Hei" w:cs="Lohit Devanagari"/>
          <w:color w:val="000000"/>
          <w:lang w:eastAsia="zh-CN" w:bidi="hi-IN"/>
        </w:rPr>
        <w:t xml:space="preserve">диной информационной системы в сфере закупок формирует,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приёмке в соответствии с требованиями части 13 </w:t>
      </w:r>
      <w:r>
        <w:rPr>
          <w:color w:val="000000"/>
          <w:highlight w:val="white"/>
        </w:rPr>
        <w:t xml:space="preserve"> </w:t>
      </w:r>
      <w:r>
        <w:rPr>
          <w:rFonts w:eastAsia="WenQuanYi Micro Hei" w:cs="Lohit Devanagari"/>
          <w:color w:val="000000"/>
          <w:lang w:eastAsia="zh-CN" w:bidi="hi-IN"/>
        </w:rPr>
        <w:t xml:space="preserve">статьи 94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0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/>
      <w:bookmarkStart w:id="19" w:name="_Hlk119401532"/>
      <w:r>
        <w:rPr>
          <w:rFonts w:eastAsia="WenQuanYi Micro Hei" w:cs="Lohit Devanagari"/>
          <w:color w:val="000000"/>
          <w:lang w:eastAsia="zh-CN" w:bidi="hi-IN"/>
        </w:rPr>
        <w:t xml:space="preserve">Заказчик производит проверку результатов оказания услуг и представленной отчётной документации в порядке, предусмотренном Контрактом и ТЗ.</w:t>
      </w:r>
      <w:bookmarkStart w:id="20" w:name="__RefHeading___Toc12179_3536650295"/>
      <w:r/>
      <w:bookmarkStart w:id="21" w:name="_Hlk113978611"/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pStyle w:val="1603"/>
        <w:numPr>
          <w:ilvl w:val="2"/>
          <w:numId w:val="40"/>
        </w:numPr>
        <w:tabs>
          <w:tab w:val="left" w:pos="1560" w:leader="none"/>
        </w:tabs>
      </w:pPr>
      <w:r/>
      <w:bookmarkStart w:id="253" w:name="_Toc10"/>
      <w:r>
        <w:t xml:space="preserve">Порядок внесения изменений и дополнений</w:t>
      </w:r>
      <w:bookmarkEnd w:id="20"/>
      <w:r/>
      <w:bookmarkEnd w:id="253"/>
      <w:r/>
      <w:r/>
    </w:p>
    <w:p>
      <w:pPr>
        <w:pStyle w:val="1567"/>
        <w:rPr>
          <w:rFonts w:eastAsia="WenQuanYi Micro Hei" w:cs="Lohit Devanagari"/>
          <w:color w:val="000000"/>
          <w:lang w:eastAsia="zh-CN" w:bidi="hi-IN"/>
        </w:rPr>
      </w:pPr>
      <w:r/>
      <w:bookmarkStart w:id="23" w:name="_Hlk119401615"/>
      <w:r>
        <w:rPr>
          <w:rFonts w:eastAsia="WenQuanYi Micro Hei" w:cs="Lohit Devanagari"/>
          <w:color w:val="000000"/>
          <w:lang w:eastAsia="zh-CN" w:bidi="hi-IN"/>
        </w:rPr>
        <w:t xml:space="preserve">При выявлении случаев нецелесообразности или невозможности реализации требований настоящего ТЗ Исполнитель должен предложить, согласовать с Заказчиком и реализовать другое более эффективно</w:t>
      </w:r>
      <w:r>
        <w:rPr>
          <w:rFonts w:eastAsia="WenQuanYi Micro Hei" w:cs="Lohit Devanagari"/>
          <w:color w:val="000000"/>
          <w:lang w:eastAsia="zh-CN" w:bidi="hi-IN"/>
        </w:rPr>
        <w:t xml:space="preserve">е решение, а также отразить этот факт в отчётной документации. При этом предлагаемое решение не должно противоречить основным требованиям данного ТЗ и приводить к существенному изменению объёма услуг и иных существенных условий, предусмотренных Контрактом.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pStyle w:val="1603"/>
      </w:pPr>
      <w:r/>
      <w:bookmarkStart w:id="254" w:name="_Toc11"/>
      <w:r/>
      <w:bookmarkEnd w:id="19"/>
      <w:r/>
      <w:bookmarkEnd w:id="21"/>
      <w:r/>
      <w:bookmarkEnd w:id="23"/>
      <w:r>
        <w:t xml:space="preserve">Перечень терминов, сокращений и обозначений</w:t>
      </w:r>
      <w:bookmarkEnd w:id="254"/>
      <w:r/>
      <w:r/>
    </w:p>
    <w:p>
      <w:pPr>
        <w:pStyle w:val="1567"/>
        <w:rPr>
          <w:rFonts w:eastAsia="WenQuanYi Micro Hei" w:cs="Lohit Devanagari"/>
          <w:color w:val="000000"/>
          <w:highlight w:val="none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Перечень используемых в настоящем документе терминов, сокращений и обозначений приведён в таблице ниже (Таблица 3).</w:t>
      </w:r>
      <w:r>
        <w:rPr>
          <w:rFonts w:eastAsia="WenQuanYi Micro Hei" w:cs="Lohit Devanagari"/>
          <w:color w:val="000000"/>
          <w:highlight w:val="none"/>
          <w:lang w:eastAsia="zh-CN" w:bidi="hi-IN"/>
        </w:rPr>
      </w:r>
      <w:r>
        <w:rPr>
          <w:rFonts w:eastAsia="WenQuanYi Micro Hei" w:cs="Lohit Devanagari"/>
          <w:color w:val="000000"/>
          <w:highlight w:val="none"/>
          <w:lang w:eastAsia="zh-CN" w:bidi="hi-IN"/>
        </w:rPr>
      </w:r>
    </w:p>
    <w:p>
      <w:pPr>
        <w:shd w:val="nil" w:color="auto"/>
        <w:rPr>
          <w:rFonts w:eastAsia="WenQuanYi Micro Hei" w:cs="Lohit Devanagari"/>
          <w:color w:val="000000"/>
          <w:highlight w:val="none"/>
          <w:lang w:eastAsia="zh-CN" w:bidi="hi-IN"/>
        </w:rPr>
      </w:pPr>
      <w:r>
        <w:rPr>
          <w:rFonts w:eastAsia="WenQuanYi Micro Hei" w:cs="Lohit Devanagari"/>
          <w:color w:val="000000"/>
          <w:highlight w:val="none"/>
          <w:lang w:eastAsia="zh-CN" w:bidi="hi-IN"/>
        </w:rPr>
        <w:br w:type="page" w:clear="all"/>
      </w:r>
      <w:r>
        <w:rPr>
          <w:rFonts w:eastAsia="WenQuanYi Micro Hei" w:cs="Lohit Devanagari"/>
          <w:color w:val="000000"/>
          <w:highlight w:val="none"/>
          <w:lang w:eastAsia="zh-CN" w:bidi="hi-IN"/>
        </w:rPr>
      </w:r>
      <w:r>
        <w:rPr>
          <w:rFonts w:eastAsia="WenQuanYi Micro Hei" w:cs="Lohit Devanagari"/>
          <w:color w:val="000000"/>
          <w:highlight w:val="none"/>
          <w:lang w:eastAsia="zh-CN" w:bidi="hi-IN"/>
        </w:rPr>
      </w:r>
    </w:p>
    <w:p>
      <w:pPr>
        <w:pStyle w:val="1546"/>
      </w:pPr>
      <w:r>
        <w:t xml:space="preserve">Таблица 3 – Перечень терминов, сокращений и обозначений </w:t>
      </w:r>
      <w:r/>
    </w:p>
    <w:tbl>
      <w:tblPr>
        <w:tblStyle w:val="1508"/>
        <w:tblW w:w="9488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2263"/>
        <w:gridCol w:w="7225"/>
      </w:tblGrid>
      <w:tr>
        <w:tblPrEx/>
        <w:trPr>
          <w:trHeight w:val="521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Термин, сокращение, обозначение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Определение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API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Программный интерфейс приложения, обеспечивающий взаимодействие между информационными системами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</w:rPr>
              <w:t xml:space="preserve">CD, DVD</w:t>
            </w:r>
            <w:r>
              <w:rPr>
                <w:rFonts w:eastAsia="Times New Roman" w:cs="Times New Roman"/>
                <w:lang w:val="en-US"/>
              </w:rPr>
            </w:r>
            <w:r>
              <w:rPr>
                <w:rFonts w:eastAsia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Оптический носитель информации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</w:rPr>
              <w:t xml:space="preserve">CentOS</w:t>
            </w:r>
            <w:r>
              <w:rPr>
                <w:rFonts w:eastAsia="Times New Roman" w:cs="Times New Roman"/>
                <w:lang w:val="en-US"/>
              </w:rPr>
            </w:r>
            <w:r>
              <w:rPr>
                <w:rFonts w:eastAsia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Дистрибутив Linux, основанный на коммерческом дистрибутиве Red Hat Enterprise Linux компании Red Hat</w:t>
            </w:r>
            <w:r>
              <w:rPr>
                <w:rFonts w:cs="Times New Roman"/>
                <w:color w:val="0000ff"/>
              </w:rPr>
              <w:t xml:space="preserve"> </w:t>
            </w:r>
            <w:r>
              <w:rPr>
                <w:rFonts w:eastAsia="Times New Roman" w:cs="Times New Roman"/>
              </w:rPr>
              <w:t xml:space="preserve">и совместимый с ним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JavaScript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Мультипарадигменный</w:t>
            </w:r>
            <w:r>
              <w:rPr>
                <w:rFonts w:cs="Times New Roman"/>
              </w:rPr>
              <w:t xml:space="preserve"> язык программирования, который используется для создания интерактивных веб-страниц.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IP-адрес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Cs/>
              </w:rPr>
              <w:t xml:space="preserve">Уникальный числовой идентификатор устройства в компьютерной сети, работающей по протоколу IP</w:t>
            </w:r>
            <w:r>
              <w:rPr>
                <w:rFonts w:eastAsia="Times New Roman" w:cs="Times New Roman"/>
              </w:rPr>
              <w:t xml:space="preserve">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MySQL</w:t>
            </w:r>
            <w:r>
              <w:rPr>
                <w:rFonts w:cs="Times New Roman"/>
                <w:lang w:val="en-US"/>
              </w:rPr>
            </w:r>
            <w:r>
              <w:rPr>
                <w:rFonts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Свободная объектно-реляционная система управления базами данных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OpenOffice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Бесплатный офисный пакет, который позволяет выполнять задачи, связанные с созданием текстовых документов, таблиц, презентаций и баз данных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PHP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Язык программирования, который используется для создания динамических веб-страниц и веб-приложений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lang w:val="en-US"/>
              </w:rPr>
              <w:t xml:space="preserve">URL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eastAsia="Times New Roman" w:cs="Times New Roman"/>
              </w:rPr>
              <w:t xml:space="preserve">Uniform</w:t>
            </w:r>
            <w:r>
              <w:rPr>
                <w:rFonts w:eastAsia="Times New Roman" w:cs="Times New Roman"/>
              </w:rPr>
              <w:t xml:space="preserve"> Resource </w:t>
            </w:r>
            <w:r>
              <w:rPr>
                <w:rFonts w:eastAsia="Times New Roman" w:cs="Times New Roman"/>
              </w:rPr>
              <w:t xml:space="preserve">Locator</w:t>
            </w:r>
            <w:r>
              <w:rPr>
                <w:rFonts w:eastAsia="Times New Roman" w:cs="Times New Roman"/>
              </w:rPr>
              <w:t xml:space="preserve"> - унифицированный указатель ресурса.</w:t>
            </w:r>
            <w:r>
              <w:rPr>
                <w:rFonts w:cs="Times New Roman"/>
                <w:color w:val="202122"/>
              </w:rPr>
              <w:t xml:space="preserve"> </w:t>
            </w:r>
            <w:r>
              <w:rPr>
                <w:rFonts w:cs="Times New Roman"/>
              </w:rPr>
              <w:t xml:space="preserve">Система унифицированных адресов электронных ресурсов, или единообразный определитель местонахождения ресурса. Используется как стандарт записи ссылок на объекты в Интернете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 xml:space="preserve">VipNet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lang w:val="en-US"/>
              </w:rPr>
              <w:t xml:space="preserve">Client</w:t>
            </w:r>
            <w:r>
              <w:rPr>
                <w:rFonts w:eastAsia="Times New Roman" w:cs="Times New Roman"/>
                <w:lang w:val="en-US"/>
              </w:rPr>
            </w:r>
            <w:r>
              <w:rPr>
                <w:rFonts w:eastAsia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ViPNet Client это клиентская часть программно-аппаратного комплекса Средств Криптографической Защиты Информации ViPNet </w:t>
            </w:r>
            <w:r>
              <w:rPr>
                <w:rFonts w:eastAsia="Times New Roman" w:cs="Times New Roman"/>
              </w:rPr>
              <w:t xml:space="preserve">Coordinator</w:t>
            </w:r>
            <w:r>
              <w:rPr>
                <w:rFonts w:eastAsia="Times New Roman" w:cs="Times New Roman"/>
              </w:rPr>
              <w:t xml:space="preserve"> HW от компании </w:t>
            </w:r>
            <w:r>
              <w:rPr>
                <w:rFonts w:eastAsia="Times New Roman" w:cs="Times New Roman"/>
              </w:rPr>
              <w:t xml:space="preserve">Infotecs</w:t>
            </w:r>
            <w:r>
              <w:rPr>
                <w:rFonts w:eastAsia="Times New Roman" w:cs="Times New Roman"/>
              </w:rPr>
              <w:t xml:space="preserve">. Сертифицирован ФСТЭК и ФСБ России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«1С-Битрикс: Управление сайтом»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Комплексная система управления контентом, разработанная российской компанией «1С-Битрикс»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Администратор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Лицо, наделённое полными правами доступа к административному интерфейсу </w:t>
            </w:r>
            <w:r>
              <w:rPr>
                <w:rFonts w:eastAsia="Times New Roman" w:cs="Times New Roman"/>
                <w:lang w:val="en-US"/>
              </w:rPr>
              <w:t xml:space="preserve">C</w:t>
            </w:r>
            <w:r>
              <w:rPr>
                <w:rFonts w:eastAsia="Times New Roman" w:cs="Times New Roman"/>
              </w:rPr>
              <w:t xml:space="preserve">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r>
              <w:t xml:space="preserve">БД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</w:pPr>
            <w:r>
              <w:t xml:space="preserve">База данных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r>
              <w:t xml:space="preserve">Внешняя ИС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</w:pPr>
            <w:r>
              <w:t xml:space="preserve">Информационная система, взаимодействующая с Системой из-за пределов границ Системы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Время внеплановой недоступности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Период недоступности в соответствии с суммой временных интервалов, прошедших с момента возникновения недоступности, возникших в зоне ответственности Исполнителя (включая программные с</w:t>
            </w:r>
            <w:r>
              <w:rPr>
                <w:rFonts w:eastAsia="Times New Roman" w:cs="Times New Roman"/>
              </w:rPr>
              <w:t xml:space="preserve">бои, несогласованные обновления, ошибочные действия персонала), до момента, когда сбой/ошибка был(а) фактически устранена, а работоспособность/доступность Системы для пользователей восстановлена. Определяется в соответствии с режимом работы Системы за этап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ГОСТ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Государственный стандарт Российской Федерации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Единый регламент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Единый регламент оказания услуг включает в себя комплект регламентирующих и инструктивных документов и разделов по услугам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cantSplit/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ЕПС ПК, Система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Государственная информационная система «Единая платформа сайтов органов власти Пермского края»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  <w:t xml:space="preserve">ЕСПХ</w:t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Подсистема </w:t>
            </w:r>
            <w:r>
              <w:rPr>
                <w:rFonts w:cs="Times New Roman"/>
                <w:highlight w:val="white"/>
              </w:rPr>
              <w:t xml:space="preserve">Единого сервиса подписания и хранения документов в электронном виде Централизованной системы хранения электронных документов, обеспечивающей долговременное хранение массивов электронных документов в неизменном состоянии в Пермском крае</w:t>
            </w:r>
            <w:r>
              <w:rPr>
                <w:rFonts w:cs="Times New Roman"/>
                <w:highlight w:val="white"/>
              </w:rPr>
            </w:r>
            <w:r>
              <w:rPr>
                <w:rFonts w:cs="Times New Roman"/>
                <w:highlight w:val="white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Заказчик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Государственное бюджетное учреждение Пермского края «Центр информационного развития Пермского края»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ЗНИ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Запрос на изменение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Интерфейс</w:t>
            </w:r>
            <w:r>
              <w:rPr>
                <w:rFonts w:cs="Times New Roman"/>
                <w:lang w:val="en-US"/>
              </w:rPr>
            </w:r>
            <w:r>
              <w:rPr>
                <w:rFonts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Совокупность возможностей, способов и методов взаимодействия двух систем, устройств или программ для обмена информацией между ними, определённая их характеристиками, характеристиками соединения, сигналов обмена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Информационный</w:t>
            </w:r>
            <w:r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  <w:lang w:val="en-US"/>
              </w:rPr>
              <w:t xml:space="preserve">блок</w:t>
            </w:r>
            <w:r>
              <w:rPr>
                <w:rFonts w:cs="Times New Roman"/>
                <w:lang w:val="en-US"/>
              </w:rPr>
              <w:t xml:space="preserve"> (</w:t>
            </w:r>
            <w:r>
              <w:rPr>
                <w:rFonts w:cs="Times New Roman"/>
              </w:rPr>
              <w:t xml:space="preserve">И</w:t>
            </w:r>
            <w:r>
              <w:rPr>
                <w:rFonts w:cs="Times New Roman"/>
                <w:lang w:val="en-US"/>
              </w:rPr>
              <w:t xml:space="preserve">нфоблок</w:t>
            </w:r>
            <w:r>
              <w:rPr>
                <w:rFonts w:cs="Times New Roman"/>
                <w:lang w:val="en-US"/>
              </w:rPr>
              <w:t xml:space="preserve">)</w:t>
            </w:r>
            <w:r>
              <w:rPr>
                <w:rFonts w:cs="Times New Roman"/>
                <w:lang w:val="en-US"/>
              </w:rPr>
            </w:r>
            <w:r>
              <w:rPr>
                <w:rFonts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Модуль, позволяющий каталогизировать и управлять различными типами (блоками) однородной информации. С помощью информационных блоков может быть реализована публикация различных типов динамической информации: блоки новостей, справочники и т.д.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Инфраструктурный мониторинг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Мониторинг систем хранения данных, серверных мощностей, сетевых устройств, операционных систем и прочих инфраструктурных компонентов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Инцидент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Событие в работе Системы, зарегистрированное по факту возникновения нештатной ситуации в Системе, которая привела или может привести к неработоспособности Системы в целом или отдельных ее подсистем, модулей, функций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Исполнитель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Лицо, определённое по результатам конкурентной процедуры в соответствии с Федеральным законом от 5 апреля 2013 г. № 44-ФЗ «О контрактной системе в сфере закупок товаров, работ, услуг для обеспечения государственных и муниципальных нужд».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Ключевой функционал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color w:val="000000" w:themeColor="text1"/>
              </w:rPr>
              <w:t xml:space="preserve">Ключевые (критические) функции Системы, обеспечивающие выполнение основных задач в соответствии с назначением Системы </w:t>
            </w:r>
            <w:r>
              <w:rPr>
                <w:rStyle w:val="1587"/>
                <w:color w:val="000000" w:themeColor="text1"/>
              </w:rPr>
              <w:footnoteReference w:id="2"/>
            </w:r>
            <w:r>
              <w:rPr>
                <w:rStyle w:val="1587"/>
                <w:color w:val="000000" w:themeColor="text1"/>
              </w:rPr>
              <w:t xml:space="preserve">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  <w:color w:val="000000"/>
              </w:rPr>
              <w:t xml:space="preserve">Контент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Style w:val="1549"/>
                <w:rFonts w:cs="Times New Roman"/>
                <w:b w:val="0"/>
                <w:bCs w:val="0"/>
              </w:rPr>
              <w:t xml:space="preserve">Это наполнение веб-страниц сайта, совокупность</w:t>
            </w:r>
            <w:r>
              <w:rPr>
                <w:rStyle w:val="1549"/>
                <w:rFonts w:cs="Times New Roman"/>
              </w:rPr>
              <w:t xml:space="preserve"> </w:t>
            </w:r>
            <w:r>
              <w:rPr>
                <w:rFonts w:cs="Times New Roman"/>
                <w:color w:val="000000"/>
                <w:shd w:val="clear" w:color="auto" w:fill="f7f7f7"/>
              </w:rPr>
              <w:t xml:space="preserve">определённых данных, информация, предназначенная для пользователей. Может быть абсолютно любой тематики и выражаться в разной форме. Под понятие «контент» подпадает все, что несёт в себе информацию. Это может быть текст, видео, аудио, </w:t>
            </w:r>
            <w:r>
              <w:rPr>
                <w:rFonts w:cs="Times New Roman"/>
              </w:rPr>
              <w:t xml:space="preserve">инфографика</w:t>
            </w:r>
            <w:r>
              <w:rPr>
                <w:rFonts w:cs="Times New Roman"/>
                <w:color w:val="000000"/>
                <w:shd w:val="clear" w:color="auto" w:fill="f7f7f7"/>
              </w:rPr>
              <w:t xml:space="preserve">, фотографии (или какие-то другие изображения).</w:t>
            </w:r>
            <w:r>
              <w:rPr>
                <w:rFonts w:cs="Times New Roman"/>
                <w:color w:val="000000"/>
                <w:shd w:val="clear" w:color="auto" w:fill="ffffff"/>
              </w:rPr>
              <w:t xml:space="preserve"> Контент – это совокупность всей информации, которая представлена на каком-то электронном ресурсе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  <w:color w:val="000000"/>
                <w:shd w:val="clear" w:color="auto" w:fill="f7f7f7"/>
              </w:rPr>
            </w:pPr>
            <w:r>
              <w:rPr>
                <w:rFonts w:cs="Times New Roman"/>
                <w:color w:val="000000"/>
                <w:shd w:val="clear" w:color="auto" w:fill="f7f7f7"/>
              </w:rPr>
              <w:t xml:space="preserve">Контракт</w:t>
            </w:r>
            <w:r>
              <w:rPr>
                <w:rFonts w:cs="Times New Roman"/>
                <w:color w:val="000000"/>
                <w:shd w:val="clear" w:color="auto" w:fill="f7f7f7"/>
              </w:rPr>
            </w:r>
            <w:r>
              <w:rPr>
                <w:rFonts w:cs="Times New Roman"/>
                <w:color w:val="000000"/>
                <w:shd w:val="clear" w:color="auto" w:fill="f7f7f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  <w:color w:val="000000"/>
                <w:shd w:val="clear" w:color="auto" w:fill="f7f7f7"/>
              </w:rPr>
            </w:pPr>
            <w:r>
              <w:rPr>
                <w:rFonts w:cs="Times New Roman"/>
                <w:color w:val="000000"/>
                <w:shd w:val="clear" w:color="auto" w:fill="f7f7f7"/>
              </w:rPr>
              <w:t xml:space="preserve">Гражданско-правовой договор на оказание услу</w:t>
            </w:r>
            <w:r>
              <w:rPr>
                <w:rFonts w:cs="Times New Roman"/>
                <w:color w:val="000000"/>
                <w:shd w:val="clear" w:color="auto" w:fill="f7f7f7"/>
              </w:rPr>
              <w:t xml:space="preserve">г по сопровождению и эксплуатации государственной информационной системы «Единая платформа сайтов органов власти Пермского края», заключённый по итогам проведения конкурентной процедуры в соответствии с Федеральным законом от 5 апреля 2013 г. № 44</w:t>
            </w:r>
            <w:r>
              <w:rPr>
                <w:rFonts w:cs="Times New Roman"/>
                <w:color w:val="000000"/>
                <w:shd w:val="clear" w:color="auto" w:fill="f7f7f7"/>
              </w:rPr>
              <w:noBreakHyphen/>
              <w:t xml:space="preserve">ФЗ «О контрактной </w:t>
            </w:r>
            <w:r>
              <w:rPr>
                <w:rFonts w:cs="Times New Roman"/>
                <w:color w:val="000000"/>
                <w:shd w:val="clear" w:color="auto" w:fill="f7f7f7"/>
              </w:rPr>
              <w:t xml:space="preserve">системе в сфере закупок товаров, работ, услуг для обеспечения государственных и муниципальных нужд»</w:t>
            </w:r>
            <w:r>
              <w:rPr>
                <w:rFonts w:cs="Times New Roman"/>
                <w:color w:val="000000"/>
                <w:shd w:val="clear" w:color="auto" w:fill="f7f7f7"/>
              </w:rPr>
            </w:r>
            <w:r>
              <w:rPr>
                <w:rFonts w:cs="Times New Roman"/>
                <w:color w:val="000000"/>
                <w:shd w:val="clear" w:color="auto" w:fill="f7f7f7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  <w:shd w:val="clear" w:color="auto" w:fill="f7f7f7"/>
              </w:rPr>
            </w:pPr>
            <w:r>
              <w:rPr>
                <w:rFonts w:cs="Times New Roman"/>
              </w:rPr>
              <w:t xml:space="preserve">Линия</w:t>
            </w:r>
            <w:r>
              <w:rPr>
                <w:rFonts w:cs="Times New Roman"/>
                <w:shd w:val="clear" w:color="auto" w:fill="f7f7f7"/>
              </w:rPr>
            </w:r>
            <w:r>
              <w:rPr>
                <w:rFonts w:cs="Times New Roman"/>
                <w:shd w:val="clear" w:color="auto" w:fill="f7f7f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  <w:shd w:val="clear" w:color="auto" w:fill="f7f7f7"/>
              </w:rPr>
            </w:pPr>
            <w:r>
              <w:rPr>
                <w:rFonts w:cs="Times New Roman"/>
              </w:rPr>
              <w:t xml:space="preserve">Элемент структуры службы технической поддержки Исполнителя или Заказчика</w:t>
            </w:r>
            <w:r>
              <w:rPr>
                <w:rFonts w:cs="Times New Roman"/>
                <w:shd w:val="clear" w:color="auto" w:fill="f7f7f7"/>
              </w:rPr>
            </w:r>
            <w:r>
              <w:rPr>
                <w:rFonts w:cs="Times New Roman"/>
                <w:shd w:val="clear" w:color="auto" w:fill="f7f7f7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Максимальное время единовременной внеплановой недоступности Системы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Максимальный период недоступности за этап в соответствии с суммой временных интервалов, прошедших с момента возникновения недоступности, возникших в</w:t>
            </w:r>
            <w:r>
              <w:rPr>
                <w:rFonts w:cs="Times New Roman"/>
              </w:rPr>
              <w:t xml:space="preserve"> зоне ответственности Исполнителя (включая программные сбои, ошибочные действия персонала), до момента, когда ошибка/сбой была фактически устранена, а доступность Системы для Пользователей восстановлена. Определяется в соответствии с режимом работы Системы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Маршрутизация обращения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Перевод обращения Пользователя с одной линии службы технической поддержки на другую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Матрица эскалации инцидентов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Набор пошаговых алгоритмов оповещения ответственных сотрудников Исполнителя и Заказчика об инцидентах, возникших в процессе оказания услуг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Метрика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Параметр, характеризующий состояние некоторого свойства программного или аппаратного обеспечения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Модуль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Обособленный блок кода Системы, имеющий определённую функциональность, который может использоваться другими модулями и/или подсистемами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Недоступность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Состояние Системы, при котором в Системе полностью нарушена работа ключевого функционала для Пользователей.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Нештатная ситуация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Событие в работе Системы, не предусмотренное проектной документацией для штатного режима функционирования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Обновление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tabs>
                <w:tab w:val="left" w:pos="1285" w:leader="none"/>
              </w:tabs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Комплекс мероприятий по установке полученного от Заказчика пакета обновления СПО Системы или согласованной с Заказчиком работы по обновлению компонентов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Обращение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tabs>
                <w:tab w:val="left" w:pos="1285" w:leader="none"/>
              </w:tabs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Любое зарегистрированное сообщение Пользователя/Заказчика, направленное на линию службы технической поддержки Исполнителя или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ОПО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Общее программное обеспечение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Основной (промышленный) контур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Функционально-логический программно-аппаратный комплекс, предназначенный для предоставления интерфейсов доступа к Системе для Пользователя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Общее (суммарное) время внеплановой недоступности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Сумма временных интервалов, прошедших с момента возникновения недоступности, возникши</w:t>
            </w:r>
            <w:r>
              <w:rPr>
                <w:rFonts w:cs="Times New Roman"/>
              </w:rPr>
              <w:t xml:space="preserve">х в зоне ответственности Исполнителя, до момента, когда ошибка/сбой была фактически устранена, а доступность Системы для Пользователей восстановлена (без учета недоступности по вине третьих лиц). Определяется в соответствии с режимом работы Системы за этап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Программное обеспечение, включающее специальное программное обеспечение (СПО) и общее программное обеспечение (ОПО)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Подготовительные мероприятия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Мероприятия по подготовке к оказанию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Пользователи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Пользователями Системы являются лица, имеющие доступ к административному интерфейсу Системы для добавления, </w:t>
            </w:r>
            <w:r>
              <w:rPr>
                <w:rFonts w:eastAsia="Times New Roman" w:cs="Times New Roman"/>
              </w:rPr>
              <w:t xml:space="preserve">редактирования, удаления информации: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numPr>
                <w:ilvl w:val="0"/>
                <w:numId w:val="58"/>
              </w:numPr>
              <w:ind w:left="283" w:hanging="283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руководители и сотрудники/государственные гражданские служащие исполнительных органов государственной власти Пермского края, подведомственных им организаций;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499"/>
              <w:numPr>
                <w:ilvl w:val="0"/>
                <w:numId w:val="58"/>
              </w:numPr>
              <w:ind w:left="283" w:hanging="283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руководители и сотрудники/государственные гражданские служащие Администрации губернатора Пермского края;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499"/>
              <w:numPr>
                <w:ilvl w:val="0"/>
                <w:numId w:val="58"/>
              </w:numPr>
              <w:ind w:left="283" w:hanging="283"/>
              <w:widowControl w:val="off"/>
              <w:rPr>
                <w:rFonts w:eastAsia="Times New Roman" w:cs="Times New Roman"/>
              </w:rPr>
            </w:pPr>
            <w:r>
              <w:t xml:space="preserve">сотрудники организаций, привлечённые к оказанию услуг или контролирующие процесс эксплуатации информационных систем Пермского края.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Рабочие дни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Календарные дни в соответствии с Трудовым кодексом, другими федеральными законами и иными нормативными правовыми актами Российской Федерации, относящиеся к рабочему времени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r>
              <w:t xml:space="preserve">РСАА ПК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</w:pPr>
            <w:r>
              <w:t xml:space="preserve">Региональный сервис аутентификации и авторизации сотрудников органов государственной власти и учреждений Пермского края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r>
              <w:t xml:space="preserve">РСААГ ПК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</w:pPr>
            <w:r>
              <w:t xml:space="preserve">Региональный сервис аутентификации и авторизации гражданина Пермского края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РФ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Российская Федерация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rPr>
                <w:lang w:eastAsia="zh-CN" w:bidi="hi-IN"/>
              </w:rPr>
            </w:pPr>
            <w:r>
              <w:rPr>
                <w:lang w:eastAsia="zh-CN" w:bidi="hi-IN"/>
              </w:rPr>
              <w:t xml:space="preserve">Сайт </w:t>
            </w:r>
            <w:r>
              <w:rPr>
                <w:lang w:eastAsia="zh-CN" w:bidi="hi-IN"/>
              </w:rPr>
            </w:r>
            <w:r>
              <w:rPr>
                <w:lang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  <w:rPr>
                <w:lang w:eastAsia="zh-CN" w:bidi="hi-IN"/>
              </w:rPr>
            </w:pPr>
            <w:r>
              <w:rPr>
                <w:lang w:eastAsia="zh-CN" w:bidi="hi-IN"/>
              </w:rPr>
              <w:t xml:space="preserve">Совокупность веб-ресурсов (веб-страниц), которые имеют уникальный адрес URL. Веб-страницы содержат информацию, текст, изображения, видео и другие мультимедийные элементы, доступные через интернет.</w:t>
            </w:r>
            <w:r>
              <w:rPr>
                <w:lang w:eastAsia="zh-CN" w:bidi="hi-IN"/>
              </w:rPr>
            </w:r>
            <w:r>
              <w:rPr>
                <w:lang w:eastAsia="zh-CN" w:bidi="hi-I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Смежная система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Система, с которой осуществляет взаимодействие Система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СПО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Специальное программное обеспечение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СТП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Служба технической поддержки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Стороны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Заказчик и Исполнитель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СУБД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Система управления базами данных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СУИ ПК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Система управления инцидентами Пермского края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Тестовый контур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Функционально-логический программно-аппаратный комплекс, предназначенный для проверки корректности функционирования предлагаемых к внесению изменений в функционал и информационную структуру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ТЗ, Техническое задание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Техническое задание на оказание услуг по сопровождению и эксплуатации государственной информационной системы «Единая платформа сайтов органов власти Пермского края»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Фактический срок обработки инцидента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Временной интервал, прошедший с момента регистрации инцидента системой мониторинга в СУИ ПК до момента, когда сбой/ошибка был(а) фактически устранена, работоспособность/доступность Системы восстановлена и по инциденту было предоставлено решение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cantSplit/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Фактический срок обработки обращения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Временной интервал, прошедший с момента маршрутизации обращения на Исполнителя в СУИ ПК до момента, когда по обращению было предоставлено решение, без учёта времени нахождения обращения на стороне Пользователя или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ФЗ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Федеральный закон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ФСТЭК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Федеральная служба по техническому и экспортному контролю Российской Федерации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Функциональный </w:t>
            </w:r>
            <w:r>
              <w:rPr>
                <w:rFonts w:eastAsia="Times New Roman" w:cs="Times New Roman"/>
              </w:rPr>
              <w:t xml:space="preserve">мониторинг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Мониторинг, при помощи которого воспроизводятся действия </w:t>
            </w:r>
            <w:r>
              <w:rPr>
                <w:rFonts w:eastAsia="Times New Roman" w:cs="Times New Roman"/>
              </w:rPr>
              <w:t xml:space="preserve">Пользователя либо действия различного программного обеспечения, осуществляются определённые операции и анализируются их результаты в соответствии с заранее выставленными пороговыми значениями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ЦОД ППК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Центр обработки данных Правительства Пермского края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textDirection w:val="lrTb"/>
            <w:noWrap w:val="false"/>
          </w:tcPr>
          <w:p>
            <w:r>
              <w:t xml:space="preserve">Яндекс.Карты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5" w:type="dxa"/>
            <w:textDirection w:val="lrTb"/>
            <w:noWrap w:val="false"/>
          </w:tcPr>
          <w:p>
            <w:pPr>
              <w:jc w:val="both"/>
            </w:pPr>
            <w:r>
              <w:t xml:space="preserve">Картографический сервис Яндекса</w:t>
            </w:r>
            <w:r/>
          </w:p>
        </w:tc>
      </w:tr>
    </w:tbl>
    <w:p>
      <w:pPr>
        <w:pStyle w:val="1546"/>
      </w:pPr>
      <w:r/>
      <w:r/>
    </w:p>
    <w:p>
      <w:pPr>
        <w:pStyle w:val="1546"/>
      </w:pPr>
      <w:r>
        <w:br w:type="page" w:clear="all"/>
      </w:r>
      <w:r/>
    </w:p>
    <w:p>
      <w:pPr>
        <w:pStyle w:val="1599"/>
        <w:numPr>
          <w:ilvl w:val="0"/>
          <w:numId w:val="41"/>
        </w:numPr>
        <w:ind w:left="851"/>
        <w:spacing w:before="360"/>
      </w:pPr>
      <w:r/>
      <w:bookmarkStart w:id="255" w:name="_Toc12"/>
      <w:r/>
      <w:bookmarkStart w:id="25" w:name="_4k668n3"/>
      <w:r/>
      <w:bookmarkEnd w:id="25"/>
      <w:r>
        <w:t xml:space="preserve">Цели оказания услуг</w:t>
      </w:r>
      <w:bookmarkEnd w:id="255"/>
      <w:r/>
      <w:r/>
    </w:p>
    <w:p>
      <w:pPr>
        <w:pStyle w:val="1567"/>
        <w:spacing w:before="120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Целями оказания услуг по сопровождению и эксплуатации Системы являются: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обеспечение постоянной оперативной консультационной и технической поддержки Пользователей/Заказчика/Функционального заказчика;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проведение анализа действий Пользователей/Заказчика/ Функционального заказчика;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проведение анализа производительности Системы;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обеспечение оперативной установки обновлений;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обеспечение бесперебойного функционирования Системы;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восстановление работоспособности Системы при нештатных ситуациях;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мониторинг исправности работы Системы;</w:t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499"/>
        <w:numPr>
          <w:ilvl w:val="0"/>
          <w:numId w:val="37"/>
        </w:numPr>
        <w:ind w:left="850" w:hanging="425"/>
        <w:spacing w:line="360" w:lineRule="auto"/>
        <w:rPr>
          <w:rFonts w:eastAsia="WenQuanYi Micro Hei"/>
          <w:color w:val="000000"/>
          <w:highlight w:val="white"/>
        </w:rPr>
      </w:pPr>
      <w:r>
        <w:rPr>
          <w:rFonts w:eastAsia="WenQuanYi Micro Hei"/>
          <w:color w:val="000000"/>
          <w:highlight w:val="white"/>
        </w:rPr>
        <w:t xml:space="preserve">диагностика ошибок/сбоев Системы.</w:t>
      </w:r>
      <w:r>
        <w:rPr>
          <w:rFonts w:eastAsia="WenQuanYi Micro Hei"/>
          <w:color w:val="000000"/>
          <w:highlight w:val="white"/>
        </w:rPr>
        <w:br w:type="page" w:clear="all"/>
      </w:r>
      <w:r>
        <w:rPr>
          <w:rFonts w:eastAsia="WenQuanYi Micro Hei"/>
          <w:color w:val="000000"/>
          <w:highlight w:val="white"/>
        </w:rPr>
      </w:r>
      <w:r>
        <w:rPr>
          <w:rFonts w:eastAsia="WenQuanYi Micro Hei"/>
          <w:color w:val="000000"/>
          <w:highlight w:val="white"/>
        </w:rPr>
      </w:r>
    </w:p>
    <w:p>
      <w:pPr>
        <w:pStyle w:val="1599"/>
        <w:numPr>
          <w:ilvl w:val="0"/>
          <w:numId w:val="41"/>
        </w:numPr>
        <w:ind w:left="850" w:hanging="357"/>
        <w:spacing w:before="360"/>
      </w:pPr>
      <w:r/>
      <w:bookmarkStart w:id="256" w:name="_Toc13"/>
      <w:r>
        <w:t xml:space="preserve">Характеристики объекта оказания услуг</w:t>
      </w:r>
      <w:bookmarkEnd w:id="256"/>
      <w:r/>
      <w:r/>
    </w:p>
    <w:p>
      <w:pPr>
        <w:pStyle w:val="1599"/>
        <w:numPr>
          <w:ilvl w:val="1"/>
          <w:numId w:val="71"/>
        </w:numPr>
        <w:ind w:left="850" w:right="0" w:firstLine="0"/>
        <w:tabs>
          <w:tab w:val="left" w:pos="0" w:leader="none"/>
          <w:tab w:val="left" w:pos="850" w:leader="none"/>
          <w:tab w:val="clear" w:pos="907" w:leader="none"/>
        </w:tabs>
        <w:rPr>
          <w:sz w:val="28"/>
          <w:szCs w:val="28"/>
        </w:rPr>
      </w:pPr>
      <w:r/>
      <w:bookmarkStart w:id="257" w:name="_Toc14"/>
      <w:r/>
      <w:bookmarkStart w:id="28" w:name="_2zbgiuw"/>
      <w:r/>
      <w:bookmarkEnd w:id="28"/>
      <w:r>
        <w:rPr>
          <w:sz w:val="28"/>
          <w:szCs w:val="28"/>
        </w:rPr>
        <w:t xml:space="preserve">Краткая характеристика Системы</w:t>
      </w:r>
      <w:bookmarkEnd w:id="25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spacing w:before="120" w:line="360" w:lineRule="auto"/>
      </w:pPr>
      <w:r>
        <w:rPr>
          <w:szCs w:val="26"/>
        </w:rPr>
        <w:t xml:space="preserve">С</w:t>
      </w:r>
      <w:r>
        <w:rPr>
          <w:szCs w:val="26"/>
        </w:rPr>
        <w:t xml:space="preserve">истема предназначена для создания единого технологического и информационного пространства, обеспечивающего возможность </w:t>
      </w:r>
      <w:r>
        <w:t xml:space="preserve">создания сайтов органов государственной власти Пермского края и подведомственных им организаций, доступных по собственному доменному имени, управления структурой и контентом созданных с её помощью сайтов.</w:t>
      </w:r>
      <w:r/>
    </w:p>
    <w:p>
      <w:pPr>
        <w:pStyle w:val="1599"/>
        <w:numPr>
          <w:ilvl w:val="1"/>
          <w:numId w:val="41"/>
        </w:numPr>
        <w:ind w:left="850" w:right="0" w:firstLine="0"/>
        <w:tabs>
          <w:tab w:val="left" w:pos="850" w:leader="none"/>
        </w:tabs>
        <w:rPr>
          <w:sz w:val="28"/>
          <w:szCs w:val="28"/>
          <w:highlight w:val="white"/>
        </w:rPr>
      </w:pPr>
      <w:r/>
      <w:bookmarkStart w:id="258" w:name="_Toc15"/>
      <w:r>
        <w:rPr>
          <w:sz w:val="28"/>
          <w:szCs w:val="28"/>
          <w:highlight w:val="white"/>
        </w:rPr>
        <w:t xml:space="preserve">Общие сведения о структуре и функциях Системы</w:t>
      </w:r>
      <w:bookmarkEnd w:id="258"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  <w:t xml:space="preserve">Система функционирует на базе решения «1С-Битрикс: управление сайтом» </w:t>
      </w:r>
      <w:r>
        <w:rPr>
          <w:rFonts w:eastAsia="WenQuanYi Micro Hei"/>
          <w:color w:val="000000"/>
        </w:rPr>
        <w:t xml:space="preserve">и включает следующие подсистемы</w:t>
      </w:r>
      <w:r>
        <w:rPr>
          <w:color w:val="000000"/>
        </w:rPr>
        <w:t xml:space="preserve"> (Таблица 4):</w:t>
      </w:r>
      <w:r>
        <w:rPr>
          <w:color w:val="000000"/>
        </w:rPr>
      </w:r>
      <w:r>
        <w:rPr>
          <w:color w:val="000000"/>
        </w:rPr>
      </w:r>
    </w:p>
    <w:p>
      <w:pPr>
        <w:pStyle w:val="1546"/>
      </w:pPr>
      <w:r/>
      <w:bookmarkStart w:id="31" w:name="_1egqt2p"/>
      <w:r/>
      <w:bookmarkEnd w:id="31"/>
      <w:r>
        <w:t xml:space="preserve">Таблица </w:t>
      </w:r>
      <w:bookmarkStart w:id="32" w:name="3ygebqi"/>
      <w:r/>
      <w:bookmarkEnd w:id="32"/>
      <w:r>
        <w:t xml:space="preserve">4 – Перечень подсистем ЕПС ПК</w:t>
      </w:r>
      <w:r/>
    </w:p>
    <w:tbl>
      <w:tblPr>
        <w:tblW w:w="5077" w:type="pct"/>
        <w:tblLayout w:type="fixed"/>
        <w:tblLook w:val="01E0" w:firstRow="1" w:lastRow="1" w:firstColumn="1" w:lastColumn="1" w:noHBand="0" w:noVBand="0"/>
      </w:tblPr>
      <w:tblGrid>
        <w:gridCol w:w="849"/>
        <w:gridCol w:w="3857"/>
        <w:gridCol w:w="4928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1534"/>
              <w:jc w:val="left"/>
              <w:widowControl w:val="off"/>
            </w:pPr>
            <w:r>
              <w:rPr>
                <w:sz w:val="24"/>
                <w:szCs w:val="24"/>
              </w:rPr>
              <w:t xml:space="preserve">№ПС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center"/>
            <w:textDirection w:val="lrTb"/>
            <w:noWrap w:val="false"/>
          </w:tcPr>
          <w:p>
            <w:pPr>
              <w:pStyle w:val="153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подсистемы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33" w:type="dxa"/>
            <w:vAlign w:val="center"/>
            <w:textDirection w:val="lrTb"/>
            <w:noWrap w:val="false"/>
          </w:tcPr>
          <w:p>
            <w:pPr>
              <w:pStyle w:val="153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подсистемы (функциональность)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lang w:eastAsia="ru-RU"/>
              </w:rPr>
              <w:t xml:space="preserve">ПC1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61" w:type="dxa"/>
            <w:textDirection w:val="lrTb"/>
            <w:noWrap w:val="false"/>
          </w:tcPr>
          <w:p>
            <w:pPr>
              <w:ind w:left="57" w:right="57"/>
            </w:pPr>
            <w:r>
              <w:t xml:space="preserve">Подсистема «Сайт «Резерв управленческих кадров»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3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обеспечивает управление официальным сайтом «Резерв управленческих кадров Пермского края»</w:t>
            </w:r>
            <w:r>
              <w:rPr>
                <w:rFonts w:eastAsia="MS Mincho"/>
                <w:lang w:eastAsia="ja-JP"/>
              </w:rPr>
            </w:r>
            <w:r>
              <w:rPr>
                <w:rFonts w:eastAsia="MS Mincho"/>
                <w:lang w:eastAsia="ja-JP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ПС2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61" w:type="dxa"/>
            <w:textDirection w:val="lrTb"/>
            <w:noWrap w:val="false"/>
          </w:tcPr>
          <w:p>
            <w:pPr>
              <w:ind w:left="57" w:right="57"/>
            </w:pPr>
            <w:r>
              <w:t xml:space="preserve">Подсистема «Сайт ЦО ПК»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3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rFonts w:eastAsia="MS Mincho"/>
                <w:lang w:eastAsia="ja-JP"/>
              </w:rPr>
              <w:t xml:space="preserve">обеспечивает управление </w:t>
            </w:r>
            <w:r>
              <w:t xml:space="preserve">официальным сайтом «Целевое обучение с обязательством прохождения государственной гражданской службы Пермского края»</w:t>
            </w:r>
            <w:r/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ПС3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Merge w:val="restart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Подсистема</w:t>
            </w:r>
            <w:r>
              <w:t xml:space="preserve"> «</w:t>
            </w:r>
            <w:r>
              <w:t xml:space="preserve">Обратный</w:t>
            </w:r>
            <w:r>
              <w:t xml:space="preserve"> </w:t>
            </w:r>
            <w:r>
              <w:t xml:space="preserve">прокси-сервер</w:t>
            </w:r>
            <w:r>
              <w:t xml:space="preserve">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33" w:type="dxa"/>
            <w:vMerge w:val="restart"/>
            <w:textDirection w:val="lrTb"/>
            <w:noWrap w:val="false"/>
          </w:tcPr>
          <w:p>
            <w:pPr>
              <w:pStyle w:val="1533"/>
              <w:jc w:val="both"/>
              <w:widowControl w:val="off"/>
              <w:rPr>
                <w:rFonts w:eastAsia="MS Mincho"/>
                <w:lang w:val="ru-RU" w:eastAsia="ja-JP"/>
              </w:rPr>
            </w:pPr>
            <w:r>
              <w:rPr>
                <w:rFonts w:eastAsia="MS Mincho"/>
                <w:lang w:val="ru-RU" w:eastAsia="ja-JP"/>
              </w:rPr>
              <w:t xml:space="preserve">Подсистема предназначена для маршрутизации запросов к серверам приложений и сбора логов </w:t>
            </w:r>
            <w:r>
              <w:rPr>
                <w:rFonts w:eastAsia="MS Mincho"/>
                <w:lang w:eastAsia="ja-JP"/>
              </w:rPr>
              <w:t xml:space="preserve">http</w:t>
            </w:r>
            <w:r>
              <w:rPr>
                <w:rFonts w:eastAsia="MS Mincho"/>
                <w:lang w:val="ru-RU" w:eastAsia="ja-JP"/>
              </w:rPr>
              <w:t xml:space="preserve">-запросов</w:t>
            </w:r>
            <w:r>
              <w:rPr>
                <w:rFonts w:eastAsia="MS Mincho"/>
                <w:lang w:val="ru-RU" w:eastAsia="ja-JP"/>
              </w:rPr>
            </w:r>
            <w:r>
              <w:rPr>
                <w:rFonts w:eastAsia="MS Mincho"/>
                <w:lang w:val="ru-RU" w:eastAsia="ja-JP"/>
              </w:rPr>
            </w:r>
          </w:p>
        </w:tc>
      </w:tr>
    </w:tbl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  <w:highlight w:val="white"/>
        </w:rPr>
      </w:pPr>
      <w:r/>
      <w:bookmarkStart w:id="259" w:name="_Toc16"/>
      <w:r>
        <w:rPr>
          <w:sz w:val="28"/>
          <w:szCs w:val="28"/>
          <w:highlight w:val="white"/>
        </w:rPr>
        <w:t xml:space="preserve">Структура Системы и назначение ее частей</w:t>
      </w:r>
      <w:bookmarkEnd w:id="259"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490"/>
        <w:jc w:val="both"/>
        <w:spacing w:line="360" w:lineRule="auto"/>
        <w:rPr>
          <w:sz w:val="28"/>
          <w:szCs w:val="28"/>
        </w:rPr>
      </w:pPr>
      <w:r>
        <w:t xml:space="preserve">Размещение модулей на подсистемах и их характеристики представлены в таблице ниже (Таблица 5).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609"/>
        <w:jc w:val="left"/>
        <w:spacing w:before="0" w:line="360" w:lineRule="auto"/>
      </w:pPr>
      <w:r>
        <w:t xml:space="preserve">Таблица 5 – Размещение модулей на подсистемах</w:t>
      </w:r>
      <w:r/>
    </w:p>
    <w:tbl>
      <w:tblPr>
        <w:tblW w:w="9639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2410"/>
        <w:gridCol w:w="2976"/>
        <w:gridCol w:w="354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1610"/>
              <w:shd w:val="clear" w:color="auto" w:fill="ffffff"/>
            </w:pPr>
            <w:r>
              <w:t xml:space="preserve">№ ПС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1610"/>
              <w:shd w:val="clear" w:color="auto" w:fill="ffffff"/>
            </w:pPr>
            <w:r>
              <w:t xml:space="preserve">Подсистема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610"/>
              <w:shd w:val="clear" w:color="auto" w:fill="ffffff"/>
            </w:pPr>
            <w:r>
              <w:t xml:space="preserve">Модуль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610"/>
            </w:pPr>
            <w:r>
              <w:t xml:space="preserve">Описание модуля (функциональность)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1539"/>
              <w:shd w:val="clear" w:color="auto" w:fill="ffffff"/>
              <w:rPr>
                <w:color w:val="000000" w:themeColor="text1"/>
              </w:rPr>
            </w:pPr>
            <w:r>
              <w:rPr>
                <w:lang w:eastAsia="ru-RU"/>
              </w:rPr>
              <w:t xml:space="preserve">ПC1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Подсистема «Сайт «Резерв управленческих кадров»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color w:val="000000"/>
              </w:rPr>
              <w:t xml:space="preserve">М33 UI15 </w:t>
            </w:r>
            <w:r>
              <w:rPr>
                <w:color w:val="000000"/>
              </w:rPr>
              <w:t xml:space="preserve">Пользовательский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Пользовательский интерфейс подсистемы «Сайт "Резерв управленческих кадров»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</w:tr>
      <w:tr>
        <w:tblPrEx/>
        <w:trPr>
          <w:trHeight w:val="8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ПС2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Подсистема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Сайт</w:t>
            </w:r>
            <w:r>
              <w:t xml:space="preserve"> ЦО ПК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color w:val="000000"/>
              </w:rPr>
              <w:t xml:space="preserve">М34 UI16 </w:t>
            </w:r>
            <w:r>
              <w:rPr>
                <w:color w:val="000000"/>
              </w:rPr>
              <w:t xml:space="preserve">Пользовательский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подсистемы «Сайт ЦО ПК»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ПС3</w:t>
            </w:r>
            <w:r/>
          </w:p>
          <w:p>
            <w:pPr>
              <w:pStyle w:val="1539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Подсистема</w:t>
            </w:r>
            <w:r>
              <w:t xml:space="preserve"> «</w:t>
            </w:r>
            <w:r>
              <w:t xml:space="preserve">Обратный</w:t>
            </w:r>
            <w:r>
              <w:t xml:space="preserve"> </w:t>
            </w:r>
            <w:r>
              <w:t xml:space="preserve">прокси-сервер</w:t>
            </w:r>
            <w:r>
              <w:t xml:space="preserve">»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r>
              <w:t xml:space="preserve">—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restart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С1</w:t>
            </w:r>
            <w:r/>
          </w:p>
          <w:p>
            <w:pPr>
              <w:pStyle w:val="1533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color w:val="000000"/>
                <w:lang w:val="ru-RU" w:eastAsia="ru-RU"/>
              </w:rPr>
              <w:t xml:space="preserve">Государственная информационная система «Единая </w:t>
            </w:r>
            <w:r>
              <w:rPr>
                <w:color w:val="000000"/>
                <w:lang w:val="ru-RU" w:eastAsia="ru-RU"/>
              </w:rPr>
              <w:t xml:space="preserve">платформа сайтов органов власти Пермского края»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</w:r>
            <w:r>
              <w:rPr>
                <w:color w:val="000000"/>
                <w:lang w:val="ru-RU" w:eastAsia="ru-RU"/>
              </w:rPr>
            </w:r>
            <w:r>
              <w:rPr>
                <w:color w:val="000000"/>
                <w:lang w:val="ru-RU"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М1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Пользователи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ind w:left="57" w:right="57"/>
              <w:jc w:val="both"/>
            </w:pPr>
            <w:r>
              <w:t xml:space="preserve">Обеспечивает управление учётными записями Пользователей, разграничение </w:t>
            </w:r>
            <w:r>
              <w:t xml:space="preserve">прав доступа Пользователей на основе ролевой модели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М2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Управление</w:t>
            </w:r>
            <w:r>
              <w:t xml:space="preserve"> </w:t>
            </w:r>
            <w:r>
              <w:t xml:space="preserve">структурой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Обеспечивает выполнение функций управления структурой сайтов органов власти, заполнения страниц сайтов текстовым и медиа контентом и журналирования изменений контента сайтов</w:t>
            </w:r>
            <w:r>
              <w:rPr>
                <w:rFonts w:eastAsia="MS Mincho"/>
                <w:lang w:eastAsia="ja-JP"/>
              </w:rPr>
            </w:r>
            <w:r>
              <w:rPr>
                <w:rFonts w:eastAsia="MS Mincho"/>
                <w:lang w:eastAsia="ja-JP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М3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Инфоблоки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создания и управления типовыми информационными блоками сайтов, управления данными внутри модулей сайтов, а также интеграции с картографическим сервисом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М4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Главная</w:t>
            </w:r>
            <w:r>
              <w:t xml:space="preserve"> </w:t>
            </w:r>
            <w:r>
              <w:t xml:space="preserve">страница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отображения разделов главных страниц сайтов органов власти: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основного промо-блока страницы, блока баннеров, блока «Деятельность»; блока полезных ссылок на внешние ресурсы; отображения информации из инфоблоков «Новости», «Календарь мероприятий», «Медиа», «Социальные сети»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М5 Модуль «Структура органа власти»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Обеспечивает управление информацией о структуре органа власти, а также о руководстве и должностных лицах органа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М6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О </w:t>
            </w:r>
            <w:r>
              <w:t xml:space="preserve">ведомстве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управление информацией о ведомстве на сайте органа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М7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Деятельность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управление информацией о деятельности ведомства со ссылками на особо важные документы и проекты на сайте органа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М8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Новости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управления новостями и календарём мероприятий на сайте органов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М9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Документы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управления информацией о документах, а </w:t>
            </w:r>
            <w:r>
              <w:rPr>
                <w:rFonts w:eastAsia="MS Mincho"/>
                <w:lang w:val="ru-RU" w:eastAsia="ja-JP"/>
              </w:rPr>
              <w:t xml:space="preserve">также поиска и скачивания </w:t>
            </w:r>
            <w:r>
              <w:rPr>
                <w:rFonts w:eastAsia="MS Mincho"/>
                <w:lang w:val="ru-RU" w:eastAsia="ja-JP"/>
              </w:rPr>
              <w:t xml:space="preserve">документов с сайтов органов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М10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Поиск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поиска по текстовым запросам и вывода результатов поиска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М11Модуль </w:t>
            </w:r>
            <w:r>
              <w:rPr>
                <w:lang w:val="ru-RU"/>
              </w:rPr>
              <w:t xml:space="preserve">«</w:t>
            </w:r>
            <w:r>
              <w:t xml:space="preserve">Формы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создание опросов на сайтах органов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t xml:space="preserve">М12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Социальные</w:t>
            </w:r>
            <w:r>
              <w:t xml:space="preserve"> </w:t>
            </w:r>
            <w:r>
              <w:t xml:space="preserve">сети</w:t>
            </w:r>
            <w:r>
              <w:rPr>
                <w:lang w:val="ru-RU"/>
              </w:rPr>
              <w:t xml:space="preserve">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  <w:rPr>
                <w:rFonts w:eastAsia="MS Mincho"/>
                <w:lang w:val="ru-RU" w:eastAsia="ja-JP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управления информацией о социальных сетях ведомства на сайте органа власти</w:t>
            </w:r>
            <w:r>
              <w:rPr>
                <w:rFonts w:eastAsia="MS Mincho"/>
                <w:lang w:val="ru-RU" w:eastAsia="ja-JP"/>
              </w:rPr>
            </w:r>
            <w:r>
              <w:rPr>
                <w:rFonts w:eastAsia="MS Mincho"/>
                <w:lang w:val="ru-RU" w:eastAsia="ja-JP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М13 Модуль интеграции с внешними информационными системами (</w:t>
            </w:r>
            <w:r>
              <w:t xml:space="preserve">API </w:t>
            </w:r>
            <w:r>
              <w:rPr>
                <w:lang w:val="ru-RU"/>
              </w:rPr>
              <w:t xml:space="preserve">ЕПС)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Интеграция с внешними информационными системами (отображение полученных данных и шаблона от внешнего источника)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М14 Модуль «Ваш социальный участковый»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управления информацией о социальных участковых и её отображения на сайте Министерства социального развития Пермского края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М15 Модуль «Перечень государственных услуг»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rFonts w:eastAsia="MS Mincho"/>
                <w:lang w:val="ru-RU" w:eastAsia="ja-JP"/>
              </w:rPr>
              <w:t xml:space="preserve">Обеспечивает выполнение функций </w:t>
            </w:r>
            <w:r>
              <w:rPr>
                <w:lang w:val="ru-RU"/>
              </w:rPr>
              <w:t xml:space="preserve">управления информацией о государственных услугах </w:t>
            </w:r>
            <w:r>
              <w:rPr>
                <w:rFonts w:eastAsia="MS Mincho"/>
                <w:lang w:val="ru-RU" w:eastAsia="ja-JP"/>
              </w:rPr>
              <w:t xml:space="preserve">и её отображения на сайте</w:t>
            </w:r>
            <w:r>
              <w:rPr>
                <w:lang w:val="ru-RU"/>
              </w:rPr>
              <w:t xml:space="preserve"> Министерства социального развития Пермского края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М16 Хранилище данных модуля «Пользователи»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Предназначен для централизованного хранения информации о Пользователях и группах пользователей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М17 Хранилище данных модуля «Формы»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Предназначен для централизованного хранения информации об опросах, созданных на сайтах органов власти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М18 Хранилище данных модуля «Инфоблоки»</w:t>
            </w:r>
            <w:r>
              <w:rPr>
                <w:color w:val="000000"/>
                <w:lang w:val="ru-RU"/>
              </w:rPr>
            </w:r>
            <w:r>
              <w:rPr>
                <w:color w:val="000000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Предназначен для централизованного хранения информации об инфоблоках, типах инфоблоков, элементах инфоблоков, разделах инфоблоков, свойствах </w:t>
            </w:r>
            <w:r>
              <w:rPr>
                <w:lang w:val="ru-RU"/>
              </w:rPr>
              <w:t xml:space="preserve">инфоблоков и правах доступа к инфоблокам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М19 UI1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</w:pP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Пользователи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М20 UI2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</w:pP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Пользователи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М21 UI3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«Управление структурой»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М22 UI4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</w:pP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«Инфоблоки»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М23 UI5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«Главная страница»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М24 UI6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«Структура органа власти»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М25 UI7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</w:pP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Новости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М26 UI8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</w:pP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Документы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М27 UI9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</w:pP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Поиск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М28 UI10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</w:pP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Формы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М29 UI11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widowControl w:val="off"/>
            </w:pP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>
              <w:t xml:space="preserve"> </w:t>
            </w:r>
            <w:r>
              <w:t xml:space="preserve">модуля</w:t>
            </w:r>
            <w:r>
              <w:t xml:space="preserve"> «</w:t>
            </w:r>
            <w:r>
              <w:t xml:space="preserve">Формы</w:t>
            </w:r>
            <w:r>
              <w:t xml:space="preserve">»</w:t>
            </w:r>
            <w:r/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М30 UI12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«Социальные сети»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М31 UI13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«Ваш социальный участковый»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t xml:space="preserve">М32 UI14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textDirection w:val="lrTb"/>
            <w:noWrap w:val="false"/>
          </w:tcPr>
          <w:p>
            <w:pPr>
              <w:pStyle w:val="153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Пользовательский интерфейс модуля «Перечень государственных услуг»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ind w:left="360" w:firstLine="490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60" w:name="_Toc17"/>
      <w:r/>
      <w:bookmarkStart w:id="34" w:name="_2dlolyb"/>
      <w:r/>
      <w:bookmarkEnd w:id="34"/>
      <w:r>
        <w:rPr>
          <w:sz w:val="28"/>
          <w:szCs w:val="28"/>
        </w:rPr>
        <w:t xml:space="preserve">Программно-аппаратное обеспечение Системы</w:t>
      </w:r>
      <w:bookmarkEnd w:id="26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  <w:t xml:space="preserve">Для функционирования Системы используется программное обеспечение, установленное на технических средствах Заказчика.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Размещение модулей на серверах промышленного контура приведено в таблице ниже (Таблица 6).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line="360" w:lineRule="auto"/>
        <w:rPr>
          <w:color w:val="000000"/>
        </w:rPr>
      </w:pPr>
      <w:r/>
      <w:bookmarkStart w:id="36" w:name="_sqyw64"/>
      <w:r/>
      <w:bookmarkEnd w:id="36"/>
      <w:r>
        <w:rPr>
          <w:color w:val="000000"/>
        </w:rPr>
        <w:t xml:space="preserve">Таблица 6 – Размещение модулей на серверах промышленного контура</w:t>
      </w:r>
      <w:r>
        <w:rPr>
          <w:color w:val="000000"/>
        </w:rPr>
      </w:r>
      <w:r>
        <w:rPr>
          <w:color w:val="000000"/>
        </w:rPr>
      </w:r>
    </w:p>
    <w:tbl>
      <w:tblPr>
        <w:tblW w:w="5000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1985"/>
        <w:gridCol w:w="4391"/>
        <w:gridCol w:w="3112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center"/>
            <w:textDirection w:val="lrTb"/>
            <w:noWrap w:val="false"/>
          </w:tcPr>
          <w:p>
            <w:pPr>
              <w:pStyle w:val="1534"/>
              <w:widowControl w:val="off"/>
            </w:pPr>
            <w:r>
              <w:rPr>
                <w:sz w:val="24"/>
                <w:szCs w:val="24"/>
              </w:rPr>
              <w:t xml:space="preserve">Подсистема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vAlign w:val="center"/>
            <w:textDirection w:val="lrTb"/>
            <w:noWrap w:val="false"/>
          </w:tcPr>
          <w:p>
            <w:pPr>
              <w:pStyle w:val="1534"/>
              <w:widowControl w:val="off"/>
            </w:pPr>
            <w:r>
              <w:rPr>
                <w:sz w:val="24"/>
                <w:szCs w:val="24"/>
              </w:rPr>
              <w:t xml:space="preserve">Модуль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vAlign w:val="center"/>
            <w:textDirection w:val="lrTb"/>
            <w:noWrap w:val="false"/>
          </w:tcPr>
          <w:p>
            <w:pPr>
              <w:pStyle w:val="1534"/>
              <w:widowControl w:val="off"/>
            </w:pPr>
            <w:r>
              <w:rPr>
                <w:sz w:val="24"/>
                <w:szCs w:val="24"/>
              </w:rPr>
              <w:t xml:space="preserve">Вид сервера по назначению с</w:t>
            </w:r>
            <w:r>
              <w:rPr>
                <w:sz w:val="24"/>
                <w:szCs w:val="24"/>
                <w:lang w:val="en-US"/>
              </w:rPr>
              <w:t xml:space="preserve"> </w:t>
            </w:r>
            <w:r>
              <w:rPr>
                <w:sz w:val="24"/>
                <w:szCs w:val="24"/>
              </w:rPr>
              <w:t xml:space="preserve">названием</w:t>
            </w:r>
            <w:r/>
          </w:p>
        </w:tc>
      </w:tr>
      <w:tr>
        <w:tblPrEx/>
        <w:trPr>
          <w:trHeight w:val="79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ПС1 Подсистема «Сайт «Резерв управленческих кадров»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М33 UI15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527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ПС2 Подсистема «Сайт ЦО ПК»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М34 UI16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527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ПС3 </w:t>
            </w:r>
            <w:r>
              <w:rPr>
                <w:lang w:val="ru-RU"/>
              </w:rPr>
              <w:t xml:space="preserve">«</w:t>
            </w:r>
            <w:r>
              <w:t xml:space="preserve">Обратный</w:t>
            </w:r>
            <w:r>
              <w:t xml:space="preserve"> </w:t>
            </w:r>
            <w:r>
              <w:t xml:space="preserve">прокси-сервер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--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Веб-сервер </w:t>
            </w:r>
            <w:r>
              <w:t xml:space="preserve">WEB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Веб-сервер </w:t>
            </w:r>
            <w:r>
              <w:t xml:space="preserve">WEB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36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7" w:type="dxa"/>
            <w:vMerge w:val="restart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С1 ЕПС ПК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М1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Пользователи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М2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Управление</w:t>
            </w:r>
            <w:r>
              <w:t xml:space="preserve"> </w:t>
            </w:r>
            <w:r>
              <w:t xml:space="preserve">структурой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М3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Инфоблоки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М4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Главная</w:t>
            </w:r>
            <w:r>
              <w:t xml:space="preserve"> </w:t>
            </w:r>
            <w:r>
              <w:t xml:space="preserve">страница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М5 Модуль «Структура органа власти»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М6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О </w:t>
            </w:r>
            <w:r>
              <w:t xml:space="preserve">ведомстве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М7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Деятельность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М8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Новости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М9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Документы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М10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Поиск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М11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Формы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М12 </w:t>
            </w:r>
            <w:r>
              <w:t xml:space="preserve">Модуль</w:t>
            </w:r>
            <w:r>
              <w:t xml:space="preserve"> </w:t>
            </w:r>
            <w:r>
              <w:rPr>
                <w:lang w:val="ru-RU"/>
              </w:rPr>
              <w:t xml:space="preserve">«</w:t>
            </w:r>
            <w:r>
              <w:t xml:space="preserve">Социальные</w:t>
            </w:r>
            <w:r>
              <w:t xml:space="preserve"> </w:t>
            </w:r>
            <w:r>
              <w:t xml:space="preserve">сети</w:t>
            </w:r>
            <w:r>
              <w:rPr>
                <w:lang w:val="ru-RU"/>
              </w:rPr>
              <w:t xml:space="preserve">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М13 Модуль интеграции с внешними информационными системами (</w:t>
            </w:r>
            <w:r>
              <w:t xml:space="preserve">API</w:t>
            </w:r>
            <w:r>
              <w:rPr>
                <w:lang w:val="ru-RU"/>
              </w:rPr>
              <w:t xml:space="preserve"> ЕПС)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М14 Модуль «Ваш социальный участковый»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М15 Модуль «Перечень государственных услуг»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М16 Хранилище данных модуля </w:t>
            </w:r>
            <w:r>
              <w:rPr>
                <w:lang w:val="ru-RU"/>
              </w:rPr>
              <w:t xml:space="preserve">«Пользователи»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М17 Хранилище данных модуля «Формы»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М18 Хранилище данных модуля «Инфоблоки»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М19 UI1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М20 UI2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М21 UI3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М22 UI4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М23 UI5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М24 UI6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М25 UI7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М26 UI8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М27 UI9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М28 UI10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М29 UI11 </w:t>
            </w:r>
            <w:r>
              <w:t xml:space="preserve">Административный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М30 UI12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М31 UI13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ff"/>
                <w:lang w:val="ru-RU"/>
              </w:rPr>
            </w:pP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  <w:r>
              <w:rPr>
                <w:color w:val="0000ff"/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6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М32 UI14 </w:t>
            </w:r>
            <w:r>
              <w:t xml:space="preserve">Пользовательский</w:t>
            </w:r>
            <w:r>
              <w:t xml:space="preserve"> </w:t>
            </w:r>
            <w:r>
              <w:t xml:space="preserve">интерфейс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5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приложений </w:t>
            </w:r>
            <w:r>
              <w:t xml:space="preserve">APP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pStyle w:val="1505"/>
        <w:ind w:firstLine="850"/>
        <w:jc w:val="both"/>
      </w:pPr>
      <w:r>
        <w:t xml:space="preserve">Перечень установленного программного обеспечения на серверах промышленного контура приведено в таблице ниже (Таблица 7).</w:t>
      </w:r>
      <w:r/>
    </w:p>
    <w:p>
      <w:pPr>
        <w:pStyle w:val="1609"/>
      </w:pPr>
      <w:r>
        <w:rPr>
          <w:sz w:val="24"/>
          <w:szCs w:val="24"/>
        </w:rPr>
        <w:t xml:space="preserve">Таблица 7 - Перечень установленного программного обеспечения на серверах промышленного контура</w:t>
      </w:r>
      <w:r/>
    </w:p>
    <w:tbl>
      <w:tblPr>
        <w:tblW w:w="5000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712"/>
        <w:gridCol w:w="3683"/>
        <w:gridCol w:w="509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4"/>
              <w:widowControl w:val="off"/>
            </w:pPr>
            <w:r>
              <w:rPr>
                <w:sz w:val="24"/>
                <w:szCs w:val="24"/>
              </w:rPr>
              <w:t xml:space="preserve">Вид сервера по назначению с названием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4"/>
              <w:widowControl w:val="off"/>
            </w:pPr>
            <w:r>
              <w:rPr>
                <w:sz w:val="24"/>
                <w:szCs w:val="24"/>
              </w:rPr>
              <w:t xml:space="preserve">Установленное ПО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Сервер</w:t>
            </w:r>
            <w:r>
              <w:t xml:space="preserve"> </w:t>
            </w:r>
            <w:r>
              <w:t xml:space="preserve">приложений</w:t>
            </w:r>
            <w:r>
              <w:t xml:space="preserve"> APP-1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RED OS, Apache HTTP Server,</w:t>
            </w:r>
            <w:r/>
          </w:p>
          <w:p>
            <w:pPr>
              <w:pStyle w:val="1533"/>
              <w:widowControl w:val="off"/>
              <w:rPr>
                <w:lang w:val="ru-RU"/>
              </w:rPr>
            </w:pPr>
            <w:r>
              <w:t xml:space="preserve">PHP</w:t>
            </w:r>
            <w:r>
              <w:rPr>
                <w:lang w:val="ru-RU"/>
              </w:rPr>
              <w:t xml:space="preserve">, </w:t>
            </w:r>
            <w:r>
              <w:t xml:space="preserve">Nginx</w:t>
            </w:r>
            <w:r>
              <w:rPr>
                <w:lang w:val="ru-RU"/>
              </w:rPr>
              <w:t xml:space="preserve">, 1С-Битрикс: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у</w:t>
            </w:r>
            <w:r>
              <w:rPr>
                <w:lang w:val="ru-RU"/>
              </w:rPr>
              <w:t xml:space="preserve">правление сайтом.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Сервер</w:t>
            </w:r>
            <w:r>
              <w:t xml:space="preserve"> </w:t>
            </w:r>
            <w:r>
              <w:t xml:space="preserve">приложений</w:t>
            </w:r>
            <w:r>
              <w:t xml:space="preserve"> APP-2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RED OS, Apache HTTP Server,</w:t>
            </w:r>
            <w:r/>
          </w:p>
          <w:p>
            <w:pPr>
              <w:pStyle w:val="1533"/>
              <w:widowControl w:val="off"/>
            </w:pPr>
            <w:r>
              <w:t xml:space="preserve">PHP, Nginx, 1С-Битрикс.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-1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color w:val="000000"/>
                <w:shd w:val="clear" w:color="auto" w:fill="ffffff"/>
              </w:rPr>
              <w:t xml:space="preserve">RED OS, </w:t>
            </w:r>
            <w:r>
              <w:t xml:space="preserve">MySQL.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  <w:rPr>
                <w:lang w:val="ru-RU"/>
              </w:rPr>
            </w:pPr>
            <w:r>
              <w:rPr>
                <w:lang w:val="ru-RU"/>
              </w:rPr>
              <w:t xml:space="preserve">Сервер баз данных </w:t>
            </w:r>
            <w:r>
              <w:t xml:space="preserve">DB</w:t>
            </w:r>
            <w:r>
              <w:rPr>
                <w:lang w:val="ru-RU"/>
              </w:rPr>
              <w:t xml:space="preserve">-2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color w:val="000000"/>
                <w:shd w:val="clear" w:color="auto" w:fill="ffffff"/>
              </w:rPr>
              <w:t xml:space="preserve">RED OS, </w:t>
            </w:r>
            <w:r>
              <w:t xml:space="preserve">MySQL.</w:t>
            </w:r>
            <w:r/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5.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Веб-сервер</w:t>
            </w:r>
            <w:r>
              <w:t xml:space="preserve"> WEB-1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rPr>
                <w:color w:val="000000"/>
                <w:shd w:val="clear" w:color="auto" w:fill="ffffff"/>
              </w:rPr>
              <w:t xml:space="preserve">RED OS, </w:t>
            </w:r>
            <w:r>
              <w:t xml:space="preserve">Nginx.</w:t>
            </w:r>
            <w:r/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lrTb"/>
            <w:noWrap w:val="false"/>
          </w:tcPr>
          <w:p>
            <w:pPr>
              <w:pStyle w:val="1533"/>
            </w:pPr>
            <w:r>
              <w:t xml:space="preserve">6.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3" w:type="dxa"/>
            <w:textDirection w:val="lrTb"/>
            <w:noWrap w:val="false"/>
          </w:tcPr>
          <w:p>
            <w:pPr>
              <w:pStyle w:val="1533"/>
              <w:widowControl w:val="off"/>
            </w:pPr>
            <w:r>
              <w:t xml:space="preserve">Веб-сервер</w:t>
            </w:r>
            <w:r>
              <w:t xml:space="preserve"> WEB-2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93" w:type="dxa"/>
            <w:textDirection w:val="lrTb"/>
            <w:noWrap w:val="false"/>
          </w:tcPr>
          <w:p>
            <w:pPr>
              <w:pStyle w:val="1533"/>
              <w:widowControl w:val="off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RED OS, </w:t>
            </w:r>
            <w:r>
              <w:t xml:space="preserve">Nginx.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541"/>
        <w:numPr>
          <w:ilvl w:val="0"/>
          <w:numId w:val="0"/>
        </w:numPr>
        <w:ind w:left="1276"/>
        <w:rPr>
          <w:sz w:val="24"/>
          <w:highlight w:val="yellow"/>
        </w:rPr>
        <w:sectPr>
          <w:headerReference w:type="default" r:id="rId9"/>
          <w:headerReference w:type="even" r:id="rId10"/>
          <w:headerReference w:type="first" r:id="rId11"/>
          <w:footerReference w:type="default" r:id="rId20"/>
          <w:footerReference w:type="even" r:id="rId21"/>
          <w:footerReference w:type="first" r:id="rId22"/>
          <w:footnotePr/>
          <w:endnotePr/>
          <w:type w:val="continuous"/>
          <w:pgSz w:w="11906" w:h="16838" w:orient="portrait"/>
          <w:pgMar w:top="1134" w:right="707" w:bottom="1134" w:left="1701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4"/>
          <w:highlight w:val="yellow"/>
        </w:rPr>
      </w:r>
      <w:r>
        <w:rPr>
          <w:sz w:val="24"/>
          <w:highlight w:val="yellow"/>
        </w:rPr>
      </w:r>
      <w:r>
        <w:rPr>
          <w:sz w:val="24"/>
          <w:highlight w:val="yellow"/>
        </w:rPr>
      </w:r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61" w:name="_Toc18"/>
      <w:r>
        <w:rPr>
          <w:sz w:val="28"/>
          <w:szCs w:val="28"/>
        </w:rPr>
        <w:t xml:space="preserve">Взаимодействие с внешними информационными системам</w:t>
      </w:r>
      <w:bookmarkEnd w:id="26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left="850" w:hanging="425"/>
        <w:spacing w:line="360" w:lineRule="auto"/>
        <w:rPr>
          <w:color w:val="000000"/>
        </w:rPr>
      </w:pPr>
      <w:r>
        <w:rPr>
          <w:color w:val="000000"/>
        </w:rPr>
        <w:t xml:space="preserve">ЕПС ПК взаимодействует со следующими информационными системами: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51"/>
        </w:numPr>
        <w:ind w:left="850" w:hanging="425"/>
        <w:spacing w:line="360" w:lineRule="auto"/>
      </w:pPr>
      <w:r>
        <w:rPr>
          <w:color w:val="000000"/>
        </w:rPr>
        <w:t xml:space="preserve">Сервис </w:t>
      </w:r>
      <w:r>
        <w:rPr>
          <w:color w:val="000000"/>
        </w:rPr>
        <w:t xml:space="preserve">Яндекс.Карты</w:t>
      </w:r>
      <w:r>
        <w:rPr>
          <w:color w:val="000000"/>
        </w:rPr>
        <w:t xml:space="preserve">;</w:t>
      </w:r>
      <w:r/>
    </w:p>
    <w:p>
      <w:pPr>
        <w:pStyle w:val="1499"/>
        <w:numPr>
          <w:ilvl w:val="0"/>
          <w:numId w:val="51"/>
        </w:numPr>
        <w:ind w:left="850" w:hanging="425"/>
        <w:spacing w:line="360" w:lineRule="auto"/>
      </w:pPr>
      <w:r>
        <w:rPr>
          <w:color w:val="000000"/>
        </w:rPr>
        <w:t xml:space="preserve">Региональный сервис аутентификации и авторизации гражданина Пермского края (РСААГ ПК);</w:t>
      </w:r>
      <w:r/>
    </w:p>
    <w:p>
      <w:pPr>
        <w:pStyle w:val="1499"/>
        <w:numPr>
          <w:ilvl w:val="0"/>
          <w:numId w:val="51"/>
        </w:numPr>
        <w:ind w:left="850" w:hanging="425"/>
        <w:spacing w:line="360" w:lineRule="auto"/>
      </w:pPr>
      <w:r>
        <w:rPr>
          <w:color w:val="000000"/>
        </w:rPr>
        <w:t xml:space="preserve">Региональный сервис аутентификации и авторизации сотрудников органов государственной власти и учреждений Пермского края (РСАА ПК);</w:t>
      </w:r>
      <w:r/>
    </w:p>
    <w:p>
      <w:pPr>
        <w:pStyle w:val="1499"/>
        <w:numPr>
          <w:ilvl w:val="0"/>
          <w:numId w:val="51"/>
        </w:numPr>
        <w:ind w:left="850" w:hanging="425"/>
        <w:spacing w:line="360" w:lineRule="auto"/>
      </w:pPr>
      <w:r>
        <w:rPr>
          <w:color w:val="000000"/>
        </w:rPr>
        <w:t xml:space="preserve">Подсистема Единого сервиса подписания и хранения документов в электронном виде Централизованной системы хранения электронных документов, обеспечивающей долговременное хранение массивов электронных документов в неизменном состоянии в Пермском крае (</w:t>
      </w:r>
      <w:r>
        <w:t xml:space="preserve">Подсистема ЕСПХ).</w:t>
      </w:r>
      <w:r/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62" w:name="_Toc19"/>
      <w:r/>
      <w:bookmarkStart w:id="38" w:name="_3cqmetx"/>
      <w:r/>
      <w:bookmarkEnd w:id="38"/>
      <w:r>
        <w:rPr>
          <w:sz w:val="28"/>
          <w:szCs w:val="28"/>
        </w:rPr>
        <w:t xml:space="preserve">Перечень документации на Систему</w:t>
      </w:r>
      <w:bookmarkEnd w:id="26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spacing w:before="120" w:line="360" w:lineRule="auto"/>
        <w:rPr>
          <w:bCs/>
        </w:rPr>
      </w:pPr>
      <w:r>
        <w:rPr>
          <w:color w:val="000000"/>
        </w:rPr>
        <w:t xml:space="preserve">Порядок использования функций Системы, а также параметры и режимы функционирования комплекса программных средств Системы определяются документацией, разработанной в рамках Государственных контрактов от 13.09.2019 г. № 31/ОК-2019, </w:t>
      </w:r>
      <w:r>
        <w:rPr>
          <w:color w:val="000000"/>
        </w:rPr>
        <w:br/>
      </w:r>
      <w:r>
        <w:rPr>
          <w:color w:val="000000"/>
        </w:rPr>
        <w:t xml:space="preserve">от 12</w:t>
      </w:r>
      <w:r>
        <w:rPr>
          <w:color w:val="000000"/>
        </w:rPr>
        <w:t xml:space="preserve">.04.</w:t>
      </w:r>
      <w:r>
        <w:rPr>
          <w:color w:val="000000"/>
        </w:rPr>
        <w:t xml:space="preserve">2021 г. № 5/ОК-2021, </w:t>
      </w:r>
      <w:r>
        <w:rPr>
          <w:bCs/>
        </w:rPr>
        <w:t xml:space="preserve">№ 25/ОК-2022 от 26</w:t>
      </w:r>
      <w:r>
        <w:rPr>
          <w:bCs/>
        </w:rPr>
        <w:t xml:space="preserve">.09.</w:t>
      </w:r>
      <w:r>
        <w:rPr>
          <w:bCs/>
        </w:rPr>
        <w:t xml:space="preserve">2022 г.</w:t>
      </w:r>
      <w:r>
        <w:rPr>
          <w:bCs/>
        </w:rPr>
      </w:r>
      <w:r>
        <w:rPr>
          <w:bCs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После заключения Контракта Заказчик предоставляет Исполнителю проектную и эксплуатационную документацию на Систему, не</w:t>
      </w:r>
      <w:r>
        <w:rPr>
          <w:color w:val="000000"/>
        </w:rPr>
        <w:t xml:space="preserve">обходимую для оказания услуг в соответствии с ТЗ, в течение 5 (пяти) рабочих дней с даты получения соответствующего запроса от Исполнителя. Указанные в настоящем пункте документы Заказчик вправе направить Исполнителю любым способом по усмотрению Заказчика.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line="360" w:lineRule="auto"/>
        <w:rPr>
          <w:color w:val="000000"/>
        </w:rPr>
      </w:pPr>
      <w:r>
        <w:rPr>
          <w:color w:val="000000"/>
        </w:rPr>
        <w:t xml:space="preserve">Таблица 8 – Документация ЕПС ПК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493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704"/>
        <w:gridCol w:w="4678"/>
        <w:gridCol w:w="4111"/>
      </w:tblGrid>
      <w:tr>
        <w:tblPrEx/>
        <w:trPr>
          <w:tblHeader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п/п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Наименование документа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Обозначение (код) документа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Пояснительная записка к технорабочему проекту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ЕПСПК.25/ОК-2022.5.П2.1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Архитектура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</w:pPr>
            <w:r>
              <w:t xml:space="preserve">ЕПСПК.9187-ЭА/2025.2.ОА.1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Описание автоматизированных функций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ЕПСПК.25/ОК-2022.5.П3.1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Описание информационного обеспечения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tabs>
                <w:tab w:val="left" w:pos="264" w:leader="none"/>
              </w:tabs>
              <w:rPr>
                <w:rFonts w:eastAsia="Times New Roman" w:cs="Times New Roman"/>
              </w:rPr>
            </w:pPr>
            <w:r>
              <w:t xml:space="preserve">ЕПСПК.25/ОК-2022.5.П5.1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Описание комплекса технических средств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ЕПСПК.25/ОК-2022.5.П9.1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Описание программного обеспечения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ЕПСПК.25/ОК-2022.5.ПА.1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Массив входных данных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ЕПСПК.25/ОК-2022.5.В6.1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14"/>
        </w:trPr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Каталог базы данных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ЕПСПК.25/ОК-2022.5.В7.1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Состав выходных данных (сообщений)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ЕПСПК.25/ОК-2022.5.В8.1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Методика (технология) </w:t>
            </w:r>
            <w:r>
              <w:t xml:space="preserve">автоматизированного проектирования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ЕПСПК.25/ОК-2022.5.И1.1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Технологическая инструкция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ЕПСПК.25/ОК-2022.5.И2.1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Руководство пользователя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tabs>
                <w:tab w:val="left" w:pos="612" w:leader="none"/>
              </w:tabs>
              <w:rPr>
                <w:rFonts w:eastAsia="Times New Roman" w:cs="Times New Roman"/>
              </w:rPr>
            </w:pPr>
            <w:r>
              <w:t xml:space="preserve">ЕПСПК.25/ОК-2022.5.И3.1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Руководство администратора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ЕПСПК.25/ОК-2022.5.И5.1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Руководство программиста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Инструкция по формированию и ведению базы данных (набора данных)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Инструкция по эксплуатации комплекса технических средств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ЕПСПК.25/ОК-2022.5.ИЭ.1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Описание технологического процесса обработки данных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ЕПСПК.25/ОК-2022.5.ПГ.1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Общее описание Системы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ЕПСПК.25/ОК-2022.5.ПД.1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176"/>
        </w:trPr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Паспорт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ЕПСПК.25/ОК-2022.5.ПС.1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Инструкция по развёртыванию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План восстановления в случае аварии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Регламенты информационного взаимодействия с внешними системами</w:t>
            </w:r>
            <w:r/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резервного копирования виртуальных машин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постановки на инфраструктурный мониторинг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постановки на функциональный мониторинг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подключения к системе управления репозиториями кода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настройки очереди в СУИ ПК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настройки нагрузочного тестирования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3"/>
              </w:numPr>
              <w:jc w:val="left"/>
              <w:widowControl w:val="off"/>
              <w:rPr>
                <w:rFonts w:eastAsia="Times New Roman" w:cs="Times New Roman"/>
                <w:highlight w:val="white"/>
              </w:rPr>
            </w:pP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  <w:r>
              <w:rPr>
                <w:rFonts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Шаблон анкеты предоставления доступа к виртуальным машинам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11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-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ind w:firstLine="0"/>
        <w:spacing w:line="360" w:lineRule="auto"/>
        <w:rPr>
          <w:color w:val="000000"/>
        </w:rPr>
      </w:pP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1599"/>
        <w:numPr>
          <w:ilvl w:val="0"/>
          <w:numId w:val="41"/>
        </w:numPr>
        <w:ind w:left="850" w:hanging="357"/>
        <w:spacing w:before="360"/>
      </w:pPr>
      <w:r/>
      <w:bookmarkStart w:id="263" w:name="_Toc20"/>
      <w:r/>
      <w:bookmarkStart w:id="40" w:name="_1rvwp1q"/>
      <w:r/>
      <w:bookmarkEnd w:id="40"/>
      <w:r>
        <w:t xml:space="preserve">Требования к услугам </w:t>
      </w:r>
      <w:bookmarkEnd w:id="263"/>
      <w:r/>
      <w:r/>
    </w:p>
    <w:p>
      <w:pPr>
        <w:pStyle w:val="1530"/>
        <w:ind w:firstLine="851"/>
      </w:pPr>
      <w:r/>
      <w:bookmarkStart w:id="42" w:name="_Hlk122347913"/>
      <w:r>
        <w:t xml:space="preserve">Оказание услуг по сопровождению и эксплуатации государственной информационной системы «Единая платформа сайтов органов власти Пермского края» осуществляется в рамках этапов 1 - 3.</w:t>
      </w:r>
      <w:r/>
    </w:p>
    <w:p>
      <w:pPr>
        <w:pStyle w:val="1530"/>
        <w:ind w:firstLine="851"/>
      </w:pPr>
      <w:r>
        <w:t xml:space="preserve">Сроки оказания услуг установлены в разделе 5 настоящего ТЗ.</w:t>
      </w:r>
      <w:r/>
    </w:p>
    <w:p>
      <w:pPr>
        <w:pStyle w:val="1530"/>
        <w:ind w:firstLine="851"/>
      </w:pPr>
      <w:r>
        <w:t xml:space="preserve">Все оказываемые Исполнителем услуги должны быть отражены в СУИ ПК.</w:t>
      </w:r>
      <w:r/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64" w:name="_Toc21"/>
      <w:r/>
      <w:bookmarkEnd w:id="42"/>
      <w:r>
        <w:rPr>
          <w:sz w:val="28"/>
          <w:szCs w:val="28"/>
        </w:rPr>
        <w:t xml:space="preserve">Требования к услугам в целом </w:t>
      </w:r>
      <w:bookmarkEnd w:id="26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spacing w:before="120" w:line="360" w:lineRule="auto"/>
      </w:pPr>
      <w:r>
        <w:t xml:space="preserve">Исполнитель вправе по своей инициативе, своими силами, за свой счет и под свою ответственность осуществлять дополнительные действия и мероприятия, направленные на более полную</w:t>
      </w:r>
      <w:r>
        <w:t xml:space="preserve"> реализацию целевого предназначения услуг, не налагая при этом никаких дополнительных (не предусмотренных Контрактом и настоящим ТЗ) обязательств и ответственности на Заказчика. Все действия и мероприятия должны быть заранее согласованы Сторонами в СУИ ПК.</w:t>
      </w:r>
      <w:r/>
    </w:p>
    <w:p>
      <w:pPr>
        <w:pStyle w:val="1505"/>
        <w:ind w:firstLine="850"/>
        <w:jc w:val="both"/>
      </w:pPr>
      <w:r>
        <w:t xml:space="preserve">В случае если в соответствии с требованиями законодательства РФ для оказания услуг по настоящему ТЗ Исполнителю понадобятся права на какое-либо ПО, </w:t>
      </w:r>
      <w:r>
        <w:rPr>
          <w:szCs w:val="26"/>
        </w:rPr>
        <w:t xml:space="preserve">за исключением самой Системы, права на которую принадлежат Пермскому краю – субъекту РФ в лице Министерства информационного развития и связи Пермского края,</w:t>
      </w:r>
      <w:r>
        <w:rPr>
          <w:sz w:val="28"/>
          <w:szCs w:val="28"/>
        </w:rPr>
        <w:t xml:space="preserve"> </w:t>
      </w:r>
      <w:r>
        <w:t xml:space="preserve">Исполнитель такие права приобретает самостоятельно, за свой счёт и в рамках цены Контракта. Риск на</w:t>
      </w:r>
      <w:r>
        <w:t xml:space="preserve">рушения прав третьих лиц на результаты интеллектуальной деятельности при оказании услуг по ТЗ несёт Ис</w:t>
      </w:r>
      <w:r>
        <w:t xml:space="preserve">полнитель. В случае предъявления к Заказчику претензий со стороны третьих лиц (правообладателей) Исполнитель обязуется такие претензии урегулировать самостоятельно и возместить Заказчику понесённые в этой связи убытки в соответствии с законодательством РФ.</w:t>
      </w:r>
      <w:r/>
    </w:p>
    <w:p>
      <w:pPr>
        <w:pStyle w:val="1499"/>
        <w:spacing w:line="360" w:lineRule="auto"/>
      </w:pPr>
      <w:r>
        <w:t xml:space="preserve">При оказании услуг Исполнитель должен руководствоваться соответствующими положениями нормативных правовых актов Российской Федерации и Пермского края, включая (без ограничения, но не исключительно) перечисленные в п 1.7 настоящего ТЗ.</w:t>
      </w:r>
      <w:r/>
    </w:p>
    <w:p>
      <w:pPr>
        <w:pStyle w:val="1499"/>
        <w:spacing w:line="360" w:lineRule="auto"/>
      </w:pPr>
      <w:r/>
      <w:bookmarkStart w:id="44" w:name="_Hlk122350628"/>
      <w:r>
        <w:t xml:space="preserve">Исполнитель должен оказывать услуги согласно режимам оказания услуг, приведённым в приложении к настоящему ТЗ (Приложение А, Таблица А.1).</w:t>
      </w:r>
      <w:bookmarkEnd w:id="44"/>
      <w:r/>
      <w:r/>
    </w:p>
    <w:p>
      <w:pPr>
        <w:pStyle w:val="1499"/>
        <w:spacing w:line="360" w:lineRule="auto"/>
      </w:pPr>
      <w:r>
        <w:t xml:space="preserve">Оценка качества оказанных услуг производится в соответствии с Методикой оценки качества (раздел 7 настоящего ТЗ).</w:t>
      </w:r>
      <w:r/>
    </w:p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65" w:name="_Toc22"/>
      <w:r>
        <w:rPr>
          <w:sz w:val="28"/>
          <w:szCs w:val="28"/>
        </w:rPr>
        <w:t xml:space="preserve">Требования к численности и квалификации персонала и режиму его работы</w:t>
      </w:r>
      <w:bookmarkEnd w:id="26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both"/>
        <w:spacing w:before="120" w:line="360" w:lineRule="auto"/>
        <w:rPr>
          <w:lang w:bidi="en-US"/>
        </w:rPr>
      </w:pPr>
      <w:r>
        <w:rPr>
          <w:lang w:bidi="en-US"/>
        </w:rPr>
        <w:t xml:space="preserve">Численность персонала и необходимый уровень квалификации определяется Исполнителем таким образом, чтобы обеспечить выполнение требований настоящего ТЗ при оказании каждой из услуг.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Режим работы персонала должен обеспечить оказание услуг Исполнителем в соответствии с настоящими требованиями к качеству, режиму и периодичности оказания услуг.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Режим работы персонала должен соответствовать действующему законодательству РФ и обеспечивать оказание услуг согласно требованиям, предъявленным ТЗ.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/>
      <w:bookmarkStart w:id="46" w:name="_Hlk68190382"/>
      <w:r>
        <w:rPr>
          <w:lang w:bidi="en-US"/>
        </w:rPr>
        <w:t xml:space="preserve">Режим работы персонала должен соответствовать санитарно-эпидемиологическим правилам и нормам, </w:t>
      </w:r>
      <w:bookmarkEnd w:id="46"/>
      <w:r>
        <w:rPr>
          <w:lang w:bidi="en-US"/>
        </w:rPr>
        <w:t xml:space="preserve">установленным действующим законодательством РФ.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Дополнительных требований к подготовке персонала не предъявляется.</w:t>
      </w:r>
      <w:r>
        <w:rPr>
          <w:lang w:bidi="en-US"/>
        </w:rPr>
      </w:r>
      <w:r>
        <w:rPr>
          <w:lang w:bidi="en-US"/>
        </w:rPr>
      </w:r>
    </w:p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66" w:name="_Toc23"/>
      <w:r/>
      <w:bookmarkStart w:id="47" w:name="_2r0uhxc"/>
      <w:r/>
      <w:bookmarkEnd w:id="47"/>
      <w:r>
        <w:rPr>
          <w:sz w:val="28"/>
          <w:szCs w:val="28"/>
        </w:rPr>
        <w:t xml:space="preserve">Требования к порядку и режиму оказания услуг</w:t>
      </w:r>
      <w:bookmarkEnd w:id="26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850"/>
        <w:spacing w:before="120" w:line="360" w:lineRule="auto"/>
        <w:rPr>
          <w:color w:val="000000"/>
        </w:rPr>
      </w:pPr>
      <w:r>
        <w:rPr>
          <w:color w:val="000000" w:themeColor="text1"/>
        </w:rPr>
        <w:t xml:space="preserve">Услуги должны оказываться в соответствии с требованиями, установленными настоящим ТЗ, и на основании Единого регламента оказания услуг, разработанного Исполнителем и согласованного с Заказчиком на</w:t>
      </w:r>
      <w:r>
        <w:t xml:space="preserve"> Подготовительных мероприятиях</w:t>
      </w:r>
      <w:r>
        <w:rPr>
          <w:color w:val="000000" w:themeColor="text1"/>
        </w:rPr>
        <w:t xml:space="preserve">. Сроки начала и окончания оказания услуг установлены в разделе 5 настоящего </w:t>
      </w:r>
      <w:r>
        <w:rPr>
          <w:color w:val="000000"/>
        </w:rPr>
        <w:t xml:space="preserve">ТЗ.</w:t>
      </w:r>
      <w:r>
        <w:rPr>
          <w:color w:val="000000"/>
        </w:rPr>
      </w:r>
      <w:r>
        <w:rPr>
          <w:color w:val="000000"/>
        </w:rPr>
      </w:r>
    </w:p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67" w:name="_Toc24"/>
      <w:r/>
      <w:bookmarkStart w:id="49" w:name="_1664s55"/>
      <w:r/>
      <w:bookmarkEnd w:id="49"/>
      <w:r>
        <w:rPr>
          <w:sz w:val="28"/>
          <w:szCs w:val="28"/>
        </w:rPr>
        <w:t xml:space="preserve">Требования к конфиденциальности</w:t>
      </w:r>
      <w:bookmarkEnd w:id="26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both"/>
        <w:spacing w:before="120" w:line="360" w:lineRule="auto"/>
        <w:rPr>
          <w:lang w:bidi="en-US"/>
        </w:rPr>
      </w:pPr>
      <w:r/>
      <w:bookmarkStart w:id="51" w:name="_Hlk122350669"/>
      <w:r/>
      <w:bookmarkStart w:id="52" w:name="_Hlk119404562"/>
      <w:r>
        <w:rPr>
          <w:lang w:bidi="en-US"/>
        </w:rPr>
        <w:t xml:space="preserve">Исполнитель </w:t>
      </w:r>
      <w:bookmarkStart w:id="53" w:name="_Hlk114055005"/>
      <w:r>
        <w:rPr>
          <w:lang w:bidi="en-US"/>
        </w:rPr>
        <w:t xml:space="preserve">должен соблюдать конфиденциальность любой информации, которая может стать известна ему в ходе оказания услуг, не передавать (не р</w:t>
      </w:r>
      <w:r>
        <w:rPr>
          <w:lang w:bidi="en-US"/>
        </w:rPr>
        <w:t xml:space="preserve">азглашать) полностью или частично такую информацию третьим лицам и/или не использовать ее каким-либо иным способом с участием третьих лиц. Исполнитель несет ответственность за соблюдение данного требования в соответствии с действующим законодательством РФ.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Передача информации третьим лицам допускается только с письменного разрешения Заказчика.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Исполнитель вправе использовать предоставленные Заказчиком сведения только в целях оказания услуг, не имеет права копировать, распространять или иным образом использовать любые материалы Заказчика, к которым он получит доступ.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Исполнитель должен обеспечивать соблюдение применимых к Исполнителю требований законодательства РФ в сфере защиты персональных данных в случае, если такие данные станут известны Исполнителю в процессе оказания услуг.</w:t>
      </w:r>
      <w:bookmarkEnd w:id="51"/>
      <w:r>
        <w:rPr>
          <w:lang w:bidi="en-US"/>
        </w:rPr>
      </w:r>
      <w:r>
        <w:rPr>
          <w:lang w:bidi="en-US"/>
        </w:rPr>
      </w:r>
    </w:p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68" w:name="_Toc25"/>
      <w:r/>
      <w:bookmarkEnd w:id="52"/>
      <w:r/>
      <w:bookmarkEnd w:id="53"/>
      <w:r>
        <w:rPr>
          <w:sz w:val="28"/>
          <w:szCs w:val="28"/>
        </w:rPr>
        <w:t xml:space="preserve">Требования к обеспечению информационной безопасности и защите информации от несанкционированного доступа </w:t>
      </w:r>
      <w:bookmarkEnd w:id="26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both"/>
        <w:spacing w:before="120" w:line="360" w:lineRule="auto"/>
        <w:rPr>
          <w:lang w:bidi="en-US"/>
        </w:rPr>
      </w:pPr>
      <w:r/>
      <w:bookmarkStart w:id="55" w:name="_3q5sasy"/>
      <w:r/>
      <w:bookmarkStart w:id="56" w:name="_kgcv8k"/>
      <w:r/>
      <w:bookmarkStart w:id="57" w:name="_Hlk122350757"/>
      <w:r/>
      <w:bookmarkEnd w:id="55"/>
      <w:r/>
      <w:bookmarkEnd w:id="56"/>
      <w:r>
        <w:rPr>
          <w:lang w:bidi="en-US"/>
        </w:rPr>
        <w:t xml:space="preserve">Пр</w:t>
      </w:r>
      <w:r>
        <w:rPr>
          <w:lang w:bidi="en-US"/>
        </w:rPr>
        <w:t xml:space="preserve">именяемые Исполнителем меры обеспечения информационной безопасности в ходе оказания услуг должны быть достаточными для предотвращения рисков, связанных с возможным нарушением конфиденциальности, целостности и доступности информации, содержащейся в Системе.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</w:pPr>
      <w:r>
        <w:rPr>
          <w:lang w:bidi="en-US"/>
        </w:rPr>
        <w:t xml:space="preserve">По запросу Заказчика Исполнитель в течение 14 календарных дней с момента получения официального письма должен предоставить следующие документы, подтверждающие реализацию требований по защите информации: </w:t>
      </w:r>
      <w:r/>
    </w:p>
    <w:p>
      <w:pPr>
        <w:ind w:firstLine="851"/>
        <w:jc w:val="both"/>
        <w:spacing w:before="120" w:line="360" w:lineRule="auto"/>
      </w:pPr>
      <w:r>
        <w:rPr>
          <w:lang w:bidi="en-US"/>
        </w:rPr>
        <w:t xml:space="preserve">–</w:t>
      </w:r>
      <w:r>
        <w:rPr>
          <w:lang w:bidi="en-US"/>
        </w:rPr>
        <w:tab/>
        <w:t xml:space="preserve">документ, регламентирующий политику информационной безопасности Исполнителя;</w:t>
      </w:r>
      <w:r/>
    </w:p>
    <w:p>
      <w:pPr>
        <w:ind w:firstLine="851"/>
        <w:jc w:val="both"/>
        <w:spacing w:before="120" w:line="360" w:lineRule="auto"/>
      </w:pPr>
      <w:r>
        <w:rPr>
          <w:lang w:bidi="en-US"/>
        </w:rPr>
        <w:t xml:space="preserve">–</w:t>
      </w:r>
      <w:r>
        <w:rPr>
          <w:lang w:bidi="en-US"/>
        </w:rPr>
        <w:tab/>
        <w:t xml:space="preserve">план реагирования на компьютерные инциденты;</w:t>
      </w:r>
      <w:r/>
    </w:p>
    <w:p>
      <w:pPr>
        <w:ind w:firstLine="851"/>
        <w:jc w:val="both"/>
        <w:spacing w:before="120" w:line="360" w:lineRule="auto"/>
      </w:pPr>
      <w:r>
        <w:rPr>
          <w:lang w:bidi="en-US"/>
        </w:rPr>
        <w:t xml:space="preserve">–</w:t>
      </w:r>
      <w:r>
        <w:rPr>
          <w:lang w:bidi="en-US"/>
        </w:rPr>
        <w:tab/>
        <w:t xml:space="preserve">регламент действий работников в случае возникновения нештатных ситуаций информационной безопасности;</w:t>
      </w:r>
      <w:r/>
    </w:p>
    <w:p>
      <w:pPr>
        <w:ind w:firstLine="851"/>
        <w:jc w:val="both"/>
        <w:spacing w:before="120" w:line="360" w:lineRule="auto"/>
      </w:pPr>
      <w:r>
        <w:rPr>
          <w:lang w:bidi="en-US"/>
        </w:rPr>
        <w:t xml:space="preserve">–</w:t>
      </w:r>
      <w:r>
        <w:rPr>
          <w:lang w:bidi="en-US"/>
        </w:rPr>
        <w:tab/>
      </w:r>
      <w:r>
        <w:rPr>
          <w:lang w:bidi="en-US"/>
        </w:rPr>
        <w:t xml:space="preserve">результаты внутренних (внешних) аудитов информационной безопасности информационной инфраструктуры Исполнителя (при наличии);</w:t>
      </w:r>
      <w:r/>
    </w:p>
    <w:p>
      <w:pPr>
        <w:ind w:firstLine="851"/>
        <w:jc w:val="both"/>
        <w:spacing w:before="120" w:line="360" w:lineRule="auto"/>
        <w:rPr>
          <w:lang w:bidi="en-US"/>
        </w:rPr>
      </w:pPr>
      <w:r>
        <w:rPr>
          <w:lang w:bidi="en-US"/>
        </w:rPr>
        <w:t xml:space="preserve">–</w:t>
      </w:r>
      <w:r>
        <w:rPr>
          <w:lang w:bidi="en-US"/>
        </w:rPr>
        <w:tab/>
        <w:t xml:space="preserve">результаты тестирования на проникновение инфраструктуры Исполнителя (при наличии).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Если по вине Исполнителя произошло нарушение конфиденциальности и/или целостности, и/или доступности информации, содержащейся в Системе, то Исполнитель несет ответственность за такое нарушение в соответствии с законодательством РФ.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В</w:t>
      </w:r>
      <w:r>
        <w:rPr>
          <w:lang w:bidi="en-US"/>
        </w:rPr>
        <w:t xml:space="preserve"> случае возникновения событий информационной безопасности в инфраструктуре Исполнителя, которые могут повлечь за собой возникновение инцидентов информационной безопасности в Системе и/или ЦОД ППК (далее – Событие ИБ) Исполнитель обязан уведомить Заказчика </w:t>
      </w:r>
      <w:r>
        <w:rPr>
          <w:lang w:bidi="en-US"/>
        </w:rPr>
        <w:t xml:space="preserve">и Министерство информационного ра</w:t>
      </w:r>
      <w:r>
        <w:rPr>
          <w:lang w:bidi="en-US"/>
        </w:rPr>
        <w:t xml:space="preserve">звития и связи Пермского края в течение 1 календарного дня с момента обнаружения События ИБ с подробным описанием причины возникновения, принятых мер по устранению События ИБ, принятые меры по недопущению возникновения аналогичного события ИБ в дальнейшем.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Имена и пароли, используемые Исполнителем, атрибуты доступа и иная предоставленная Заказчиком для оказания услуг в рамках настоящего ТЗ информация:</w:t>
      </w:r>
      <w:r>
        <w:rPr>
          <w:lang w:bidi="en-US"/>
        </w:rPr>
      </w:r>
      <w:r>
        <w:rPr>
          <w:lang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должна передаваться с использованием способов, исключающих возможность несанкционированного доступа к информации третьих лиц;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/>
      <w:bookmarkStart w:id="58" w:name="_Hlk135058219"/>
      <w:r>
        <w:rPr>
          <w:rFonts w:eastAsia="Calibri"/>
          <w:shd w:val="clear" w:color="auto" w:fill="ffffff"/>
          <w:lang w:eastAsia="en-US" w:bidi="en-US"/>
        </w:rPr>
        <w:t xml:space="preserve">не должна храниться в каком-либо электронном виде у Исполнителя (кроме случаев, когда это необходимо для оказания услуг);</w:t>
      </w:r>
      <w:bookmarkEnd w:id="58"/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не должна использоваться после оказания услуг, после передачи Заказчику должна быть уничтожена Исполнителем по окончании оказания услуг.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ind w:firstLine="850"/>
        <w:jc w:val="both"/>
        <w:spacing w:line="360" w:lineRule="auto"/>
        <w:widowControl w:val="off"/>
      </w:pPr>
      <w:r>
        <w:rPr>
          <w:rFonts w:eastAsia="Calibri"/>
          <w:shd w:val="clear" w:color="auto" w:fill="ffffff"/>
          <w:lang w:eastAsia="en-US" w:bidi="en-US"/>
        </w:rPr>
        <w:t xml:space="preserve">В рамках оказания услуг Исполнитель должен соблюдать следующие правила парольной политики (длина паролей должна быть не менее 10 символов, пароли должны содержать буквы верхнего и нижнего регистра (A-Я, A-Z, a-я, a-z), специальные символы </w:t>
      </w:r>
      <w:r>
        <w:rPr>
          <w:rFonts w:eastAsia="Calibri"/>
          <w:shd w:val="clear" w:color="auto" w:fill="ffffff"/>
          <w:lang w:eastAsia="en-US" w:bidi="en-US"/>
        </w:rPr>
        <w:br/>
      </w:r>
      <w:r>
        <w:rPr>
          <w:rFonts w:eastAsia="Calibri"/>
          <w:shd w:val="clear" w:color="auto" w:fill="ffffff"/>
          <w:lang w:eastAsia="en-US" w:bidi="en-US"/>
        </w:rPr>
        <w:t xml:space="preserve">(!, », №, %, *, /), в паролях не должно быть персонифицированной информации (имен, адресов, даты рождения, телефонов)).</w:t>
      </w:r>
      <w:r/>
    </w:p>
    <w:p>
      <w:pPr>
        <w:ind w:firstLine="851"/>
        <w:jc w:val="both"/>
        <w:spacing w:line="360" w:lineRule="auto"/>
        <w:rPr>
          <w:rFonts w:eastAsia="Calibri"/>
          <w:shd w:val="clear" w:color="auto" w:fill="ffffff"/>
          <w:lang w:eastAsia="en-US" w:bidi="en-US"/>
        </w:rPr>
      </w:pPr>
      <w:r/>
      <w:bookmarkStart w:id="59" w:name="_Hlk134001507"/>
      <w:r>
        <w:rPr>
          <w:rFonts w:eastAsia="Calibri"/>
          <w:shd w:val="clear" w:color="auto" w:fill="ffffff"/>
          <w:lang w:eastAsia="en-US" w:bidi="en-US"/>
        </w:rPr>
        <w:t xml:space="preserve">Уничтожение информации на машинных или бумажных носителях должно сопровождаться актом уничтожения носителя конфиденциальной информации. Уничтожение бумажных носителей осуществляется специальными средствами (шредер), уничтожение информации на электронных но</w:t>
      </w:r>
      <w:r>
        <w:rPr>
          <w:rFonts w:eastAsia="Calibri"/>
          <w:shd w:val="clear" w:color="auto" w:fill="ffffff"/>
          <w:lang w:eastAsia="en-US" w:bidi="en-US"/>
        </w:rPr>
        <w:t xml:space="preserve">сителях совершается путем записи случайной последовательности на место удаленной информации в освобождаемую область диска. Для большей надежности может быть выполнено несколько циклов затирания. Акт уничтожения носителя конфиденциальной информации, подгото</w:t>
      </w:r>
      <w:r>
        <w:rPr>
          <w:rFonts w:eastAsia="Calibri"/>
          <w:shd w:val="clear" w:color="auto" w:fill="ffffff"/>
          <w:lang w:eastAsia="en-US" w:bidi="en-US"/>
        </w:rPr>
        <w:t xml:space="preserve">вленный Исполнителем в произвольной форме, должен быть предоставлен в составе отчетной документации при необходимости.</w:t>
      </w:r>
      <w:bookmarkEnd w:id="59"/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ind w:firstLine="851"/>
        <w:jc w:val="both"/>
        <w:spacing w:line="360" w:lineRule="auto"/>
      </w:pPr>
      <w:r>
        <w:t xml:space="preserve">Внесение изменений в систему защиты информации Системы в рамках оказания услуг в соответствии с настоящим ТЗ не входит в состав услуг по </w:t>
      </w:r>
      <w:r>
        <w:rPr>
          <w:rFonts w:eastAsia="Calibri"/>
          <w:shd w:val="clear" w:color="auto" w:fill="ffffff"/>
          <w:lang w:eastAsia="en-US" w:bidi="en-US"/>
        </w:rPr>
        <w:t xml:space="preserve">сопровождению и эксплуатации</w:t>
      </w:r>
      <w:r>
        <w:rPr>
          <w:color w:val="0000ff"/>
        </w:rPr>
        <w:t xml:space="preserve"> </w:t>
      </w:r>
      <w:r>
        <w:t xml:space="preserve">Системы.</w:t>
      </w:r>
      <w:r/>
    </w:p>
    <w:p>
      <w:pPr>
        <w:ind w:firstLine="851"/>
        <w:jc w:val="both"/>
        <w:spacing w:line="360" w:lineRule="auto"/>
      </w:pPr>
      <w:r>
        <w:t xml:space="preserve">При этом, в связи с наличием в составе ПО Системы, представленного в Таблице 7 ТЗ, сертифицированных ФСТЭК России средств защиты информации, а также необходимости их сопровождения и эксплуатации, Исполнитель и</w:t>
      </w:r>
      <w:r>
        <w:t xml:space="preserve">ли соисполнитель должен обладать действующей лицензией ФСТЭК России на деятельность по технической защите</w:t>
      </w:r>
      <w:r>
        <w:t xml:space="preserve"> конфиденциальной информации, выданной после вступления в силу постановления Правительства Российской Федерации от 03.02.2012 г. №79 «О лицензировании деятельности по технической защите конфиденциальной информации», включающей следующие виды работ (услуг):</w:t>
      </w:r>
      <w:r/>
    </w:p>
    <w:p>
      <w:pPr>
        <w:ind w:firstLine="851"/>
        <w:jc w:val="both"/>
        <w:spacing w:line="360" w:lineRule="auto"/>
      </w:pPr>
      <w:r>
        <w:t xml:space="preserve">е) услуги по установке, монтажу, наладке, испытаниям, ремонту средств защиты информации (программных (программно-технических) средств защиты информации).</w:t>
      </w:r>
      <w:r/>
    </w:p>
    <w:p>
      <w:pPr>
        <w:ind w:firstLine="851"/>
        <w:jc w:val="both"/>
        <w:spacing w:line="360" w:lineRule="auto"/>
      </w:pPr>
      <w:r>
        <w:t xml:space="preserve">Исполнитель обязан предоставить на этапе Подготовительных мероприятий документы, подтверждающие исполнение вышеуказанного требования (лицензия, выданная Исполнителю / договор с соисполнителем и лицензия, выданная ему, или др.).</w:t>
      </w:r>
      <w:r/>
    </w:p>
    <w:p>
      <w:pPr>
        <w:ind w:firstLine="851"/>
        <w:jc w:val="both"/>
        <w:spacing w:line="360" w:lineRule="auto"/>
        <w:rPr>
          <w:highlight w:val="white"/>
        </w:rPr>
      </w:pPr>
      <w:r>
        <w:t xml:space="preserve">И</w:t>
      </w:r>
      <w:r>
        <w:rPr>
          <w:highlight w:val="white"/>
        </w:rPr>
        <w:t xml:space="preserve">сполнителю в ходе оказания услуг в рамках настоящего ТЗ запрещается: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удалять сервисные учетные записи и иные учетные записи, созданные Заказчиком на виртуальных серверах Системы для обеспечения корректного функционирования Системы, без согласования с Заказчиком;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самостоятельно менять пароли от сервисных учетных записей и иных учетных записей, созданных Заказчиком на виртуальных серверах Системы для обеспечения корректного функционирования Системы, без согласования с Заказчиком;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ограничивать доступ Заказчика до виртуальных серверов Системы;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numPr>
          <w:ilvl w:val="0"/>
          <w:numId w:val="23"/>
        </w:numPr>
        <w:ind w:left="850" w:hanging="425"/>
        <w:jc w:val="both"/>
        <w:spacing w:line="360" w:lineRule="auto"/>
        <w:widowControl w:val="off"/>
        <w:rPr>
          <w:rFonts w:eastAsia="Calibri"/>
          <w:shd w:val="clear" w:color="auto" w:fill="ffffff"/>
          <w:lang w:eastAsia="en-US" w:bidi="en-US"/>
        </w:rPr>
      </w:pPr>
      <w:r>
        <w:rPr>
          <w:rFonts w:eastAsia="Calibri"/>
          <w:shd w:val="clear" w:color="auto" w:fill="ffffff"/>
          <w:lang w:eastAsia="en-US" w:bidi="en-US"/>
        </w:rPr>
        <w:t xml:space="preserve">удалять или самостоятельно вносить изменения в установленное ПО на виртуальные сервера Системы, реализующее функции антивирусной защиты информации, защиты от несанкционированного доступа, аудита Системы, резервного копирования, мониторинга событий.</w:t>
      </w:r>
      <w:r>
        <w:rPr>
          <w:rFonts w:eastAsia="Calibri"/>
          <w:shd w:val="clear" w:color="auto" w:fill="ffffff"/>
          <w:lang w:eastAsia="en-US" w:bidi="en-US"/>
        </w:rPr>
      </w:r>
      <w:r>
        <w:rPr>
          <w:rFonts w:eastAsia="Calibri"/>
          <w:shd w:val="clear" w:color="auto" w:fill="ffffff"/>
          <w:lang w:eastAsia="en-US"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/>
      <w:bookmarkStart w:id="60" w:name="_Hlk119404776"/>
      <w:r>
        <w:rPr>
          <w:lang w:bidi="en-US"/>
        </w:rPr>
        <w:t xml:space="preserve">Оказание услуг не должно предусматривать изменения реализованных решений по защите информации в Системе и не должно оказывать негативного влияния на защищенность Системы в целом.</w:t>
      </w:r>
      <w:bookmarkEnd w:id="60"/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highlight w:val="white"/>
        </w:rPr>
      </w:pPr>
      <w:r>
        <w:t xml:space="preserve">При оказании услуг в рамках настоящего ТЗ доступ Исполнителя к ресурсам Заказчика, в том числе в ЦОД ППК, д</w:t>
      </w:r>
      <w:r>
        <w:t xml:space="preserve">ля подключения к виртуальным серверам Системы должен осуществляться только по защищенному каналу связи с использованием средств криптографической защиты информации и должен быть прекращен после оказания услуг. Средства криптографической защиты информации (</w:t>
      </w:r>
      <w:r>
        <w:t xml:space="preserve">VipNet</w:t>
      </w:r>
      <w:r>
        <w:t xml:space="preserve"> Client – сеть 1321) приобретаются Исполнителем самостоятельно в рамках цены Контракта</w:t>
      </w:r>
      <w:r>
        <w:rPr>
          <w:highlight w:val="white"/>
        </w:rPr>
        <w:t xml:space="preserve">. В соответствии с п.1 ч.1 статьи 33 Федерального закона от 5 апреля 2013 г. Nº 44-ФЗ «О контрактной системе в сфере закупок товаров, работ, усл</w:t>
      </w:r>
      <w:r>
        <w:rPr>
          <w:highlight w:val="white"/>
        </w:rPr>
        <w:t xml:space="preserve">уг для обеспечения государственных и муниципальных нужд» приобретение эквивалента не допустимо в связи с необходимостью обеспечения совместимости и взаимодействия с эксплуатируемой Заказчиком системой криптографической защиты информации и защищенной сетью </w:t>
      </w:r>
      <w:r>
        <w:rPr>
          <w:highlight w:val="white"/>
        </w:rPr>
        <w:t xml:space="preserve">VipNet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851"/>
        <w:jc w:val="both"/>
        <w:spacing w:line="360" w:lineRule="auto"/>
        <w:rPr>
          <w:rFonts w:eastAsia="Calibri"/>
        </w:rPr>
      </w:pPr>
      <w:r>
        <w:t xml:space="preserve">К автоматизированным рабочим местам Исполнителя, с которых</w:t>
      </w:r>
      <w:r>
        <w:rPr>
          <w:rFonts w:eastAsia="Calibri"/>
          <w:shd w:val="clear" w:color="auto" w:fill="ffffff"/>
        </w:rPr>
        <w:t xml:space="preserve"> осуществляется подключение к Системе в ходе оказания услуг, должна быть исключена возможность несанкционированного доступа третьих лиц. На автоматизированных рабочих местах </w:t>
      </w:r>
      <w:r>
        <w:t xml:space="preserve">и серверах </w:t>
      </w:r>
      <w:r>
        <w:rPr>
          <w:rFonts w:eastAsia="Calibri"/>
          <w:shd w:val="clear" w:color="auto" w:fill="ffffff"/>
        </w:rPr>
        <w:t xml:space="preserve">Исполнителя, с которых осуществляется подключение к Системе в ходе оказания услуг, должна быть обеспечена антивирусная защита информации. </w:t>
      </w:r>
      <w:r>
        <w:t xml:space="preserve">При этом для доступа к инфраструктуре Заказчика должны использоваться средства вычислительной техники, которые не использ</w:t>
      </w:r>
      <w:r>
        <w:t xml:space="preserve">уются в личных целях и к которым применяются корпоративные меры Исполнителя по информационной безопасности.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851"/>
        <w:jc w:val="both"/>
        <w:spacing w:line="360" w:lineRule="auto"/>
      </w:pPr>
      <w:r>
        <w:rPr>
          <w:rFonts w:eastAsia="Calibri"/>
          <w:shd w:val="clear" w:color="auto" w:fill="ffffff"/>
        </w:rPr>
        <w:t xml:space="preserve">Исполнителю в рамках оказания услуг рекомендуется соблюдать следующие базовые меры по информационной безопасности, а именно:</w:t>
      </w:r>
      <w:r/>
    </w:p>
    <w:p>
      <w:pPr>
        <w:ind w:firstLine="851"/>
        <w:jc w:val="both"/>
        <w:spacing w:line="360" w:lineRule="auto"/>
      </w:pPr>
      <w:r>
        <w:rPr>
          <w:rFonts w:eastAsia="Calibri"/>
          <w:shd w:val="clear" w:color="auto" w:fill="ffffff"/>
        </w:rPr>
        <w:t xml:space="preserve">–</w:t>
      </w:r>
      <w:r>
        <w:rPr>
          <w:rFonts w:eastAsia="Calibri"/>
          <w:shd w:val="clear" w:color="auto" w:fill="ffffff"/>
        </w:rPr>
        <w:tab/>
        <w:t xml:space="preserve"> двухфакторная аутентификация пользователей;</w:t>
      </w:r>
      <w:r/>
    </w:p>
    <w:p>
      <w:pPr>
        <w:ind w:firstLine="851"/>
        <w:jc w:val="both"/>
        <w:spacing w:line="360" w:lineRule="auto"/>
      </w:pPr>
      <w:r>
        <w:rPr>
          <w:rFonts w:eastAsia="Calibri"/>
          <w:shd w:val="clear" w:color="auto" w:fill="ffffff"/>
        </w:rPr>
        <w:t xml:space="preserve">–</w:t>
      </w:r>
      <w:r>
        <w:rPr>
          <w:rFonts w:eastAsia="Calibri"/>
          <w:shd w:val="clear" w:color="auto" w:fill="ffffff"/>
        </w:rPr>
        <w:tab/>
        <w:t xml:space="preserve">защита почтовых сервисов от фишинга;</w:t>
      </w:r>
      <w:r/>
    </w:p>
    <w:p>
      <w:pPr>
        <w:ind w:firstLine="851"/>
        <w:jc w:val="both"/>
        <w:spacing w:line="360" w:lineRule="auto"/>
      </w:pPr>
      <w:r>
        <w:rPr>
          <w:rFonts w:eastAsia="Calibri"/>
          <w:shd w:val="clear" w:color="auto" w:fill="ffffff"/>
        </w:rPr>
        <w:t xml:space="preserve">–</w:t>
      </w:r>
      <w:r>
        <w:rPr>
          <w:rFonts w:eastAsia="Calibri"/>
          <w:shd w:val="clear" w:color="auto" w:fill="ffffff"/>
        </w:rPr>
        <w:tab/>
        <w:t xml:space="preserve">защищенный обмен файлами и информацией через файловое хранилище;</w:t>
      </w:r>
      <w:r/>
    </w:p>
    <w:p>
      <w:pPr>
        <w:ind w:firstLine="851"/>
        <w:jc w:val="both"/>
        <w:spacing w:line="360" w:lineRule="auto"/>
      </w:pPr>
      <w:r>
        <w:rPr>
          <w:rFonts w:eastAsia="Calibri"/>
          <w:shd w:val="clear" w:color="auto" w:fill="ffffff"/>
        </w:rPr>
        <w:t xml:space="preserve">–</w:t>
      </w:r>
      <w:r>
        <w:rPr>
          <w:rFonts w:eastAsia="Calibri"/>
          <w:shd w:val="clear" w:color="auto" w:fill="ffffff"/>
        </w:rPr>
        <w:tab/>
        <w:t xml:space="preserve">обеспечение процесса управления уязвимостями.</w:t>
      </w:r>
      <w:r/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Исполнитель должен ограничить круг лиц, привлекаемых к оказанию услуг в рамках настоящего ТЗ, а также предоставлять минимально достаточный уровень доступа уполномоченным специалистам в зависимости от должностных обязанностей в рамках оказания услуг.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В ходе оказания услуг запрещается использование Исполнителем следующего программного обеспечения для удаленного управления (</w:t>
      </w:r>
      <w:r>
        <w:rPr>
          <w:lang w:bidi="en-US"/>
        </w:rPr>
        <w:t xml:space="preserve">TeamViewer</w:t>
      </w:r>
      <w:r>
        <w:rPr>
          <w:lang w:bidi="en-US"/>
        </w:rPr>
        <w:t xml:space="preserve">, </w:t>
      </w:r>
      <w:r>
        <w:rPr>
          <w:lang w:bidi="en-US"/>
        </w:rPr>
        <w:t xml:space="preserve">AnyDesk</w:t>
      </w:r>
      <w:r>
        <w:rPr>
          <w:lang w:bidi="en-US"/>
        </w:rPr>
        <w:t xml:space="preserve">, </w:t>
      </w:r>
      <w:r>
        <w:rPr>
          <w:lang w:bidi="en-US"/>
        </w:rPr>
        <w:t xml:space="preserve">AmmyAdmin</w:t>
      </w:r>
      <w:r>
        <w:rPr>
          <w:lang w:bidi="en-US"/>
        </w:rPr>
        <w:t xml:space="preserve">, </w:t>
      </w:r>
      <w:r>
        <w:rPr>
          <w:lang w:bidi="en-US"/>
        </w:rPr>
        <w:t xml:space="preserve">AeroAdmin</w:t>
      </w:r>
      <w:r>
        <w:rPr>
          <w:lang w:bidi="en-US"/>
        </w:rPr>
        <w:t xml:space="preserve">, </w:t>
      </w:r>
      <w:r>
        <w:rPr>
          <w:lang w:bidi="en-US"/>
        </w:rPr>
        <w:t xml:space="preserve">Radmin</w:t>
      </w:r>
      <w:r>
        <w:rPr>
          <w:lang w:bidi="en-US"/>
        </w:rPr>
        <w:t xml:space="preserve">, </w:t>
      </w:r>
      <w:r>
        <w:rPr>
          <w:lang w:bidi="en-US"/>
        </w:rPr>
        <w:t xml:space="preserve">LiteManager</w:t>
      </w:r>
      <w:r>
        <w:rPr>
          <w:lang w:bidi="en-US"/>
        </w:rPr>
        <w:t xml:space="preserve">, Удаленный рабочий стол </w:t>
      </w:r>
      <w:r>
        <w:rPr>
          <w:lang w:bidi="en-US"/>
        </w:rPr>
        <w:t xml:space="preserve">Chrome</w:t>
      </w:r>
      <w:r>
        <w:rPr>
          <w:lang w:bidi="en-US"/>
        </w:rPr>
        <w:t xml:space="preserve">, Microsoft Remote </w:t>
      </w:r>
      <w:r>
        <w:rPr>
          <w:lang w:bidi="en-US"/>
        </w:rPr>
        <w:t xml:space="preserve">Assistance</w:t>
      </w:r>
      <w:r>
        <w:rPr>
          <w:lang w:bidi="en-US"/>
        </w:rPr>
        <w:t xml:space="preserve">, Microsoft</w:t>
      </w:r>
      <w:r>
        <w:rPr>
          <w:lang w:bidi="en-US"/>
        </w:rPr>
        <w:t xml:space="preserve"> Remote Desktop) для подключения к инфраструктуре Заказчика.</w:t>
      </w:r>
      <w:r>
        <w:rPr>
          <w:lang w:bidi="en-US"/>
        </w:rPr>
      </w:r>
      <w:r>
        <w:rPr>
          <w:lang w:bidi="en-US"/>
        </w:rPr>
      </w:r>
    </w:p>
    <w:p>
      <w:pPr>
        <w:ind w:firstLine="851"/>
        <w:jc w:val="both"/>
        <w:spacing w:line="360" w:lineRule="auto"/>
        <w:rPr>
          <w:lang w:bidi="en-US"/>
        </w:rPr>
      </w:pPr>
      <w:r>
        <w:rPr>
          <w:lang w:bidi="en-US"/>
        </w:rPr>
        <w:t xml:space="preserve">По требованию Заказчика и с целью повышения защищенности ресурсов Систем</w:t>
      </w:r>
      <w:r>
        <w:rPr>
          <w:lang w:bidi="en-US"/>
        </w:rPr>
        <w:t xml:space="preserve">ы порядок предоставления доступа к ресурсам ЦОД ППК Заказчика может быть усилен дополнительными мерами по защите информации с предварительным уведомлением Исполнителя не менее, чем за 5 рабочих дней. Реализация дополнительных мер обеспечивается Заказчиком.</w:t>
      </w:r>
      <w:r>
        <w:rPr>
          <w:lang w:bidi="en-US"/>
        </w:rPr>
      </w:r>
      <w:r>
        <w:rPr>
          <w:lang w:bidi="en-US"/>
        </w:rPr>
      </w:r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69" w:name="_Toc26"/>
      <w:r/>
      <w:bookmarkEnd w:id="57"/>
      <w:r>
        <w:rPr>
          <w:sz w:val="28"/>
          <w:szCs w:val="28"/>
        </w:rPr>
        <w:t xml:space="preserve">Требования к услугам по сопровождению и эксплуатации Системы</w:t>
      </w:r>
      <w:bookmarkEnd w:id="26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64"/>
        <w:spacing w:before="120"/>
        <w:rPr>
          <w:sz w:val="24"/>
        </w:rPr>
      </w:pPr>
      <w:r/>
      <w:bookmarkStart w:id="62" w:name="_34g0dwd"/>
      <w:r/>
      <w:bookmarkEnd w:id="62"/>
      <w:r>
        <w:rPr>
          <w:rStyle w:val="1553"/>
          <w:sz w:val="24"/>
          <w:szCs w:val="24"/>
        </w:rPr>
        <w:t xml:space="preserve">Оказание услуг происходит в рамках этапов 1 - 3 после завершения выполнения Подготовительных мероприятий</w:t>
      </w:r>
      <w:r>
        <w:rPr>
          <w:sz w:val="24"/>
        </w:rPr>
        <w:t xml:space="preserve">.</w:t>
      </w:r>
      <w:r>
        <w:rPr>
          <w:sz w:val="24"/>
        </w:rPr>
      </w:r>
      <w:r>
        <w:rPr>
          <w:sz w:val="24"/>
        </w:rPr>
      </w:r>
    </w:p>
    <w:p>
      <w:pPr>
        <w:pStyle w:val="1564"/>
        <w:rPr>
          <w:sz w:val="24"/>
        </w:rPr>
      </w:pPr>
      <w:r>
        <w:rPr>
          <w:sz w:val="24"/>
        </w:rPr>
        <w:t xml:space="preserve">Состав услуг, оказываемых на каждом этапе, приведен ниже </w:t>
      </w:r>
      <w:r>
        <w:rPr>
          <w:rStyle w:val="1553"/>
          <w:sz w:val="24"/>
          <w:szCs w:val="24"/>
        </w:rPr>
        <w:t xml:space="preserve">(Таблица 9)</w:t>
      </w:r>
      <w:r>
        <w:rPr>
          <w:sz w:val="24"/>
        </w:rPr>
        <w:t xml:space="preserve">.</w:t>
      </w:r>
      <w:r>
        <w:rPr>
          <w:sz w:val="24"/>
        </w:rPr>
      </w:r>
      <w:r>
        <w:rPr>
          <w:sz w:val="24"/>
        </w:rPr>
      </w:r>
    </w:p>
    <w:p>
      <w:pPr>
        <w:pStyle w:val="1499"/>
        <w:ind w:firstLine="0"/>
        <w:keepNext/>
        <w:spacing w:line="360" w:lineRule="auto"/>
        <w:rPr>
          <w:color w:val="000000"/>
        </w:rPr>
      </w:pPr>
      <w:r>
        <w:rPr>
          <w:color w:val="000000"/>
        </w:rPr>
        <w:t xml:space="preserve">Таблица 9 – Услуги по сопровождению и эксплуатации Системы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488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1555"/>
        <w:gridCol w:w="7933"/>
      </w:tblGrid>
      <w:tr>
        <w:tblPrEx/>
        <w:trPr>
          <w:trHeight w:val="40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b/>
              </w:rPr>
            </w:pPr>
            <w:r/>
            <w:bookmarkStart w:id="63" w:name="_1jlao46"/>
            <w:r/>
            <w:bookmarkEnd w:id="63"/>
            <w:r>
              <w:rPr>
                <w:b/>
              </w:rPr>
              <w:t xml:space="preserve">Этап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b/>
              </w:rPr>
            </w:pPr>
            <w:r>
              <w:rPr>
                <w:b/>
              </w:rPr>
              <w:t xml:space="preserve">Услуга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restart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tabs>
                <w:tab w:val="left" w:pos="2174" w:leader="none"/>
              </w:tabs>
            </w:pPr>
            <w:r/>
            <w:bookmarkStart w:id="64" w:name="_43ky6rz"/>
            <w:r/>
            <w:bookmarkStart w:id="65" w:name="_2iq8gzs"/>
            <w:r/>
            <w:bookmarkEnd w:id="64"/>
            <w:r/>
            <w:bookmarkEnd w:id="65"/>
            <w:r>
              <w:t xml:space="preserve">1 (первый)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поддержке Пользователей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решению инцидентов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мониторингу и обеспечению доступности и работоспособности (производительности)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регламентному обслуживанию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  <w:color w:val="000000" w:themeColor="text1"/>
              </w:rPr>
            </w:pPr>
            <w:r>
              <w:t xml:space="preserve">Услуга по обеспечению обновления Системы </w:t>
            </w:r>
            <w:r>
              <w:rPr>
                <w:color w:val="000000" w:themeColor="text1"/>
              </w:rPr>
              <w:t xml:space="preserve">и устранению уязвимостей Системы по запросу Заказчика</w:t>
            </w:r>
            <w:r>
              <w:rPr>
                <w:rFonts w:eastAsia="Times New Roman" w:cs="Times New Roman"/>
                <w:color w:val="000000" w:themeColor="text1"/>
              </w:rPr>
            </w:r>
            <w:r>
              <w:rPr>
                <w:rFonts w:eastAsia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restart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tabs>
                <w:tab w:val="left" w:pos="2174" w:leader="none"/>
              </w:tabs>
            </w:pPr>
            <w:r>
              <w:t xml:space="preserve">2 (второй)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поддержке Пользователей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решению инцидентов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мониторингу и обеспечению доступности и работоспособности (производительности)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регламентному обслуживанию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  <w:color w:val="000000" w:themeColor="text1"/>
              </w:rPr>
            </w:pPr>
            <w:r>
              <w:t xml:space="preserve">Услуга по обеспечению обновления Системы </w:t>
            </w:r>
            <w:r>
              <w:rPr>
                <w:color w:val="000000" w:themeColor="text1"/>
              </w:rPr>
              <w:t xml:space="preserve">и устранению уязвимостей Системы по запросу Заказчика</w:t>
            </w:r>
            <w:r>
              <w:rPr>
                <w:rFonts w:eastAsia="Times New Roman" w:cs="Times New Roman"/>
                <w:color w:val="000000" w:themeColor="text1"/>
              </w:rPr>
            </w:r>
            <w:r>
              <w:rPr>
                <w:rFonts w:eastAsia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restart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tabs>
                <w:tab w:val="left" w:pos="2174" w:leader="none"/>
              </w:tabs>
            </w:pPr>
            <w:r/>
            <w:bookmarkStart w:id="66" w:name="_xvir7l"/>
            <w:r/>
            <w:bookmarkEnd w:id="66"/>
            <w:r>
              <w:t xml:space="preserve">3 (третий)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поддержке Пользователей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lang w:eastAsia="en-US"/>
              </w:rPr>
              <w:t xml:space="preserve">Услуга по решению инцидентов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мониторингу и обеспечению доступности и работоспособности (производительности)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Услуга по регламентному обслуживанию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7933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  <w:color w:val="000000" w:themeColor="text1"/>
              </w:rPr>
            </w:pPr>
            <w:r>
              <w:t xml:space="preserve">Услуга по обеспечению обновления Системы </w:t>
            </w:r>
            <w:r>
              <w:rPr>
                <w:color w:val="000000" w:themeColor="text1"/>
              </w:rPr>
              <w:t xml:space="preserve">и устранению уязвимостей Системы по запросу Заказчика</w:t>
            </w:r>
            <w:r>
              <w:rPr>
                <w:rFonts w:eastAsia="Times New Roman" w:cs="Times New Roman"/>
                <w:color w:val="000000" w:themeColor="text1"/>
              </w:rPr>
            </w:r>
            <w:r>
              <w:rPr>
                <w:rFonts w:eastAsia="Times New Roman" w:cs="Times New Roman"/>
                <w:color w:val="000000" w:themeColor="text1"/>
              </w:rPr>
            </w:r>
          </w:p>
        </w:tc>
      </w:tr>
    </w:tbl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70" w:name="_Toc27"/>
      <w:r>
        <w:rPr>
          <w:sz w:val="28"/>
          <w:szCs w:val="28"/>
        </w:rPr>
        <w:t xml:space="preserve">Требования к мероприятиям по подготовке к оказанию услуг по сопровождению и эксплуатации Системы</w:t>
      </w:r>
      <w:bookmarkEnd w:id="27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05"/>
        <w:ind w:firstLine="850"/>
        <w:jc w:val="both"/>
        <w:spacing w:before="120"/>
      </w:pPr>
      <w:r/>
      <w:bookmarkStart w:id="68" w:name="_1x0gk37"/>
      <w:r/>
      <w:bookmarkStart w:id="69" w:name="_Hlk104566888"/>
      <w:r/>
      <w:bookmarkStart w:id="70" w:name="_Hlk119405278"/>
      <w:r/>
      <w:bookmarkEnd w:id="68"/>
      <w:r>
        <w:t xml:space="preserve">После заключения Контракта Исполнитель проводит Подго</w:t>
      </w:r>
      <w:r>
        <w:t xml:space="preserve">товительные мероприятия, которые включают: проведение организационно-штатных мероприятий Исполнителем, проверку готовности технических и программных средств, в том числе готовность средств мониторинга, для обеспечения непрерывного функционирования Системы.</w:t>
      </w:r>
      <w:r/>
    </w:p>
    <w:p>
      <w:pPr>
        <w:pStyle w:val="1505"/>
        <w:ind w:firstLine="850"/>
        <w:jc w:val="both"/>
      </w:pPr>
      <w:r/>
      <w:bookmarkStart w:id="71" w:name="_Hlk159318877"/>
      <w:r/>
      <w:bookmarkEnd w:id="69"/>
      <w:r>
        <w:t xml:space="preserve">Подготовительные м</w:t>
      </w:r>
      <w:r>
        <w:t xml:space="preserve">ероприятия должны быть завершены Исполнителем после заключения Контракта в срок, указанный в пункте 5.1 ТЗ. Вся предусмотренная пунктом </w:t>
      </w:r>
      <w:r>
        <w:br/>
      </w:r>
      <w:r>
        <w:t xml:space="preserve">5.1 ТЗ документация должна быть предоставлена Исполнителем после заключения Контракта в срок, указанный в пункте 5.1 ТЗ.</w:t>
      </w:r>
      <w:bookmarkEnd w:id="71"/>
      <w:r/>
      <w:r/>
    </w:p>
    <w:p>
      <w:pPr>
        <w:pStyle w:val="1505"/>
        <w:ind w:firstLine="851"/>
        <w:jc w:val="both"/>
      </w:pPr>
      <w:r>
        <w:t xml:space="preserve">Результат выполнения Подготовительных мероприятий фиксируется Сторонами в Протоколе проверки результатов Подготовительных мероприятий (Приложение В к настоящему ТЗ), который подписывается Сторонами в срок, </w:t>
      </w:r>
      <w:bookmarkStart w:id="72" w:name="_Hlk104566967"/>
      <w:r>
        <w:t xml:space="preserve">указанный в пункте 5.1 ТЗ.</w:t>
      </w:r>
      <w:bookmarkEnd w:id="72"/>
      <w:r/>
      <w:r/>
    </w:p>
    <w:p>
      <w:pPr>
        <w:pStyle w:val="1531"/>
        <w:ind w:firstLine="851"/>
        <w:jc w:val="both"/>
        <w:keepNext/>
        <w:spacing w:line="360" w:lineRule="auto"/>
      </w:pPr>
      <w:r/>
      <w:bookmarkStart w:id="73" w:name="_Hlk119405295"/>
      <w:r/>
      <w:bookmarkStart w:id="74" w:name="_Hlk120610019"/>
      <w:r/>
      <w:bookmarkEnd w:id="70"/>
      <w:r>
        <w:rPr>
          <w:rFonts w:ascii="Times New Roman" w:hAnsi="Times New Roman" w:eastAsia="Times New Roman" w:cs="Times New Roman"/>
          <w:color w:val="000000"/>
          <w:szCs w:val="20"/>
          <w:lang w:eastAsia="ru-RU" w:bidi="ar-SA"/>
        </w:rPr>
        <w:t xml:space="preserve">Исполнитель в течение Подготовительных мероприятий должен:</w:t>
      </w:r>
      <w:r/>
    </w:p>
    <w:p>
      <w:pPr>
        <w:pStyle w:val="1540"/>
        <w:numPr>
          <w:ilvl w:val="0"/>
          <w:numId w:val="25"/>
        </w:numPr>
        <w:contextualSpacing w:val="0"/>
        <w:ind w:left="851"/>
        <w:jc w:val="both"/>
        <w:spacing w:line="360" w:lineRule="auto"/>
        <w:widowControl w:val="off"/>
      </w:pPr>
      <w:r/>
      <w:bookmarkStart w:id="75" w:name="_Hlk122351253"/>
      <w:r/>
      <w:bookmarkStart w:id="76" w:name="_Hlk122351243"/>
      <w:r/>
      <w:bookmarkStart w:id="77" w:name="_Hlk119405434"/>
      <w:r/>
      <w:bookmarkEnd w:id="73"/>
      <w:r>
        <w:t xml:space="preserve">Определить и направить официальным письмом Заказчику документ «Перечень</w:t>
      </w:r>
      <w:r>
        <w:t xml:space="preserve"> уполномоченных специалистов Исполнителя», содержащий контактную информацию (ФИО, должность, адрес рабочей электронной почты, номер телефона) лиц, ответственных за оказание услуг со стороны Исполнителя, в т.ч. ответственного за информационную безопасность.</w:t>
      </w:r>
      <w:bookmarkEnd w:id="75"/>
      <w:r/>
      <w:r/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>
        <w:t xml:space="preserve">Запросить у Заказчика проектную и эксплуатационную документацию на Систему.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Заказчик в свою очередь должен предоставить запрошенные документы любым способом по своему усмотрению или уведомить Исполнителя об отсутствии запрошенных документов, если они не разработаны.</w:t>
      </w:r>
      <w:bookmarkStart w:id="78" w:name="_Hlk122351260"/>
      <w:r/>
      <w:bookmarkEnd w:id="76"/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>
        <w:t xml:space="preserve">Запросить официальным письмом список ответственных лиц со стороны Заказчика для подготовки Исполнителем </w:t>
      </w:r>
      <w:bookmarkStart w:id="79" w:name="_Hlk159319236"/>
      <w:r/>
      <w:bookmarkStart w:id="80" w:name="_Hlk159319224"/>
      <w:r>
        <w:t xml:space="preserve">требуемой в соответствии с пунктом 5.1 ТЗ документации</w:t>
      </w:r>
      <w:bookmarkEnd w:id="79"/>
      <w:r>
        <w:t xml:space="preserve">.</w:t>
      </w:r>
      <w:bookmarkEnd w:id="80"/>
      <w:r/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Заказчик в свою очередь должен предоставить официальным письмом перечень ответственных лиц со стороны Заказчика.</w:t>
      </w:r>
      <w:bookmarkStart w:id="81" w:name="_Hlk122351323"/>
      <w:r/>
      <w:bookmarkEnd w:id="78"/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>
        <w:t xml:space="preserve">Обеспечить актуализацию или разработку (в случае отсутствия у Заказчика анкет) Анкеты резервного копирования виртуальных машин, Анкеты постановки на инфраструктурный мониторинг, Анкеты постановки на функциональный мониторинг, </w:t>
      </w:r>
      <w:bookmarkStart w:id="82" w:name="_Hlk134177542"/>
      <w:r>
        <w:t xml:space="preserve">Анкеты настройки очереди в СУИ ПК</w:t>
      </w:r>
      <w:bookmarkEnd w:id="82"/>
      <w:r>
        <w:t xml:space="preserve">, Анкеты подключения к системе управления репозиториями кода, </w:t>
      </w:r>
      <w:bookmarkStart w:id="83" w:name="_Hlk134177574"/>
      <w:r>
        <w:t xml:space="preserve">Анкеты настройки нагрузочного тестирования, Анкеты предоставления доступа к виртуальным машинам.</w:t>
      </w:r>
      <w:bookmarkEnd w:id="83"/>
      <w:r/>
      <w:r/>
    </w:p>
    <w:p>
      <w:pPr>
        <w:pStyle w:val="1578"/>
        <w:ind w:left="851"/>
        <w:rPr>
          <w:sz w:val="24"/>
        </w:rPr>
      </w:pPr>
      <w:r/>
      <w:bookmarkStart w:id="84" w:name="_Hlk159319349"/>
      <w:r>
        <w:rPr>
          <w:sz w:val="24"/>
        </w:rPr>
        <w:t xml:space="preserve">Перечисленные </w:t>
      </w:r>
      <w:bookmarkStart w:id="85" w:name="_Hlk159319363"/>
      <w:r>
        <w:rPr>
          <w:sz w:val="24"/>
        </w:rPr>
        <w:t xml:space="preserve">анкеты предоставить Заказчику любым способом по усмотрению Заказчика</w:t>
      </w:r>
      <w:bookmarkEnd w:id="85"/>
      <w:r>
        <w:rPr>
          <w:sz w:val="24"/>
        </w:rPr>
        <w:t xml:space="preserve">.</w:t>
      </w:r>
      <w:bookmarkStart w:id="86" w:name="_Hlk122351334"/>
      <w:r/>
      <w:bookmarkEnd w:id="81"/>
      <w:r/>
      <w:bookmarkEnd w:id="84"/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>
        <w:t xml:space="preserve">Запросить у Заказчика доступ к СУИ ПК ответственным специалистам Исполнителя.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Исполнитель получает доступ к СУИ ПК путем направления соответствующих запросов посредством РСАА ПК, по ссылке </w:t>
      </w:r>
      <w:hyperlink r:id="rId32" w:tooltip="http://office.permkrai.ru/lk/register" w:history="1">
        <w:r>
          <w:rPr>
            <w:sz w:val="24"/>
          </w:rPr>
          <w:t xml:space="preserve">http://office.permkrai.ru/lk/register</w:t>
        </w:r>
      </w:hyperlink>
      <w:r>
        <w:rPr>
          <w:sz w:val="24"/>
        </w:rPr>
        <w:t xml:space="preserve">.</w:t>
      </w:r>
      <w:r>
        <w:rPr>
          <w:sz w:val="24"/>
        </w:rPr>
      </w:r>
      <w:r>
        <w:rPr>
          <w:sz w:val="24"/>
        </w:rPr>
      </w:r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Атрибуты доступа предоставляются Заказчиком любым способом по усмотрению Заказчика после получения соответствующей заявки от Исполнителя.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87" w:name="_Hlk122351387"/>
      <w:r/>
      <w:bookmarkEnd w:id="86"/>
      <w:r>
        <w:t xml:space="preserve">Разработать и направить Заказчику любым способом по усмотрению Заказчика проект Единого регламента оказания услуг, который должен содержать:</w:t>
      </w:r>
      <w:r/>
    </w:p>
    <w:p>
      <w:pPr>
        <w:pStyle w:val="1572"/>
        <w:numPr>
          <w:ilvl w:val="0"/>
          <w:numId w:val="26"/>
        </w:numPr>
        <w:contextualSpacing w:val="0"/>
        <w:ind w:left="1134" w:hanging="283"/>
        <w:jc w:val="both"/>
        <w:spacing w:line="360" w:lineRule="auto"/>
        <w:tabs>
          <w:tab w:val="left" w:pos="1985" w:leader="none"/>
        </w:tabs>
      </w:pPr>
      <w:r/>
      <w:bookmarkStart w:id="88" w:name="_Hlk159319701"/>
      <w:r>
        <w:t xml:space="preserve">Подробное описание порядка оказания каждой услуги этапа;</w:t>
      </w:r>
      <w:r/>
    </w:p>
    <w:p>
      <w:pPr>
        <w:pStyle w:val="1572"/>
        <w:numPr>
          <w:ilvl w:val="0"/>
          <w:numId w:val="26"/>
        </w:numPr>
        <w:contextualSpacing w:val="0"/>
        <w:ind w:left="1134" w:hanging="283"/>
        <w:jc w:val="both"/>
        <w:spacing w:line="360" w:lineRule="auto"/>
        <w:tabs>
          <w:tab w:val="left" w:pos="1985" w:leader="none"/>
        </w:tabs>
      </w:pPr>
      <w:r>
        <w:t xml:space="preserve">График выполнения регламентных мероприятий, включая инструкции по выполнению регламентных мероприятий;</w:t>
      </w:r>
      <w:r/>
    </w:p>
    <w:p>
      <w:pPr>
        <w:pStyle w:val="1572"/>
        <w:numPr>
          <w:ilvl w:val="0"/>
          <w:numId w:val="26"/>
        </w:numPr>
        <w:contextualSpacing w:val="0"/>
        <w:ind w:left="1134" w:hanging="283"/>
        <w:jc w:val="both"/>
        <w:spacing w:line="360" w:lineRule="auto"/>
        <w:tabs>
          <w:tab w:val="left" w:pos="1985" w:leader="none"/>
        </w:tabs>
      </w:pPr>
      <w:r>
        <w:t xml:space="preserve">План обновления;</w:t>
      </w:r>
      <w:r/>
    </w:p>
    <w:p>
      <w:pPr>
        <w:pStyle w:val="1572"/>
        <w:numPr>
          <w:ilvl w:val="0"/>
          <w:numId w:val="26"/>
        </w:numPr>
        <w:contextualSpacing w:val="0"/>
        <w:ind w:left="1134" w:hanging="283"/>
        <w:jc w:val="both"/>
        <w:spacing w:line="360" w:lineRule="auto"/>
        <w:tabs>
          <w:tab w:val="left" w:pos="1985" w:leader="none"/>
        </w:tabs>
      </w:pPr>
      <w:r>
        <w:t xml:space="preserve">Матрицу эскалации инцидентов;</w:t>
      </w:r>
      <w:r/>
    </w:p>
    <w:p>
      <w:pPr>
        <w:pStyle w:val="1572"/>
        <w:numPr>
          <w:ilvl w:val="0"/>
          <w:numId w:val="26"/>
        </w:numPr>
        <w:contextualSpacing w:val="0"/>
        <w:ind w:left="1134" w:hanging="283"/>
        <w:jc w:val="both"/>
        <w:spacing w:line="360" w:lineRule="auto"/>
        <w:tabs>
          <w:tab w:val="left" w:pos="1985" w:leader="none"/>
        </w:tabs>
      </w:pPr>
      <w:r>
        <w:t xml:space="preserve">Порядок обработки обращений и инцидентов в СУИ ПК.</w:t>
      </w:r>
      <w:r/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89" w:name="_Hlk122351396"/>
      <w:r/>
      <w:bookmarkEnd w:id="87"/>
      <w:r/>
      <w:bookmarkEnd w:id="88"/>
      <w:r>
        <w:t xml:space="preserve">Направить запрос Заказчику на дополнительную настройку СУИ ПК в соответствии с Графиком выполнения регламентных мероприятий и Матрицей эскалации инцидентов для обеспечения поддержки Пользователей и непрерывного функционирования Системы.</w:t>
      </w:r>
      <w:r/>
    </w:p>
    <w:p>
      <w:pPr>
        <w:pStyle w:val="1578"/>
        <w:ind w:left="851"/>
        <w:rPr>
          <w:sz w:val="24"/>
        </w:rPr>
      </w:pPr>
      <w:r/>
      <w:bookmarkStart w:id="90" w:name="_Hlk135060442"/>
      <w:r>
        <w:rPr>
          <w:sz w:val="24"/>
        </w:rPr>
        <w:t xml:space="preserve">Заказчик в свою очередь обеспечивает дополнительную настройку СУИ ПК в соответствии с заполненной Исполнителем Анкетой настройки очереди в СУИ ПК.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91" w:name="_Hlk122351407"/>
      <w:r/>
      <w:bookmarkEnd w:id="89"/>
      <w:r/>
      <w:bookmarkEnd w:id="90"/>
      <w:r>
        <w:t xml:space="preserve">Запросить у Заказчика доступ к Системе ответственным специалистам Исполнителя путем направления соответствующих запросов посредством РСАА ПК </w:t>
      </w:r>
      <w:bookmarkStart w:id="92" w:name="_Hlk160190163"/>
      <w:r>
        <w:t xml:space="preserve">(при необходимости).</w:t>
      </w:r>
      <w:bookmarkEnd w:id="92"/>
      <w:r/>
      <w:r/>
    </w:p>
    <w:p>
      <w:pPr>
        <w:pStyle w:val="1578"/>
        <w:ind w:left="851"/>
        <w:rPr>
          <w:sz w:val="24"/>
        </w:rPr>
      </w:pPr>
      <w:r/>
      <w:bookmarkStart w:id="93" w:name="_Hlk160190219"/>
      <w:r>
        <w:rPr>
          <w:sz w:val="24"/>
        </w:rPr>
        <w:t xml:space="preserve">Атрибуты доступа предоставляются Заказчиком любым способом по усмотрению Заказчика после получения соответствующей заявки от Исполнителя.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94" w:name="_Hlk122351419"/>
      <w:r/>
      <w:bookmarkEnd w:id="91"/>
      <w:r/>
      <w:bookmarkEnd w:id="93"/>
      <w:r>
        <w:rPr>
          <w:szCs w:val="26"/>
        </w:rPr>
        <w:t xml:space="preserve">Запросить у Заказчика доступ к виртуальным машинам Системы ответственным специалистам Исполнителя (при необходимости).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Атрибуты доступа предоставляются Заказчиком любым способом по усмотрению Заказчика после получения соответствующей заявки от Исполнителя, содержащей заполненную Исполнителем Анкету предоставления доступа к виртуальным машинам.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>
        <w:t xml:space="preserve">Запросить у Заказчика доступ к базам данных (далее – БД) Системы ответственным специалистам Исполнителя (при необходимости).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Атрибуты доступа предоставляются Заказчиком любым способом по усмотрению Заказчика после получения соответствующего запроса от Исполнителя. 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95" w:name="_Hlk122351431"/>
      <w:r/>
      <w:bookmarkEnd w:id="94"/>
      <w:r>
        <w:t xml:space="preserve">Запросить доступ к системе мониторинга Заказчика для подключения ответственных специалистов Исполнителя.</w:t>
      </w:r>
      <w:r/>
    </w:p>
    <w:p>
      <w:pPr>
        <w:pStyle w:val="1578"/>
        <w:ind w:left="851"/>
        <w:rPr>
          <w:sz w:val="24"/>
        </w:rPr>
      </w:pPr>
      <w:r/>
      <w:bookmarkStart w:id="96" w:name="_Hlk160190335"/>
      <w:r>
        <w:rPr>
          <w:sz w:val="24"/>
        </w:rPr>
        <w:t xml:space="preserve">Атрибуты доступа предоставляются Заказчиком любым способом по усмотрению Заказчика после получения соответствующей заявки от Исполнителя.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97" w:name="_Hlk122351445"/>
      <w:r/>
      <w:bookmarkEnd w:id="95"/>
      <w:r/>
      <w:bookmarkEnd w:id="96"/>
      <w:r>
        <w:t xml:space="preserve">Направить запрос Заказчику на дополнительную настройку системы мониторинга.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Заказчик обеспечивает дополнительную настройку системы мониторинга в соответствии с </w:t>
      </w:r>
      <w:bookmarkStart w:id="98" w:name="_Hlk160190376"/>
      <w:r>
        <w:rPr>
          <w:sz w:val="24"/>
        </w:rPr>
        <w:t xml:space="preserve">заполненными</w:t>
      </w:r>
      <w:bookmarkEnd w:id="98"/>
      <w:r>
        <w:rPr>
          <w:sz w:val="24"/>
        </w:rPr>
        <w:t xml:space="preserve"> </w:t>
      </w:r>
      <w:bookmarkStart w:id="99" w:name="_Hlk160190392"/>
      <w:r>
        <w:rPr>
          <w:sz w:val="24"/>
        </w:rPr>
        <w:t xml:space="preserve">Исполнителем</w:t>
      </w:r>
      <w:bookmarkEnd w:id="99"/>
      <w:r>
        <w:rPr>
          <w:sz w:val="24"/>
        </w:rPr>
        <w:t xml:space="preserve"> Анкетой постановки Системы на инфраструктурный мониторинг и </w:t>
      </w:r>
      <w:bookmarkStart w:id="100" w:name="_Hlk160190432"/>
      <w:r>
        <w:rPr>
          <w:sz w:val="24"/>
        </w:rPr>
        <w:t xml:space="preserve">Анкетой постановки Системы на </w:t>
      </w:r>
      <w:bookmarkEnd w:id="100"/>
      <w:r>
        <w:rPr>
          <w:sz w:val="24"/>
        </w:rPr>
        <w:t xml:space="preserve">функциональный мониторинг.</w:t>
      </w:r>
      <w:r>
        <w:rPr>
          <w:sz w:val="24"/>
        </w:rPr>
      </w:r>
      <w:r>
        <w:rPr>
          <w:sz w:val="24"/>
        </w:rPr>
      </w:r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По завершению настройки Исполнитель осуществляет проверку средств мониторинга.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101" w:name="_Hlk122351461"/>
      <w:r/>
      <w:bookmarkEnd w:id="97"/>
      <w:r>
        <w:t xml:space="preserve">Направить запрос Заказчику на дополнительную настройку регламентных мероприятий.</w:t>
      </w:r>
      <w:r/>
    </w:p>
    <w:p>
      <w:pPr>
        <w:pStyle w:val="1578"/>
        <w:ind w:left="851"/>
        <w:rPr>
          <w:sz w:val="24"/>
        </w:rPr>
      </w:pPr>
      <w:r>
        <w:rPr>
          <w:sz w:val="24"/>
        </w:rPr>
        <w:t xml:space="preserve">Заказчик обеспечивает дополнительную настройку регламентных мероприятий в соответствии с заполненными Исполнителем Анкетой резервного копирования виртуальных машин и Анкетой настройки нагрузочного тестирования.</w:t>
      </w:r>
      <w:r>
        <w:rPr>
          <w:sz w:val="24"/>
        </w:rPr>
      </w:r>
      <w:r>
        <w:rPr>
          <w:sz w:val="24"/>
        </w:rPr>
      </w:r>
    </w:p>
    <w:p>
      <w:pPr>
        <w:pStyle w:val="1540"/>
        <w:numPr>
          <w:ilvl w:val="0"/>
          <w:numId w:val="24"/>
        </w:numPr>
        <w:contextualSpacing w:val="0"/>
        <w:ind w:left="851"/>
        <w:jc w:val="both"/>
        <w:spacing w:line="360" w:lineRule="auto"/>
        <w:widowControl w:val="off"/>
      </w:pPr>
      <w:r/>
      <w:bookmarkStart w:id="102" w:name="_Hlk122351473"/>
      <w:r/>
      <w:bookmarkEnd w:id="101"/>
      <w:r>
        <w:t xml:space="preserve">Направить запрос Заказчику на подключение к системе управления репозиториями кода.</w:t>
      </w:r>
      <w:r/>
    </w:p>
    <w:p>
      <w:pPr>
        <w:pStyle w:val="1578"/>
        <w:ind w:left="851" w:hanging="1"/>
        <w:rPr>
          <w:sz w:val="24"/>
        </w:rPr>
      </w:pPr>
      <w:r>
        <w:rPr>
          <w:sz w:val="24"/>
        </w:rPr>
        <w:t xml:space="preserve">Заказчик обеспечивает подключение к системе управления репозиториями кода в соответствии с заполненной Исполнителем анкетой подключения к системе управления репозиториями кода.</w:t>
      </w:r>
      <w:r>
        <w:rPr>
          <w:sz w:val="24"/>
        </w:rPr>
      </w:r>
      <w:r>
        <w:rPr>
          <w:sz w:val="24"/>
        </w:rPr>
      </w:r>
    </w:p>
    <w:p>
      <w:pPr>
        <w:pStyle w:val="1505"/>
        <w:ind w:firstLine="851"/>
        <w:jc w:val="both"/>
        <w:rPr>
          <w:szCs w:val="24"/>
        </w:rPr>
      </w:pPr>
      <w:r/>
      <w:bookmarkStart w:id="103" w:name="_Hlk119405626"/>
      <w:r/>
      <w:bookmarkStart w:id="104" w:name="_Hlk122351494"/>
      <w:r/>
      <w:bookmarkEnd w:id="74"/>
      <w:r/>
      <w:bookmarkEnd w:id="77"/>
      <w:r/>
      <w:bookmarkEnd w:id="102"/>
      <w:r>
        <w:rPr>
          <w:szCs w:val="24"/>
        </w:rPr>
        <w:t xml:space="preserve">О любых изменениях контактной информации уполномоченных специалистов Стороны должны уведомить друг друга в течение 5 (пяти) рабочих дней с момента возникновения таких изменений.</w:t>
      </w:r>
      <w:r>
        <w:rPr>
          <w:szCs w:val="24"/>
        </w:rPr>
      </w:r>
      <w:r>
        <w:rPr>
          <w:szCs w:val="24"/>
        </w:rPr>
      </w:r>
    </w:p>
    <w:p>
      <w:pPr>
        <w:pStyle w:val="1505"/>
        <w:ind w:firstLine="851"/>
      </w:pPr>
      <w:r>
        <w:t xml:space="preserve">Организация сопровождения и эксплуатации Системы в рамках Подготовительных мероприятий не должна нарушать штатное функционирование Системы.</w:t>
      </w:r>
      <w:bookmarkEnd w:id="103"/>
      <w:r/>
      <w:r/>
    </w:p>
    <w:p>
      <w:pPr>
        <w:pStyle w:val="1599"/>
        <w:numPr>
          <w:ilvl w:val="2"/>
          <w:numId w:val="41"/>
        </w:numPr>
        <w:ind w:left="851"/>
        <w:tabs>
          <w:tab w:val="left" w:pos="1701" w:leader="none"/>
        </w:tabs>
        <w:rPr>
          <w:sz w:val="28"/>
          <w:szCs w:val="28"/>
        </w:rPr>
      </w:pPr>
      <w:r/>
      <w:bookmarkStart w:id="271" w:name="_Toc28"/>
      <w:r/>
      <w:bookmarkEnd w:id="104"/>
      <w:r>
        <w:rPr>
          <w:sz w:val="28"/>
          <w:szCs w:val="28"/>
        </w:rPr>
        <w:t xml:space="preserve">Требования к услугам этапов 1 - 3</w:t>
      </w:r>
      <w:bookmarkEnd w:id="27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ind w:firstLine="720"/>
        <w:spacing w:before="120" w:line="360" w:lineRule="auto"/>
        <w:rPr>
          <w:color w:val="000000"/>
        </w:rPr>
      </w:pPr>
      <w:r/>
      <w:bookmarkStart w:id="106" w:name="_4h042r0"/>
      <w:r/>
      <w:bookmarkEnd w:id="106"/>
      <w:r>
        <w:rPr>
          <w:color w:val="000000"/>
        </w:rPr>
        <w:t xml:space="preserve">Основными задачами оказания услуг этапов 1 - 3 являются:</w:t>
      </w:r>
      <w:r>
        <w:rPr>
          <w:color w:val="000000"/>
        </w:rPr>
      </w:r>
      <w:r>
        <w:rPr>
          <w:color w:val="000000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обеспечение постоянной оперативной технической, консультационной поддержки Заказчика/ Функционального заказчика;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обеспечение консультационной поддержки Пользователей по обращениям, маршрутизированным на Исполнителя;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устранение уязвимостей ПО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решение инцидентов;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оперативная установка обновлений;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настройка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диагностика сбоев;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осуществление мониторинга доступности и работоспособности (производительности)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обеспечение режима работы (доступности)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обеспечение работоспособности (производительности)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44"/>
        </w:numPr>
        <w:ind w:left="850" w:hanging="425"/>
        <w:rPr>
          <w:sz w:val="24"/>
        </w:rPr>
      </w:pPr>
      <w:r>
        <w:rPr>
          <w:sz w:val="24"/>
        </w:rPr>
        <w:t xml:space="preserve">восстановление работоспособности Системы при нештатных ситуациях.</w:t>
      </w:r>
      <w:r>
        <w:rPr>
          <w:sz w:val="24"/>
        </w:rPr>
      </w:r>
      <w:r>
        <w:rPr>
          <w:sz w:val="24"/>
        </w:rPr>
      </w:r>
    </w:p>
    <w:p>
      <w:pPr>
        <w:pStyle w:val="1499"/>
        <w:spacing w:line="360" w:lineRule="auto"/>
        <w:rPr>
          <w:color w:val="000000"/>
        </w:rPr>
      </w:pPr>
      <w:r>
        <w:t xml:space="preserve">Услуги должны оказываться на основании Единого регламента оказания услуг, разработанного и согласованного с Заказчиком в рамках Подготовительных мероприятий. Единый регламент оказания услуг может быть актуализирован и согласо</w:t>
      </w:r>
      <w:r>
        <w:t xml:space="preserve">ван с Заказчиком в течение текущего этапа оказания услуг, в том числе по требованию Заказчика. Актуализированный Единый регламент оказания услуг сдаётся в составе комплекта отчетной документации текущего этапа и начинает действовать с указанной в нем даты.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По результатам этапа оказания услуг Исполнитель формирует «Отчёт об уровне оказания услуг» по требованиям, указанным в п.6.1 настоящего ТЗ.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В рамках оказания услуг этапа Заказчик вправе запросить у Исполнителя Отчет об уровне оказания услуг за произвольный период времени по форме в соответствии с Приложением Б к настоящему ТЗ</w:t>
      </w:r>
      <w:r>
        <w:rPr>
          <w:color w:val="000000"/>
        </w:rPr>
        <w:t xml:space="preserve">. Отчет может быть запрошен как в части его отдельных разделов, так и полностью. Отчет об уровне оказания услуг за произвольный период должен быть предоставлен Исполнителем в адрес Заказчика в сроки, определенные в Приложении А настоящего ТЗ (Таблица А.3).</w:t>
      </w:r>
      <w:r>
        <w:rPr>
          <w:color w:val="000000"/>
        </w:rPr>
      </w:r>
      <w:r>
        <w:rPr>
          <w:color w:val="000000"/>
        </w:rPr>
      </w:r>
    </w:p>
    <w:p>
      <w:pPr>
        <w:pStyle w:val="1505"/>
        <w:ind w:firstLine="850"/>
        <w:jc w:val="both"/>
        <w:rPr>
          <w:rFonts w:eastAsia="WenQuanYi Micro Hei" w:cs="Lohit Devanagari"/>
          <w:color w:val="auto"/>
          <w:szCs w:val="24"/>
          <w:lang w:eastAsia="zh-CN" w:bidi="hi-IN"/>
        </w:rPr>
      </w:pPr>
      <w:r/>
      <w:bookmarkStart w:id="107" w:name="_Hlk159322288"/>
      <w:r>
        <w:rPr>
          <w:rFonts w:eastAsia="WenQuanYi Micro Hei" w:cs="Lohit Devanagari"/>
          <w:color w:val="auto"/>
          <w:szCs w:val="24"/>
          <w:lang w:eastAsia="zh-CN" w:bidi="hi-IN"/>
        </w:rPr>
        <w:t xml:space="preserve">Заявки, относящиеся к услуге по поддержке Пользователей, к услуге по решению инцидентов, к </w:t>
      </w:r>
      <w:r>
        <w:rPr>
          <w:rFonts w:eastAsia="WenQuanYi Micro Hei" w:cs="Lohit Devanagari"/>
          <w:color w:val="auto"/>
          <w:szCs w:val="24"/>
          <w:lang w:eastAsia="zh-CN" w:bidi="hi-IN"/>
        </w:rPr>
        <w:t xml:space="preserve">услуге по регламентному обслуживанию, к услуге по обеспечению обновления Системы и устранению уязвимостей Системы по запросу Заказчика и не участвующие в расчете согласно методике оценки качества по итогам этапа, должны соответствовать следующим критериям:</w:t>
      </w:r>
      <w:r>
        <w:rPr>
          <w:rFonts w:eastAsia="WenQuanYi Micro Hei" w:cs="Lohit Devanagari"/>
          <w:color w:val="auto"/>
          <w:szCs w:val="24"/>
          <w:lang w:eastAsia="zh-CN" w:bidi="hi-IN"/>
        </w:rPr>
      </w:r>
      <w:r>
        <w:rPr>
          <w:rFonts w:eastAsia="WenQuanYi Micro Hei" w:cs="Lohit Devanagari"/>
          <w:color w:val="auto"/>
          <w:szCs w:val="24"/>
          <w:lang w:eastAsia="zh-CN" w:bidi="hi-IN"/>
        </w:rPr>
      </w:r>
    </w:p>
    <w:p>
      <w:pPr>
        <w:pStyle w:val="1541"/>
        <w:numPr>
          <w:ilvl w:val="0"/>
          <w:numId w:val="29"/>
        </w:numPr>
        <w:ind w:left="850" w:hanging="425"/>
        <w:rPr>
          <w:rFonts w:eastAsia="WenQuanYi Micro Hei" w:cs="Lohit Devanagari"/>
          <w:sz w:val="24"/>
          <w:shd w:val="clear" w:color="auto" w:fill="auto"/>
          <w:lang w:eastAsia="zh-CN" w:bidi="hi-IN"/>
        </w:rPr>
      </w:pPr>
      <w:r>
        <w:rPr>
          <w:rFonts w:eastAsia="WenQuanYi Micro Hei" w:cs="Lohit Devanagari"/>
          <w:sz w:val="24"/>
          <w:shd w:val="clear" w:color="auto" w:fill="auto"/>
          <w:lang w:eastAsia="zh-CN" w:bidi="hi-IN"/>
        </w:rPr>
        <w:t xml:space="preserve">заявки, созданные для тестирования, обучения и созданные по ошибке;</w:t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</w:p>
    <w:p>
      <w:pPr>
        <w:pStyle w:val="1541"/>
        <w:numPr>
          <w:ilvl w:val="0"/>
          <w:numId w:val="28"/>
        </w:numPr>
        <w:ind w:left="850" w:hanging="425"/>
        <w:rPr>
          <w:rFonts w:eastAsia="WenQuanYi Micro Hei" w:cs="Lohit Devanagari"/>
          <w:sz w:val="24"/>
          <w:shd w:val="clear" w:color="auto" w:fill="auto"/>
          <w:lang w:eastAsia="zh-CN" w:bidi="hi-IN"/>
        </w:rPr>
      </w:pPr>
      <w:r>
        <w:rPr>
          <w:rFonts w:eastAsia="WenQuanYi Micro Hei" w:cs="Lohit Devanagari"/>
          <w:sz w:val="24"/>
          <w:shd w:val="clear" w:color="auto" w:fill="auto"/>
          <w:lang w:eastAsia="zh-CN" w:bidi="hi-IN"/>
        </w:rPr>
        <w:t xml:space="preserve">заявки, направленные не по адресу (вопрос Пользователя/Заказчика/ Функционального заказчика не относится к зоне ответственности Исполнителя по данному Контракту);</w:t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</w:p>
    <w:p>
      <w:pPr>
        <w:pStyle w:val="1541"/>
        <w:numPr>
          <w:ilvl w:val="0"/>
          <w:numId w:val="28"/>
        </w:numPr>
        <w:ind w:left="850" w:hanging="425"/>
        <w:rPr>
          <w:rFonts w:eastAsia="WenQuanYi Micro Hei" w:cs="Lohit Devanagari"/>
          <w:sz w:val="24"/>
          <w:shd w:val="clear" w:color="auto" w:fill="auto"/>
          <w:lang w:eastAsia="zh-CN" w:bidi="hi-IN"/>
        </w:rPr>
      </w:pPr>
      <w:r>
        <w:rPr>
          <w:rFonts w:eastAsia="WenQuanYi Micro Hei" w:cs="Lohit Devanagari"/>
          <w:sz w:val="24"/>
          <w:shd w:val="clear" w:color="auto" w:fill="auto"/>
          <w:lang w:eastAsia="zh-CN" w:bidi="hi-IN"/>
        </w:rPr>
        <w:t xml:space="preserve">заявки, имеющие статус «Закрыта (спам)».</w:t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  <w:r>
        <w:rPr>
          <w:rFonts w:eastAsia="WenQuanYi Micro Hei" w:cs="Lohit Devanagari"/>
          <w:sz w:val="24"/>
          <w:shd w:val="clear" w:color="auto" w:fill="auto"/>
          <w:lang w:eastAsia="zh-CN" w:bidi="hi-IN"/>
        </w:rPr>
      </w:r>
    </w:p>
    <w:p>
      <w:pPr>
        <w:pStyle w:val="1505"/>
        <w:ind w:firstLine="850"/>
        <w:jc w:val="both"/>
        <w:rPr>
          <w:rFonts w:eastAsia="WenQuanYi Micro Hei" w:cs="Lohit Devanagari"/>
          <w:color w:val="auto"/>
          <w:szCs w:val="24"/>
          <w:lang w:eastAsia="zh-CN" w:bidi="hi-IN"/>
        </w:rPr>
      </w:pPr>
      <w:r>
        <w:rPr>
          <w:rFonts w:eastAsia="WenQuanYi Micro Hei" w:cs="Lohit Devanagari"/>
          <w:color w:val="auto"/>
          <w:szCs w:val="24"/>
          <w:lang w:eastAsia="zh-CN" w:bidi="hi-IN"/>
        </w:rPr>
        <w:t xml:space="preserve">Заявки такого </w:t>
      </w:r>
      <w:r>
        <w:rPr>
          <w:rFonts w:eastAsia="WenQuanYi Micro Hei" w:cs="Lohit Devanagari"/>
          <w:color w:val="auto"/>
          <w:szCs w:val="24"/>
          <w:lang w:eastAsia="zh-CN" w:bidi="hi-IN"/>
        </w:rPr>
        <w:t xml:space="preserve">рода должны быть перенесены в Отчет об уровне оказания услуг в дополнительный раздел с исключенными объектами. Для каждой заявки в этом разделе должно быть представлено обоснование в виде комментария, на основании которого принято решение об его исключении</w:t>
      </w:r>
      <w:bookmarkStart w:id="108" w:name="_Hlk158810499"/>
      <w:r>
        <w:rPr>
          <w:rFonts w:eastAsia="WenQuanYi Micro Hei" w:cs="Lohit Devanagari"/>
          <w:color w:val="auto"/>
          <w:szCs w:val="24"/>
          <w:lang w:eastAsia="zh-CN" w:bidi="hi-IN"/>
        </w:rPr>
        <w:t xml:space="preserve"> (Приложение Б, Таблица Б.11).</w:t>
      </w:r>
      <w:bookmarkEnd w:id="107"/>
      <w:r/>
      <w:bookmarkEnd w:id="108"/>
      <w:r>
        <w:rPr>
          <w:rFonts w:eastAsia="WenQuanYi Micro Hei" w:cs="Lohit Devanagari"/>
          <w:color w:val="auto"/>
          <w:szCs w:val="24"/>
          <w:lang w:eastAsia="zh-CN" w:bidi="hi-IN"/>
        </w:rPr>
      </w:r>
      <w:r>
        <w:rPr>
          <w:rFonts w:eastAsia="WenQuanYi Micro Hei" w:cs="Lohit Devanagari"/>
          <w:color w:val="auto"/>
          <w:szCs w:val="24"/>
          <w:lang w:eastAsia="zh-CN" w:bidi="hi-IN"/>
        </w:rPr>
      </w:r>
    </w:p>
    <w:p>
      <w:pPr>
        <w:pStyle w:val="1599"/>
        <w:numPr>
          <w:ilvl w:val="3"/>
          <w:numId w:val="41"/>
        </w:numPr>
        <w:tabs>
          <w:tab w:val="left" w:pos="1701" w:leader="none"/>
        </w:tabs>
        <w:rPr>
          <w:sz w:val="26"/>
          <w:szCs w:val="26"/>
        </w:rPr>
      </w:pPr>
      <w:r/>
      <w:bookmarkStart w:id="272" w:name="_Toc29"/>
      <w:r/>
      <w:bookmarkStart w:id="109" w:name="_2w5ecyt"/>
      <w:r/>
      <w:bookmarkEnd w:id="109"/>
      <w:r>
        <w:rPr>
          <w:sz w:val="26"/>
          <w:szCs w:val="26"/>
        </w:rPr>
        <w:t xml:space="preserve">Требования к услуге по поддержке Пользователей</w:t>
      </w:r>
      <w:bookmarkEnd w:id="27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/>
      <w:bookmarkStart w:id="111" w:name="_Hlk122360745"/>
      <w:r>
        <w:t xml:space="preserve">В рамках услуги по поддержке Пользователей Исполнитель должен производить своевременную обработку и решение обращений, зарегистрированных в СУИ ПК и маршрутизированных на Исполнителя.</w:t>
      </w:r>
      <w:bookmarkEnd w:id="111"/>
      <w:r/>
      <w:r/>
    </w:p>
    <w:p>
      <w:pPr>
        <w:pStyle w:val="1505"/>
        <w:ind w:firstLine="851"/>
        <w:jc w:val="both"/>
      </w:pPr>
      <w:r>
        <w:rPr>
          <w:szCs w:val="24"/>
        </w:rPr>
        <w:t xml:space="preserve">Исполнитель должен обеспечить решение следующих видов обращений:</w:t>
      </w:r>
      <w:r/>
    </w:p>
    <w:p>
      <w:pPr>
        <w:pStyle w:val="1505"/>
        <w:numPr>
          <w:ilvl w:val="0"/>
          <w:numId w:val="52"/>
        </w:numPr>
        <w:ind w:left="850" w:hanging="425"/>
        <w:jc w:val="both"/>
        <w:rPr>
          <w:szCs w:val="24"/>
        </w:rPr>
      </w:pPr>
      <w:r>
        <w:t xml:space="preserve">консультирование Пользователей/Заказчика/Функционального заказчика по вопросам использования и эксплуатации Системы;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52"/>
        </w:numPr>
        <w:ind w:left="850" w:hanging="425"/>
        <w:jc w:val="both"/>
        <w:rPr>
          <w:szCs w:val="24"/>
        </w:rPr>
      </w:pPr>
      <w:r>
        <w:t xml:space="preserve">настройка конфигурации Системы по запросу Пользователей/Заказчика/ Функционального заказчика;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52"/>
        </w:numPr>
        <w:ind w:left="850" w:hanging="425"/>
        <w:jc w:val="both"/>
        <w:rPr>
          <w:szCs w:val="24"/>
        </w:rPr>
      </w:pPr>
      <w:r>
        <w:t xml:space="preserve">настройка прав доступа по запросу Заказчика/ Функционального заказчика;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52"/>
        </w:numPr>
        <w:ind w:left="850" w:hanging="425"/>
        <w:jc w:val="both"/>
      </w:pPr>
      <w:r>
        <w:t xml:space="preserve">формирование выборок на основании данных Системы.</w:t>
      </w:r>
      <w:r/>
    </w:p>
    <w:p>
      <w:pPr>
        <w:pStyle w:val="1505"/>
        <w:ind w:firstLine="851"/>
        <w:jc w:val="both"/>
      </w:pPr>
      <w:r>
        <w:t xml:space="preserve">Обработка обращений должна осуществляться с использованием СУИ ПК на основании Единого регламента оказания услуг в соответствии со сроками, параметрами и критериями, приведенными в приложении А к настоящему ТЗ (Таблица А.1, Таблица А.5).</w:t>
      </w:r>
      <w:r/>
    </w:p>
    <w:p>
      <w:pPr>
        <w:pStyle w:val="1505"/>
        <w:ind w:firstLine="851"/>
        <w:jc w:val="both"/>
      </w:pPr>
      <w:r/>
      <w:bookmarkStart w:id="112" w:name="_Hlk134179888"/>
      <w:r>
        <w:t xml:space="preserve">В рамках анализа полученной заявки Исполнитель проверяет корректность указанного вида обращения (в случае некорректно указанного вида обращения Исполнитель должен изменить вид обращения на корректный).</w:t>
      </w:r>
      <w:r/>
    </w:p>
    <w:p>
      <w:pPr>
        <w:pStyle w:val="1542"/>
        <w:ind w:left="0" w:firstLine="851"/>
        <w:rPr>
          <w:rFonts w:eastAsia="Times New Roman"/>
          <w:color w:val="000000"/>
          <w:szCs w:val="20"/>
          <w:shd w:val="clear" w:color="auto" w:fill="auto"/>
          <w:lang w:eastAsia="ru-RU"/>
        </w:rPr>
      </w:pPr>
      <w:r>
        <w:rPr>
          <w:rFonts w:eastAsia="Times New Roman"/>
          <w:color w:val="000000"/>
          <w:szCs w:val="20"/>
          <w:shd w:val="clear" w:color="auto" w:fill="auto"/>
          <w:lang w:eastAsia="ru-RU"/>
        </w:rPr>
        <w:t xml:space="preserve">В случае разделения службы технической поддержки на линии Испо</w:t>
      </w:r>
      <w:r>
        <w:rPr>
          <w:rFonts w:eastAsia="Times New Roman"/>
          <w:color w:val="000000"/>
          <w:szCs w:val="20"/>
          <w:shd w:val="clear" w:color="auto" w:fill="auto"/>
          <w:lang w:eastAsia="ru-RU"/>
        </w:rPr>
        <w:t xml:space="preserve">лнителя и/или Заказчика, в Едином регламенте оказания услуг должна быть описана каждая линия поддержки, распределены зоны ответственности и функционал. Показатель «Фактический срок обработки обращения» в таком случае для всех линий Исполнителя суммируется.</w:t>
      </w:r>
      <w:r>
        <w:rPr>
          <w:rFonts w:eastAsia="Times New Roman"/>
          <w:color w:val="000000"/>
          <w:szCs w:val="20"/>
          <w:shd w:val="clear" w:color="auto" w:fill="auto"/>
          <w:lang w:eastAsia="ru-RU"/>
        </w:rPr>
      </w:r>
      <w:r>
        <w:rPr>
          <w:rFonts w:eastAsia="Times New Roman"/>
          <w:color w:val="000000"/>
          <w:szCs w:val="20"/>
          <w:shd w:val="clear" w:color="auto" w:fill="auto"/>
          <w:lang w:eastAsia="ru-RU"/>
        </w:rPr>
      </w:r>
    </w:p>
    <w:p>
      <w:pPr>
        <w:pStyle w:val="1505"/>
        <w:ind w:firstLine="851"/>
        <w:jc w:val="both"/>
      </w:pPr>
      <w:r/>
      <w:bookmarkStart w:id="113" w:name="_Hlk103601656"/>
      <w:r/>
      <w:bookmarkEnd w:id="112"/>
      <w:r>
        <w:t xml:space="preserve">Если для решения вопроса Пользователя необходимо взаимодействие со смежной системой, то формируется заявка в СТП смежной системы или на Заказчика. Обращение Пользователя в таком случае переводится в ожидание </w:t>
      </w:r>
      <w:bookmarkStart w:id="114" w:name="_Hlk145931729"/>
      <w:r>
        <w:rPr>
          <w:szCs w:val="26"/>
        </w:rPr>
        <w:t xml:space="preserve">(после согласования Заказчика любым способом по усмотрению Заказчика)</w:t>
      </w:r>
      <w:bookmarkEnd w:id="114"/>
      <w:r>
        <w:rPr>
          <w:szCs w:val="26"/>
        </w:rPr>
        <w:t xml:space="preserve"> </w:t>
      </w:r>
      <w:r>
        <w:t xml:space="preserve">до получения ответа, данный период времени не учитывается в показателе «Фактический срок обработки обращения».</w:t>
      </w:r>
      <w:bookmarkEnd w:id="113"/>
      <w:r/>
      <w:r/>
    </w:p>
    <w:p>
      <w:pPr>
        <w:pStyle w:val="1505"/>
        <w:ind w:firstLine="851"/>
        <w:jc w:val="both"/>
      </w:pPr>
      <w:r>
        <w:t xml:space="preserve">Результаты оказания услуги за </w:t>
      </w:r>
      <w:r>
        <w:rPr>
          <w:rStyle w:val="1553"/>
          <w:sz w:val="26"/>
          <w:szCs w:val="26"/>
        </w:rPr>
        <w:t xml:space="preserve">этап</w:t>
      </w:r>
      <w:r>
        <w:t xml:space="preserve"> должны отражаться в Журнале обращений Пользователей по форме согласно Приложению Б к ТЗ (</w:t>
      </w:r>
      <w:r>
        <w:fldChar w:fldCharType="begin"/>
      </w:r>
      <w:r>
        <w:instrText xml:space="preserve"> REF _Ref34121557  \* MERGEFORMAT </w:instrText>
      </w:r>
      <w:r>
        <w:fldChar w:fldCharType="separate"/>
      </w:r>
      <w:r>
        <w:t xml:space="preserve">Таблица Б.3</w:t>
      </w:r>
      <w:r>
        <w:fldChar w:fldCharType="end"/>
      </w:r>
      <w:r>
        <w:t xml:space="preserve">) в составе Отчета об уровне оказания услуг.</w:t>
      </w:r>
      <w:r/>
    </w:p>
    <w:p>
      <w:pPr>
        <w:pStyle w:val="1505"/>
        <w:ind w:firstLine="851"/>
        <w:jc w:val="both"/>
      </w:pPr>
      <w:r>
        <w:t xml:space="preserve">В Отчет об уровне оказания услуг должны включаться:</w:t>
      </w:r>
      <w:r/>
    </w:p>
    <w:p>
      <w:pPr>
        <w:pStyle w:val="1541"/>
        <w:numPr>
          <w:ilvl w:val="0"/>
          <w:numId w:val="18"/>
        </w:numPr>
        <w:ind w:left="851" w:hanging="567"/>
        <w:rPr>
          <w:sz w:val="24"/>
        </w:rPr>
      </w:pPr>
      <w:r/>
      <w:bookmarkStart w:id="115" w:name="_Hlk124262677"/>
      <w:r>
        <w:rPr>
          <w:sz w:val="24"/>
        </w:rPr>
        <w:t xml:space="preserve">все обращения, поступившие (зарегистрированные) за текущий этап;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1" w:hanging="567"/>
        <w:rPr>
          <w:sz w:val="24"/>
        </w:rPr>
      </w:pPr>
      <w:r>
        <w:rPr>
          <w:sz w:val="24"/>
        </w:rPr>
        <w:t xml:space="preserve">решенные обращения в текущем этапе (перешедшие с предыдущего этапа);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1" w:hanging="567"/>
        <w:rPr>
          <w:sz w:val="24"/>
        </w:rPr>
      </w:pPr>
      <w:r>
        <w:rPr>
          <w:sz w:val="24"/>
        </w:rPr>
        <w:t xml:space="preserve">нерешенные в текущем этапе обращения (перешедшие с предыдущего этапа, при их наличии).</w:t>
      </w:r>
      <w:r>
        <w:rPr>
          <w:sz w:val="24"/>
        </w:rPr>
      </w:r>
      <w:r>
        <w:rPr>
          <w:sz w:val="24"/>
        </w:rPr>
      </w:r>
    </w:p>
    <w:p>
      <w:pPr>
        <w:pStyle w:val="1505"/>
        <w:ind w:firstLine="851"/>
        <w:jc w:val="both"/>
      </w:pPr>
      <w:r/>
      <w:bookmarkStart w:id="116" w:name="_Hlk130228184"/>
      <w:r/>
      <w:bookmarkStart w:id="117" w:name="_Hlk135063969"/>
      <w:r>
        <w:t xml:space="preserve">Решенным считается обращение, по которому статус соответствующей заявки в СУИ ПК (на момент окончания этапа) «Закрыта успешно» или «Закрыта (запрошенная информация не предоставлена)».</w:t>
      </w:r>
      <w:bookmarkEnd w:id="115"/>
      <w:r/>
      <w:r/>
    </w:p>
    <w:p>
      <w:pPr>
        <w:pStyle w:val="1505"/>
        <w:ind w:firstLine="851"/>
        <w:jc w:val="both"/>
      </w:pPr>
      <w:r>
        <w:t xml:space="preserve">Оценка качества оказания услуг производится по всем обращениям, которые должны быть включены в Отчет об уровне оказания услуг. </w:t>
      </w:r>
      <w:bookmarkEnd w:id="116"/>
      <w:r>
        <w:t xml:space="preserve">Для нерешённых об</w:t>
      </w:r>
      <w:r>
        <w:t xml:space="preserve">ращений, по которым нарушен регламентный срок обработки обращений, по окончании каждого этапа производится оценка качества оказания услуг, значение параметра «Отклонение фактического срока от контрольного» считается на дату и время окончания каждого этапа.</w:t>
      </w:r>
      <w:r/>
    </w:p>
    <w:p>
      <w:pPr>
        <w:pStyle w:val="1505"/>
        <w:ind w:firstLine="851"/>
        <w:jc w:val="both"/>
      </w:pPr>
      <w:r>
        <w:t xml:space="preserve">В случае наличия разногласий сторон приоритетной является информация из СУИ ПК.</w:t>
      </w:r>
      <w:bookmarkEnd w:id="117"/>
      <w:r/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73" w:name="_Toc30"/>
      <w:r>
        <w:rPr>
          <w:sz w:val="26"/>
          <w:szCs w:val="26"/>
        </w:rPr>
        <w:t xml:space="preserve">Консультирование </w:t>
      </w:r>
      <w:r>
        <w:rPr>
          <w:rFonts w:cs="Times New Roman"/>
          <w:sz w:val="26"/>
          <w:szCs w:val="26"/>
        </w:rPr>
        <w:t xml:space="preserve">Пользователей/Заказчика/ Функционального заказчика</w:t>
      </w:r>
      <w:r>
        <w:rPr>
          <w:sz w:val="26"/>
          <w:szCs w:val="26"/>
        </w:rPr>
        <w:t xml:space="preserve"> по вопросам использования и эксплуатации Системы</w:t>
      </w:r>
      <w:bookmarkEnd w:id="273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>
        <w:t xml:space="preserve">При получении обращения, маршрутизированного на Исполнителя, Исполнитель должен провести анализ полученной заявки, </w:t>
      </w:r>
      <w:bookmarkStart w:id="119" w:name="_Hlk122363216"/>
      <w:r>
        <w:t xml:space="preserve">классифицировать её и в случае присутствия в заявке вопроса по работе Системы или запроса дополнительного инструктажа Пользователя/Заказчика</w:t>
      </w:r>
      <w:bookmarkEnd w:id="119"/>
      <w:r>
        <w:t xml:space="preserve">/Функционального заказчика выполнить заявку, зафиксировав результаты в СУИ ПК. </w:t>
      </w:r>
      <w:bookmarkStart w:id="120" w:name="_Hlk124321989"/>
      <w:r/>
      <w:bookmarkStart w:id="121" w:name="_Hlk122363301"/>
      <w:r>
        <w:t xml:space="preserve">При необходимости Исполнитель может запрашивать дополнительную информацию, если содержащейся в запросе информации недостаточно для оказания услуги.</w:t>
      </w:r>
      <w:bookmarkEnd w:id="120"/>
      <w:r/>
      <w:bookmarkEnd w:id="121"/>
      <w:r/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74" w:name="_Toc31"/>
      <w:r>
        <w:rPr>
          <w:sz w:val="26"/>
          <w:szCs w:val="26"/>
        </w:rPr>
        <w:t xml:space="preserve">Настройка конфигурации Системы по запросу Пользователей/Заказчика/Функционального заказчика</w:t>
      </w:r>
      <w:bookmarkEnd w:id="274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0"/>
        <w:jc w:val="both"/>
        <w:spacing w:before="120"/>
      </w:pPr>
      <w:r>
        <w:t xml:space="preserve">Оказание услуг по настройке конфигурации Системы должно осуществляться строго на основании запроса в СУИ ПК, полученного от Пользователей/Заказчика/ Функционального заказчика.</w:t>
      </w:r>
      <w:r/>
    </w:p>
    <w:p>
      <w:pPr>
        <w:pStyle w:val="1505"/>
        <w:ind w:firstLine="851"/>
        <w:jc w:val="both"/>
      </w:pPr>
      <w:r>
        <w:t xml:space="preserve">При получении обращения Исполнитель должен произвести настройку конфигурации Системы, если это не требует доработки Системы или внесения иных изменений в функциональность Системы.</w:t>
      </w:r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75" w:name="_Toc32"/>
      <w:r>
        <w:rPr>
          <w:sz w:val="26"/>
          <w:szCs w:val="26"/>
        </w:rPr>
        <w:t xml:space="preserve">Настройка прав доступа по запросу </w:t>
      </w:r>
      <w:r>
        <w:rPr>
          <w:sz w:val="26"/>
          <w:szCs w:val="26"/>
        </w:rPr>
        <w:t xml:space="preserve">Заказчика/</w:t>
      </w:r>
      <w:r>
        <w:rPr>
          <w:sz w:val="26"/>
          <w:szCs w:val="26"/>
        </w:rPr>
        <w:t xml:space="preserve">Функционального заказчика</w:t>
      </w:r>
      <w:bookmarkEnd w:id="27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</w:pPr>
      <w:r>
        <w:t xml:space="preserve">При получении запроса на доступ к Системе от </w:t>
      </w:r>
      <w:r>
        <w:rPr>
          <w:sz w:val="26"/>
          <w:szCs w:val="26"/>
        </w:rPr>
        <w:t xml:space="preserve">Заказчика/</w:t>
      </w:r>
      <w:r>
        <w:t xml:space="preserve">Функционального заказчика Исполнитель должен проверить наличие всех необходимых данных в заявке для оказания услуги и провести соответствующие работы.</w:t>
      </w:r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76" w:name="_Toc33"/>
      <w:r>
        <w:rPr>
          <w:sz w:val="26"/>
          <w:szCs w:val="26"/>
        </w:rPr>
        <w:t xml:space="preserve">Формирование выборок на основании данных Системы</w:t>
      </w:r>
      <w:bookmarkEnd w:id="276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>
        <w:t xml:space="preserve">Формирование выборок производится Исполнителем с целью предоставления данных из БД Системы в ручном режиме с помощью разработки специальных скриптов или использования дополнительного ПО.</w:t>
      </w:r>
      <w:r/>
    </w:p>
    <w:p>
      <w:pPr>
        <w:pStyle w:val="1505"/>
        <w:ind w:firstLine="851"/>
        <w:jc w:val="both"/>
      </w:pPr>
      <w:r>
        <w:t xml:space="preserve">В случае использования специальных скриптов и/или дополнительного ПО для формирования выборок на основании данных Системы Исполнитель подтверждает и гарантирует, что используемые им специальные скрипты и/или дополнительное ПО не содержат вредоносные компон</w:t>
      </w:r>
      <w:r>
        <w:t xml:space="preserve">енты, компоненты, способные нарушить целостность Системы, а также компоненты, способные предоставить третьим лицам доступ либо возможность доступа к Системе и/или управлению сетью связи Заказчика, а также возможность доступа к конфиде</w:t>
      </w:r>
      <w:r>
        <w:t xml:space="preserve">нциальной и иной информации. Исполнитель несёт ответственность за несоблюдение данного требования в соответствии с действующим законодательством РФ. В случае нарушения такой гарантии Исполнитель обязуется возместить Заказчику понесённый в этой связи ущерб.</w:t>
      </w:r>
      <w:r/>
    </w:p>
    <w:p>
      <w:pPr>
        <w:pStyle w:val="1505"/>
        <w:ind w:firstLine="851"/>
        <w:jc w:val="both"/>
      </w:pPr>
      <w:r>
        <w:t xml:space="preserve">Запросы на получение выборки на основании данных Системы могут быть получены только через СУИ ПК от По</w:t>
      </w:r>
      <w:r>
        <w:t xml:space="preserve">льзователя/Заказчика/Функционального заказчика. При получении такого вида обращения Исполнитель должен выполнить проверку полноты сведений заполнения поступившего обращения, в случае недостаточности информации производится запрос дополнительной информации.</w:t>
      </w:r>
      <w:r/>
    </w:p>
    <w:p>
      <w:pPr>
        <w:pStyle w:val="1599"/>
        <w:numPr>
          <w:ilvl w:val="3"/>
          <w:numId w:val="41"/>
        </w:numPr>
        <w:tabs>
          <w:tab w:val="left" w:pos="1701" w:leader="none"/>
        </w:tabs>
        <w:rPr>
          <w:sz w:val="26"/>
          <w:szCs w:val="26"/>
        </w:rPr>
      </w:pPr>
      <w:r/>
      <w:bookmarkStart w:id="277" w:name="_Toc34"/>
      <w:r>
        <w:rPr>
          <w:sz w:val="26"/>
          <w:szCs w:val="26"/>
        </w:rPr>
        <w:t xml:space="preserve">Требования к услуге по решению инцидентов</w:t>
      </w:r>
      <w:bookmarkEnd w:id="27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>
        <w:t xml:space="preserve">В рамках оказания услуги по решению инцидентов Исполнитель должен обеспечить своевременное решение инцидентов, поступающих через СУИ ПК от Пользователей/ Заказчика/ Функционального заказчика, систем мониторинга Заказчика, а также всех инцидентов, самостоят</w:t>
      </w:r>
      <w:r>
        <w:t xml:space="preserve">ельно выявленных Исполнителем в ходе оказания услуг. Обработка инцидентов должна осуществляться с использованием СУИ ПК на основании Единого регламента оказания услуг в соответствии со сроками, параметрами и критериями, приведёнными в Приложение А к настоя</w:t>
      </w:r>
      <w:r>
        <w:t xml:space="preserve">щему ТЗ </w:t>
      </w:r>
      <w:r>
        <w:rPr>
          <w:szCs w:val="26"/>
        </w:rPr>
        <w:t xml:space="preserve">(Таблица А.1).</w:t>
      </w:r>
      <w:r/>
    </w:p>
    <w:p>
      <w:pPr>
        <w:pStyle w:val="1505"/>
        <w:ind w:firstLine="851"/>
        <w:jc w:val="both"/>
      </w:pPr>
      <w:r>
        <w:t xml:space="preserve">Приоритеты инцидентов определяются в соответствии с Приложением А к настоящему ТЗ (Таблица А.6). </w:t>
      </w:r>
      <w:bookmarkStart w:id="126" w:name="_Hlk158888016"/>
      <w:r>
        <w:t xml:space="preserve">По итогам анализа полученной заявки Исполнитель проверяет корректность указанного приоритета (в случае некорректно указанного приоритета </w:t>
      </w:r>
      <w:r>
        <w:t xml:space="preserve">инцидента Исполнитель должен изменить приоритет на корректный). Если приоритет инцидента необходимо понизить, Исполнитель обязан согласовать данное действие с Заказчиком. Если приоритет инцидента необходимо повысить, согласование с Заказчиком не требуется.</w:t>
      </w:r>
      <w:bookmarkEnd w:id="126"/>
      <w:r/>
      <w:r/>
    </w:p>
    <w:p>
      <w:pPr>
        <w:pStyle w:val="1505"/>
        <w:ind w:firstLine="851"/>
        <w:jc w:val="both"/>
      </w:pPr>
      <w:r/>
      <w:bookmarkStart w:id="127" w:name="_Hlk103603791"/>
      <w:r>
        <w:t xml:space="preserve">Если для решения инцидента необходимо взаимодействие со смежной системой, то формируется заявка в СТП смежной системы или на Заказчика. </w:t>
      </w:r>
      <w:bookmarkStart w:id="128" w:name="_Hlk160195343"/>
      <w:r>
        <w:t xml:space="preserve">Инцидент в таком случае переводится в ожидание </w:t>
      </w:r>
      <w:bookmarkStart w:id="129" w:name="_Hlk158888069"/>
      <w:r>
        <w:rPr>
          <w:szCs w:val="26"/>
        </w:rPr>
        <w:t xml:space="preserve">(</w:t>
      </w:r>
      <w:bookmarkStart w:id="130" w:name="_Hlk145938528"/>
      <w:r>
        <w:rPr>
          <w:szCs w:val="26"/>
        </w:rPr>
        <w:t xml:space="preserve">после согласования Заказчика любым способом по усмотрению Заказчика</w:t>
      </w:r>
      <w:bookmarkEnd w:id="130"/>
      <w:r>
        <w:rPr>
          <w:szCs w:val="26"/>
        </w:rPr>
        <w:t xml:space="preserve">)</w:t>
      </w:r>
      <w:bookmarkEnd w:id="129"/>
      <w:r>
        <w:rPr>
          <w:szCs w:val="26"/>
        </w:rPr>
        <w:t xml:space="preserve"> </w:t>
      </w:r>
      <w:r>
        <w:t xml:space="preserve">до получения ответа, данный период времени не учитывается в показателе «Фактический срок обработки инцидента».</w:t>
      </w:r>
      <w:bookmarkEnd w:id="127"/>
      <w:r/>
      <w:bookmarkEnd w:id="128"/>
      <w:r/>
      <w:r/>
    </w:p>
    <w:p>
      <w:pPr>
        <w:pStyle w:val="1505"/>
        <w:ind w:firstLine="851"/>
        <w:jc w:val="both"/>
      </w:pPr>
      <w:r>
        <w:t xml:space="preserve">Исполнитель при решении инцидентов указывает меры, принятые для решения инцидента, в СУИ ПК. Для инцидентов приоритета «Критический» в сроки, </w:t>
      </w:r>
      <w:r>
        <w:rPr>
          <w:szCs w:val="26"/>
        </w:rPr>
        <w:t xml:space="preserve">определённые Приложением А (Таблица А.1, Таблица А.7) к настоящему ТЗ, в СУИ ПК</w:t>
      </w:r>
      <w:r>
        <w:t xml:space="preserve"> </w:t>
      </w:r>
      <w:bookmarkStart w:id="131" w:name="_Hlk160195413"/>
      <w:r>
        <w:t xml:space="preserve">после его закрытия по запросу Заказчика предоставляется подробная информация, которая прикрепляется к инциденту в СУИ ПК:</w:t>
      </w:r>
      <w:bookmarkEnd w:id="131"/>
      <w:r/>
      <w:r/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причины возникновения сбоя;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влияние инцидента на Пользователей и смежные системы;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принятые меры по решению инцидента;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сценарии воспроизведения инцидента (при возможности воспроизведения);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лог-файл(ы) Системы, позволяющие понять поведение Системы при возникновении инцидента (</w:t>
      </w:r>
      <w:bookmarkStart w:id="132" w:name="_Hlk109819813"/>
      <w:r>
        <w:rPr>
          <w:sz w:val="24"/>
        </w:rPr>
        <w:t xml:space="preserve">предоставляются при необходимости </w:t>
      </w:r>
      <w:bookmarkStart w:id="133" w:name="_Hlk160195483"/>
      <w:r>
        <w:rPr>
          <w:sz w:val="24"/>
        </w:rPr>
        <w:t xml:space="preserve">или по запросу Заказчика</w:t>
      </w:r>
      <w:bookmarkEnd w:id="132"/>
      <w:r/>
      <w:bookmarkEnd w:id="133"/>
      <w:r>
        <w:rPr>
          <w:sz w:val="24"/>
        </w:rPr>
        <w:t xml:space="preserve">);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рекомендации по предотвращению инцидента в будущем.</w:t>
      </w:r>
      <w:r>
        <w:rPr>
          <w:sz w:val="24"/>
        </w:rPr>
      </w:r>
      <w:r>
        <w:rPr>
          <w:sz w:val="24"/>
        </w:rPr>
      </w:r>
    </w:p>
    <w:p>
      <w:pPr>
        <w:pStyle w:val="1505"/>
        <w:ind w:firstLine="851"/>
        <w:jc w:val="both"/>
      </w:pPr>
      <w:r>
        <w:t xml:space="preserve">В случае </w:t>
      </w:r>
      <w:bookmarkStart w:id="134" w:name="_Hlk160195512"/>
      <w:r>
        <w:t xml:space="preserve">возникновения</w:t>
      </w:r>
      <w:bookmarkEnd w:id="134"/>
      <w:r>
        <w:t xml:space="preserve"> нарушения работоспособности Системы, вследствие которого необходимо восстановление данных из резервных копий, Исполнитель должен обеспечить восстановление информации из резервной копии. Восстановление данных </w:t>
      </w:r>
      <w:r>
        <w:t xml:space="preserve">из резервной копии должно производиться в сроки, </w:t>
      </w:r>
      <w:r>
        <w:rPr>
          <w:szCs w:val="26"/>
        </w:rPr>
        <w:t xml:space="preserve">соответствующие приоритету инцидента (Приложение А, Таблица А.7).</w:t>
      </w:r>
      <w:r/>
    </w:p>
    <w:p>
      <w:pPr>
        <w:pStyle w:val="1505"/>
        <w:ind w:firstLine="851"/>
        <w:jc w:val="both"/>
        <w:rPr>
          <w:szCs w:val="24"/>
        </w:rPr>
      </w:pPr>
      <w:r>
        <w:rPr>
          <w:szCs w:val="24"/>
        </w:rPr>
        <w:t xml:space="preserve">Результаты оказания услуги за </w:t>
      </w:r>
      <w:r>
        <w:rPr>
          <w:rStyle w:val="1553"/>
          <w:szCs w:val="24"/>
        </w:rPr>
        <w:t xml:space="preserve">этап</w:t>
      </w:r>
      <w:r>
        <w:rPr>
          <w:szCs w:val="24"/>
        </w:rPr>
        <w:t xml:space="preserve"> должны отражаться в Журнале по решению инцидентов </w:t>
      </w:r>
      <w:bookmarkStart w:id="135" w:name="_Hlk160195586"/>
      <w:r>
        <w:rPr>
          <w:szCs w:val="24"/>
        </w:rPr>
        <w:t xml:space="preserve">по форме согласно Приложению </w:t>
      </w:r>
      <w:bookmarkEnd w:id="135"/>
      <w:r>
        <w:rPr>
          <w:szCs w:val="24"/>
        </w:rPr>
        <w:t xml:space="preserve">Б к ТЗ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_Ref34121782  \* MERGEFORMAT </w:instrText>
      </w:r>
      <w:r>
        <w:rPr>
          <w:szCs w:val="24"/>
        </w:rPr>
        <w:fldChar w:fldCharType="separate"/>
      </w:r>
      <w:r>
        <w:rPr>
          <w:szCs w:val="24"/>
        </w:rPr>
        <w:t xml:space="preserve">Таблица Б.</w:t>
      </w:r>
      <w:r>
        <w:rPr>
          <w:szCs w:val="24"/>
        </w:rPr>
        <w:fldChar w:fldCharType="end"/>
      </w:r>
      <w:r>
        <w:rPr>
          <w:szCs w:val="24"/>
        </w:rPr>
        <w:t xml:space="preserve">4) в составе Отчета об уровне оказания услуг. В Отчет об уровне оказания услуг должны включаться:</w:t>
      </w:r>
      <w:r>
        <w:rPr>
          <w:szCs w:val="24"/>
        </w:rPr>
      </w:r>
      <w:r>
        <w:rPr>
          <w:szCs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/>
      <w:bookmarkStart w:id="136" w:name="_Hlk124263249"/>
      <w:r>
        <w:rPr>
          <w:sz w:val="24"/>
        </w:rPr>
        <w:t xml:space="preserve">все инциденты, поступившие (зарегистрированные) за текущий этап;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решенные инциденты в текущем этапе (перешедшие с предыдущего этапа);</w:t>
      </w:r>
      <w:r>
        <w:rPr>
          <w:sz w:val="24"/>
        </w:rPr>
      </w:r>
      <w:r>
        <w:rPr>
          <w:sz w:val="24"/>
        </w:rPr>
      </w:r>
    </w:p>
    <w:p>
      <w:pPr>
        <w:pStyle w:val="1541"/>
        <w:numPr>
          <w:ilvl w:val="0"/>
          <w:numId w:val="18"/>
        </w:numPr>
        <w:ind w:left="850" w:hanging="425"/>
        <w:rPr>
          <w:sz w:val="24"/>
        </w:rPr>
      </w:pPr>
      <w:r>
        <w:rPr>
          <w:sz w:val="24"/>
        </w:rPr>
        <w:t xml:space="preserve">нерешенные в текущем этапе инциденты (перешедшие с предыдущего этапа, при их наличии).</w:t>
      </w:r>
      <w:r>
        <w:rPr>
          <w:sz w:val="24"/>
        </w:rPr>
      </w:r>
      <w:r>
        <w:rPr>
          <w:sz w:val="24"/>
        </w:rPr>
      </w:r>
    </w:p>
    <w:p>
      <w:pPr>
        <w:pStyle w:val="1505"/>
        <w:ind w:firstLine="851"/>
        <w:jc w:val="both"/>
      </w:pPr>
      <w:r/>
      <w:bookmarkStart w:id="137" w:name="_Hlk158888309"/>
      <w:r>
        <w:t xml:space="preserve">Решённым считается инцидент, по которому статус соответствующей заявки в СУИ ПК (на момент окончания этапа) «Закрыта успешно» или «Закрыта (запрошенная информация не предоставлена)».</w:t>
      </w:r>
      <w:r/>
    </w:p>
    <w:p>
      <w:pPr>
        <w:pStyle w:val="1505"/>
        <w:ind w:firstLine="851"/>
        <w:jc w:val="both"/>
      </w:pPr>
      <w:r/>
      <w:bookmarkStart w:id="138" w:name="_Hlk119406457"/>
      <w:r/>
      <w:bookmarkEnd w:id="136"/>
      <w:r/>
      <w:bookmarkEnd w:id="137"/>
      <w:r>
        <w:t xml:space="preserve">В случае если инцидент возник в результате сбоя или проведения технических работ на стороне смежной системы или ЦОД ППК, то по таким инцидентам не осуществляется расчёт времени внеплановой недоступности.</w:t>
      </w:r>
      <w:r/>
    </w:p>
    <w:p>
      <w:pPr>
        <w:pStyle w:val="1505"/>
        <w:ind w:firstLine="851"/>
        <w:jc w:val="both"/>
      </w:pPr>
      <w:r/>
      <w:bookmarkStart w:id="139" w:name="_Hlk130228303"/>
      <w:r/>
      <w:bookmarkEnd w:id="138"/>
      <w:r>
        <w:t xml:space="preserve">Оценка качества оказания услуг производится по всем инцидентам, которые должны быть включены в Отчёт об уровне оказания услуг. </w:t>
      </w:r>
      <w:bookmarkEnd w:id="139"/>
      <w:r>
        <w:t xml:space="preserve">Для нерешённых инци</w:t>
      </w:r>
      <w:r>
        <w:t xml:space="preserve">дентов, по которым нарушен регламентный срок обработки инцидентов, по окончании каждого этапа производится оценка качества оказания услуг, значение параметра «Отклонение фактического срока от контрольного» считается на дату и время окончания каждого этапа.</w:t>
      </w:r>
      <w:r/>
    </w:p>
    <w:p>
      <w:pPr>
        <w:pStyle w:val="1505"/>
        <w:ind w:firstLine="851"/>
        <w:jc w:val="both"/>
      </w:pPr>
      <w:r>
        <w:t xml:space="preserve">В случае наличия разногласий сторон приоритетной является информация из СУИ ПК.</w:t>
      </w:r>
      <w:r/>
    </w:p>
    <w:p>
      <w:pPr>
        <w:pStyle w:val="1599"/>
        <w:numPr>
          <w:ilvl w:val="3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78" w:name="_Toc35"/>
      <w:r>
        <w:rPr>
          <w:sz w:val="26"/>
          <w:szCs w:val="26"/>
        </w:rPr>
        <w:t xml:space="preserve">Требования к услуге по мониторингу и обеспечению доступности и работоспособности (производительности) Системы</w:t>
      </w:r>
      <w:bookmarkEnd w:id="278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0"/>
        <w:jc w:val="both"/>
      </w:pPr>
      <w:r>
        <w:t xml:space="preserve">Услуга по мониторингу и обеспечению доступности и работоспособности (производительности) Системы должна осуществляться непрерывно в соответствии с требованиями, указанными в Приложение А к настоящему ТЗ (Таблица А.1).</w:t>
      </w:r>
      <w:r/>
    </w:p>
    <w:p>
      <w:pPr>
        <w:pStyle w:val="1505"/>
        <w:ind w:firstLine="851"/>
        <w:jc w:val="both"/>
      </w:pPr>
      <w:r>
        <w:t xml:space="preserve">В рамках оказания услуги по мониторингу и обеспечению доступности и работоспособности (производительности) Системы Исполнитель должен:</w:t>
      </w:r>
      <w:r/>
    </w:p>
    <w:p>
      <w:pPr>
        <w:pStyle w:val="1505"/>
        <w:numPr>
          <w:ilvl w:val="0"/>
          <w:numId w:val="53"/>
        </w:numPr>
        <w:ind w:left="850" w:hanging="425"/>
        <w:jc w:val="both"/>
        <w:rPr>
          <w:szCs w:val="24"/>
        </w:rPr>
      </w:pPr>
      <w:r>
        <w:t xml:space="preserve">осуществлять мониторинг доступности и работоспособности (производительности) Системы в соответствии с актуализированными Анкетой постановки на функциональный мониторинг и Анкетой постановки на инфраструктурный мониторинг;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53"/>
        </w:numPr>
        <w:ind w:left="850" w:hanging="425"/>
        <w:jc w:val="both"/>
        <w:rPr>
          <w:szCs w:val="24"/>
        </w:rPr>
      </w:pPr>
      <w:r>
        <w:t xml:space="preserve">обеспечить режим работы (доступность) Системы в соответствии с требованиями, указанными в Приложение А к настоящему ТЗ (Таблица А.2);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53"/>
        </w:numPr>
        <w:ind w:left="850" w:hanging="425"/>
        <w:jc w:val="both"/>
      </w:pPr>
      <w:r>
        <w:t xml:space="preserve">обеспечить работоспособность (производительность) Системы в соответствии с требованиями, указанными в Приложение А к настоящему ТЗ (Таблица А.8).</w:t>
      </w:r>
      <w:r/>
    </w:p>
    <w:p>
      <w:pPr>
        <w:pStyle w:val="1505"/>
        <w:ind w:firstLine="851"/>
        <w:jc w:val="both"/>
      </w:pPr>
      <w:r>
        <w:t xml:space="preserve">Для обеспечения доступности и работоспособности (производительности) Системы Исполнителем должен осуществляться мониторинг основного </w:t>
      </w:r>
      <w:r>
        <w:t xml:space="preserve">(промышленного) контура Системы с использованием систем мониторинга Заказчика. При невозможности использования систем мониторинга Заказчика Исполнитель по согласованию с Заказчиком должен использовать иные инструменты, позволяющие осуществлять мониторинг. </w:t>
      </w:r>
      <w:bookmarkStart w:id="141" w:name="_Hlk160195963"/>
      <w:r>
        <w:t xml:space="preserve">Также допускается использование системы мониторинга Исполнителя для дополнительного мониторинга Системы.</w:t>
      </w:r>
      <w:bookmarkEnd w:id="141"/>
      <w:r>
        <w:t xml:space="preserve"> Контролируемые параметры (состояние памяти и загруженность процессора (для серверов Системы), объем занятого и свободного места на диске и другие показатели утилизации аппаратных ресурсов серверов, а также параметры быстродействия функций Систе</w:t>
      </w:r>
      <w:r>
        <w:t xml:space="preserve">мы) и их пороговые значения определяются на Подготовительных мероприятиях в Анкете постановки на инфраструктурный мониторинг, Анкете постановки на функциональный мониторинг и могут быть расширены Заказчиком или Исполнителем при оказании услуг 1 - 3 этапов.</w:t>
      </w:r>
      <w:r/>
    </w:p>
    <w:p>
      <w:pPr>
        <w:pStyle w:val="1505"/>
        <w:ind w:firstLine="720"/>
        <w:jc w:val="both"/>
      </w:pPr>
      <w:r>
        <w:t xml:space="preserve">Показатели доступности Системы по результатам этапа должны отражаться в Отчете о недоступности Системы по форме согласно Приложению Б к ТЗ (Таблица Б.5) в составе Отчета об уровне оказания услуг.</w:t>
      </w:r>
      <w:r/>
    </w:p>
    <w:p>
      <w:pPr>
        <w:pStyle w:val="1505"/>
        <w:ind w:firstLine="720"/>
        <w:jc w:val="both"/>
      </w:pPr>
      <w:r/>
      <w:bookmarkStart w:id="142" w:name="_Hlk159324182"/>
      <w:r>
        <w:t xml:space="preserve">В случае если недоступность возникла в результате сбоя или проведения подтверждённых технических работ на стороне смежной системы или ЦОД ППК, то такая недоступность не учитывается во времени внеплановой недоступности.</w:t>
      </w:r>
      <w:r/>
    </w:p>
    <w:p>
      <w:pPr>
        <w:pStyle w:val="1505"/>
        <w:ind w:firstLine="720"/>
        <w:jc w:val="both"/>
      </w:pPr>
      <w:r/>
      <w:bookmarkStart w:id="143" w:name="_Hlk158889170"/>
      <w:r/>
      <w:bookmarkEnd w:id="142"/>
      <w:r>
        <w:t xml:space="preserve">В случае наличия разногласий сторон приоритетной является информация из системы мониторинга.</w:t>
      </w:r>
      <w:bookmarkEnd w:id="143"/>
      <w:r/>
      <w:r/>
    </w:p>
    <w:p>
      <w:pPr>
        <w:pStyle w:val="1599"/>
        <w:numPr>
          <w:ilvl w:val="3"/>
          <w:numId w:val="41"/>
        </w:numPr>
        <w:tabs>
          <w:tab w:val="left" w:pos="1701" w:leader="none"/>
        </w:tabs>
        <w:rPr>
          <w:sz w:val="26"/>
          <w:szCs w:val="26"/>
        </w:rPr>
      </w:pPr>
      <w:r/>
      <w:bookmarkStart w:id="279" w:name="_Toc36"/>
      <w:r/>
      <w:bookmarkStart w:id="144" w:name="_3vac5uf"/>
      <w:r/>
      <w:bookmarkEnd w:id="144"/>
      <w:r>
        <w:rPr>
          <w:sz w:val="26"/>
          <w:szCs w:val="26"/>
        </w:rPr>
        <w:t xml:space="preserve">Требования к услуге по регламентному обслуживанию</w:t>
      </w:r>
      <w:bookmarkEnd w:id="279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499"/>
        <w:spacing w:line="360" w:lineRule="auto"/>
      </w:pPr>
      <w:r>
        <w:t xml:space="preserve">Услуга по регламентному обслуживанию оказывается для обеспечения и повышения отказоустойчивости Системы, снижения рисков потери данных.</w:t>
      </w:r>
      <w:r/>
    </w:p>
    <w:p>
      <w:pPr>
        <w:pStyle w:val="1499"/>
        <w:spacing w:line="360" w:lineRule="auto"/>
      </w:pPr>
      <w:r>
        <w:t xml:space="preserve">В рамках оказания услуги Исполнитель должен обеспечить проведение следующих регламентных мероприятий:</w:t>
      </w:r>
      <w:r/>
    </w:p>
    <w:p>
      <w:pPr>
        <w:pStyle w:val="1499"/>
        <w:numPr>
          <w:ilvl w:val="0"/>
          <w:numId w:val="65"/>
        </w:numPr>
        <w:ind w:left="850" w:hanging="567"/>
        <w:spacing w:line="360" w:lineRule="auto"/>
      </w:pPr>
      <w:r>
        <w:t xml:space="preserve">обеспечение резервного копирования Системы;</w:t>
      </w:r>
      <w:r/>
    </w:p>
    <w:p>
      <w:pPr>
        <w:pStyle w:val="1499"/>
        <w:numPr>
          <w:ilvl w:val="0"/>
          <w:numId w:val="65"/>
        </w:numPr>
        <w:ind w:left="850" w:hanging="567"/>
        <w:spacing w:line="360" w:lineRule="auto"/>
      </w:pPr>
      <w:r>
        <w:t xml:space="preserve">контрольное восстановлен</w:t>
      </w:r>
      <w:r>
        <w:rPr>
          <w:color w:val="000000" w:themeColor="text1"/>
        </w:rPr>
        <w:t xml:space="preserve">ие виртуальных машин С</w:t>
      </w:r>
      <w:r>
        <w:t xml:space="preserve">истемы из резервной копии;</w:t>
      </w:r>
      <w:r/>
    </w:p>
    <w:p>
      <w:pPr>
        <w:pStyle w:val="1499"/>
        <w:numPr>
          <w:ilvl w:val="0"/>
          <w:numId w:val="65"/>
        </w:numPr>
        <w:ind w:left="850" w:hanging="567"/>
        <w:spacing w:line="360" w:lineRule="auto"/>
      </w:pPr>
      <w:r>
        <w:t xml:space="preserve">нагрузочное тестирование.</w:t>
      </w:r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80" w:name="_Toc37"/>
      <w:r/>
      <w:bookmarkStart w:id="146" w:name="_2afmg28"/>
      <w:r/>
      <w:bookmarkEnd w:id="146"/>
      <w:r>
        <w:rPr>
          <w:sz w:val="26"/>
          <w:szCs w:val="26"/>
        </w:rPr>
        <w:t xml:space="preserve">Требования к обеспечению резервного копирования Системы </w:t>
      </w:r>
      <w:bookmarkEnd w:id="280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>
        <w:t xml:space="preserve">Исполнитель в рамках мероприятия по обеспечению резервного копирования Системы должен:</w:t>
      </w:r>
      <w:r/>
    </w:p>
    <w:p>
      <w:pPr>
        <w:pStyle w:val="1505"/>
        <w:numPr>
          <w:ilvl w:val="0"/>
          <w:numId w:val="66"/>
        </w:numPr>
        <w:ind w:left="850" w:hanging="567"/>
        <w:spacing w:before="120"/>
        <w:rPr>
          <w:szCs w:val="24"/>
        </w:rPr>
      </w:pPr>
      <w:r>
        <w:t xml:space="preserve">обеспечить резервное копирование БД Системы;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6"/>
        </w:numPr>
        <w:ind w:left="850" w:hanging="567"/>
        <w:spacing w:before="120"/>
        <w:rPr>
          <w:szCs w:val="24"/>
        </w:rPr>
      </w:pPr>
      <w:r>
        <w:t xml:space="preserve">обеспечить контроль создания резервных копий виртуальных машин</w:t>
      </w:r>
      <w:r>
        <w:rPr>
          <w:rStyle w:val="1587"/>
        </w:rPr>
        <w:footnoteReference w:id="3"/>
      </w:r>
      <w:r>
        <w:t xml:space="preserve"> Системы;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6"/>
        </w:numPr>
        <w:ind w:left="850" w:hanging="567"/>
        <w:jc w:val="both"/>
        <w:spacing w:before="120"/>
        <w:rPr>
          <w:szCs w:val="24"/>
        </w:rPr>
      </w:pPr>
      <w:r>
        <w:t xml:space="preserve">уведомить Заказчика о проблемах резервного копирования БД Системы или виртуальных машин Системы.</w:t>
      </w:r>
      <w:r>
        <w:rPr>
          <w:szCs w:val="24"/>
        </w:rPr>
      </w:r>
      <w:r>
        <w:rPr>
          <w:szCs w:val="24"/>
        </w:rPr>
      </w:r>
    </w:p>
    <w:p>
      <w:pPr>
        <w:pStyle w:val="1499"/>
        <w:spacing w:line="360" w:lineRule="auto"/>
      </w:pPr>
      <w:r>
        <w:t xml:space="preserve">Услуга по обеспечению резервного копирования должна осуществляться Исполнителем в соответствии с Единым регламентом оказания услуг и с периодичностью, указанной в Приложение А к ТЗ (Таблица А.4).</w:t>
      </w:r>
      <w:r/>
    </w:p>
    <w:p>
      <w:pPr>
        <w:pStyle w:val="1499"/>
        <w:spacing w:line="360" w:lineRule="auto"/>
        <w:rPr>
          <w:rFonts w:eastAsia="WenQuanYi Micro Hei"/>
        </w:rPr>
      </w:pPr>
      <w:r>
        <w:rPr>
          <w:rFonts w:eastAsia="WenQuanYi Micro Hei"/>
        </w:rPr>
        <w:t xml:space="preserve">Исполнитель проводит работы по резервному копированию БД Системы средствами СУБД.</w:t>
      </w:r>
      <w:r>
        <w:rPr>
          <w:rFonts w:eastAsia="WenQuanYi Micro Hei"/>
        </w:rPr>
      </w:r>
      <w:r>
        <w:rPr>
          <w:rFonts w:eastAsia="WenQuanYi Micro Hei"/>
        </w:rPr>
      </w:r>
    </w:p>
    <w:p>
      <w:pPr>
        <w:pStyle w:val="1499"/>
        <w:spacing w:line="360" w:lineRule="auto"/>
      </w:pPr>
      <w:r/>
      <w:bookmarkStart w:id="150" w:name="_Hlk159325431"/>
      <w:r>
        <w:t xml:space="preserve">Хранение созданных резервных копий осуществляется на технических средствах, предоставляемых Заказчиком.</w:t>
      </w:r>
      <w:bookmarkEnd w:id="150"/>
      <w:r/>
      <w:r/>
    </w:p>
    <w:p>
      <w:pPr>
        <w:pStyle w:val="1499"/>
        <w:spacing w:line="360" w:lineRule="auto"/>
      </w:pPr>
      <w:r>
        <w:t xml:space="preserve">Исполнитель не несёт ответственности за сохранность, наличие и применимость для восстановления резервных копий в случае:</w:t>
      </w:r>
      <w:r/>
    </w:p>
    <w:p>
      <w:pPr>
        <w:pStyle w:val="1499"/>
        <w:numPr>
          <w:ilvl w:val="0"/>
          <w:numId w:val="54"/>
        </w:numPr>
        <w:ind w:left="850" w:hanging="425"/>
        <w:spacing w:line="360" w:lineRule="auto"/>
      </w:pPr>
      <w:r>
        <w:t xml:space="preserve">повреждения/отсутствия файла резервной копии вследствие нарушения работоспособности технических средств Заказчика, на которых хранятся резервные копии;</w:t>
      </w:r>
      <w:r/>
    </w:p>
    <w:p>
      <w:pPr>
        <w:pStyle w:val="1499"/>
        <w:numPr>
          <w:ilvl w:val="0"/>
          <w:numId w:val="54"/>
        </w:numPr>
        <w:ind w:left="850" w:hanging="425"/>
        <w:spacing w:line="360" w:lineRule="auto"/>
      </w:pPr>
      <w:r>
        <w:t xml:space="preserve">внесения изменений в содержимое резервных копий представителями Заказчика;</w:t>
      </w:r>
      <w:r/>
    </w:p>
    <w:p>
      <w:pPr>
        <w:pStyle w:val="1499"/>
        <w:numPr>
          <w:ilvl w:val="0"/>
          <w:numId w:val="54"/>
        </w:numPr>
        <w:ind w:left="850" w:hanging="425"/>
        <w:spacing w:line="360" w:lineRule="auto"/>
      </w:pPr>
      <w:r>
        <w:t xml:space="preserve">нарушения работоспособности сторонних систем (оборудования, ПО), с помощью которых осуществляется создание резервных копий.</w:t>
      </w:r>
      <w:r/>
    </w:p>
    <w:p>
      <w:pPr>
        <w:pStyle w:val="1499"/>
        <w:spacing w:line="360" w:lineRule="auto"/>
      </w:pPr>
      <w:r>
        <w:t xml:space="preserve">Результаты обеспечения резервного копирования С</w:t>
      </w:r>
      <w:r>
        <w:t xml:space="preserve">истемы должны быть занесены Исполнителем в СУИ ПК и отражены в Журнале резервного копирования баз данных Системы Приложения Б к ТЗ (Таблица Б.6) и в Журнале проверок резервных копий Приложения Б к ТЗ (Таблица Б.7) в составе Отчёта об уровне оказания услуг.</w:t>
      </w:r>
      <w:r/>
    </w:p>
    <w:p>
      <w:pPr>
        <w:pStyle w:val="1505"/>
        <w:ind w:firstLine="720"/>
        <w:jc w:val="both"/>
      </w:pPr>
      <w:r>
        <w:t xml:space="preserve">В случае наличия разногласий сторон приоритетной является информация из СУИ ПК.</w:t>
      </w:r>
      <w:r/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81" w:name="_Toc38"/>
      <w:r>
        <w:rPr>
          <w:sz w:val="26"/>
          <w:szCs w:val="26"/>
        </w:rPr>
        <w:t xml:space="preserve">Требования к контрольному восстановлению </w:t>
      </w:r>
      <w:r>
        <w:rPr>
          <w:color w:val="000000" w:themeColor="text1"/>
          <w:sz w:val="26"/>
          <w:szCs w:val="26"/>
        </w:rPr>
        <w:t xml:space="preserve">виртуальных машин </w:t>
      </w:r>
      <w:r>
        <w:rPr>
          <w:sz w:val="26"/>
          <w:szCs w:val="26"/>
        </w:rPr>
        <w:t xml:space="preserve">Системы из резервной копии</w:t>
      </w:r>
      <w:bookmarkEnd w:id="281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ind w:firstLine="851"/>
        <w:jc w:val="both"/>
        <w:spacing w:before="120"/>
      </w:pPr>
      <w:r/>
      <w:bookmarkStart w:id="152" w:name="_Hlk160196426"/>
      <w:r>
        <w:t xml:space="preserve">Для проверки резервной копии </w:t>
      </w:r>
      <w:r>
        <w:rPr>
          <w:color w:val="000000" w:themeColor="text1"/>
        </w:rPr>
        <w:t xml:space="preserve">виртуальных машин</w:t>
      </w:r>
      <w:r>
        <w:t xml:space="preserve"> Системы на предмет целостности Исполнитель </w:t>
      </w:r>
      <w:bookmarkStart w:id="153" w:name="_Hlk159325618"/>
      <w:r>
        <w:t xml:space="preserve">формирует запрос в адрес ответственного лица со стороны Заказчика, согласует с Заказчиком сроки начала проведения работ, определяет ответственных специалистов, контролирует ход и результаты контрольного восстановления </w:t>
      </w:r>
      <w:r>
        <w:rPr>
          <w:color w:val="000000" w:themeColor="text1"/>
        </w:rPr>
        <w:t xml:space="preserve">виртуальных машин Си</w:t>
      </w:r>
      <w:r>
        <w:t xml:space="preserve">стемы из резервной </w:t>
      </w:r>
      <w:r>
        <w:rPr>
          <w:color w:val="auto"/>
          <w:szCs w:val="26"/>
        </w:rPr>
        <w:t xml:space="preserve">копии</w:t>
      </w:r>
      <w:r>
        <w:rPr>
          <w:rStyle w:val="1587"/>
          <w:color w:val="auto"/>
        </w:rPr>
        <w:footnoteReference w:id="4"/>
      </w:r>
      <w:r>
        <w:t xml:space="preserve">, уведомляет Заказчика о начале работ и их завершении</w:t>
      </w:r>
      <w:bookmarkEnd w:id="153"/>
      <w:r>
        <w:t xml:space="preserve">. В рамках контрольного восстановления Исполнителем должно обеспечиваться развёртывание актуальной версии резервной копии </w:t>
      </w:r>
      <w:bookmarkStart w:id="155" w:name="_Hlk159325697"/>
      <w:r>
        <w:t xml:space="preserve">в соответствии с Единым регламентом оказания услуг и с периодичностью, указанной в Приложении А к ТЗ </w:t>
      </w:r>
      <w:bookmarkEnd w:id="152"/>
      <w:r>
        <w:t xml:space="preserve">(Таблица А.4).</w:t>
      </w:r>
      <w:bookmarkEnd w:id="155"/>
      <w:r/>
      <w:r/>
    </w:p>
    <w:p>
      <w:pPr>
        <w:pStyle w:val="1505"/>
        <w:ind w:firstLine="720"/>
        <w:jc w:val="both"/>
        <w:rPr>
          <w:szCs w:val="26"/>
        </w:rPr>
      </w:pPr>
      <w:r>
        <w:t xml:space="preserve">Результаты контрольного восстановления</w:t>
      </w:r>
      <w:r>
        <w:rPr>
          <w:color w:val="000000" w:themeColor="text1"/>
        </w:rPr>
        <w:t xml:space="preserve"> виртуальных машин Системы из резервной копии должны быть занесены Исполнителем </w:t>
      </w:r>
      <w:bookmarkStart w:id="156" w:name="_Hlk106290576"/>
      <w:r>
        <w:rPr>
          <w:color w:val="000000" w:themeColor="text1"/>
        </w:rPr>
        <w:t xml:space="preserve">в СУИ ПК и отражены </w:t>
      </w:r>
      <w:bookmarkEnd w:id="156"/>
      <w:r>
        <w:rPr>
          <w:color w:val="000000" w:themeColor="text1"/>
        </w:rPr>
        <w:t xml:space="preserve">в Журнале контрольного восстановления виртуальных машин Системы </w:t>
      </w:r>
      <w:r>
        <w:t xml:space="preserve">из резервной </w:t>
      </w:r>
      <w:r>
        <w:rPr>
          <w:szCs w:val="26"/>
        </w:rPr>
        <w:t xml:space="preserve">копии Приложения Б к ТЗ (</w:t>
      </w:r>
      <w:r>
        <w:rPr>
          <w:szCs w:val="26"/>
        </w:rPr>
        <w:fldChar w:fldCharType="begin"/>
      </w:r>
      <w:r>
        <w:rPr>
          <w:szCs w:val="26"/>
        </w:rPr>
        <w:instrText xml:space="preserve"> REF _Ref34123407  \* MERGEFORMAT </w:instrText>
      </w:r>
      <w:r>
        <w:rPr>
          <w:szCs w:val="26"/>
        </w:rPr>
        <w:fldChar w:fldCharType="separate"/>
      </w:r>
      <w:r>
        <w:rPr>
          <w:szCs w:val="26"/>
        </w:rPr>
        <w:t xml:space="preserve">Таблица Б.</w:t>
      </w:r>
      <w:r>
        <w:t xml:space="preserve">8</w:t>
      </w:r>
      <w:r>
        <w:rPr>
          <w:szCs w:val="26"/>
        </w:rPr>
        <w:fldChar w:fldCharType="end"/>
      </w:r>
      <w:r>
        <w:rPr>
          <w:szCs w:val="26"/>
        </w:rPr>
        <w:t xml:space="preserve">) в составе Отчёта об уровне оказания услуг.</w:t>
      </w:r>
      <w:r>
        <w:rPr>
          <w:szCs w:val="26"/>
        </w:rPr>
      </w:r>
      <w:r>
        <w:rPr>
          <w:szCs w:val="26"/>
        </w:rPr>
      </w:r>
    </w:p>
    <w:p>
      <w:pPr>
        <w:pStyle w:val="1505"/>
        <w:ind w:firstLine="850"/>
        <w:jc w:val="both"/>
      </w:pPr>
      <w:r>
        <w:t xml:space="preserve">В случае наличия разногласий сторон приоритетной является информация из СУИ ПК.</w:t>
      </w:r>
      <w:r/>
    </w:p>
    <w:p>
      <w:pPr>
        <w:pStyle w:val="1599"/>
        <w:numPr>
          <w:ilvl w:val="4"/>
          <w:numId w:val="41"/>
        </w:numPr>
        <w:tabs>
          <w:tab w:val="left" w:pos="1701" w:leader="none"/>
        </w:tabs>
        <w:rPr>
          <w:sz w:val="26"/>
          <w:szCs w:val="26"/>
        </w:rPr>
      </w:pPr>
      <w:r/>
      <w:bookmarkStart w:id="282" w:name="_Toc39"/>
      <w:r>
        <w:rPr>
          <w:sz w:val="26"/>
          <w:szCs w:val="26"/>
        </w:rPr>
        <w:t xml:space="preserve">Требования к нагрузочному тестированию</w:t>
      </w:r>
      <w:bookmarkEnd w:id="28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851"/>
        <w:jc w:val="both"/>
        <w:spacing w:before="120" w:line="360" w:lineRule="auto"/>
        <w:rPr>
          <w:rFonts w:eastAsia="WenQuanYi Micro Hei" w:cs="Lohit Devanagari"/>
          <w:color w:val="000000"/>
          <w:lang w:eastAsia="zh-CN" w:bidi="hi-IN"/>
        </w:rPr>
      </w:pPr>
      <w:r/>
      <w:bookmarkStart w:id="158" w:name="_Hlk106290709"/>
      <w:r>
        <w:rPr>
          <w:rFonts w:eastAsia="WenQuanYi Micro Hei" w:cs="Lohit Devanagari"/>
          <w:color w:val="000000"/>
          <w:lang w:eastAsia="zh-CN" w:bidi="hi-IN"/>
        </w:rPr>
        <w:t xml:space="preserve">Исполнитель в рамках мероприятия по нагрузочному тестированию должен провести процедуры нагрузочного тестирования с целью мониторинга соответствия текущего состояния Системы целевым показателям.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Процедура нагрузочного тестирования должна проводиться Исполнителем в соответствии с Единым регламентом оказания услуг в соответствии с параметрами, приведёнными в Приложение А к настоящему ТЗ (Таблица А.1, Таблица А.4).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Нагрузочное тестирование может проводиться на основном (промышленн</w:t>
      </w:r>
      <w:r>
        <w:rPr>
          <w:rFonts w:eastAsia="WenQuanYi Micro Hei" w:cs="Lohit Devanagari"/>
          <w:color w:val="000000"/>
          <w:lang w:eastAsia="zh-CN" w:bidi="hi-IN"/>
        </w:rPr>
        <w:t xml:space="preserve">ом) контуре Системы только в нерабочее время Пользователей по согласованию с Заказчиком либо в любое время на аналогичном контуре, полностью повторяющем архитектуру и мощности основного (промышленного) контура, в том числе версии компонентов Системы и ОПО.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Нагрузочное тестирование не должно влиять на работу смежных систем.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Для выполнения процедуры нагрузочного тестирования должны использоваться инструменты, предоставляемые Заказчиком, при невозможности использования данных </w:t>
      </w:r>
      <w:r>
        <w:rPr>
          <w:rFonts w:eastAsia="WenQuanYi Micro Hei" w:cs="Lohit Devanagari"/>
          <w:color w:val="000000"/>
          <w:lang w:eastAsia="zh-CN" w:bidi="hi-IN"/>
        </w:rPr>
        <w:t xml:space="preserve">инструментов Исполнитель по согласованию с Заказчиком использует иные инструменты, позволяющие провести требуемые процедуры нагрузочного тестирования.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Результаты нагрузочного тестирования должны быть занесены Исполнителем в СУИ ПК и отражены в Журнале нагрузочного тестирования (Приложение Б, </w:t>
      </w:r>
      <w:r>
        <w:rPr>
          <w:rFonts w:eastAsia="WenQuanYi Micro Hei" w:cs="Lohit Devanagari"/>
          <w:color w:val="000000"/>
          <w:lang w:eastAsia="zh-CN" w:bidi="hi-IN"/>
        </w:rPr>
        <w:fldChar w:fldCharType="begin"/>
      </w:r>
      <w:r>
        <w:rPr>
          <w:rFonts w:eastAsia="WenQuanYi Micro Hei" w:cs="Lohit Devanagari"/>
          <w:color w:val="000000"/>
          <w:lang w:eastAsia="zh-CN" w:bidi="hi-IN"/>
        </w:rPr>
        <w:instrText xml:space="preserve"> REF _Ref34123728  \* MERGEFORMAT </w:instrText>
      </w:r>
      <w:r>
        <w:rPr>
          <w:rFonts w:eastAsia="WenQuanYi Micro Hei" w:cs="Lohit Devanagari"/>
          <w:color w:val="000000"/>
          <w:lang w:eastAsia="zh-CN" w:bidi="hi-IN"/>
        </w:rPr>
        <w:fldChar w:fldCharType="separate"/>
      </w:r>
      <w:r>
        <w:rPr>
          <w:rFonts w:eastAsia="WenQuanYi Micro Hei" w:cs="Lohit Devanagari"/>
          <w:color w:val="000000"/>
          <w:lang w:eastAsia="zh-CN" w:bidi="hi-IN"/>
        </w:rPr>
        <w:t xml:space="preserve">Таблица Б.</w:t>
      </w:r>
      <w:r>
        <w:rPr>
          <w:rFonts w:eastAsia="WenQuanYi Micro Hei" w:cs="Lohit Devanagari"/>
          <w:color w:val="000000"/>
          <w:lang w:eastAsia="zh-CN" w:bidi="hi-IN"/>
        </w:rPr>
        <w:fldChar w:fldCharType="end"/>
      </w:r>
      <w:r>
        <w:rPr>
          <w:rFonts w:eastAsia="WenQuanYi Micro Hei" w:cs="Lohit Devanagari"/>
          <w:color w:val="000000"/>
          <w:lang w:eastAsia="zh-CN" w:bidi="hi-IN"/>
        </w:rPr>
        <w:t xml:space="preserve">9) в составе Отчета об уровне оказания услуг.</w:t>
      </w:r>
      <w:bookmarkEnd w:id="158"/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ind w:firstLine="851"/>
        <w:jc w:val="both"/>
        <w:spacing w:line="360" w:lineRule="auto"/>
        <w:rPr>
          <w:rFonts w:eastAsia="WenQuanYi Micro Hei" w:cs="Lohit Devanagari"/>
          <w:color w:val="000000"/>
          <w:lang w:eastAsia="zh-CN" w:bidi="hi-IN"/>
        </w:rPr>
      </w:pPr>
      <w:r>
        <w:rPr>
          <w:rFonts w:eastAsia="WenQuanYi Micro Hei" w:cs="Lohit Devanagari"/>
          <w:color w:val="000000"/>
          <w:lang w:eastAsia="zh-CN" w:bidi="hi-IN"/>
        </w:rPr>
        <w:t xml:space="preserve">В случае наличия разногласий сторон приоритетной является информация из СУИ ПК.</w:t>
      </w:r>
      <w:r>
        <w:rPr>
          <w:rFonts w:eastAsia="WenQuanYi Micro Hei" w:cs="Lohit Devanagari"/>
          <w:color w:val="000000"/>
          <w:lang w:eastAsia="zh-CN" w:bidi="hi-IN"/>
        </w:rPr>
      </w:r>
      <w:r>
        <w:rPr>
          <w:rFonts w:eastAsia="WenQuanYi Micro Hei" w:cs="Lohit Devanagari"/>
          <w:color w:val="000000"/>
          <w:lang w:eastAsia="zh-CN" w:bidi="hi-IN"/>
        </w:rPr>
      </w:r>
    </w:p>
    <w:p>
      <w:pPr>
        <w:pStyle w:val="1599"/>
        <w:numPr>
          <w:ilvl w:val="3"/>
          <w:numId w:val="41"/>
        </w:numPr>
        <w:jc w:val="both"/>
        <w:tabs>
          <w:tab w:val="left" w:pos="1701" w:leader="none"/>
        </w:tabs>
        <w:rPr>
          <w:sz w:val="26"/>
          <w:szCs w:val="26"/>
        </w:rPr>
      </w:pPr>
      <w:r/>
      <w:bookmarkStart w:id="283" w:name="_Toc40"/>
      <w:r>
        <w:rPr>
          <w:sz w:val="26"/>
          <w:szCs w:val="26"/>
        </w:rPr>
        <w:t xml:space="preserve">Требования к услуге по обеспечению обновления Системы и устранению уязвимостей Системы по запросу Заказчика</w:t>
      </w:r>
      <w:bookmarkEnd w:id="283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bCs/>
          <w:sz w:val="26"/>
          <w:szCs w:val="26"/>
        </w:rPr>
      </w:pPr>
      <w:r/>
      <w:bookmarkStart w:id="284" w:name="_Toc41"/>
      <w:r>
        <w:rPr>
          <w:bCs/>
          <w:sz w:val="26"/>
          <w:szCs w:val="26"/>
        </w:rPr>
        <w:t xml:space="preserve">Требования к услуге по обеспечению обновления Системы </w:t>
      </w:r>
      <w:bookmarkEnd w:id="284"/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  <w:t xml:space="preserve">В случае появления необходимости обновления СПО Систе</w:t>
      </w:r>
      <w:r>
        <w:rPr>
          <w:color w:val="000000"/>
        </w:rPr>
        <w:t xml:space="preserve">мы Заказчик сообщает об этом Исполнителю и передает все необходимые материалы и дистрибутивы для проведения обновления, а также согласует порядок и сроки обновления. По согласованию с Заказчиком Исполнитель организует мероприятия по обеспечению обновлений.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Если Исполнителем в ходе оказания услуг выявлена необходимость обновления Системы, Исполнитель должен проинформировать об этом Заказчика и приступить к подготовке данного мероприятия после получения согласования от Заказчика в рабочем порядке.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Мероприятие по обеспечению обновления включает в себя контроль изменений архитектуры Системы, контроль проведения изменений СПО, работы по оптимизации, устранению дефектов, актуализацию документации Системы (при необходимости) и т.д.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Внесение любых изменений в Систему осуществляется в соответствии с Единым регламентом оказания услуг.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Исполнитель при обновлении СПО должен: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разработать план обновления;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провести обновление тестового контура;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протестировать успешность установки обновления на тестовый контур;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сформировать ЗНИ в СУИ ПК;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согласовать план обновления, содержащий информацию по вносимым изменениям (время начала и завершения работ, перечень работ, выполняемых в рамках </w:t>
      </w:r>
      <w:r>
        <w:t xml:space="preserve">обновления с указанием сроков, выводимый функционал, влияние на Пользователей, контакты ответственных за данные работы специалистов), и ЗНИ с Заказчиком;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оповестить заинтересованных лиц о начале проведения работ;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провести соответствующее обновление СПО на основном (промышленном) контуре в сроки, установленные в плане обновления;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протестировать успешность установки обновления;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</w:pPr>
      <w:r>
        <w:t xml:space="preserve">оповестить заинтересованных лиц о завершении проведения работ;</w:t>
      </w:r>
      <w:r/>
    </w:p>
    <w:p>
      <w:pPr>
        <w:pStyle w:val="1499"/>
        <w:numPr>
          <w:ilvl w:val="0"/>
          <w:numId w:val="67"/>
        </w:numPr>
        <w:ind w:left="850" w:hanging="567"/>
        <w:spacing w:line="360" w:lineRule="auto"/>
        <w:rPr>
          <w:color w:val="000000"/>
        </w:rPr>
      </w:pPr>
      <w:r>
        <w:t xml:space="preserve">актуализировать документацию (описание архитектуры, методика проведения нагрузочного тестирования, анкеты постановки на мониторинг и иные документы) (при необходимости).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Любые изменения или обновления версий СПО на основном (промышленном) контуре Системы Заказчика должны применяться только в случае успешного проведения аналогичных работ на тестовом контуре.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Результаты внесения изменений отображаются в соответствующей записи в СУИ ПК и вносятся в Журнал обновления Системы Приложения Б к ТЗ (Таблица Б.10) в составе Отчёта об уровне оказания услуг.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В случае наличия разногласий сторон приоритетной является информация из СУИ ПК.</w:t>
      </w:r>
      <w:r>
        <w:rPr>
          <w:color w:val="000000"/>
        </w:rPr>
      </w:r>
      <w:r>
        <w:rPr>
          <w:color w:val="000000"/>
        </w:rPr>
      </w:r>
    </w:p>
    <w:p>
      <w:pPr>
        <w:pStyle w:val="1599"/>
        <w:numPr>
          <w:ilvl w:val="4"/>
          <w:numId w:val="41"/>
        </w:numPr>
        <w:jc w:val="both"/>
        <w:tabs>
          <w:tab w:val="left" w:pos="1701" w:leader="none"/>
        </w:tabs>
        <w:rPr>
          <w:bCs/>
          <w:sz w:val="26"/>
          <w:szCs w:val="26"/>
        </w:rPr>
      </w:pPr>
      <w:r/>
      <w:bookmarkStart w:id="285" w:name="_Toc42"/>
      <w:r/>
      <w:bookmarkStart w:id="162" w:name="undefined"/>
      <w:r>
        <w:rPr>
          <w:bCs/>
          <w:sz w:val="26"/>
          <w:szCs w:val="26"/>
        </w:rPr>
        <w:t xml:space="preserve">Устранение уязвимостей Системы по запросу Заказчика</w:t>
      </w:r>
      <w:bookmarkEnd w:id="285"/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1505"/>
        <w:ind w:firstLine="850"/>
        <w:jc w:val="both"/>
        <w:rPr>
          <w:color w:val="000000" w:themeColor="text1"/>
        </w:rPr>
      </w:pPr>
      <w:r>
        <w:rPr>
          <w:color w:val="000000" w:themeColor="text1"/>
        </w:rPr>
        <w:t xml:space="preserve">Заказчик может направить запрос в СУИ ПК для устранения уязвимостей ПО Систем</w:t>
      </w:r>
      <w:bookmarkEnd w:id="162"/>
      <w:r>
        <w:rPr>
          <w:color w:val="000000" w:themeColor="text1"/>
        </w:rPr>
        <w:t xml:space="preserve">ы. Исполнитель должен устранить выявленные Заказчиком при мониторинге информационной безопасности ЦОД ППК уязвимости в ПО Системы: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505"/>
        <w:numPr>
          <w:ilvl w:val="0"/>
          <w:numId w:val="57"/>
        </w:numPr>
        <w:ind w:left="850" w:hanging="567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в отношении уязвимостей программных средств, которым присвоен критический уровень критичности, рекомендуется принять меры по их устранению в течение 24 часов;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505"/>
        <w:numPr>
          <w:ilvl w:val="0"/>
          <w:numId w:val="57"/>
        </w:numPr>
        <w:ind w:left="850" w:hanging="567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в отношении уязвимостей программных средств, которым присвоен высокий уровень критичности, рекомендуется принять меры по их устранению в течение 7 дней;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505"/>
        <w:numPr>
          <w:ilvl w:val="0"/>
          <w:numId w:val="57"/>
        </w:numPr>
        <w:ind w:left="850" w:hanging="567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в отношении уязвимостей программных средств, которым присвоен средний уровень критичности, рекомендуется принять меры по их устранению в течение 4 недель;</w:t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pStyle w:val="1505"/>
        <w:numPr>
          <w:ilvl w:val="0"/>
          <w:numId w:val="57"/>
        </w:numPr>
        <w:ind w:left="850" w:hanging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</w:rPr>
        <w:t xml:space="preserve">в отношении уязвимостей программных средств, которым присвоен низкий уровень критичности, рекомендуется принять меры по их устранению в течение 4 месяцев.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505"/>
        <w:ind w:firstLine="850"/>
        <w:jc w:val="both"/>
        <w:rPr>
          <w:color w:val="000000" w:themeColor="text1"/>
        </w:rPr>
      </w:pPr>
      <w:r>
        <w:rPr>
          <w:color w:val="000000" w:themeColor="text1"/>
        </w:rPr>
        <w:t xml:space="preserve">Уязвимости программных средств могут быть устранены путем обновления ПО Системы по процедуре, предусмотренной пунктом 4.2.2.5.1 ТЗ, или принятия компенсирующих организационных и технических мер.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505"/>
        <w:ind w:firstLine="850"/>
        <w:jc w:val="both"/>
      </w:pPr>
      <w:r>
        <w:rPr>
          <w:color w:val="000000" w:themeColor="text1"/>
        </w:rPr>
        <w:t xml:space="preserve">Исполнитель вправе изменить уровен</w:t>
      </w:r>
      <w:r>
        <w:rPr>
          <w:color w:val="000000" w:themeColor="text1"/>
        </w:rPr>
        <w:t xml:space="preserve">ь критичности уязвимости по согласованию с Заказчиком через СУИ ПК с обоснованием причин такого изменения. Для согласования изменений заявка переводится в режим ожидания, данный период времени не учитывается при оценке срока устранения уязвимостей Системы.</w:t>
      </w:r>
      <w:r/>
    </w:p>
    <w:p>
      <w:pPr>
        <w:pStyle w:val="1505"/>
        <w:ind w:firstLine="850"/>
        <w:jc w:val="both"/>
      </w:pPr>
      <w:r>
        <w:rPr>
          <w:color w:val="000000" w:themeColor="text1"/>
        </w:rPr>
        <w:t xml:space="preserve">В случае устранения уязвимостей программных средств путем обновления Системы заявка на устранение уя</w:t>
      </w:r>
      <w:r>
        <w:rPr>
          <w:color w:val="000000" w:themeColor="text1"/>
        </w:rPr>
        <w:t xml:space="preserve">звимостей переводится в статус ожидания (после уведомления Заказчика любым способом по усмотрению Заказчика с обоснованием причин ожидания). Период времени, необходимый для подготовки обновления Системы, не включается в расчет срока устранения уязвимостей.</w:t>
      </w:r>
      <w:r/>
    </w:p>
    <w:p>
      <w:pPr>
        <w:pStyle w:val="1505"/>
        <w:ind w:firstLine="850"/>
        <w:jc w:val="both"/>
        <w:rPr>
          <w:color w:val="000000" w:themeColor="text1"/>
        </w:rPr>
      </w:pPr>
      <w:r>
        <w:rPr>
          <w:color w:val="000000" w:themeColor="text1"/>
        </w:rPr>
        <w:t xml:space="preserve">Если по результатам анализа уязвимостей Исполнителем выявлена необходимость до</w:t>
      </w:r>
      <w:r>
        <w:rPr>
          <w:color w:val="000000" w:themeColor="text1"/>
        </w:rPr>
        <w:t xml:space="preserve">работки программного кода или функционала Системы, то заявка на устранение уязвимостей закрывается Исполнителем с решением об устранении уязвимостей в рамках контракта на развитие Системы. Выявленная уязвимость должна быть включена в план развития Системы.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505"/>
        <w:ind w:firstLine="85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</w:rPr>
        <w:t xml:space="preserve">Результаты устранения уязвимостей ПО Системы отображаются в соответствующей записи в СУИ ПК и вносятся в Журнал устранения уязвимостей Систем Приложения Б к ТЗ (</w:t>
      </w:r>
      <w:r>
        <w:rPr>
          <w:color w:val="000000" w:themeColor="text1"/>
          <w:highlight w:val="white"/>
        </w:rPr>
        <w:t xml:space="preserve">Таблица Б.12</w:t>
      </w:r>
      <w:r>
        <w:rPr>
          <w:color w:val="000000" w:themeColor="text1"/>
        </w:rPr>
        <w:t xml:space="preserve">) в составе Отчета об уровне оказания услуг.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505"/>
        <w:ind w:firstLine="850"/>
        <w:jc w:val="both"/>
        <w:rPr>
          <w:color w:val="000000" w:themeColor="text1"/>
        </w:rPr>
        <w:sectPr>
          <w:footnotePr/>
          <w:endnotePr/>
          <w:type w:val="continuous"/>
          <w:pgSz w:w="11906" w:h="16838" w:orient="portrait"/>
          <w:pgMar w:top="1134" w:right="707" w:bottom="1134" w:left="1701" w:header="284" w:footer="284" w:gutter="0"/>
          <w:cols w:num="1" w:sep="0" w:space="720" w:equalWidth="1"/>
          <w:docGrid w:linePitch="360"/>
          <w:titlePg/>
        </w:sectPr>
      </w:pPr>
      <w:r>
        <w:rPr>
          <w:color w:val="000000" w:themeColor="text1"/>
        </w:rPr>
        <w:t xml:space="preserve">В случае наличия разногласий сторон приоритетной является информация из СУИ ПК.</w:t>
      </w:r>
      <w:bookmarkStart w:id="163" w:name="_pkwqa1"/>
      <w:r/>
      <w:bookmarkStart w:id="164" w:name="_48pi1tg"/>
      <w:r/>
      <w:bookmarkEnd w:id="163"/>
      <w:r/>
      <w:bookmarkEnd w:id="164"/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599"/>
        <w:numPr>
          <w:ilvl w:val="0"/>
          <w:numId w:val="41"/>
        </w:numPr>
        <w:ind w:left="851"/>
        <w:spacing w:before="360"/>
      </w:pPr>
      <w:r/>
      <w:bookmarkStart w:id="286" w:name="_Toc43"/>
      <w:r/>
      <w:bookmarkStart w:id="165" w:name="_2nusc19"/>
      <w:r/>
      <w:bookmarkEnd w:id="165"/>
      <w:r>
        <w:t xml:space="preserve">Подготовительные мероприятия и этапы оказания услуг</w:t>
      </w:r>
      <w:bookmarkEnd w:id="286"/>
      <w:r/>
      <w:r/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87" w:name="_Toc44"/>
      <w:r>
        <w:rPr>
          <w:sz w:val="28"/>
          <w:szCs w:val="28"/>
        </w:rPr>
        <w:t xml:space="preserve">Подготовительные мероприятия</w:t>
      </w:r>
      <w:bookmarkEnd w:id="28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31"/>
        <w:ind w:firstLine="851"/>
        <w:jc w:val="both"/>
        <w:spacing w:before="120" w:line="360" w:lineRule="auto"/>
        <w:rPr>
          <w:rFonts w:ascii="Times New Roman" w:hAnsi="Times New Roman" w:eastAsia="Times New Roman" w:cs="Times New Roman"/>
          <w:lang w:eastAsia="en-US" w:bidi="ar-SA"/>
        </w:rPr>
      </w:pPr>
      <w:r/>
      <w:bookmarkStart w:id="168" w:name="_Hlk119406944"/>
      <w:r>
        <w:rPr>
          <w:rFonts w:ascii="Times New Roman" w:hAnsi="Times New Roman" w:eastAsia="Times New Roman" w:cs="Times New Roman"/>
          <w:lang w:eastAsia="en-US" w:bidi="ar-SA"/>
        </w:rPr>
        <w:t xml:space="preserve">Подготовительные мероприятия к оказанию услуг по сопровождению и эксплуатации Системы приведены в таблице ниже (Таблица 10).</w:t>
      </w:r>
      <w:r>
        <w:rPr>
          <w:rFonts w:ascii="Times New Roman" w:hAnsi="Times New Roman" w:eastAsia="Times New Roman" w:cs="Times New Roman"/>
          <w:lang w:eastAsia="en-US" w:bidi="ar-SA"/>
        </w:rPr>
      </w:r>
      <w:r>
        <w:rPr>
          <w:rFonts w:ascii="Times New Roman" w:hAnsi="Times New Roman" w:eastAsia="Times New Roman" w:cs="Times New Roman"/>
          <w:lang w:eastAsia="en-US" w:bidi="ar-SA"/>
        </w:rPr>
      </w:r>
    </w:p>
    <w:p>
      <w:pPr>
        <w:pStyle w:val="1563"/>
        <w:keepNext/>
      </w:pPr>
      <w:r>
        <w:rPr>
          <w:rStyle w:val="1547"/>
        </w:rPr>
        <w:t xml:space="preserve">Таблица 10 – Подготовительные мероприятия</w:t>
      </w:r>
      <w:r>
        <w:rPr>
          <w:rStyle w:val="1587"/>
          <w:sz w:val="26"/>
          <w:szCs w:val="26"/>
        </w:rPr>
        <w:footnoteReference w:id="5"/>
      </w:r>
      <w:r/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1120"/>
        <w:gridCol w:w="4062"/>
        <w:gridCol w:w="2522"/>
        <w:gridCol w:w="2195"/>
        <w:gridCol w:w="242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23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120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Раздел ТЗ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062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Отчётная документация</w:t>
            </w:r>
            <w:r>
              <w:rPr>
                <w:rStyle w:val="1587"/>
                <w:rFonts w:ascii="Times New Roman" w:hAnsi="Times New Roman" w:cs="Times New Roman"/>
                <w:b/>
                <w:bCs/>
              </w:rPr>
              <w:footnoteReference w:id="6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522" w:type="dxa"/>
            <w:textDirection w:val="lrTb"/>
            <w:noWrap w:val="false"/>
          </w:tcPr>
          <w:p>
            <w:pPr>
              <w:pStyle w:val="1531"/>
              <w:jc w:val="center"/>
              <w:spacing w:before="40" w:after="4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Сроки Подготовительных мероприятий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9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Сроки предоставления отчетной документации Исполнителем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4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Сроки 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согласования/подписания</w:t>
            </w:r>
            <w:r>
              <w:rPr>
                <w:rStyle w:val="1587"/>
                <w:rFonts w:ascii="Times New Roman" w:hAnsi="Times New Roman" w:cs="Times New Roman"/>
                <w:b/>
                <w:bCs/>
              </w:rPr>
              <w:footnoteReference w:id="7"/>
            </w:r>
            <w:r>
              <w:rPr>
                <w:rFonts w:ascii="Times New Roman" w:hAnsi="Times New Roman" w:cs="Times New Roman"/>
                <w:b/>
                <w:bCs/>
              </w:rPr>
              <w:t xml:space="preserve"> отчетной документации 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1531"/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Заказчиком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9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235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en-US" w:bidi="ar-SA"/>
              </w:rPr>
              <w:t xml:space="preserve">Мероприятия по подготовке к оказанию услуг по сопровождению и эксплуатации Системы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120" w:type="dxa"/>
            <w:textDirection w:val="lrTb"/>
            <w:noWrap w:val="false"/>
          </w:tcPr>
          <w:p>
            <w:pPr>
              <w:pStyle w:val="1531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4.2.1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062" w:type="dxa"/>
            <w:textDirection w:val="lrTb"/>
            <w:noWrap w:val="false"/>
          </w:tcPr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Перечень уполномоченных специалистов Исполнителя;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резервного копирования виртуальных машин;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постановки на инфраструктурный мониторинг;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постановки на функциональный мониторинг;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подключения к системе управления репозиториями кода;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настройки очереди в СУИ ПК;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настройки нагрузочного тестирования;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Анкета предоставления доступа к виртуальным машинам;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Единый регламент оказания услуг;</w:t>
            </w:r>
            <w:r/>
          </w:p>
          <w:p>
            <w:pPr>
              <w:pStyle w:val="1539"/>
              <w:numPr>
                <w:ilvl w:val="0"/>
                <w:numId w:val="59"/>
              </w:numPr>
            </w:pPr>
            <w:r>
              <w:t xml:space="preserve">Протокол проверки результатов Подготовительных мероприятий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522" w:type="dxa"/>
            <w:textDirection w:val="lrTb"/>
            <w:noWrap w:val="false"/>
          </w:tcPr>
          <w:p>
            <w:pPr>
              <w:pStyle w:val="1539"/>
              <w:ind w:left="277"/>
              <w:rPr>
                <w:highlight w:val="yellow"/>
              </w:rPr>
            </w:pPr>
            <w:r>
              <w:rPr>
                <w:highlight w:val="white"/>
              </w:rPr>
              <w:t xml:space="preserve">22.01.2027 - 28.01.2027 (7 </w:t>
            </w:r>
            <w:r>
              <w:t xml:space="preserve">календарных дней)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95" w:type="dxa"/>
            <w:textDirection w:val="lrTb"/>
            <w:noWrap w:val="false"/>
          </w:tcPr>
          <w:p>
            <w:pPr>
              <w:pStyle w:val="1539"/>
              <w:ind w:left="277"/>
              <w:rPr>
                <w:highlight w:val="white"/>
              </w:rPr>
            </w:pPr>
            <w:r>
              <w:t xml:space="preserve">Не позднее </w:t>
            </w:r>
            <w:r>
              <w:rPr>
                <w:bCs/>
                <w:highlight w:val="white"/>
              </w:rPr>
              <w:t xml:space="preserve">04.02.2027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426" w:type="dxa"/>
            <w:textDirection w:val="lrTb"/>
            <w:noWrap w:val="false"/>
          </w:tcPr>
          <w:p>
            <w:pPr>
              <w:pStyle w:val="1539"/>
              <w:rPr>
                <w:highlight w:val="white"/>
              </w:rPr>
            </w:pPr>
            <w:r>
              <w:t xml:space="preserve">Не позднее </w:t>
            </w:r>
            <w:r>
              <w:rPr>
                <w:highlight w:val="white"/>
              </w:rPr>
              <w:t xml:space="preserve">11.02.2027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r>
              <w:t xml:space="preserve">(при условии соответствия документации требованиям ТЗ)</w:t>
            </w:r>
            <w:r/>
          </w:p>
          <w:p>
            <w:pPr>
              <w:pStyle w:val="1539"/>
              <w:ind w:left="277"/>
            </w:pPr>
            <w:r/>
            <w:r/>
          </w:p>
        </w:tc>
      </w:tr>
    </w:tbl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88" w:name="_Toc45"/>
      <w:r/>
      <w:bookmarkEnd w:id="168"/>
      <w:r>
        <w:rPr>
          <w:sz w:val="28"/>
          <w:szCs w:val="28"/>
        </w:rPr>
        <w:t xml:space="preserve">Этапы оказания услуг</w:t>
      </w:r>
      <w:bookmarkEnd w:id="28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  <w:t xml:space="preserve">Этапы оказания услуг по сопровождению и эксплуатации Системы приведены в таблице ниже (Таблица 11):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>
        <w:rPr>
          <w:color w:val="000000"/>
        </w:rPr>
        <w:t xml:space="preserve">Таблица 11 – Этапы оказания услуг</w:t>
      </w:r>
      <w:bookmarkStart w:id="170" w:name="_2250f4o"/>
      <w:r/>
      <w:bookmarkEnd w:id="170"/>
      <w:r>
        <w:rPr>
          <w:color w:val="000000"/>
        </w:rPr>
      </w:r>
      <w:r>
        <w:rPr>
          <w:color w:val="000000"/>
        </w:rPr>
      </w:r>
    </w:p>
    <w:tbl>
      <w:tblPr>
        <w:tblW w:w="4964" w:type="pct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964"/>
        <w:gridCol w:w="1276"/>
        <w:gridCol w:w="6946"/>
        <w:gridCol w:w="2269"/>
      </w:tblGrid>
      <w:tr>
        <w:tblPrEx/>
        <w:trPr>
          <w:trHeight w:val="7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4" w:type="dxa"/>
            <w:vAlign w:val="center"/>
            <w:textDirection w:val="lrTb"/>
            <w:noWrap w:val="false"/>
          </w:tcPr>
          <w:p>
            <w:pPr>
              <w:pStyle w:val="1534"/>
              <w:keepNext w:val="0"/>
              <w:widowControl w:val="off"/>
            </w:pPr>
            <w:r>
              <w:t xml:space="preserve">Наименование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534"/>
              <w:keepNext w:val="0"/>
              <w:widowControl w:val="off"/>
            </w:pPr>
            <w:r>
              <w:t xml:space="preserve">Раздел ТЗ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1534"/>
              <w:keepNext w:val="0"/>
              <w:widowControl w:val="off"/>
            </w:pPr>
            <w:r>
              <w:t xml:space="preserve">Отчетная документация и материалы</w:t>
            </w:r>
            <w:r>
              <w:rPr>
                <w:rStyle w:val="1560"/>
              </w:rPr>
              <w:footnoteReference w:id="8"/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vAlign w:val="center"/>
            <w:textDirection w:val="lrTb"/>
            <w:noWrap w:val="false"/>
          </w:tcPr>
          <w:p>
            <w:pPr>
              <w:pStyle w:val="1534"/>
              <w:keepNext w:val="0"/>
              <w:widowControl w:val="off"/>
            </w:pPr>
            <w:r>
              <w:t xml:space="preserve">Сроки оказания услуг</w:t>
            </w:r>
            <w:r/>
          </w:p>
        </w:tc>
      </w:tr>
      <w:tr>
        <w:tblPrEx/>
        <w:trPr>
          <w:trHeight w:val="2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86" w:type="dxa"/>
            <w:textDirection w:val="lrTb"/>
            <w:noWrap w:val="false"/>
          </w:tcPr>
          <w:p>
            <w:pPr>
              <w:pStyle w:val="1539"/>
              <w:widowControl w:val="off"/>
              <w:rPr>
                <w:b/>
                <w:bCs/>
              </w:rPr>
            </w:pPr>
            <w:r>
              <w:rPr>
                <w:b/>
                <w:bCs/>
              </w:rPr>
              <w:t xml:space="preserve">1 (первый) этап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1539"/>
              <w:widowControl w:val="off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поддержке Пользователей;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решению инцидентов;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мониторингу и обеспечению доступности и работоспособности (производительности);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регламентному обслуживанию;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обеспечению обновления Системы и устранению уязвимостей Системы по запросу Заказчик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539"/>
              <w:ind w:left="360"/>
              <w:widowControl w:val="off"/>
            </w:pPr>
            <w:r>
              <w:rPr>
                <w:color w:val="000000"/>
              </w:rPr>
              <w:t xml:space="preserve">4.2.2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539"/>
              <w:numPr>
                <w:ilvl w:val="0"/>
                <w:numId w:val="15"/>
              </w:numPr>
              <w:widowControl w:val="off"/>
            </w:pPr>
            <w:r>
              <w:t xml:space="preserve">Отчет об уровне оказания услуг;</w:t>
            </w:r>
            <w:r/>
          </w:p>
          <w:p>
            <w:pPr>
              <w:pStyle w:val="1522"/>
              <w:numPr>
                <w:ilvl w:val="0"/>
                <w:numId w:val="15"/>
              </w:numPr>
              <w:widowControl w:val="off"/>
              <w:rPr>
                <w:lang w:eastAsia="en-US"/>
              </w:rPr>
            </w:pPr>
            <w:r>
              <w:rPr>
                <w:lang w:eastAsia="en-US"/>
              </w:rPr>
              <w:t xml:space="preserve">Актуализированные версии документации, разработанной на Подготовительных мероприятиях (при необходимости);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539"/>
              <w:numPr>
                <w:ilvl w:val="0"/>
                <w:numId w:val="15"/>
              </w:numPr>
              <w:widowControl w:val="off"/>
            </w:pPr>
            <w:r>
              <w:t xml:space="preserve">Актуализированные версии документов на систему (при необходимости);</w:t>
            </w:r>
            <w:r/>
          </w:p>
          <w:p>
            <w:pPr>
              <w:pStyle w:val="1539"/>
              <w:numPr>
                <w:ilvl w:val="0"/>
                <w:numId w:val="15"/>
              </w:numPr>
              <w:widowControl w:val="off"/>
            </w:pPr>
            <w:r>
              <w:rPr>
                <w:color w:val="000000"/>
                <w:lang w:eastAsia="ru-RU"/>
              </w:rPr>
              <w:t xml:space="preserve">Актуализированный документ «Описание архитектуры системы» (при необходимости);</w:t>
            </w:r>
            <w:r/>
          </w:p>
          <w:p>
            <w:pPr>
              <w:pStyle w:val="1539"/>
              <w:numPr>
                <w:ilvl w:val="0"/>
                <w:numId w:val="15"/>
              </w:numPr>
              <w:widowControl w:val="off"/>
              <w:rPr>
                <w:color w:val="000000"/>
              </w:rPr>
            </w:pPr>
            <w:r>
              <w:t xml:space="preserve">Документ о приемке*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1539"/>
              <w:widowControl w:val="off"/>
            </w:pPr>
            <w:r>
              <w:rPr>
                <w:highlight w:val="white"/>
              </w:rPr>
              <w:t xml:space="preserve">29.01.2027 - 28.05.2027 </w:t>
            </w:r>
            <w:r>
              <w:t xml:space="preserve">(120 календарных дней)</w:t>
            </w:r>
            <w:r/>
          </w:p>
        </w:tc>
      </w:tr>
      <w:tr>
        <w:tblPrEx/>
        <w:trPr>
          <w:trHeight w:val="2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55" w:type="dxa"/>
            <w:textDirection w:val="lrTb"/>
            <w:noWrap w:val="false"/>
          </w:tcPr>
          <w:p>
            <w:pPr>
              <w:pStyle w:val="1539"/>
              <w:widowControl w:val="off"/>
            </w:pPr>
            <w:r>
              <w:t xml:space="preserve">2 (второй) этап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поддержке Пользователей;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решению инцидентов;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мониторингу и обеспечению доступности и работоспособности (производительности) Системы;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регламентному обслуживанию;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обеспечению обновления Системы и устранению уязвимостей Системы по запросу Заказчик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spacing w:line="360" w:lineRule="auto"/>
              <w:widowControl w:val="off"/>
              <w:tabs>
                <w:tab w:val="left" w:pos="1443" w:leader="none"/>
              </w:tabs>
              <w:rPr>
                <w:rFonts w:cs="Times New Roman"/>
              </w:rPr>
            </w:pPr>
            <w:r>
              <w:rPr>
                <w:rFonts w:eastAsia="Calibri"/>
              </w:rPr>
              <w:t xml:space="preserve">4.2.2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539"/>
              <w:numPr>
                <w:ilvl w:val="0"/>
                <w:numId w:val="60"/>
              </w:numPr>
              <w:widowControl w:val="off"/>
            </w:pPr>
            <w:r>
              <w:t xml:space="preserve">Отчет об уровне оказания услуг;</w:t>
            </w:r>
            <w:r/>
          </w:p>
          <w:p>
            <w:pPr>
              <w:pStyle w:val="1539"/>
              <w:numPr>
                <w:ilvl w:val="0"/>
                <w:numId w:val="60"/>
              </w:numPr>
              <w:widowControl w:val="off"/>
            </w:pPr>
            <w:r>
              <w:t xml:space="preserve">Актуализированные версии документации, разработанной на Подготовительных мероприятиях и 1 этапе (при необходимости);</w:t>
            </w:r>
            <w:r/>
          </w:p>
          <w:p>
            <w:pPr>
              <w:pStyle w:val="1539"/>
              <w:numPr>
                <w:ilvl w:val="0"/>
                <w:numId w:val="60"/>
              </w:numPr>
              <w:widowControl w:val="off"/>
            </w:pPr>
            <w:r>
              <w:t xml:space="preserve">Актуализированные версии документов на Систему (при необходимости);</w:t>
            </w:r>
            <w:r/>
          </w:p>
          <w:p>
            <w:pPr>
              <w:pStyle w:val="1539"/>
              <w:numPr>
                <w:ilvl w:val="0"/>
                <w:numId w:val="60"/>
              </w:numPr>
              <w:widowControl w:val="off"/>
            </w:pPr>
            <w:r>
              <w:rPr>
                <w:color w:val="000000"/>
                <w:lang w:eastAsia="ru-RU"/>
              </w:rPr>
              <w:t xml:space="preserve">Актуализированный документ «Описание архитектуры системы» (при необходимости);</w:t>
            </w:r>
            <w:r/>
          </w:p>
          <w:p>
            <w:pPr>
              <w:pStyle w:val="1539"/>
              <w:numPr>
                <w:ilvl w:val="0"/>
                <w:numId w:val="60"/>
              </w:numPr>
              <w:widowControl w:val="off"/>
              <w:rPr>
                <w:color w:val="000000"/>
              </w:rPr>
            </w:pPr>
            <w:r>
              <w:t xml:space="preserve">Документ о приёмке*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1539"/>
              <w:widowControl w:val="off"/>
            </w:pPr>
            <w:r>
              <w:rPr>
                <w:highlight w:val="white"/>
              </w:rPr>
              <w:t xml:space="preserve">29.05.2027 - 25.09.2027 (</w:t>
            </w:r>
            <w:r>
              <w:t xml:space="preserve">120 календарных дней)</w:t>
            </w:r>
            <w:r/>
          </w:p>
        </w:tc>
      </w:tr>
      <w:tr>
        <w:tblPrEx/>
        <w:trPr>
          <w:trHeight w:val="2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55" w:type="dxa"/>
            <w:textDirection w:val="lrTb"/>
            <w:noWrap w:val="false"/>
          </w:tcPr>
          <w:p>
            <w:pPr>
              <w:pStyle w:val="1539"/>
              <w:keepNext/>
              <w:widowControl w:val="off"/>
            </w:pPr>
            <w:r>
              <w:t xml:space="preserve">3 (третий) этап</w:t>
            </w:r>
            <w:r/>
          </w:p>
        </w:tc>
      </w:tr>
      <w:tr>
        <w:tblPrEx/>
        <w:trPr>
          <w:trHeight w:val="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поддержке Пользователей;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решению инцидентов;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мониторингу и обеспечению доступности и работоспособности (производительности) Системы;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</w:pPr>
            <w:r>
              <w:t xml:space="preserve">Услуга по регламентному обслуживанию;</w:t>
            </w:r>
            <w:r/>
          </w:p>
          <w:p>
            <w:pPr>
              <w:pStyle w:val="1561"/>
              <w:numPr>
                <w:ilvl w:val="0"/>
                <w:numId w:val="15"/>
              </w:numPr>
              <w:widowControl w:val="off"/>
              <w:rPr>
                <w:color w:val="000000"/>
                <w:sz w:val="22"/>
                <w:szCs w:val="22"/>
              </w:rPr>
            </w:pPr>
            <w:r>
              <w:t xml:space="preserve">Услуга по обеспечению </w:t>
            </w:r>
            <w:r>
              <w:t xml:space="preserve">обновления Системы и устранению уязвимостей Системы по запросу Заказчик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1561"/>
              <w:numPr>
                <w:ilvl w:val="0"/>
                <w:numId w:val="0"/>
              </w:numPr>
              <w:ind w:left="360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1561"/>
              <w:numPr>
                <w:ilvl w:val="0"/>
                <w:numId w:val="0"/>
              </w:numPr>
              <w:ind w:left="277"/>
              <w:rPr>
                <w:rFonts w:eastAsia="Calibri"/>
              </w:rPr>
            </w:pPr>
            <w:r>
              <w:rPr>
                <w:rFonts w:eastAsia="Calibri"/>
              </w:rPr>
              <w:t xml:space="preserve">4.2.2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539"/>
              <w:numPr>
                <w:ilvl w:val="0"/>
                <w:numId w:val="61"/>
              </w:numPr>
              <w:widowControl w:val="off"/>
            </w:pPr>
            <w:r>
              <w:t xml:space="preserve">Отчет об уровне оказания услуг;</w:t>
            </w:r>
            <w:r/>
          </w:p>
          <w:p>
            <w:pPr>
              <w:pStyle w:val="1539"/>
              <w:numPr>
                <w:ilvl w:val="0"/>
                <w:numId w:val="61"/>
              </w:numPr>
              <w:widowControl w:val="off"/>
            </w:pPr>
            <w:r>
              <w:t xml:space="preserve">Актуализированные версии документации, разработанной на Подготовительных мероприятиях, на 1-2 этапах (при необходимости);</w:t>
            </w:r>
            <w:r/>
          </w:p>
          <w:p>
            <w:pPr>
              <w:pStyle w:val="1539"/>
              <w:numPr>
                <w:ilvl w:val="0"/>
                <w:numId w:val="61"/>
              </w:numPr>
              <w:widowControl w:val="off"/>
            </w:pPr>
            <w:r>
              <w:t xml:space="preserve">Актуализированные версии документов на систему (при необходимости);</w:t>
            </w:r>
            <w:r/>
          </w:p>
          <w:p>
            <w:pPr>
              <w:pStyle w:val="1539"/>
              <w:numPr>
                <w:ilvl w:val="0"/>
                <w:numId w:val="61"/>
              </w:numPr>
              <w:widowControl w:val="off"/>
              <w:rPr>
                <w:highlight w:val="white"/>
              </w:rPr>
            </w:pPr>
            <w:r>
              <w:rPr>
                <w:color w:val="000000"/>
                <w:highlight w:val="white"/>
                <w:lang w:eastAsia="ru-RU"/>
              </w:rPr>
              <w:t xml:space="preserve">Актуализированный документ «Описание архитектуры системы» (при необходимости);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539"/>
              <w:numPr>
                <w:ilvl w:val="0"/>
                <w:numId w:val="61"/>
              </w:numPr>
              <w:widowControl w:val="off"/>
              <w:rPr>
                <w:rFonts w:eastAsia="Calibri"/>
              </w:rPr>
            </w:pPr>
            <w:r>
              <w:t xml:space="preserve">Документ о приемке*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1539"/>
              <w:numPr>
                <w:ilvl w:val="0"/>
                <w:numId w:val="61"/>
              </w:num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Акт уничтожения носителя конфиденциальной информации </w:t>
            </w:r>
            <w:r>
              <w:rPr>
                <w:color w:val="000000" w:themeColor="text1"/>
              </w:rPr>
              <w:t xml:space="preserve">(при необходимости) </w:t>
            </w:r>
            <w:r>
              <w:rPr>
                <w:color w:val="000000" w:themeColor="text1"/>
                <w:vertAlign w:val="superscript"/>
              </w:rPr>
              <w:t xml:space="preserve">**</w:t>
            </w:r>
            <w:r>
              <w:rPr>
                <w:color w:val="000000" w:themeColor="text1"/>
              </w:rPr>
              <w:t xml:space="preserve">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539"/>
              <w:numPr>
                <w:ilvl w:val="0"/>
                <w:numId w:val="62"/>
              </w:numPr>
              <w:widowControl w:val="off"/>
            </w:pPr>
            <w:r>
              <w:t xml:space="preserve">Акт передачи доступов</w:t>
            </w:r>
            <w:r>
              <w:rPr>
                <w:vertAlign w:val="superscript"/>
              </w:rPr>
              <w:t xml:space="preserve">***</w:t>
            </w:r>
            <w:r>
              <w:t xml:space="preserve">, включающий реквизиты доступа:</w:t>
            </w:r>
            <w:r/>
          </w:p>
          <w:p>
            <w:pPr>
              <w:pStyle w:val="1539"/>
              <w:ind w:left="357"/>
              <w:widowControl w:val="off"/>
            </w:pPr>
            <w:r>
              <w:t xml:space="preserve">- к Системе;</w:t>
            </w:r>
            <w:r/>
          </w:p>
          <w:p>
            <w:pPr>
              <w:pStyle w:val="1539"/>
              <w:ind w:left="357"/>
              <w:widowControl w:val="off"/>
            </w:pPr>
            <w:r>
              <w:t xml:space="preserve">- к серверам (в разрезе серверов);</w:t>
            </w:r>
            <w:r/>
          </w:p>
          <w:p>
            <w:pPr>
              <w:pStyle w:val="1539"/>
              <w:ind w:left="357"/>
              <w:widowControl w:val="off"/>
            </w:pPr>
            <w:r>
              <w:t xml:space="preserve">- к БД (в разрезе серверов);</w:t>
            </w:r>
            <w:r/>
          </w:p>
          <w:p>
            <w:pPr>
              <w:pStyle w:val="1539"/>
              <w:ind w:left="357"/>
              <w:widowControl w:val="off"/>
            </w:pPr>
            <w:r>
              <w:t xml:space="preserve">- к системе мониторинга Заказчика;</w:t>
            </w:r>
            <w:r/>
          </w:p>
          <w:p>
            <w:pPr>
              <w:pStyle w:val="1539"/>
              <w:numPr>
                <w:ilvl w:val="0"/>
                <w:numId w:val="63"/>
              </w:numPr>
              <w:widowControl w:val="off"/>
            </w:pPr>
            <w:r>
              <w:t xml:space="preserve">- иные учетные записи.</w:t>
            </w:r>
            <w:r/>
          </w:p>
          <w:p>
            <w:pPr>
              <w:pStyle w:val="1539"/>
              <w:ind w:left="277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1539"/>
              <w:widowControl w:val="off"/>
            </w:pPr>
            <w:r>
              <w:rPr>
                <w:highlight w:val="white"/>
              </w:rPr>
              <w:t xml:space="preserve">26.09.2027 - 23.01.2028 (12</w:t>
            </w:r>
            <w:r>
              <w:t xml:space="preserve">0 календарных дней)</w:t>
            </w:r>
            <w:r/>
          </w:p>
        </w:tc>
      </w:tr>
      <w:tr>
        <w:tblPrEx/>
        <w:trPr>
          <w:trHeight w:val="2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455" w:type="dxa"/>
            <w:textDirection w:val="lrTb"/>
            <w:noWrap w:val="false"/>
          </w:tcPr>
          <w:p>
            <w:pPr>
              <w:pStyle w:val="1539"/>
              <w:widowControl w:val="off"/>
            </w:pPr>
            <w:r>
              <w:rPr>
                <w:vertAlign w:val="superscript"/>
              </w:rPr>
              <w:t xml:space="preserve">*</w:t>
            </w:r>
            <w:r>
              <w:t xml:space="preserve">Оформляется в соответствии с пунктом 1.8 настоящего ТЗ.</w:t>
            </w:r>
            <w:r/>
          </w:p>
          <w:p>
            <w:pPr>
              <w:pStyle w:val="1539"/>
              <w:widowControl w:val="off"/>
              <w:rPr>
                <w:color w:val="000000" w:themeColor="text1"/>
              </w:rPr>
            </w:pPr>
            <w:r>
              <w:rPr>
                <w:vertAlign w:val="superscript"/>
              </w:rPr>
              <w:t xml:space="preserve">**</w:t>
            </w:r>
            <w:r>
              <w:rPr>
                <w:color w:val="000000" w:themeColor="text1"/>
              </w:rPr>
              <w:t xml:space="preserve">Акт уничтожения носителя конфиденциальной информации, подготовленный Исполнителем в произвольной форме,</w:t>
            </w:r>
            <w:r>
              <w:rPr>
                <w:color w:val="000000" w:themeColor="text1"/>
                <w:lang w:eastAsia="ru-RU"/>
              </w:rPr>
              <w:t xml:space="preserve"> предоставляется Заказчику в составе отчетной документации последнего этапа </w:t>
            </w:r>
            <w:r>
              <w:rPr>
                <w:color w:val="000000" w:themeColor="text1"/>
              </w:rPr>
              <w:t xml:space="preserve">или в случае расторжения Контракта</w:t>
            </w:r>
            <w:r>
              <w:rPr>
                <w:color w:val="000000" w:themeColor="text1"/>
                <w:lang w:eastAsia="ru-RU"/>
              </w:rPr>
              <w:t xml:space="preserve"> (при необходимости).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539"/>
              <w:widowControl w:val="off"/>
            </w:pPr>
            <w:r>
              <w:rPr>
                <w:vertAlign w:val="superscript"/>
              </w:rPr>
              <w:t xml:space="preserve">***</w:t>
            </w:r>
            <w:r>
              <w:t xml:space="preserve">Акт передачи доступов (Приложение Г к настоящему ТЗ) предоставляется </w:t>
            </w:r>
            <w:bookmarkStart w:id="171" w:name="_Hlk114148003"/>
            <w:r>
              <w:t xml:space="preserve">Исполнителем Заказчику любым способом по усмотр</w:t>
            </w:r>
            <w:r>
              <w:t xml:space="preserve">ению Заказчика за 5 рабочих дней до окончания последнего этапа (или в случае расторжения Контракта). С момента передачи атрибутов Заказчику Исполнитель не вправе их менять. Атрибуты доступа в последний день оказания услуг подлежат уничтожению Исполнителем.</w:t>
            </w:r>
            <w:bookmarkEnd w:id="171"/>
            <w:r/>
            <w:r/>
          </w:p>
        </w:tc>
      </w:tr>
    </w:tbl>
    <w:p>
      <w:pPr>
        <w:pStyle w:val="1499"/>
        <w:ind w:firstLine="0"/>
        <w:spacing w:line="36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</w:p>
    <w:p>
      <w:pPr>
        <w:pStyle w:val="1499"/>
        <w:tabs>
          <w:tab w:val="left" w:pos="2130" w:leader="none"/>
        </w:tabs>
        <w:rPr>
          <w:color w:val="000000"/>
        </w:rPr>
        <w:sectPr>
          <w:headerReference w:type="default" r:id="rId12"/>
          <w:footerReference w:type="default" r:id="rId23"/>
          <w:footnotePr/>
          <w:endnotePr/>
          <w:type w:val="nextPage"/>
          <w:pgSz w:w="16838" w:h="11906" w:orient="landscape"/>
          <w:pgMar w:top="1701" w:right="1134" w:bottom="851" w:left="1134" w:header="284" w:footer="284" w:gutter="0"/>
          <w:cols w:num="1" w:sep="0" w:space="720" w:equalWidth="1"/>
          <w:docGrid w:linePitch="360"/>
        </w:sectPr>
      </w:pPr>
      <w:r>
        <w:tab/>
      </w:r>
      <w:r>
        <w:rPr>
          <w:color w:val="000000"/>
        </w:rPr>
      </w:r>
      <w:r>
        <w:rPr>
          <w:color w:val="000000"/>
        </w:rPr>
      </w:r>
    </w:p>
    <w:p>
      <w:pPr>
        <w:pStyle w:val="1599"/>
        <w:numPr>
          <w:ilvl w:val="0"/>
          <w:numId w:val="41"/>
        </w:numPr>
        <w:ind w:left="851"/>
        <w:spacing w:before="360"/>
      </w:pPr>
      <w:r/>
      <w:bookmarkStart w:id="289" w:name="_Toc46"/>
      <w:r/>
      <w:bookmarkStart w:id="172" w:name="_haapch"/>
      <w:r/>
      <w:bookmarkEnd w:id="172"/>
      <w:r>
        <w:t xml:space="preserve">Порядок контроля и приёмки оказанных услуг</w:t>
      </w:r>
      <w:bookmarkEnd w:id="289"/>
      <w:r/>
      <w:r/>
    </w:p>
    <w:p>
      <w:pPr>
        <w:pStyle w:val="1599"/>
        <w:numPr>
          <w:ilvl w:val="1"/>
          <w:numId w:val="41"/>
        </w:numPr>
        <w:ind w:left="850" w:right="0" w:firstLine="0"/>
        <w:rPr>
          <w:sz w:val="28"/>
          <w:szCs w:val="28"/>
        </w:rPr>
      </w:pPr>
      <w:r/>
      <w:bookmarkStart w:id="290" w:name="_Toc47"/>
      <w:r>
        <w:rPr>
          <w:sz w:val="28"/>
          <w:szCs w:val="28"/>
        </w:rPr>
        <w:t xml:space="preserve">Требования к приёмке результатов оказания услуг </w:t>
      </w:r>
      <w:bookmarkEnd w:id="29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05"/>
        <w:ind w:firstLine="851"/>
        <w:jc w:val="both"/>
        <w:spacing w:before="120"/>
      </w:pPr>
      <w:r>
        <w:t xml:space="preserve">Порядок сдачи и приёмки оказанных услуг Исполнителем определяется Контрактом и настоящим ТЗ.</w:t>
      </w:r>
      <w:r/>
    </w:p>
    <w:p>
      <w:pPr>
        <w:pStyle w:val="1505"/>
        <w:ind w:firstLine="851"/>
        <w:jc w:val="both"/>
      </w:pPr>
      <w:r>
        <w:t xml:space="preserve">По завершении </w:t>
      </w:r>
      <w:r>
        <w:rPr>
          <w:rFonts w:eastAsia="Calibri"/>
          <w:bCs/>
        </w:rPr>
        <w:t xml:space="preserve">выполнения</w:t>
      </w:r>
      <w:r>
        <w:rPr>
          <w:rFonts w:eastAsia="Calibri"/>
          <w:b/>
        </w:rPr>
        <w:t xml:space="preserve"> </w:t>
      </w:r>
      <w:r>
        <w:t xml:space="preserve">Подготовительных мероприятий Исполнитель должен предоставить Заказчику перечень документов в соответствии с пунктом 5.1 настоящего ТЗ.</w:t>
      </w:r>
      <w:r/>
    </w:p>
    <w:p>
      <w:pPr>
        <w:pStyle w:val="1505"/>
        <w:ind w:firstLine="851"/>
        <w:jc w:val="both"/>
      </w:pPr>
      <w:r>
        <w:t xml:space="preserve">Исполнитель по результатам оказания услуг по каждому этапу должен предоставить Заказчику Отчет об уровне оказания услуг, сформированный в соответствии с методикой оценки качества оказания услуг (раздел 7 настоящего ТЗ) по форме согласно Приложению Б к ТЗ.</w:t>
      </w:r>
      <w:r/>
    </w:p>
    <w:p>
      <w:pPr>
        <w:pStyle w:val="1505"/>
        <w:ind w:firstLine="851"/>
        <w:jc w:val="both"/>
      </w:pPr>
      <w:r/>
      <w:bookmarkStart w:id="175" w:name="_Hlk119408992"/>
      <w:r>
        <w:t xml:space="preserve">В состав Отчета об уровне оказания услуг входят документы:</w:t>
      </w:r>
      <w:r/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обращений Пользователей (Приложение Б, </w:t>
      </w:r>
      <w:r>
        <w:fldChar w:fldCharType="begin"/>
      </w:r>
      <w:r>
        <w:instrText xml:space="preserve"> REF _Ref34121557  \* MERGEFORMAT </w:instrText>
      </w:r>
      <w:r>
        <w:fldChar w:fldCharType="separate"/>
      </w:r>
      <w:r>
        <w:t xml:space="preserve">Таблица Б.3</w:t>
      </w:r>
      <w:r>
        <w:fldChar w:fldCharType="end"/>
      </w:r>
      <w:r>
        <w:t xml:space="preserve">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по решению инцидентов (Приложение Б, </w:t>
      </w:r>
      <w:r>
        <w:fldChar w:fldCharType="begin"/>
      </w:r>
      <w:r>
        <w:instrText xml:space="preserve"> REF _Ref34121782  \* MERGEFORMAT </w:instrText>
      </w:r>
      <w:r>
        <w:fldChar w:fldCharType="separate"/>
      </w:r>
      <w:r>
        <w:t xml:space="preserve">Таблица Б.</w:t>
      </w:r>
      <w:r>
        <w:fldChar w:fldCharType="end"/>
      </w:r>
      <w:r>
        <w:t xml:space="preserve">4);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Отчет о недоступности Системы (Приложение Б, Таблица Б.5);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резервного копирования баз данных Системы (Приложение Б, Таблица Б.6);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проверок резервных копий (Приложение Б, Таблица Б.7);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контрольного восстановления виртуальных машин Системы из резервной копии (Приложение Б, Таблица Б.8);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нагрузочного тестирования (Приложение Б, Таблица </w:t>
      </w:r>
      <w:bookmarkStart w:id="176" w:name="_Hlk106290964"/>
      <w:r>
        <w:t xml:space="preserve">Б.</w:t>
      </w:r>
      <w:bookmarkEnd w:id="176"/>
      <w:r>
        <w:t xml:space="preserve">9);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  <w:rPr>
          <w:szCs w:val="24"/>
        </w:rPr>
      </w:pPr>
      <w:r>
        <w:t xml:space="preserve">Журнал обновления Системы (Приложение Б, Таблица Б.10);</w:t>
      </w:r>
      <w:r>
        <w:rPr>
          <w:szCs w:val="24"/>
        </w:rPr>
      </w:r>
      <w:r>
        <w:rPr>
          <w:szCs w:val="24"/>
        </w:rPr>
      </w:r>
    </w:p>
    <w:p>
      <w:pPr>
        <w:pStyle w:val="1505"/>
        <w:numPr>
          <w:ilvl w:val="0"/>
          <w:numId w:val="64"/>
        </w:numPr>
        <w:ind w:left="850" w:hanging="567"/>
        <w:jc w:val="both"/>
      </w:pPr>
      <w:r/>
      <w:bookmarkStart w:id="177" w:name="_Hlk160199308"/>
      <w:r>
        <w:t xml:space="preserve">Журнал исключенных заявок (Приложение Б, Таблица Б.11);</w:t>
      </w:r>
      <w:bookmarkEnd w:id="175"/>
      <w:r/>
      <w:bookmarkEnd w:id="177"/>
      <w:r/>
      <w:r/>
    </w:p>
    <w:p>
      <w:pPr>
        <w:pStyle w:val="1505"/>
        <w:numPr>
          <w:ilvl w:val="0"/>
          <w:numId w:val="64"/>
        </w:numPr>
        <w:ind w:left="850" w:hanging="567"/>
        <w:jc w:val="both"/>
      </w:pPr>
      <w:r>
        <w:t xml:space="preserve">Журнал устранения уязвимостей Системы (Приложение Б, Таблица Б.12).</w:t>
      </w:r>
      <w:r/>
    </w:p>
    <w:p>
      <w:pPr>
        <w:pStyle w:val="1505"/>
        <w:ind w:firstLine="851"/>
        <w:jc w:val="both"/>
      </w:pPr>
      <w:r>
        <w:rPr>
          <w:szCs w:val="26"/>
        </w:rPr>
        <w:t xml:space="preserve">Если при проверке установлены неактуальность, противоречивость</w:t>
      </w:r>
      <w:r>
        <w:t xml:space="preserve">, недостоверность, несоответствие требованиям Контракта, ТЗ, либо неполнота сведений, представленных </w:t>
      </w:r>
      <w:bookmarkStart w:id="178" w:name="bookmarkCom80"/>
      <w:r>
        <w:t xml:space="preserve">в </w:t>
      </w:r>
      <w:bookmarkEnd w:id="178"/>
      <w:r>
        <w:t xml:space="preserve">отчётной документации, Заказчик в порядке, определённом Контрактом, возвращает Исполнителю отчётную документацию </w:t>
      </w:r>
      <w:r>
        <w:t xml:space="preserve">на доработку с указанием причин отказа в приемке отчётной документации. В этом случае приёмка отчётной документации откладывается в порядке, определённом Контрактом, до момента полного устранения замечаний Заказчика по представленной отчётной документации.</w:t>
      </w:r>
      <w:r/>
    </w:p>
    <w:p>
      <w:pPr>
        <w:pStyle w:val="1505"/>
        <w:ind w:firstLine="851"/>
        <w:jc w:val="both"/>
      </w:pPr>
      <w:r>
        <w:t xml:space="preserve">Приёмка результатов оказания услуг по </w:t>
      </w:r>
      <w:r>
        <w:rPr>
          <w:color w:val="auto"/>
        </w:rPr>
        <w:t xml:space="preserve">каждому </w:t>
      </w:r>
      <w:r>
        <w:rPr>
          <w:rStyle w:val="1553"/>
        </w:rPr>
        <w:t xml:space="preserve">этапу</w:t>
      </w:r>
      <w:r>
        <w:t xml:space="preserve"> оформляется документом о приёмке по требованиям в соответствии с пунктом 1.8 ТЗ.</w:t>
      </w:r>
      <w:r/>
    </w:p>
    <w:p>
      <w:pPr>
        <w:pStyle w:val="1599"/>
        <w:numPr>
          <w:ilvl w:val="1"/>
          <w:numId w:val="41"/>
        </w:numPr>
        <w:ind w:left="851" w:right="0" w:hanging="1"/>
        <w:pageBreakBefore/>
        <w:rPr>
          <w:sz w:val="28"/>
          <w:szCs w:val="28"/>
        </w:rPr>
      </w:pPr>
      <w:r/>
      <w:bookmarkStart w:id="291" w:name="_Toc48"/>
      <w:r/>
      <w:bookmarkStart w:id="179" w:name="__RefHeading___Toc12225_3536650295"/>
      <w:r>
        <w:rPr>
          <w:sz w:val="28"/>
          <w:szCs w:val="28"/>
        </w:rPr>
        <w:t xml:space="preserve">Порядок организации дополнительного контроля</w:t>
      </w:r>
      <w:bookmarkEnd w:id="179"/>
      <w:r/>
      <w:bookmarkEnd w:id="29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505"/>
        <w:ind w:firstLine="851"/>
        <w:jc w:val="both"/>
        <w:spacing w:after="120"/>
      </w:pPr>
      <w:r>
        <w:t xml:space="preserve">В ходе оказания услуг Исполнителем Заказчик вправе:</w:t>
      </w:r>
      <w:r/>
    </w:p>
    <w:p>
      <w:pPr>
        <w:pStyle w:val="1505"/>
        <w:numPr>
          <w:ilvl w:val="0"/>
          <w:numId w:val="56"/>
        </w:numPr>
        <w:ind w:left="850" w:hanging="425"/>
        <w:jc w:val="both"/>
      </w:pPr>
      <w:r>
        <w:t xml:space="preserve">направлять контрольные обращения Пользователя и осуществлять оценку качества их обработки;</w:t>
      </w:r>
      <w:r/>
    </w:p>
    <w:p>
      <w:pPr>
        <w:pStyle w:val="1505"/>
        <w:numPr>
          <w:ilvl w:val="0"/>
          <w:numId w:val="56"/>
        </w:numPr>
        <w:ind w:left="850" w:hanging="425"/>
        <w:jc w:val="both"/>
      </w:pPr>
      <w:r>
        <w:t xml:space="preserve">проводить контроль качества оказания услуг по отдельным обращениям Пользователей.</w:t>
      </w:r>
      <w:r/>
    </w:p>
    <w:p>
      <w:pPr>
        <w:pStyle w:val="1505"/>
      </w:pPr>
      <w:r/>
      <w:r/>
    </w:p>
    <w:p>
      <w:pPr>
        <w:pStyle w:val="1499"/>
        <w:ind w:firstLine="0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spacing w:line="360" w:lineRule="auto"/>
        <w:rPr>
          <w:color w:val="000000"/>
        </w:rPr>
        <w:sectPr>
          <w:headerReference w:type="default" r:id="rId13"/>
          <w:footerReference w:type="default" r:id="rId24"/>
          <w:footnotePr/>
          <w:endnotePr/>
          <w:type w:val="nextPage"/>
          <w:pgSz w:w="11906" w:h="16838" w:orient="portrait"/>
          <w:pgMar w:top="1134" w:right="851" w:bottom="1134" w:left="1701" w:header="284" w:footer="284" w:gutter="0"/>
          <w:cols w:num="1" w:sep="0" w:space="720" w:equalWidth="1"/>
          <w:docGrid w:linePitch="360"/>
        </w:sect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599"/>
        <w:numPr>
          <w:ilvl w:val="0"/>
          <w:numId w:val="41"/>
        </w:numPr>
        <w:ind w:left="851"/>
        <w:spacing w:before="360"/>
      </w:pPr>
      <w:r/>
      <w:bookmarkStart w:id="292" w:name="_Toc49"/>
      <w:r/>
      <w:bookmarkStart w:id="181" w:name="_3ep43zb"/>
      <w:r/>
      <w:bookmarkEnd w:id="181"/>
      <w:r>
        <w:t xml:space="preserve">Методика оценки качества оказанных услуг</w:t>
      </w:r>
      <w:bookmarkEnd w:id="292"/>
      <w:r/>
      <w:r/>
    </w:p>
    <w:p>
      <w:pPr>
        <w:pStyle w:val="1499"/>
        <w:spacing w:before="120" w:line="360" w:lineRule="auto"/>
      </w:pPr>
      <w:r>
        <w:t xml:space="preserve">Для оценки качества сопровождения и эксплуатации Системы применяются следующие метрики, приведённые в таблице ниже (Таблица 12).</w:t>
      </w:r>
      <w:bookmarkStart w:id="183" w:name="4du1wux"/>
      <w:r/>
      <w:bookmarkStart w:id="184" w:name="1tuee74"/>
      <w:r/>
      <w:bookmarkEnd w:id="183"/>
      <w:r/>
      <w:bookmarkEnd w:id="184"/>
      <w:r/>
      <w:r/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85" w:name="_2szc72q"/>
      <w:r/>
      <w:bookmarkEnd w:id="185"/>
      <w:r>
        <w:rPr>
          <w:color w:val="000000"/>
        </w:rPr>
        <w:t xml:space="preserve">Таблица 12 – Метрики качества сопровождения и эксплуатации</w:t>
      </w:r>
      <w:r>
        <w:rPr>
          <w:color w:val="000000"/>
        </w:rPr>
      </w:r>
      <w:r>
        <w:rPr>
          <w:color w:val="000000"/>
        </w:rPr>
      </w: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1806"/>
        <w:gridCol w:w="2635"/>
        <w:gridCol w:w="1904"/>
        <w:gridCol w:w="1226"/>
        <w:gridCol w:w="1213"/>
      </w:tblGrid>
      <w:tr>
        <w:tblPrEx/>
        <w:trPr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/>
            <w:bookmarkStart w:id="186" w:name="_Hlk180503300"/>
            <w:r>
              <w:rPr>
                <w:rFonts w:ascii="Times New Roman" w:hAnsi="Times New Roman" w:cs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Метрика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Параметр, от которого зависит метрика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Объем (количество) нарушений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Значение метрики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Q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Вес метрики, Р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22"/>
              <w:numPr>
                <w:ilvl w:val="1"/>
                <w:numId w:val="45"/>
              </w:numPr>
              <w:contextualSpacing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нарушений сроков по решению обращений Пользователей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зафиксированных случаев нарушения регламентных сроков обработки обращений по услуге поддержки Пользователей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1,99 %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 до 4 %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4 %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22"/>
              <w:numPr>
                <w:ilvl w:val="1"/>
                <w:numId w:val="45"/>
              </w:numPr>
              <w:contextualSpacing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Нарушение сроков решения обращений Пользователей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Максимальное время нарушения регламентных сроков обработки обращений по услуге поддержки Пользователей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22"/>
              <w:numPr>
                <w:ilvl w:val="1"/>
                <w:numId w:val="45"/>
              </w:numPr>
              <w:contextualSpacing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нарушений сроков решения инцидентов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зафиксированных случаев нарушения регламентных сроков решения инцидентов в рамках услуги по решению инцидентов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8 ед.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9 до 16 ед.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16 ед.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22"/>
              <w:numPr>
                <w:ilvl w:val="1"/>
                <w:numId w:val="45"/>
              </w:numPr>
              <w:contextualSpacing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Нарушение сроков решения инцидентов для приоритета «</w:t>
            </w:r>
            <w:r>
              <w:rPr>
                <w:rFonts w:ascii="Times New Roman" w:hAnsi="Times New Roman" w:eastAsia="Calibri" w:cs="Times New Roman"/>
              </w:rPr>
              <w:t xml:space="preserve">Критический</w:t>
            </w:r>
            <w:r>
              <w:rPr>
                <w:rFonts w:ascii="Times New Roman" w:hAnsi="Times New Roman" w:cs="Times New Roman"/>
                <w:bCs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Максимальное время нарушения регламентных сроков решения инцидентов в рамках услуги по решению инцидентов, для приоритета «</w:t>
            </w:r>
            <w:r>
              <w:rPr>
                <w:rFonts w:ascii="Times New Roman" w:hAnsi="Times New Roman" w:eastAsia="Calibri" w:cs="Times New Roman"/>
              </w:rPr>
              <w:t xml:space="preserve">Критический</w:t>
            </w:r>
            <w:r>
              <w:rPr>
                <w:rFonts w:ascii="Times New Roman" w:hAnsi="Times New Roman" w:cs="Times New Roman"/>
                <w:bCs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4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4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22"/>
              <w:numPr>
                <w:ilvl w:val="1"/>
                <w:numId w:val="45"/>
              </w:numPr>
              <w:contextualSpacing w:val="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Нарушение сроков решения инцидентов для приоритета «Высокий»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Максимальное время нарушения регламентных сроков решения инцидентов в рамках услуги по решению инцидентов, для приоритета «Высокий»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Нарушение сроков </w:t>
            </w:r>
            <w:r>
              <w:rPr>
                <w:rFonts w:ascii="Times New Roman" w:hAnsi="Times New Roman" w:cs="Times New Roman"/>
                <w:bCs/>
              </w:rPr>
              <w:t xml:space="preserve">решения инцидентов для приоритета «Низкий»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Максимальное время нарушения </w:t>
            </w:r>
            <w:r>
              <w:rPr>
                <w:rFonts w:ascii="Times New Roman" w:hAnsi="Times New Roman" w:cs="Times New Roman"/>
                <w:bCs/>
              </w:rPr>
              <w:t xml:space="preserve">регламентных сроков решения инцидентов в рамках услуги по решению инцидентов, для приоритета «Низкий»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 до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5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8 ч.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3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restart"/>
            <w:textDirection w:val="lrTb"/>
            <w:noWrap w:val="false"/>
          </w:tcPr>
          <w:p>
            <w:pPr>
              <w:pStyle w:val="1531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Нарушение требований Единого регламента оказания услуг в части нарушения Порядка обработки обращений и инцидентов в СУИ ПК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restart"/>
            <w:textDirection w:val="lrTb"/>
            <w:noWrap w:val="false"/>
          </w:tcPr>
          <w:p>
            <w:pPr>
              <w:pStyle w:val="1531"/>
              <w:ind w:right="-55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зафиксированных случаев нарушения Порядка обработки от общего количества обращений и инцидентов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менее 10% (включительно).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center"/>
            <w:textDirection w:val="lrTb"/>
            <w:noWrap w:val="false"/>
          </w:tcPr>
          <w:p>
            <w:pPr>
              <w:pStyle w:val="1531"/>
              <w:ind w:hanging="86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более 10%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531"/>
        <w:ind w:firstLine="709"/>
        <w:keepLines/>
        <w:keepNext/>
        <w:spacing w:before="240" w:line="276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Показатель качества технической поддержки (</w:t>
      </w:r>
      <w:r>
        <w:rPr>
          <w:rFonts w:ascii="Times New Roman" w:hAnsi="Times New Roman" w:cs="Times New Roman"/>
        </w:rPr>
        <w:t xml:space="preserve">QoS</w:t>
      </w:r>
      <w:r>
        <w:rPr>
          <w:rFonts w:ascii="Times New Roman" w:hAnsi="Times New Roman" w:cs="Times New Roman"/>
        </w:rPr>
        <w:t xml:space="preserve">) рассчитывается по формуле:</w:t>
      </w:r>
      <w:bookmarkEnd w:id="186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499"/>
        <w:ind w:firstLine="0"/>
        <w:keepNext/>
        <w:spacing w:before="120" w:after="60"/>
        <w:rPr>
          <w:rFonts w:cs="Times New Roman"/>
          <w:color w:val="000000"/>
        </w:rPr>
      </w:pPr>
      <w:r/>
      <m:oMathPara>
        <m:oMathParaPr/>
        <m:oMath>
          <m:r>
            <w:rPr>
              <w:rFonts w:ascii="Cambria Math" w:hAnsi="Cambria Math"/>
            </w:rPr>
            <m:rPr/>
            <m:t>QoS</m:t>
          </m:r>
          <m:r>
            <w:rPr>
              <w:rFonts w:ascii="Cambria Math" w:hAnsi="Cambria Math"/>
            </w:rPr>
            <m:rPr/>
            <m:t>=</m:t>
          </m:r>
          <m:nary>
            <m:naryPr>
              <m:chr m:val="∑"/>
              <m:grow m:val="off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 w:eastAsia="Cambria Math" w:cs="Cambria Math"/>
                </w:rPr>
                <m:rPr/>
                <m:t/>
              </m:r>
            </m:sub>
            <m:sup>
              <m:r>
                <w:rPr>
                  <w:rFonts w:ascii="Cambria Math" w:hAnsi="Cambria Math" w:eastAsia="Cambria Math" w:cs="Cambria Math"/>
                </w:rPr>
                <m:rPr/>
                <m:t/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rPr/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</m:e>
          </m:nary>
        </m:oMath>
      </m:oMathPara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</w:p>
    <w:p>
      <w:pPr>
        <w:pStyle w:val="1499"/>
        <w:keepLines/>
        <w:keepNext/>
        <w:spacing w:line="276" w:lineRule="auto"/>
        <w:widowControl w:val="off"/>
        <w:rPr>
          <w:color w:val="000000"/>
        </w:rPr>
      </w:pPr>
      <w:r>
        <w:t xml:space="preserve">где </w:t>
      </w:r>
      <w:r>
        <w:tab/>
      </w:r>
      <w:r>
        <w:rPr>
          <w:i/>
        </w:rPr>
        <w:t xml:space="preserve">i</w:t>
      </w:r>
      <w:r>
        <w:t xml:space="preserve"> – номер метрики;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left="589"/>
        <w:keepLines/>
        <w:keepNext/>
        <w:spacing w:line="276" w:lineRule="auto"/>
        <w:widowControl w:val="off"/>
        <w:rPr>
          <w:color w:val="000000"/>
        </w:rPr>
      </w:pPr>
      <w:r>
        <w:t xml:space="preserve">P</w:t>
      </w:r>
      <w:r>
        <w:rPr>
          <w:i/>
          <w:vertAlign w:val="subscript"/>
        </w:rPr>
        <w:t xml:space="preserve">i</w:t>
      </w:r>
      <w:r>
        <w:t xml:space="preserve"> – вес </w:t>
      </w:r>
      <w:r>
        <w:rPr>
          <w:i/>
        </w:rPr>
        <w:t xml:space="preserve">i</w:t>
      </w:r>
      <w:r>
        <w:t xml:space="preserve">-й метрики в соответствии с таблицей выше (Таблица 12);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left="589"/>
        <w:keepLines/>
        <w:keepNext/>
        <w:spacing w:after="120" w:line="276" w:lineRule="auto"/>
        <w:widowControl w:val="off"/>
        <w:rPr>
          <w:color w:val="000000"/>
        </w:rPr>
      </w:pPr>
      <w:r>
        <w:t xml:space="preserve">Q</w:t>
      </w:r>
      <w:r>
        <w:rPr>
          <w:i/>
          <w:vertAlign w:val="subscript"/>
        </w:rPr>
        <w:t xml:space="preserve">i</w:t>
      </w:r>
      <w:r>
        <w:t xml:space="preserve"> – значение </w:t>
      </w:r>
      <w:r>
        <w:rPr>
          <w:i/>
        </w:rPr>
        <w:t xml:space="preserve">i</w:t>
      </w:r>
      <w:r>
        <w:t xml:space="preserve">-й метрики в соответствии с таблицей выше (Таблица 12).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Итоговый вывод о качестве сопровождения и эксплуатации Системы формулируется в таблице ниже (Таблица 13).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87" w:name="_184mhaj"/>
      <w:r/>
      <w:bookmarkEnd w:id="187"/>
      <w:r>
        <w:rPr>
          <w:color w:val="000000"/>
        </w:rPr>
        <w:t xml:space="preserve">Таблица 13 – Оценка качества оказания услуг</w:t>
      </w:r>
      <w:r>
        <w:rPr>
          <w:color w:val="000000"/>
        </w:rPr>
      </w:r>
      <w:r>
        <w:rPr>
          <w:color w:val="000000"/>
        </w:rPr>
      </w: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9"/>
        <w:gridCol w:w="4758"/>
        <w:gridCol w:w="1979"/>
        <w:gridCol w:w="2018"/>
      </w:tblGrid>
      <w:tr>
        <w:tblPrEx/>
        <w:trPr>
          <w:cantSplit/>
          <w:trHeight w:val="1031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/>
            <w:bookmarkStart w:id="188" w:name="_3s49zyc"/>
            <w:r/>
            <w:bookmarkEnd w:id="188"/>
            <w:r>
              <w:rPr>
                <w:b/>
                <w:bCs w:val="0"/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rPr>
                <w:b/>
                <w:bCs w:val="0"/>
              </w:rPr>
              <w:t xml:space="preserve">Критерий оценки*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rPr>
                <w:b/>
                <w:bCs w:val="0"/>
              </w:rPr>
              <w:t xml:space="preserve">Услуги оказаны надлежащим образом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rPr>
                <w:b/>
                <w:bCs w:val="0"/>
              </w:rPr>
              <w:t xml:space="preserve">Услуги оказаны ненадлежащим образом</w:t>
            </w:r>
            <w:r/>
          </w:p>
        </w:tc>
      </w:tr>
      <w:tr>
        <w:tblPrEx/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  <w:rPr>
                <w:bCs w:val="0"/>
              </w:rPr>
            </w:pPr>
            <w:r>
              <w:rPr>
                <w:bCs w:val="0"/>
              </w:rPr>
            </w:r>
            <w:r>
              <w:rPr>
                <w:bCs w:val="0"/>
              </w:rPr>
            </w:r>
            <w:r>
              <w:rPr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bCs w:val="0"/>
                <w:highlight w:val="white"/>
              </w:rPr>
              <w:t xml:space="preserve">Показатель качества технической поддержки, </w:t>
            </w:r>
            <w:r>
              <w:rPr>
                <w:bCs w:val="0"/>
                <w:highlight w:val="white"/>
              </w:rPr>
              <w:t xml:space="preserve">QoS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rPr>
                <w:bCs w:val="0"/>
              </w:rPr>
              <w:t xml:space="preserve">от 0,75 до 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rPr>
                <w:bCs w:val="0"/>
              </w:rPr>
              <w:t xml:space="preserve">от 0 до 0,74</w:t>
            </w:r>
            <w:r/>
          </w:p>
        </w:tc>
      </w:tr>
      <w:tr>
        <w:tblPrEx/>
        <w:trPr>
          <w:cantSplit/>
          <w:trHeight w:val="5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  <w:rPr>
                <w:bCs w:val="0"/>
              </w:rPr>
            </w:pPr>
            <w:r>
              <w:rPr>
                <w:bCs w:val="0"/>
              </w:rPr>
            </w:r>
            <w:r>
              <w:rPr>
                <w:bCs w:val="0"/>
              </w:rPr>
            </w:r>
            <w:r>
              <w:rPr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bCs w:val="0"/>
                <w:highlight w:val="white"/>
              </w:rPr>
              <w:t xml:space="preserve">Общее (суммарное) время внеплановой недоступности </w:t>
            </w:r>
            <w:r>
              <w:rPr>
                <w:highlight w:val="white"/>
              </w:rPr>
              <w:t xml:space="preserve">Системы </w:t>
            </w:r>
            <w:r>
              <w:rPr>
                <w:bCs w:val="0"/>
                <w:highlight w:val="white"/>
              </w:rPr>
              <w:t xml:space="preserve">за </w:t>
            </w:r>
            <w:r>
              <w:rPr>
                <w:highlight w:val="white"/>
              </w:rPr>
              <w:t xml:space="preserve">этап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менее </w:t>
            </w:r>
            <w:r>
              <w:rPr>
                <w:lang w:val="en-US"/>
              </w:rPr>
              <w:t xml:space="preserve">57</w:t>
            </w:r>
            <w:r>
              <w:t xml:space="preserve"> часов (включительно)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более </w:t>
            </w:r>
            <w:r>
              <w:rPr>
                <w:lang w:val="en-US"/>
              </w:rPr>
              <w:t xml:space="preserve">57</w:t>
            </w:r>
            <w:r>
              <w:t xml:space="preserve"> часов</w:t>
            </w:r>
            <w:r/>
          </w:p>
        </w:tc>
      </w:tr>
      <w:tr>
        <w:tblPrEx/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highlight w:val="white"/>
              </w:rPr>
              <w:t xml:space="preserve">Мак</w:t>
            </w:r>
            <w:r>
              <w:rPr>
                <w:highlight w:val="white"/>
              </w:rPr>
              <w:t xml:space="preserve">симальное время единовременной внеплановой недоступности Системы за этап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менее 4 часов (включительно)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более 4 часов</w:t>
            </w:r>
            <w:r/>
          </w:p>
          <w:p>
            <w:pPr>
              <w:pStyle w:val="1546"/>
              <w:jc w:val="center"/>
              <w:keepNext w:val="0"/>
              <w:spacing w:before="0" w:after="0"/>
            </w:pPr>
            <w:r/>
            <w:r/>
          </w:p>
        </w:tc>
      </w:tr>
      <w:tr>
        <w:tblPrEx/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highlight w:val="white"/>
              </w:rPr>
              <w:t xml:space="preserve">Нарушение требований Единого регламента оказания услуг в части периодичности резервного копирования БД Системы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Нет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Да</w:t>
            </w:r>
            <w:r/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highlight w:val="white"/>
              </w:rPr>
              <w:t xml:space="preserve">Нарушение требований Единого регламента оказания услуг в части периодичности проверок резервных копий виртуальных машин Системы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Нет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Да</w:t>
            </w:r>
            <w:r/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highlight w:val="white"/>
              </w:rPr>
              <w:t xml:space="preserve">Нарушение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Нет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Да</w:t>
            </w:r>
            <w:r/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  <w:rPr>
                <w:highlight w:val="white"/>
              </w:rPr>
            </w:pPr>
            <w:r>
              <w:rPr>
                <w:highlight w:val="white"/>
              </w:rPr>
              <w:t xml:space="preserve">Нарушение плана обновления Системы в части нарушения сроков плановой недоступности Системы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2 нарушения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3 и более нарушений</w:t>
            </w:r>
            <w:r/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vMerge w:val="restart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vMerge w:val="restart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</w:pPr>
            <w:r>
              <w:t xml:space="preserve">Нарушение сроков устранения уязвимостей Системы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vMerge w:val="restart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Нет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vMerge w:val="restart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Да</w:t>
            </w:r>
            <w:r/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589" w:type="dxa"/>
            <w:textDirection w:val="lrTb"/>
            <w:noWrap w:val="false"/>
          </w:tcPr>
          <w:p>
            <w:pPr>
              <w:pStyle w:val="1546"/>
              <w:numPr>
                <w:ilvl w:val="0"/>
                <w:numId w:val="46"/>
              </w:numPr>
              <w:jc w:val="center"/>
              <w:keepNext w:val="0"/>
              <w:spacing w:before="0" w:after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758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0" w:after="0"/>
            </w:pPr>
            <w:r>
              <w:t xml:space="preserve">Нарушение требований Единого регламента оказания услуг в части периодичности выполнения нагрузочного тестирования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Нет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018" w:type="dxa"/>
            <w:vAlign w:val="center"/>
            <w:textDirection w:val="lrTb"/>
            <w:noWrap w:val="false"/>
          </w:tcPr>
          <w:p>
            <w:pPr>
              <w:pStyle w:val="1546"/>
              <w:jc w:val="center"/>
              <w:keepNext w:val="0"/>
              <w:spacing w:before="0" w:after="0"/>
            </w:pPr>
            <w:r>
              <w:t xml:space="preserve">Да</w:t>
            </w:r>
            <w:r/>
          </w:p>
        </w:tc>
      </w:tr>
      <w:tr>
        <w:tblPrEx/>
        <w:trPr>
          <w:cantSplit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9344" w:type="dxa"/>
            <w:textDirection w:val="lrTb"/>
            <w:noWrap w:val="false"/>
          </w:tcPr>
          <w:p>
            <w:pPr>
              <w:pStyle w:val="1546"/>
              <w:jc w:val="left"/>
              <w:keepNext w:val="0"/>
              <w:spacing w:before="40" w:after="40" w:line="288" w:lineRule="auto"/>
            </w:pPr>
            <w:r>
              <w:rPr>
                <w:sz w:val="22"/>
                <w:szCs w:val="22"/>
              </w:rPr>
              <w:t xml:space="preserve">*Нарушение каждого критерия оценки является отдельным нарушением условий Контракта.</w:t>
            </w:r>
            <w:r/>
          </w:p>
        </w:tc>
      </w:tr>
    </w:tbl>
    <w:p>
      <w:pPr>
        <w:pStyle w:val="1499"/>
        <w:ind w:firstLine="0"/>
        <w:spacing w:before="120" w:line="360" w:lineRule="auto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1499"/>
        <w:spacing w:before="120" w:line="360" w:lineRule="auto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before="120" w:line="360" w:lineRule="auto"/>
        <w:rPr>
          <w:color w:val="000000"/>
        </w:rPr>
        <w:sectPr>
          <w:headerReference w:type="default" r:id="rId14"/>
          <w:footerReference w:type="default" r:id="rId25"/>
          <w:footnotePr/>
          <w:endnotePr/>
          <w:type w:val="nextPage"/>
          <w:pgSz w:w="11906" w:h="16838" w:orient="portrait"/>
          <w:pgMar w:top="1134" w:right="851" w:bottom="1134" w:left="1701" w:header="284" w:footer="284" w:gutter="0"/>
          <w:cols w:num="1" w:sep="0" w:space="720" w:equalWidth="1"/>
          <w:docGrid w:linePitch="360"/>
        </w:sect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303"/>
        <w:rPr>
          <w:color w:val="000000"/>
        </w:rPr>
      </w:pPr>
      <w:r/>
      <w:bookmarkStart w:id="293" w:name="_Toc50"/>
      <w:r/>
      <w:bookmarkStart w:id="189" w:name="_meukdy"/>
      <w:r/>
      <w:bookmarkEnd w:id="189"/>
      <w:r>
        <w:t xml:space="preserve">Приложение </w:t>
      </w:r>
      <w:bookmarkStart w:id="191" w:name="36ei31r"/>
      <w:r/>
      <w:bookmarkEnd w:id="191"/>
      <w:r>
        <w:t xml:space="preserve">А</w:t>
      </w:r>
      <w:bookmarkEnd w:id="293"/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jc w:val="center"/>
        <w:spacing w:before="240" w:after="120" w:line="36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Параметры оказания услуг</w:t>
      </w:r>
      <w:r>
        <w:rPr>
          <w:b/>
          <w:color w:val="000000"/>
          <w:sz w:val="32"/>
          <w:szCs w:val="32"/>
        </w:rPr>
      </w:r>
      <w:r>
        <w:rPr>
          <w:b/>
          <w:color w:val="000000"/>
          <w:sz w:val="32"/>
          <w:szCs w:val="32"/>
        </w:rPr>
      </w:r>
    </w:p>
    <w:p>
      <w:pPr>
        <w:pStyle w:val="1499"/>
        <w:numPr>
          <w:ilvl w:val="0"/>
          <w:numId w:val="5"/>
        </w:numPr>
        <w:ind w:left="851" w:firstLine="142"/>
        <w:spacing w:before="240" w:after="120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Базовые параметры оказания Услуг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Базовые параметры предоставления услуг приведены ниже: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47"/>
        </w:numPr>
        <w:ind w:left="851" w:hanging="567"/>
        <w:spacing w:line="360" w:lineRule="auto"/>
        <w:rPr>
          <w:color w:val="000000"/>
        </w:rPr>
      </w:pPr>
      <w:r>
        <w:rPr>
          <w:color w:val="000000"/>
          <w:highlight w:val="white"/>
        </w:rPr>
        <w:t xml:space="preserve">режимы оказания услуг (Таблица А.1):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47"/>
        </w:numPr>
        <w:ind w:left="851" w:hanging="567"/>
        <w:spacing w:line="360" w:lineRule="auto"/>
        <w:rPr>
          <w:color w:val="000000"/>
        </w:rPr>
      </w:pPr>
      <w:r>
        <w:rPr>
          <w:color w:val="000000"/>
          <w:highlight w:val="white"/>
        </w:rPr>
        <w:t xml:space="preserve">уровень доступности (Таблица А.2);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47"/>
        </w:numPr>
        <w:ind w:left="851" w:hanging="567"/>
        <w:spacing w:line="360" w:lineRule="auto"/>
        <w:rPr>
          <w:color w:val="000000"/>
        </w:rPr>
      </w:pPr>
      <w:r>
        <w:rPr>
          <w:color w:val="000000"/>
          <w:highlight w:val="white"/>
        </w:rPr>
        <w:t xml:space="preserve">сроки предоставления отчётности (Таблица А.3);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numPr>
          <w:ilvl w:val="0"/>
          <w:numId w:val="47"/>
        </w:numPr>
        <w:ind w:left="851" w:hanging="567"/>
        <w:spacing w:line="360" w:lineRule="auto"/>
        <w:rPr>
          <w:color w:val="000000"/>
        </w:rPr>
      </w:pPr>
      <w:r>
        <w:rPr>
          <w:color w:val="000000"/>
          <w:highlight w:val="white"/>
        </w:rPr>
        <w:t xml:space="preserve">периодичность проведения регламентных мероприятий (Таблица А.4).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92" w:name="_1ljsd9k"/>
      <w:r/>
      <w:bookmarkEnd w:id="192"/>
      <w:r>
        <w:rPr>
          <w:color w:val="000000"/>
        </w:rPr>
        <w:t xml:space="preserve">Таблица А.1 – Режимы оказания услуг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487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702"/>
        <w:gridCol w:w="5197"/>
        <w:gridCol w:w="3588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Параметр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Значение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Режим работы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Круглосуточно (24х7)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Режим доступности услуги по поддержке Пользователей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 9:00 до 18:00 часов в Рабочие дни (время пермское) (9х5)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Режим доступности услуги по решению инцидентов: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3.1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приоритет «Критический»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Круглосуточно(24х7)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3.2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приоритет «Высокий»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 9:00 до 18:00 часов в Рабочие дни (время пермское) (9х5)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3.3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приоритет «Низкий»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 9:00 до 18:00 часов в Рабочие дни (время пермское) (9х5)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Режим доступности услуги по мониторингу и обеспечению доступности и работоспособности (производительности)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Круглосуточно(24х7)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Режим доступности услуги по регламентному обслуживанию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3"/>
              </w:numPr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5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Разрешенное время (окно) проведения планового регламентного обслуживания: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6.1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обеспечение резервного копирования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left="3" w:firstLine="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6.2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контрольное восстановление Системы из резервной копии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left="3" w:firstLine="5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6.3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8"/>
              </w:numPr>
              <w:ind w:left="460" w:hanging="425"/>
              <w:widowControl w:val="off"/>
              <w:rPr>
                <w:color w:val="000000"/>
              </w:rPr>
            </w:pPr>
            <w:r>
              <w:rPr>
                <w:rFonts w:eastAsia="Calibri"/>
              </w:rPr>
              <w:t xml:space="preserve">нагрузочное тестирование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left="3" w:firstLine="5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ind w:left="72" w:hanging="72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7.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Разрешённое время (окно) обеспечения обновления Системы и устранения уязвимостей Системы по запросу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left="3" w:firstLine="5"/>
              <w:widowControl w:val="off"/>
              <w:rPr>
                <w:rFonts w:eastAsia="Times New Roman" w:cs="Times New Roman"/>
              </w:rPr>
            </w:pPr>
            <w:r>
              <w:rPr>
                <w:rFonts w:eastAsia="Calibri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7" w:type="dxa"/>
            <w:textDirection w:val="lrTb"/>
            <w:noWrap w:val="false"/>
          </w:tcPr>
          <w:p>
            <w:pPr>
              <w:pStyle w:val="1499"/>
              <w:ind w:left="3" w:firstLine="5"/>
              <w:widowControl w:val="off"/>
              <w:rPr>
                <w:rFonts w:eastAsia="Calibri"/>
              </w:rPr>
            </w:pPr>
            <w:r>
              <w:t xml:space="preserve">*Рабочий день, признаваемый таковым в соответствии с законодательством Российской Федерации.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</w:tbl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93" w:name="_45jfvxd"/>
      <w:r/>
      <w:bookmarkEnd w:id="193"/>
      <w:r>
        <w:rPr>
          <w:color w:val="000000"/>
        </w:rPr>
        <w:t xml:space="preserve">Таблица А.2 – Уровень доступности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487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702"/>
        <w:gridCol w:w="5197"/>
        <w:gridCol w:w="3588"/>
      </w:tblGrid>
      <w:tr>
        <w:tblPrEx/>
        <w:trPr>
          <w:jc w:val="center"/>
          <w:trHeight w:val="299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Параметр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Align w:val="center"/>
            <w:textDirection w:val="lrTb"/>
            <w:noWrap w:val="false"/>
          </w:tcPr>
          <w:p>
            <w:pPr>
              <w:pStyle w:val="1499"/>
              <w:ind w:left="3" w:firstLine="5"/>
              <w:jc w:val="center"/>
              <w:spacing w:line="276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Значение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7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Общее (суммарное) время внеплановой недоступности Системы за этап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более 57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4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Максимальное время единовременной внеплановой полной недоступности Системы за этап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4 часа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94" w:name="_2koq656"/>
      <w:r/>
      <w:bookmarkEnd w:id="194"/>
      <w:r>
        <w:rPr>
          <w:color w:val="000000"/>
        </w:rPr>
        <w:t xml:space="preserve">Таблица А.3 – Сроки предоставления отчётности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487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702"/>
        <w:gridCol w:w="5197"/>
        <w:gridCol w:w="3588"/>
      </w:tblGrid>
      <w:tr>
        <w:tblPrEx/>
        <w:trPr>
          <w:jc w:val="center"/>
          <w:trHeight w:val="299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Параметр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Значение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0"/>
              </w:numPr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Предоставление отчёта об уровне оказания услуг за произвольный период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3 рабочих дня с момента получения запроса от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0"/>
              </w:numPr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Предоставление подробной информации по инциденту с приоритетом «Критический»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6 рабочих часов с момента получения запроса от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0"/>
              </w:numPr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Предоставление актуализированной документации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5 рабочих дней с момента получения запроса от Заказчика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ind w:firstLine="0"/>
        <w:keepNext/>
        <w:spacing w:before="120" w:after="60"/>
        <w:rPr>
          <w:rFonts w:eastAsia="Times New Roman" w:cs="Times New Roman"/>
        </w:rPr>
      </w:pPr>
      <w:r/>
      <w:bookmarkStart w:id="195" w:name="_zu0gcz"/>
      <w:r/>
      <w:bookmarkEnd w:id="195"/>
      <w:r>
        <w:rPr>
          <w:rFonts w:eastAsia="Times New Roman" w:cs="Times New Roman"/>
        </w:rPr>
        <w:t xml:space="preserve">Таблица А.4 – Периодичность проведения регламентных мероприятий</w:t>
      </w:r>
      <w:r>
        <w:rPr>
          <w:rFonts w:eastAsia="Times New Roman" w:cs="Times New Roman"/>
        </w:rPr>
      </w:r>
      <w:r>
        <w:rPr>
          <w:rFonts w:eastAsia="Times New Roman" w:cs="Times New Roman"/>
        </w:rPr>
      </w:r>
    </w:p>
    <w:tbl>
      <w:tblPr>
        <w:tblStyle w:val="1508"/>
        <w:tblW w:w="9487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702"/>
        <w:gridCol w:w="5197"/>
        <w:gridCol w:w="3588"/>
      </w:tblGrid>
      <w:tr>
        <w:tblPrEx/>
        <w:trPr>
          <w:jc w:val="center"/>
          <w:trHeight w:val="299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/>
            <w:bookmarkStart w:id="196" w:name="_3jtnz0s"/>
            <w:r/>
            <w:bookmarkEnd w:id="196"/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Параметр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Значение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4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Контроль создания резервных копий виртуальных машин </w:t>
            </w:r>
            <w:r>
              <w:rPr>
                <w:rFonts w:eastAsia="Times New Roman" w:cs="Times New Roman"/>
                <w:color w:val="000000" w:themeColor="text1"/>
              </w:rPr>
              <w:t xml:space="preserve">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Еженедельно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Резервное копирование БД Системы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 соответствии с Единым регламентом оказания услуг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  <w:color w:val="000000" w:themeColor="text1"/>
              </w:rPr>
            </w:pPr>
            <w:r>
              <w:rPr>
                <w:rFonts w:eastAsia="Times New Roman" w:cs="Times New Roman"/>
              </w:rPr>
              <w:t xml:space="preserve">Уведомление Заказчика о проблемах резервного копирования БД Системы или виртуальных машин </w:t>
            </w:r>
            <w:r>
              <w:rPr>
                <w:rFonts w:eastAsia="Times New Roman" w:cs="Times New Roman"/>
                <w:color w:val="000000" w:themeColor="text1"/>
              </w:rPr>
              <w:t xml:space="preserve">Системы</w:t>
            </w:r>
            <w:r>
              <w:rPr>
                <w:rFonts w:eastAsia="Times New Roman" w:cs="Times New Roman"/>
                <w:color w:val="000000" w:themeColor="text1"/>
              </w:rPr>
            </w:r>
            <w:r>
              <w:rPr>
                <w:rFonts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При выявлении проблемы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Контрольное восстановление виртуальных машин Системы из резервной копии в рамках одного этапа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1 раз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Нагрузочное тестирование (регламентное) в рамках одного этапа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1 раз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2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11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9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Нагрузочное тестирование (по запросу Заказчика) в рамках одного этапа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8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1 раз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numPr>
          <w:ilvl w:val="0"/>
          <w:numId w:val="5"/>
        </w:numPr>
        <w:ind w:left="851" w:firstLine="142"/>
        <w:spacing w:before="240" w:after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Регламентные сроки обработки обращений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Контрольные сроки по каждому виду обращений приведены ниже (Таблица А.5).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spacing w:before="120" w:after="60"/>
        <w:widowControl w:val="off"/>
        <w:rPr>
          <w:color w:val="000000"/>
        </w:rPr>
      </w:pPr>
      <w:r/>
      <w:bookmarkStart w:id="197" w:name="_1yyy98l"/>
      <w:r/>
      <w:bookmarkEnd w:id="197"/>
      <w:r>
        <w:rPr>
          <w:color w:val="000000"/>
        </w:rPr>
        <w:t xml:space="preserve">Таблица А.5 – Контрольные сроки обработки обращений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354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59"/>
        <w:gridCol w:w="6098"/>
        <w:gridCol w:w="2697"/>
      </w:tblGrid>
      <w:tr>
        <w:tblPrEx/>
        <w:trPr>
          <w:trHeight w:val="901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9" w:type="dxa"/>
            <w:vAlign w:val="center"/>
            <w:textDirection w:val="lrTb"/>
            <w:noWrap w:val="false"/>
          </w:tcPr>
          <w:p>
            <w:pPr>
              <w:pStyle w:val="1499"/>
              <w:ind w:right="-30"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Вид обращения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Срок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решения,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рабочих часов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trHeight w:val="60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8"/>
              </w:numPr>
              <w:ind w:left="0" w:firstLine="0"/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lang w:bidi="en-US"/>
              </w:rPr>
            </w:pPr>
            <w:r>
              <w:rPr>
                <w:lang w:bidi="en-US"/>
              </w:rPr>
              <w:t xml:space="preserve">Консультирование Пользователей/Заказчика/Функционального заказчика по вопросам использования и эксплуатации Системы</w:t>
            </w:r>
            <w:r>
              <w:rPr>
                <w:lang w:bidi="en-US"/>
              </w:rPr>
            </w:r>
            <w:r>
              <w:rPr>
                <w:lang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bCs/>
              </w:rPr>
              <w:t xml:space="preserve">10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60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8"/>
              </w:numPr>
              <w:ind w:left="0" w:firstLine="0"/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lang w:bidi="en-US"/>
              </w:rPr>
            </w:pPr>
            <w:r>
              <w:rPr>
                <w:lang w:bidi="en-US"/>
              </w:rPr>
              <w:t xml:space="preserve">Настройка конфигурации Системы по запросу Пользователей/Заказчика/Функционального заказчика</w:t>
            </w:r>
            <w:r>
              <w:rPr>
                <w:lang w:bidi="en-US"/>
              </w:rPr>
            </w:r>
            <w:r>
              <w:rPr>
                <w:lang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bCs/>
              </w:rPr>
              <w:t xml:space="preserve">20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60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8"/>
              </w:numPr>
              <w:ind w:left="0" w:firstLine="0"/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lang w:bidi="en-US"/>
              </w:rPr>
            </w:pPr>
            <w:r>
              <w:rPr>
                <w:lang w:bidi="en-US"/>
              </w:rPr>
              <w:t xml:space="preserve">Настройка прав доступа по запросу Заказчика/ Функционального заказчика</w:t>
            </w:r>
            <w:r>
              <w:rPr>
                <w:lang w:bidi="en-US"/>
              </w:rPr>
            </w:r>
            <w:r>
              <w:rPr>
                <w:lang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bCs/>
              </w:rPr>
              <w:t xml:space="preserve">8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60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8"/>
              </w:numPr>
              <w:ind w:left="0" w:firstLine="0"/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lang w:bidi="en-US"/>
              </w:rPr>
            </w:pPr>
            <w:r>
              <w:rPr>
                <w:lang w:bidi="en-US"/>
              </w:rPr>
              <w:t xml:space="preserve">Формирование выборок на основании данных Системы</w:t>
            </w:r>
            <w:r>
              <w:rPr>
                <w:lang w:bidi="en-US"/>
              </w:rPr>
            </w:r>
            <w:r>
              <w:rPr>
                <w:lang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7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bCs/>
              </w:rPr>
              <w:t xml:space="preserve">30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numPr>
          <w:ilvl w:val="0"/>
          <w:numId w:val="5"/>
        </w:numPr>
        <w:ind w:left="851" w:firstLine="142"/>
        <w:spacing w:before="360" w:after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Регламентные сроки решения инцидентов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В зависимости от уровня сбоя в работе Системы инциденту присваивается один из следующих приоритетов в соответствии с таблицей ниже (Таблица А.6).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198" w:name="_4iylrwe"/>
      <w:r/>
      <w:bookmarkEnd w:id="198"/>
      <w:r>
        <w:rPr>
          <w:color w:val="000000"/>
        </w:rPr>
        <w:t xml:space="preserve">Таблица А.6 – Приоритеты инцидентов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288" w:type="dxa"/>
        <w:tblInd w:w="66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94"/>
        <w:gridCol w:w="1891"/>
        <w:gridCol w:w="6803"/>
      </w:tblGrid>
      <w:tr>
        <w:tblPrEx/>
        <w:trPr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№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1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Приоритет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Описание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9"/>
              </w:numPr>
              <w:jc w:val="left"/>
              <w:keepNext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1" w:type="dxa"/>
            <w:textDirection w:val="lrTb"/>
            <w:noWrap w:val="false"/>
          </w:tcPr>
          <w:p>
            <w:pPr>
              <w:pStyle w:val="1499"/>
              <w:ind w:firstLine="0"/>
              <w:keepNext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Критический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34"/>
              </w:numPr>
              <w:contextualSpacing w:val="0"/>
              <w:ind w:left="41" w:firstLine="142"/>
              <w:keepNext/>
            </w:pPr>
            <w:r>
              <w:rPr>
                <w:rFonts w:eastAsia="Calibri"/>
                <w:lang w:eastAsia="en-US"/>
              </w:rPr>
              <w:t xml:space="preserve">полная недоступность СПО;</w:t>
            </w:r>
            <w:r/>
          </w:p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keepNext/>
            </w:pPr>
            <w:r>
              <w:rPr>
                <w:rFonts w:eastAsia="Calibri"/>
                <w:lang w:eastAsia="en-US"/>
              </w:rPr>
              <w:t xml:space="preserve">недоступность ключевого функционала</w:t>
            </w:r>
            <w:r>
              <w:rPr>
                <w:rStyle w:val="1587"/>
                <w:rFonts w:eastAsia="Calibri"/>
                <w:lang w:eastAsia="en-US"/>
              </w:rPr>
              <w:footnoteReference w:id="9"/>
            </w:r>
            <w:r>
              <w:rPr>
                <w:rFonts w:eastAsia="Calibri"/>
                <w:lang w:eastAsia="en-US"/>
              </w:rPr>
              <w:t xml:space="preserve">;</w:t>
            </w:r>
            <w:r/>
          </w:p>
          <w:p>
            <w:pPr>
              <w:pStyle w:val="1522"/>
              <w:numPr>
                <w:ilvl w:val="0"/>
                <w:numId w:val="34"/>
              </w:numPr>
              <w:contextualSpacing w:val="0"/>
              <w:ind w:left="41" w:firstLine="142"/>
              <w:keepNext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ошибки/сбои, которые приводят к полной неработоспособности всех функций СПО;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22"/>
              <w:numPr>
                <w:ilvl w:val="0"/>
                <w:numId w:val="34"/>
              </w:numPr>
              <w:contextualSpacing w:val="0"/>
              <w:ind w:left="41" w:firstLine="142"/>
              <w:keepNext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невозможность информационного обмена с СПО для ИС более 15 минут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9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1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Высокий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ошибки/сбои, которые приводят к частичному нарушению работоспособности или недоступности функций СПО;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снижение быстродействия СПО (время отклика СПО на операции превышает 5 минут);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невозможность управления правами и ролями Пользователей;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недоступность формирования отчетов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9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1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Низкий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3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отклонение в работе СПО, не влияющее на корректную работу функционала;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1522"/>
              <w:numPr>
                <w:ilvl w:val="0"/>
                <w:numId w:val="33"/>
              </w:numPr>
              <w:contextualSpacing w:val="0"/>
              <w:ind w:left="41" w:firstLine="142"/>
              <w:widowControl w:val="off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другие сбои и ошибки, затрагивающие основной функционал СПО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pStyle w:val="1499"/>
        <w:spacing w:before="120" w:line="360" w:lineRule="auto"/>
        <w:rPr>
          <w:color w:val="000000"/>
        </w:rPr>
      </w:pPr>
      <w:r>
        <w:rPr>
          <w:color w:val="000000"/>
        </w:rPr>
        <w:t xml:space="preserve">В зависимости от приоритета инцидентов</w:t>
      </w:r>
      <w:r>
        <w:rPr>
          <w:color w:val="000000"/>
        </w:rPr>
        <w:t xml:space="preserve"> устанавливаются следующие контрольные сроки решения инцидентов (Таблица А.7).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200" w:name="_2y3w247"/>
      <w:r/>
      <w:bookmarkEnd w:id="200"/>
      <w:r>
        <w:rPr>
          <w:color w:val="000000"/>
        </w:rPr>
        <w:t xml:space="preserve">Таблица А.7 – Контрольные сроки решения Инцидентов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354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598"/>
        <w:gridCol w:w="5321"/>
        <w:gridCol w:w="3435"/>
      </w:tblGrid>
      <w:tr>
        <w:tblPrEx/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1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Приоритет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Время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решения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6"/>
              </w:numPr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1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Критический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более 4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6"/>
              </w:numPr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1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Высокий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более 10 рабочих 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6"/>
              </w:numPr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21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Низкий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5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более 24 рабочих часов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numPr>
          <w:ilvl w:val="0"/>
          <w:numId w:val="5"/>
        </w:numPr>
        <w:ind w:left="851" w:firstLine="142"/>
        <w:spacing w:before="240" w:after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Параметры быстродействия Системы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Исполнитель должен обеспечить функционирование Системы в соответствии требованиям и параметрами, указанными в настоящем ТЗ и Едином регламенте оказании услуг.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Основные параметры быстродействия типовых операций в Системе указаны в таблице ниже (Таблица А.8).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  <w:highlight w:val="white"/>
        </w:rPr>
      </w:pPr>
      <w:r/>
      <w:bookmarkStart w:id="201" w:name="_1d96cc0"/>
      <w:r/>
      <w:bookmarkEnd w:id="201"/>
      <w:r>
        <w:rPr>
          <w:color w:val="000000"/>
        </w:rPr>
        <w:t xml:space="preserve">Таблица А.8 –</w:t>
      </w:r>
      <w:r>
        <w:rPr>
          <w:color w:val="000000"/>
          <w:highlight w:val="white"/>
        </w:rPr>
        <w:t xml:space="preserve"> Параметры быстродействия Системы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tbl>
      <w:tblPr>
        <w:tblStyle w:val="1508"/>
        <w:tblW w:w="9354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704"/>
        <w:gridCol w:w="6946"/>
        <w:gridCol w:w="1704"/>
      </w:tblGrid>
      <w:tr>
        <w:tblPrEx/>
        <w:trPr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Наименование параметра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4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Значение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(секунд)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7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Среднее время открытия главных страниц сайтов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4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≤5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7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Среднее время для операций поиска (выполнение поискового запроса) 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4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≤5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7"/>
              </w:numPr>
              <w:jc w:val="left"/>
              <w:widowControl w:val="off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Среднее время для операций выгрузки отчётных форм – в зависимости от объема выгружаемых данных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4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≤30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tabs>
          <w:tab w:val="num" w:pos="0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499"/>
        <w:numPr>
          <w:ilvl w:val="0"/>
          <w:numId w:val="5"/>
        </w:numPr>
        <w:ind w:left="851" w:firstLine="142"/>
        <w:spacing w:before="240" w:after="120"/>
        <w:tabs>
          <w:tab w:val="clear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Регламентные сроки устранения уязвимости Системы по запросу Заказчика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1505"/>
        <w:ind w:firstLine="850"/>
      </w:pPr>
      <w:r>
        <w:t xml:space="preserve">Заявке на устранение уязвимостей программных средств присваивается один из следующих уровней критичности в соответствии с таблицей ниже (Таблица А.9).</w:t>
      </w:r>
      <w:r/>
    </w:p>
    <w:p>
      <w:pPr>
        <w:pStyle w:val="1546"/>
        <w:spacing w:before="240"/>
      </w:pPr>
      <w:r>
        <w:rPr>
          <w:rFonts w:eastAsia="Times New Roman"/>
        </w:rPr>
        <w:t xml:space="preserve">Таблица А.9 – Устранение уязвимостей Системы по запросу Заказчика</w:t>
      </w:r>
      <w:r/>
    </w:p>
    <w:tbl>
      <w:tblPr>
        <w:tblW w:w="93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3405"/>
      </w:tblGrid>
      <w:tr>
        <w:tblPrEx/>
        <w:trPr>
          <w:trHeight w:val="454"/>
          <w:tblHeader/>
        </w:trPr>
        <w:tc>
          <w:tcPr>
            <w:shd w:val="clear" w:color="ffffff" w:fill="ffffff"/>
            <w:tcBorders>
              <w:bottom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38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Наименование параметра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Время решения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70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pStyle w:val="1505"/>
              <w:jc w:val="left"/>
              <w:spacing w:line="240" w:lineRule="auto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Критический уровень критичности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Не более 24 часов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70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pStyle w:val="1505"/>
              <w:jc w:val="left"/>
              <w:spacing w:line="240" w:lineRule="auto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Высокий уровень критичности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Не более 7 дней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70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pStyle w:val="1505"/>
              <w:jc w:val="left"/>
              <w:spacing w:line="240" w:lineRule="auto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Средний уровень критичности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Не более 4 недель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70"/>
              </w:numPr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pStyle w:val="1505"/>
              <w:jc w:val="left"/>
              <w:spacing w:line="240" w:lineRule="auto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Низкий уровень критичности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4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Не более 4 месяцев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1303"/>
        <w:ind w:firstLine="0"/>
        <w:rPr>
          <w:color w:val="000000"/>
        </w:rPr>
      </w:pPr>
      <w:r/>
      <w:bookmarkStart w:id="294" w:name="_Toc51"/>
      <w:r/>
      <w:bookmarkStart w:id="202" w:name="_Приложение_Б"/>
      <w:r/>
      <w:bookmarkEnd w:id="202"/>
      <w:r>
        <w:t xml:space="preserve">Приложение </w:t>
      </w:r>
      <w:bookmarkStart w:id="204" w:name="3x8tuzt"/>
      <w:r/>
      <w:bookmarkEnd w:id="204"/>
      <w:r>
        <w:t xml:space="preserve">Б</w:t>
      </w:r>
      <w:bookmarkEnd w:id="294"/>
      <w:r>
        <w:rPr>
          <w:color w:val="000000"/>
        </w:rPr>
      </w:r>
      <w:r>
        <w:rPr>
          <w:color w:val="000000"/>
        </w:rPr>
      </w:r>
    </w:p>
    <w:p>
      <w:pPr>
        <w:pStyle w:val="1499"/>
        <w:jc w:val="right"/>
        <w:spacing w:after="24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ШАБЛОН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499"/>
        <w:ind w:firstLine="0"/>
        <w:jc w:val="center"/>
        <w:spacing w:line="360" w:lineRule="auto"/>
        <w:rPr>
          <w:b/>
          <w:color w:val="000000"/>
        </w:rPr>
      </w:pPr>
      <w:r>
        <w:rPr>
          <w:b/>
          <w:color w:val="000000"/>
        </w:rPr>
        <w:t xml:space="preserve">Отчет об уровне оказания </w:t>
      </w:r>
      <w:r>
        <w:rPr>
          <w:b/>
          <w:bCs/>
        </w:rPr>
        <w:t xml:space="preserve">услуг</w:t>
      </w:r>
      <w:r>
        <w:rPr>
          <w:rStyle w:val="1587"/>
          <w:b/>
          <w:bCs/>
        </w:rPr>
        <w:footnoteReference w:id="10"/>
      </w:r>
      <w:r>
        <w:rPr>
          <w:b/>
          <w:color w:val="000000"/>
        </w:rPr>
        <w:t xml:space="preserve"> 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Отчет об уровне оказания услуг за ____ этап в период с «__» _________ по «__» _________.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  <w:t xml:space="preserve">Метрики качества сопровождения и эксплуатации Системы и Оценка качества оказания услуг представлены в таблицах ниже.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>
        <w:rPr>
          <w:color w:val="000000"/>
        </w:rPr>
        <w:t xml:space="preserve">Таблица Б.1–Метрики качества сопровождения и эксплуатации Системы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354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596"/>
        <w:gridCol w:w="3858"/>
        <w:gridCol w:w="1549"/>
        <w:gridCol w:w="1329"/>
        <w:gridCol w:w="202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Метрика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Вес метрики, </w:t>
            </w:r>
            <w:r>
              <w:rPr>
                <w:rFonts w:cs="Times New Roman"/>
                <w:b/>
                <w:bCs/>
              </w:rPr>
              <w:t xml:space="preserve">Р</w:t>
            </w:r>
            <w:r>
              <w:rPr>
                <w:rFonts w:cs="Times New Roman"/>
                <w:b/>
                <w:bCs/>
                <w:lang w:val="en-US"/>
              </w:rPr>
              <w:t xml:space="preserve">i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Значение метрики, </w:t>
            </w:r>
            <w:r>
              <w:rPr>
                <w:rFonts w:eastAsia="Times New Roman" w:cs="Times New Roman"/>
                <w:b/>
              </w:rPr>
              <w:t xml:space="preserve">Qi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Показатель качества сервиса, </w:t>
            </w:r>
            <w:r>
              <w:rPr>
                <w:rFonts w:eastAsia="Times New Roman" w:cs="Times New Roman"/>
                <w:b/>
              </w:rPr>
              <w:t xml:space="preserve">QoSi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Количество нарушений сроков по решению обращений Пользователей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0,2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Нарушение сроков решения обращений Пользователей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0,1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3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Количество нарушений сроков решения инцидентов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0,2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4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Нарушение сроков решения инцидентов, для приоритета «Критический»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color w:val="000000" w:themeColor="text1"/>
              </w:rPr>
              <w:t xml:space="preserve">0,2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5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Нарушение сроков решения инцидентов, для приоритета «Высокий»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0,1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6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t xml:space="preserve">Нарушение сроков решения инцидентов, для приоритета «Низкий»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t xml:space="preserve">0,1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color w:val="000000"/>
              </w:rPr>
              <w:t xml:space="preserve">7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58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</w:pPr>
            <w:r>
              <w:t xml:space="preserve">Нарушение требований Единого регламента оказания услуг в части нарушения Порядка обработки обращений и инцидентов в СУИ ПК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</w:pPr>
            <w:r>
              <w:t xml:space="preserve">0,1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9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2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</w:rPr>
              <w:t xml:space="preserve">Итоговый показатель качества, </w:t>
            </w:r>
            <w:r>
              <w:rPr>
                <w:rFonts w:eastAsia="Times New Roman" w:cs="Times New Roman"/>
                <w:b/>
              </w:rPr>
              <w:t xml:space="preserve">QoS</w:t>
            </w:r>
            <w:r>
              <w:rPr>
                <w:rFonts w:eastAsia="Times New Roman" w:cs="Times New Roman"/>
                <w:b/>
              </w:rPr>
              <w:t xml:space="preserve">: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206" w:name="_2ce457m"/>
      <w:r/>
      <w:bookmarkEnd w:id="206"/>
      <w:r>
        <w:rPr>
          <w:color w:val="000000"/>
        </w:rPr>
        <w:t xml:space="preserve">Таблица Б.2 – Оценка качества оказания услуг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5000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5672"/>
        <w:gridCol w:w="3121"/>
      </w:tblGrid>
      <w:tr>
        <w:tblPrEx/>
        <w:trPr/>
        <w:tc>
          <w:tcPr>
            <w:shd w:val="clear" w:color="auto" w:fill="ffffff" w:themeFill="background1"/>
            <w:tcW w:w="56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</w:rPr>
            </w:pPr>
            <w:r>
              <w:rPr>
                <w:b/>
                <w:bCs/>
              </w:rPr>
              <w:t xml:space="preserve">№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ffffff" w:themeFill="background1"/>
            <w:tcW w:w="5672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b/>
                <w:bCs/>
              </w:rPr>
            </w:pPr>
            <w:r>
              <w:rPr>
                <w:b/>
                <w:bCs/>
              </w:rPr>
              <w:t xml:space="preserve">Параметр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ffffff" w:themeFill="background1"/>
            <w:tcW w:w="312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</w:rPr>
            </w:pPr>
            <w:r>
              <w:rPr>
                <w:b/>
                <w:bCs/>
              </w:rPr>
              <w:t xml:space="preserve">Значение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shd w:val="clear" w:color="auto" w:fill="ffffff" w:themeFill="background1"/>
            <w:tcMar>
              <w:left w:w="57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pStyle w:val="1499"/>
              <w:ind w:left="0" w:firstLine="0"/>
              <w:jc w:val="center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  <w:rPr>
                <w:bCs/>
              </w:rPr>
            </w:pPr>
            <w:r>
              <w:rPr>
                <w:bCs/>
              </w:rPr>
              <w:t xml:space="preserve">Показатель качества технической поддержки, </w:t>
            </w:r>
            <w:r>
              <w:rPr>
                <w:bCs/>
              </w:rPr>
              <w:t xml:space="preserve">QoS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fffff" w:themeFill="background1"/>
            <w:tcW w:w="312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</w:rPr>
            </w:pPr>
            <w:r>
              <w:rPr>
                <w:bCs/>
              </w:rPr>
              <w:t xml:space="preserve">[__]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shd w:val="clear" w:color="auto" w:fill="ffffff" w:themeFill="background1"/>
            <w:tcMar>
              <w:left w:w="57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  <w:rPr>
                <w:bCs/>
              </w:rPr>
            </w:pPr>
            <w:r>
              <w:rPr>
                <w:bCs/>
              </w:rPr>
              <w:t xml:space="preserve">Общее </w:t>
            </w:r>
            <w:r>
              <w:t xml:space="preserve">(суммарное) </w:t>
            </w:r>
            <w:r>
              <w:rPr>
                <w:bCs/>
              </w:rPr>
              <w:t xml:space="preserve">время внеплановой недоступности </w:t>
            </w:r>
            <w:r>
              <w:t xml:space="preserve">Системы</w:t>
            </w:r>
            <w:r>
              <w:rPr>
                <w:bCs/>
              </w:rPr>
              <w:t xml:space="preserve"> за </w:t>
            </w:r>
            <w:r>
              <w:rPr>
                <w:rFonts w:eastAsia="Calibri"/>
              </w:rPr>
              <w:t xml:space="preserve">этап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fffff" w:themeFill="background1"/>
            <w:tcW w:w="3121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</w:rPr>
            </w:pPr>
            <w:r>
              <w:rPr>
                <w:bCs/>
              </w:rPr>
              <w:t xml:space="preserve">[ ______ ]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shd w:val="clear" w:color="auto" w:fill="ffffff" w:themeFill="background1"/>
            <w:tcMar>
              <w:left w:w="28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Максимальное время единовременной внеплановой </w:t>
            </w:r>
            <w:r>
              <w:t xml:space="preserve">недоступности Системы за этап</w:t>
            </w:r>
            <w:r/>
          </w:p>
        </w:tc>
        <w:tc>
          <w:tcPr>
            <w:shd w:val="clear" w:color="auto" w:fill="ffffff" w:themeFill="background1"/>
            <w:tcW w:w="3121" w:type="dxa"/>
            <w:textDirection w:val="lrTb"/>
            <w:noWrap w:val="false"/>
          </w:tcPr>
          <w:p>
            <w:pPr>
              <w:jc w:val="center"/>
            </w:pPr>
            <w:r>
              <w:t xml:space="preserve">[ ______ ]</w:t>
            </w:r>
            <w:r/>
          </w:p>
        </w:tc>
      </w:tr>
      <w:tr>
        <w:tblPrEx/>
        <w:trPr/>
        <w:tc>
          <w:tcPr>
            <w:shd w:val="clear" w:color="auto" w:fill="ffffff" w:themeFill="background1"/>
            <w:tcMar>
              <w:left w:w="28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Нарушение требований Единого регламента оказания услуг в части периодичности резервного копирования БД Системы</w:t>
            </w:r>
            <w:r/>
          </w:p>
        </w:tc>
        <w:tc>
          <w:tcPr>
            <w:shd w:val="clear" w:color="auto" w:fill="ffffff" w:themeFill="background1"/>
            <w:tcW w:w="3121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[Нет/Да]</w:t>
            </w:r>
            <w:r/>
          </w:p>
        </w:tc>
      </w:tr>
      <w:tr>
        <w:tblPrEx/>
        <w:trPr/>
        <w:tc>
          <w:tcPr>
            <w:shd w:val="clear" w:color="auto" w:fill="ffffff" w:themeFill="background1"/>
            <w:tcMar>
              <w:left w:w="28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Нарушение требований Единого регламента оказания услуг в части периодичности проверок резервных копий виртуальных машин Системы</w:t>
            </w:r>
            <w:r/>
          </w:p>
        </w:tc>
        <w:tc>
          <w:tcPr>
            <w:shd w:val="clear" w:color="auto" w:fill="ffffff" w:themeFill="background1"/>
            <w:tcW w:w="3121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[Нет/Да]</w:t>
            </w:r>
            <w:r/>
          </w:p>
        </w:tc>
      </w:tr>
      <w:tr>
        <w:tblPrEx/>
        <w:trPr/>
        <w:tc>
          <w:tcPr>
            <w:shd w:val="clear" w:color="auto" w:fill="ffffff" w:themeFill="background1"/>
            <w:tcMar>
              <w:left w:w="28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keepLines/>
              <w:widowControl w:val="off"/>
            </w:pPr>
            <w:r>
              <w:t xml:space="preserve">Нарушение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</w:t>
            </w:r>
            <w:r/>
          </w:p>
        </w:tc>
        <w:tc>
          <w:tcPr>
            <w:shd w:val="clear" w:color="auto" w:fill="ffffff" w:themeFill="background1"/>
            <w:tcW w:w="31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[Нет/Да]</w:t>
            </w:r>
            <w:r/>
          </w:p>
        </w:tc>
      </w:tr>
      <w:tr>
        <w:tblPrEx/>
        <w:trPr>
          <w:trHeight w:val="276"/>
        </w:trPr>
        <w:tc>
          <w:tcPr>
            <w:shd w:val="clear" w:color="ffffff" w:fill="ffffff" w:themeFill="background1"/>
            <w:tcMar>
              <w:left w:w="28" w:type="dxa"/>
              <w:top w:w="0" w:type="dxa"/>
              <w:right w:w="28" w:type="dxa"/>
              <w:bottom w:w="0" w:type="dxa"/>
            </w:tcMar>
            <w:tcW w:w="56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5672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Нарушение плана обновления Системы в части нарушения сроков плановой недоступности Системы</w:t>
            </w:r>
            <w:r/>
          </w:p>
        </w:tc>
        <w:tc>
          <w:tcPr>
            <w:shd w:val="clear" w:color="ffffff" w:fill="ffffff" w:themeFill="background1"/>
            <w:tcW w:w="31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[ ______ ]</w:t>
            </w:r>
            <w:r/>
          </w:p>
        </w:tc>
      </w:tr>
      <w:tr>
        <w:tblPrEx/>
        <w:trPr>
          <w:trHeight w:val="276"/>
        </w:trPr>
        <w:tc>
          <w:tcPr>
            <w:shd w:val="clear" w:color="ffffff" w:fill="ffffff" w:themeFill="background1"/>
            <w:tcMar>
              <w:left w:w="28" w:type="dxa"/>
              <w:top w:w="0" w:type="dxa"/>
              <w:right w:w="28" w:type="dxa"/>
              <w:bottom w:w="0" w:type="dxa"/>
            </w:tcMar>
            <w:tcW w:w="56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 w:themeFill="background1"/>
            <w:tcW w:w="5672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Нарушение сроков устранения уязвимостей Системы</w:t>
            </w:r>
            <w:r/>
          </w:p>
        </w:tc>
        <w:tc>
          <w:tcPr>
            <w:shd w:val="clear" w:color="ffffff" w:fill="ffffff" w:themeFill="background1"/>
            <w:tcW w:w="31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[Нет/Да]</w:t>
            </w:r>
            <w:r/>
          </w:p>
        </w:tc>
      </w:tr>
      <w:tr>
        <w:tblPrEx/>
        <w:trPr/>
        <w:tc>
          <w:tcPr>
            <w:shd w:val="clear" w:color="auto" w:fill="ffffff" w:themeFill="background1"/>
            <w:tcMar>
              <w:left w:w="28" w:type="dxa"/>
              <w:right w:w="28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 w:themeFill="background1"/>
            <w:tcW w:w="5672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t xml:space="preserve">Нарушение требований Единого регламента оказания услуг в части периодичности выполнения нагрузочного тестирования</w:t>
            </w:r>
            <w:r/>
          </w:p>
        </w:tc>
        <w:tc>
          <w:tcPr>
            <w:shd w:val="clear" w:color="auto" w:fill="ffffff" w:themeFill="background1"/>
            <w:tcW w:w="312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[Нет/Да]</w:t>
            </w:r>
            <w:r/>
          </w:p>
        </w:tc>
      </w:tr>
      <w:tr>
        <w:tblPrEx/>
        <w:trPr/>
        <w:tc>
          <w:tcPr>
            <w:gridSpan w:val="2"/>
            <w:shd w:val="clear" w:color="auto" w:fill="ffffff" w:themeFill="background1"/>
            <w:tcW w:w="6234" w:type="dxa"/>
            <w:textDirection w:val="lrTb"/>
            <w:noWrap w:val="false"/>
          </w:tcPr>
          <w:p>
            <w:pPr>
              <w:widowControl w:val="off"/>
            </w:pPr>
            <w:r>
              <w:rPr>
                <w:b/>
                <w:bCs/>
              </w:rPr>
              <w:t xml:space="preserve">Итоговая оценка:</w:t>
            </w:r>
            <w:r/>
          </w:p>
        </w:tc>
        <w:tc>
          <w:tcPr>
            <w:shd w:val="clear" w:color="auto" w:fill="ffffff" w:themeFill="background1"/>
            <w:tcW w:w="3121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</w:rPr>
            </w:pPr>
            <w:r>
              <w:rPr>
                <w:bCs/>
              </w:rPr>
              <w:t xml:space="preserve">[Услуги оказаны надлежащим образом/Услуги оказаны ненадлежащим образом]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pStyle w:val="1499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tabs>
          <w:tab w:val="left" w:pos="1451" w:leader="none"/>
        </w:tabs>
        <w:rPr>
          <w:color w:val="000000"/>
        </w:rPr>
        <w:sectPr>
          <w:headerReference w:type="default" r:id="rId15"/>
          <w:footerReference w:type="default" r:id="rId26"/>
          <w:footnotePr/>
          <w:endnotePr/>
          <w:type w:val="nextPage"/>
          <w:pgSz w:w="11906" w:h="16838" w:orient="portrait"/>
          <w:pgMar w:top="1134" w:right="850" w:bottom="1134" w:left="1701" w:header="283" w:footer="283" w:gutter="0"/>
          <w:cols w:num="1" w:sep="0" w:space="720" w:equalWidth="1"/>
          <w:docGrid w:linePitch="360"/>
        </w:sectPr>
      </w:pPr>
      <w:r>
        <w:tab/>
      </w:r>
      <w:r>
        <w:rPr>
          <w:color w:val="000000"/>
        </w:rPr>
      </w:r>
      <w:r>
        <w:rPr>
          <w:color w:val="000000"/>
        </w:rPr>
      </w:r>
    </w:p>
    <w:p>
      <w:pPr>
        <w:pStyle w:val="1505"/>
        <w:jc w:val="right"/>
        <w:spacing w:after="240"/>
        <w:rPr>
          <w:szCs w:val="24"/>
        </w:rPr>
      </w:pPr>
      <w:r/>
      <w:bookmarkStart w:id="207" w:name="_rjefff"/>
      <w:r/>
      <w:bookmarkEnd w:id="207"/>
      <w:r>
        <w:rPr>
          <w:szCs w:val="24"/>
        </w:rPr>
        <w:t xml:space="preserve">ШАБЛОН</w:t>
      </w:r>
      <w:r>
        <w:rPr>
          <w:szCs w:val="24"/>
        </w:rPr>
      </w:r>
      <w:r>
        <w:rPr>
          <w:szCs w:val="24"/>
        </w:rPr>
      </w:r>
    </w:p>
    <w:p>
      <w:pPr>
        <w:ind w:firstLine="709"/>
        <w:jc w:val="right"/>
        <w:spacing w:line="276" w:lineRule="auto"/>
        <w:rPr>
          <w:b/>
        </w:rPr>
      </w:pPr>
      <w:r>
        <w:rPr>
          <w:b/>
        </w:rPr>
        <w:t xml:space="preserve">Приложение 1</w:t>
      </w:r>
      <w:r>
        <w:rPr>
          <w:b/>
        </w:rPr>
      </w:r>
      <w:r>
        <w:rPr>
          <w:b/>
        </w:rPr>
      </w:r>
    </w:p>
    <w:p>
      <w:pPr>
        <w:ind w:firstLine="709"/>
        <w:jc w:val="right"/>
        <w:spacing w:line="276" w:lineRule="auto"/>
        <w:rPr>
          <w:b/>
        </w:rPr>
      </w:pPr>
      <w:r>
        <w:rPr>
          <w:b/>
        </w:rPr>
        <w:t xml:space="preserve">к Отчету об уровне оказания услуг</w:t>
      </w:r>
      <w:r>
        <w:rPr>
          <w:b/>
        </w:rPr>
      </w:r>
      <w:r>
        <w:rPr>
          <w:b/>
        </w:rPr>
      </w:r>
    </w:p>
    <w:p>
      <w:pPr>
        <w:pStyle w:val="1505"/>
        <w:jc w:val="right"/>
        <w:spacing w:after="240" w:line="276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505"/>
        <w:jc w:val="center"/>
        <w:spacing w:after="240" w:line="276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Журнал обращений Пользователей</w:t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1505"/>
        <w:jc w:val="both"/>
        <w:spacing w:line="276" w:lineRule="auto"/>
        <w:rPr>
          <w:szCs w:val="24"/>
        </w:rPr>
      </w:pPr>
      <w:r>
        <w:rPr>
          <w:i/>
          <w:iCs/>
          <w:szCs w:val="24"/>
          <w:u w:val="single"/>
        </w:rPr>
        <w:t xml:space="preserve">Наименование Исполнителя</w:t>
      </w:r>
      <w:r>
        <w:rPr>
          <w:szCs w:val="24"/>
        </w:rPr>
        <w:t xml:space="preserve"> </w:t>
      </w:r>
      <w:bookmarkStart w:id="208" w:name="_Hlk118817074"/>
      <w:r>
        <w:rPr>
          <w:szCs w:val="24"/>
        </w:rPr>
        <w:t xml:space="preserve">за ____ этап </w:t>
      </w:r>
      <w:bookmarkEnd w:id="208"/>
      <w:r>
        <w:rPr>
          <w:szCs w:val="24"/>
        </w:rPr>
        <w:t xml:space="preserve">в период с ________________ по _______________ оказал(о) Услугу по поддержке Пользователей в объеме, указанном в таблице ниже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_Ref34121557 \h  \* MERGEFORMAT </w:instrText>
      </w:r>
      <w:r>
        <w:rPr>
          <w:szCs w:val="24"/>
        </w:rPr>
        <w:fldChar w:fldCharType="separate"/>
      </w:r>
      <w:r>
        <w:rPr>
          <w:szCs w:val="24"/>
        </w:rPr>
        <w:t xml:space="preserve">Таблица Б.</w:t>
      </w:r>
      <w:r>
        <w:t xml:space="preserve">3</w:t>
      </w:r>
      <w:r>
        <w:rPr>
          <w:szCs w:val="24"/>
        </w:rPr>
        <w:fldChar w:fldCharType="end"/>
      </w:r>
      <w:r>
        <w:rPr>
          <w:szCs w:val="24"/>
        </w:rPr>
        <w:t xml:space="preserve">).</w:t>
      </w:r>
      <w:r>
        <w:rPr>
          <w:szCs w:val="24"/>
        </w:rPr>
      </w:r>
      <w:r>
        <w:rPr>
          <w:szCs w:val="24"/>
        </w:rPr>
      </w:r>
    </w:p>
    <w:p>
      <w:pPr>
        <w:pStyle w:val="1546"/>
        <w:spacing w:line="276" w:lineRule="auto"/>
      </w:pPr>
      <w:r/>
      <w:bookmarkStart w:id="209" w:name="_Ref34121557"/>
      <w:r>
        <w:t xml:space="preserve">Таблица Б.3</w:t>
      </w:r>
      <w:bookmarkEnd w:id="209"/>
      <w:r>
        <w:t xml:space="preserve"> – Журнал обращений Пользователей</w:t>
      </w:r>
      <w:r/>
    </w:p>
    <w:tbl>
      <w:tblPr>
        <w:tblpPr w:horzAnchor="page" w:tblpX="1069" w:vertAnchor="text" w:tblpY="63" w:leftFromText="181" w:topFromText="0" w:rightFromText="181" w:bottomFromText="0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5"/>
        <w:gridCol w:w="615"/>
        <w:gridCol w:w="720"/>
        <w:gridCol w:w="937"/>
        <w:gridCol w:w="960"/>
        <w:gridCol w:w="1053"/>
        <w:gridCol w:w="1242"/>
        <w:gridCol w:w="1184"/>
        <w:gridCol w:w="963"/>
        <w:gridCol w:w="1298"/>
        <w:gridCol w:w="1298"/>
        <w:gridCol w:w="1266"/>
        <w:gridCol w:w="1286"/>
        <w:gridCol w:w="1283"/>
      </w:tblGrid>
      <w:tr>
        <w:tblPrEx/>
        <w:trPr>
          <w:cantSplit/>
          <w:trHeight w:val="1403"/>
        </w:trPr>
        <w:tc>
          <w:tcPr>
            <w:tcMar>
              <w:left w:w="57" w:type="dxa"/>
              <w:right w:w="57" w:type="dxa"/>
            </w:tcMar>
            <w:tcW w:w="157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п/п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Номер записи СУИ ПК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2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Статус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2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Инициатор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Вид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36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Краткое описание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27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ФИО Исполнителя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07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регистрации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31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решения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закрытия обращения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Контрольный срок обработки обращения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35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Фактический срок обработки обращения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Отклонение фактического срока от контрольного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Нарушение Порядка обработки обращений в СУИ ПК (да/нет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15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22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6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2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0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31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6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6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35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15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22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36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2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07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31" w:type="pct"/>
            <w:vAlign w:val="center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6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6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35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2" w:type="pct"/>
            <w:textDirection w:val="lrTb"/>
            <w:noWrap w:val="false"/>
          </w:tcPr>
          <w:p>
            <w:pPr>
              <w:ind w:left="57"/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1505"/>
        <w:spacing w:line="276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1512"/>
        <w:tblW w:w="5014" w:type="pct"/>
        <w:tblInd w:w="-147" w:type="dxa"/>
        <w:tblLook w:val="04A0" w:firstRow="1" w:lastRow="0" w:firstColumn="1" w:lastColumn="0" w:noHBand="0" w:noVBand="1"/>
      </w:tblPr>
      <w:tblGrid>
        <w:gridCol w:w="11766"/>
        <w:gridCol w:w="1419"/>
        <w:gridCol w:w="1416"/>
      </w:tblGrid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 w:eastAsiaTheme="minorEastAsia"/>
                <w:b/>
                <w:sz w:val="20"/>
              </w:rPr>
            </w:pPr>
            <w:r/>
            <w:bookmarkStart w:id="210" w:name="_Hlk114153379"/>
            <w:r>
              <w:rPr>
                <w:rFonts w:ascii="Times New Roman" w:hAnsi="Times New Roman" w:eastAsiaTheme="minorEastAsia"/>
                <w:b/>
                <w:sz w:val="20"/>
              </w:rPr>
              <w:t xml:space="preserve">ИТОГО зарегистрировано</w:t>
            </w:r>
            <w:r>
              <w:rPr>
                <w:rFonts w:ascii="Times New Roman" w:hAnsi="Times New Roman" w:eastAsiaTheme="minorEastAsia"/>
                <w:b/>
                <w:sz w:val="20"/>
              </w:rPr>
            </w:r>
            <w:r>
              <w:rPr>
                <w:rFonts w:ascii="Times New Roman" w:hAnsi="Times New Roman" w:eastAsiaTheme="minorEastAsia"/>
                <w:b/>
                <w:sz w:val="20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 w:eastAsiaTheme="minorEastAsia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ИТОГО решено</w:t>
            </w:r>
            <w:r>
              <w:rPr>
                <w:rFonts w:ascii="Times New Roman" w:hAnsi="Times New Roman" w:eastAsiaTheme="minorEastAsia"/>
                <w:b/>
                <w:bCs/>
                <w:sz w:val="20"/>
              </w:rPr>
            </w:r>
            <w:r>
              <w:rPr>
                <w:rFonts w:ascii="Times New Roman" w:hAnsi="Times New Roman" w:eastAsiaTheme="minorEastAsia"/>
                <w:b/>
                <w:bCs/>
                <w:sz w:val="20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Количество нарушений сроков по решению обращений пользователей, ед.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486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  <w:tc>
          <w:tcPr>
            <w:tcW w:w="485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 </w:t>
            </w:r>
            <w:r>
              <w:rPr>
                <w:rFonts w:ascii="Times New Roman" w:hAnsi="Times New Roman" w:eastAsiaTheme="minorEastAsia"/>
                <w:bCs/>
                <w:sz w:val="20"/>
              </w:rPr>
              <w:t xml:space="preserve">%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  <w:lang w:val="en-US"/>
              </w:rPr>
            </w:r>
            <w:r>
              <w:rPr>
                <w:rFonts w:ascii="Times New Roman" w:hAnsi="Times New Roman" w:eastAsiaTheme="minorEastAsia"/>
                <w:bCs/>
                <w:sz w:val="20"/>
                <w:lang w:val="en-US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Нарушение сроков решения обращений пользователей, час.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  <w:lang w:val="en-US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 w:eastAsiaTheme="minorEastAsia"/>
                <w:bCs/>
                <w:sz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  <w:lang w:val="en-US"/>
              </w:rPr>
            </w:r>
            <w:r>
              <w:rPr>
                <w:rFonts w:ascii="Times New Roman" w:hAnsi="Times New Roman" w:eastAsiaTheme="minorEastAsia"/>
                <w:bCs/>
                <w:sz w:val="20"/>
                <w:lang w:val="en-US"/>
              </w:rPr>
            </w:r>
          </w:p>
        </w:tc>
      </w:tr>
      <w:tr>
        <w:tblPrEx/>
        <w:trPr/>
        <w:tc>
          <w:tcPr>
            <w:tcW w:w="4029" w:type="pct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Количество зафиксированных случаев нарушения требований Единого регламента оказания услуг в части Порядка обработки обращений в СУИ ПК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gridSpan w:val="2"/>
            <w:tcW w:w="971" w:type="pct"/>
            <w:vAlign w:val="center"/>
            <w:textDirection w:val="lrTb"/>
            <w:noWrap w:val="false"/>
          </w:tcPr>
          <w:p>
            <w:pPr>
              <w:pStyle w:val="1505"/>
              <w:jc w:val="center"/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bookmarkEnd w:id="210"/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</w:tr>
    </w:tbl>
    <w:p>
      <w:pPr>
        <w:pStyle w:val="1499"/>
        <w:jc w:val="right"/>
        <w:spacing w:line="360" w:lineRule="auto"/>
        <w:rPr>
          <w:color w:val="000000"/>
        </w:rPr>
      </w:pP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1505"/>
        <w:jc w:val="right"/>
        <w:rPr>
          <w:szCs w:val="24"/>
        </w:rPr>
      </w:pPr>
      <w:r/>
      <w:bookmarkStart w:id="211" w:name="_3bj1y38"/>
      <w:r/>
      <w:bookmarkEnd w:id="211"/>
      <w:r>
        <w:rPr>
          <w:szCs w:val="24"/>
        </w:rPr>
        <w:t xml:space="preserve">ШАБЛОН</w:t>
      </w:r>
      <w:r>
        <w:rPr>
          <w:szCs w:val="24"/>
        </w:rPr>
      </w:r>
      <w:r>
        <w:rPr>
          <w:szCs w:val="24"/>
        </w:rPr>
      </w:r>
    </w:p>
    <w:p>
      <w:pPr>
        <w:ind w:firstLine="709"/>
        <w:jc w:val="right"/>
        <w:rPr>
          <w:b/>
        </w:rPr>
      </w:pPr>
      <w:r>
        <w:rPr>
          <w:b/>
        </w:rPr>
        <w:t xml:space="preserve">Приложение 2</w:t>
      </w:r>
      <w:r>
        <w:rPr>
          <w:b/>
        </w:rPr>
      </w:r>
      <w:r>
        <w:rPr>
          <w:b/>
        </w:rPr>
      </w:r>
    </w:p>
    <w:p>
      <w:pPr>
        <w:ind w:firstLine="709"/>
        <w:jc w:val="right"/>
        <w:rPr>
          <w:b/>
        </w:rPr>
      </w:pPr>
      <w:r>
        <w:rPr>
          <w:b/>
        </w:rPr>
        <w:t xml:space="preserve">к Отчету об уровне оказания услуг</w:t>
      </w:r>
      <w:r>
        <w:rPr>
          <w:b/>
        </w:rPr>
      </w:r>
      <w:r>
        <w:rPr>
          <w:b/>
        </w:rPr>
      </w:r>
    </w:p>
    <w:p>
      <w:pPr>
        <w:pStyle w:val="1505"/>
        <w:jc w:val="right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505"/>
        <w:jc w:val="center"/>
        <w:spacing w:after="240"/>
        <w:rPr>
          <w:b/>
          <w:bCs/>
          <w:szCs w:val="24"/>
        </w:rPr>
      </w:pPr>
      <w:r>
        <w:rPr>
          <w:b/>
          <w:bCs/>
          <w:szCs w:val="24"/>
        </w:rPr>
        <w:t xml:space="preserve">Журнал по решению инцидентов</w:t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1505"/>
        <w:jc w:val="both"/>
        <w:rPr>
          <w:szCs w:val="24"/>
        </w:rPr>
      </w:pPr>
      <w:r>
        <w:rPr>
          <w:i/>
          <w:iCs/>
          <w:szCs w:val="24"/>
          <w:u w:val="single"/>
        </w:rPr>
        <w:t xml:space="preserve">Наименование Исполнителя</w:t>
      </w:r>
      <w:r>
        <w:rPr>
          <w:szCs w:val="24"/>
        </w:rPr>
        <w:t xml:space="preserve"> за ____ этап</w:t>
      </w:r>
      <w:r>
        <w:rPr>
          <w:i/>
          <w:iCs/>
          <w:szCs w:val="24"/>
        </w:rPr>
        <w:t xml:space="preserve"> </w:t>
      </w:r>
      <w:r>
        <w:rPr>
          <w:szCs w:val="24"/>
        </w:rPr>
        <w:t xml:space="preserve">в период с ________________ по _______________ оказал(о) Услугу по решению инцидентов в объеме, указанном в таблице ниже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_Ref34121782 \h  \* MERGEFORMAT </w:instrText>
      </w:r>
      <w:r>
        <w:rPr>
          <w:szCs w:val="24"/>
        </w:rPr>
        <w:fldChar w:fldCharType="separate"/>
      </w:r>
      <w:r>
        <w:rPr>
          <w:szCs w:val="24"/>
        </w:rPr>
        <w:t xml:space="preserve">Таблица Б.</w:t>
      </w:r>
      <w:r>
        <w:rPr>
          <w:szCs w:val="24"/>
        </w:rPr>
        <w:fldChar w:fldCharType="end"/>
      </w:r>
      <w:r>
        <w:rPr>
          <w:szCs w:val="24"/>
        </w:rPr>
        <w:t xml:space="preserve">4).</w:t>
      </w:r>
      <w:r>
        <w:rPr>
          <w:szCs w:val="24"/>
        </w:rPr>
      </w:r>
      <w:r>
        <w:rPr>
          <w:szCs w:val="24"/>
        </w:rPr>
      </w:r>
    </w:p>
    <w:p>
      <w:pPr>
        <w:pStyle w:val="1546"/>
        <w:spacing w:line="276" w:lineRule="auto"/>
      </w:pPr>
      <w:r/>
      <w:bookmarkStart w:id="212" w:name="_Ref34121782"/>
      <w:r>
        <w:t xml:space="preserve">Таблица Б.</w:t>
      </w:r>
      <w:bookmarkEnd w:id="212"/>
      <w:r>
        <w:t xml:space="preserve">4 – Журнал по решению инцидентов</w:t>
      </w:r>
      <w:r/>
    </w:p>
    <w:tbl>
      <w:tblPr>
        <w:tblpPr w:horzAnchor="text" w:tblpXSpec="left" w:vertAnchor="text" w:tblpY="1" w:leftFromText="180" w:topFromText="0" w:rightFromText="180" w:bottomFromText="0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38"/>
        <w:gridCol w:w="663"/>
        <w:gridCol w:w="777"/>
        <w:gridCol w:w="967"/>
        <w:gridCol w:w="992"/>
        <w:gridCol w:w="1045"/>
        <w:gridCol w:w="1241"/>
        <w:gridCol w:w="1092"/>
        <w:gridCol w:w="943"/>
        <w:gridCol w:w="1276"/>
        <w:gridCol w:w="1295"/>
        <w:gridCol w:w="1263"/>
        <w:gridCol w:w="1285"/>
        <w:gridCol w:w="1283"/>
      </w:tblGrid>
      <w:tr>
        <w:tblPrEx/>
        <w:trPr>
          <w:cantSplit/>
          <w:trHeight w:val="1131"/>
        </w:trPr>
        <w:tc>
          <w:tcPr>
            <w:tcMar>
              <w:left w:w="57" w:type="dxa"/>
              <w:right w:w="57" w:type="dxa"/>
            </w:tcMar>
            <w:tcW w:w="157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п/п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Номер записи СУИ ПК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240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Статус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Приоритет инцидента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40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Инициатор инцидента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353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Краткое описание инцидента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29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ФИО Исполнителя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79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регистрации инцидентов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321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решения инцидента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51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Дата и время закрытия инцидента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51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Контрольный срок обработки инцидента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0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Фактический срок обработки инцидента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7" w:type="pct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Отклонение фактического срока от контрольного (часов: минут)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447" w:type="pct"/>
            <w:textDirection w:val="lrTb"/>
            <w:noWrap w:val="false"/>
          </w:tcPr>
          <w:p>
            <w:pPr>
              <w:ind w:left="5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Нарушение Порядка обработки инцидентов в СУИ ПК (да/нет</w:t>
            </w:r>
            <w:r>
              <w:rPr>
                <w:b/>
                <w:color w:val="0000ff"/>
                <w:sz w:val="16"/>
                <w:szCs w:val="16"/>
              </w:rPr>
              <w:t xml:space="preserve">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387" w:hRule="exact"/>
        </w:trPr>
        <w:tc>
          <w:tcPr>
            <w:tcMar>
              <w:left w:w="57" w:type="dxa"/>
              <w:right w:w="57" w:type="dxa"/>
            </w:tcMar>
            <w:tcW w:w="15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40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40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53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29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79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321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51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51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0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4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53" w:hRule="exact"/>
        </w:trPr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15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212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40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30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40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353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29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79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tcW w:w="321" w:type="pct"/>
            <w:vAlign w:val="center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51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51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0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47" w:type="pct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1505"/>
        <w:spacing w:line="276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1512"/>
        <w:tblW w:w="5000" w:type="pct"/>
        <w:tblLook w:val="04A0" w:firstRow="1" w:lastRow="0" w:firstColumn="1" w:lastColumn="0" w:noHBand="0" w:noVBand="1"/>
      </w:tblPr>
      <w:tblGrid>
        <w:gridCol w:w="11965"/>
        <w:gridCol w:w="2595"/>
      </w:tblGrid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 w:eastAsiaTheme="minorEastAsia"/>
                <w:b/>
                <w:sz w:val="20"/>
              </w:rPr>
            </w:pPr>
            <w:r/>
            <w:bookmarkStart w:id="213" w:name="_Hlk114153485"/>
            <w:r>
              <w:rPr>
                <w:rFonts w:ascii="Times New Roman" w:hAnsi="Times New Roman" w:eastAsiaTheme="minorEastAsia"/>
                <w:b/>
                <w:sz w:val="20"/>
              </w:rPr>
              <w:t xml:space="preserve">ИТОГО зарегистрировано</w:t>
            </w:r>
            <w:r>
              <w:rPr>
                <w:rFonts w:ascii="Times New Roman" w:hAnsi="Times New Roman" w:eastAsiaTheme="minorEastAsia"/>
                <w:b/>
                <w:sz w:val="20"/>
              </w:rPr>
            </w:r>
            <w:r>
              <w:rPr>
                <w:rFonts w:ascii="Times New Roman" w:hAnsi="Times New Roman" w:eastAsiaTheme="minorEastAsia"/>
                <w:b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Theme="minorEastAsia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 w:eastAsiaTheme="minorEastAsia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ИТОГО решено</w:t>
            </w:r>
            <w:r>
              <w:rPr>
                <w:rFonts w:ascii="Times New Roman" w:hAnsi="Times New Roman" w:eastAsiaTheme="minorEastAsia"/>
                <w:b/>
                <w:bCs/>
                <w:sz w:val="20"/>
              </w:rPr>
            </w:r>
            <w:r>
              <w:rPr>
                <w:rFonts w:ascii="Times New Roman" w:hAnsi="Times New Roman" w:eastAsiaTheme="minorEastAsia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keepNext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Количество нарушений сроков решения инцидентов, ед.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keepNext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</w:rPr>
              <w:t xml:space="preserve">3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Нарушение сроков решения инцидентов, для приоритета «Критический», час.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</w:rPr>
              <w:t xml:space="preserve">4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Нарушение сроков решения инцидентов, для приоритета «Высокий», час.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</w:rPr>
              <w:t xml:space="preserve">5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Нарушение сроков решения инцидентов, для приоритета «Низкий», час.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Значение метрики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 xml:space="preserve">Q</w:t>
            </w:r>
            <w:r>
              <w:rPr>
                <w:rFonts w:ascii="Times New Roman" w:hAnsi="Times New Roman"/>
                <w:b/>
                <w:bCs/>
                <w:sz w:val="20"/>
                <w:vertAlign w:val="subscript"/>
              </w:rPr>
              <w:t xml:space="preserve">6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 w:eastAsiaTheme="minorEastAsia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[__]</w:t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  <w:r>
              <w:rPr>
                <w:rFonts w:ascii="Times New Roman" w:hAnsi="Times New Roman" w:eastAsiaTheme="minorEastAsia"/>
                <w:bCs/>
                <w:sz w:val="20"/>
              </w:rPr>
            </w:r>
          </w:p>
        </w:tc>
      </w:tr>
      <w:tr>
        <w:tblPrEx/>
        <w:trPr/>
        <w:tc>
          <w:tcPr>
            <w:tcW w:w="4109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Количество зафиксированных случаев нарушения требований Единого регламента оказания услуг в части Порядка обработки инцидентов в СУИ ПК</w:t>
            </w:r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  <w:tc>
          <w:tcPr>
            <w:tcW w:w="891" w:type="pct"/>
            <w:textDirection w:val="lrTb"/>
            <w:noWrap w:val="false"/>
          </w:tcPr>
          <w:p>
            <w:pPr>
              <w:pStyle w:val="1505"/>
              <w:jc w:val="center"/>
              <w:spacing w:line="276" w:lineRule="auto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[__]</w:t>
            </w:r>
            <w:bookmarkEnd w:id="213"/>
            <w:r>
              <w:rPr>
                <w:rFonts w:ascii="Times New Roman" w:hAnsi="Times New Roman"/>
                <w:b/>
                <w:bCs/>
                <w:sz w:val="20"/>
              </w:rPr>
            </w:r>
            <w:r>
              <w:rPr>
                <w:rFonts w:ascii="Times New Roman" w:hAnsi="Times New Roman"/>
                <w:b/>
                <w:bCs/>
                <w:sz w:val="20"/>
              </w:rPr>
            </w:r>
          </w:p>
        </w:tc>
      </w:tr>
    </w:tbl>
    <w:p>
      <w:pPr>
        <w:rPr>
          <w:sz w:val="20"/>
          <w:szCs w:val="20"/>
        </w:rPr>
        <w:sectPr>
          <w:headerReference w:type="default" r:id="rId16"/>
          <w:footerReference w:type="default" r:id="rId27"/>
          <w:footnotePr/>
          <w:endnotePr/>
          <w:type w:val="nextPage"/>
          <w:pgSz w:w="16838" w:h="11906" w:orient="landscape"/>
          <w:pgMar w:top="1701" w:right="1134" w:bottom="851" w:left="1134" w:header="284" w:footer="284" w:gutter="0"/>
          <w:cols w:num="1" w:sep="0" w:space="720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499"/>
        <w:ind w:firstLine="0"/>
        <w:jc w:val="right"/>
        <w:spacing w:after="240" w:line="360" w:lineRule="auto"/>
        <w:rPr>
          <w:color w:val="000000"/>
        </w:rPr>
      </w:pPr>
      <w:r>
        <w:rPr>
          <w:color w:val="000000"/>
        </w:rPr>
        <w:t xml:space="preserve">ШАБЛОН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709"/>
        <w:jc w:val="right"/>
        <w:rPr>
          <w:b/>
        </w:rPr>
      </w:pPr>
      <w:r>
        <w:rPr>
          <w:b/>
        </w:rPr>
        <w:t xml:space="preserve">Приложение 3</w:t>
      </w:r>
      <w:r>
        <w:rPr>
          <w:b/>
        </w:rPr>
      </w:r>
      <w:r>
        <w:rPr>
          <w:b/>
        </w:rPr>
      </w:r>
    </w:p>
    <w:p>
      <w:pPr>
        <w:pStyle w:val="1499"/>
        <w:ind w:firstLine="709"/>
        <w:jc w:val="right"/>
        <w:rPr>
          <w:b/>
        </w:rPr>
      </w:pPr>
      <w:r>
        <w:rPr>
          <w:b/>
        </w:rPr>
        <w:t xml:space="preserve">к Отчету об оказанных услугах</w:t>
      </w:r>
      <w:r>
        <w:rPr>
          <w:b/>
        </w:rPr>
      </w:r>
      <w:r>
        <w:rPr>
          <w:b/>
        </w:rPr>
      </w:r>
    </w:p>
    <w:p>
      <w:pPr>
        <w:pStyle w:val="1499"/>
        <w:ind w:firstLine="0"/>
        <w:jc w:val="right"/>
        <w:spacing w:after="240"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jc w:val="center"/>
        <w:spacing w:after="240" w:line="360" w:lineRule="auto"/>
        <w:rPr>
          <w:b/>
          <w:color w:val="000000"/>
        </w:rPr>
      </w:pPr>
      <w:r>
        <w:rPr>
          <w:b/>
          <w:color w:val="000000"/>
        </w:rPr>
        <w:t xml:space="preserve">Отчет о недоступности Системы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1499"/>
        <w:spacing w:line="360" w:lineRule="auto"/>
        <w:rPr>
          <w:color w:val="000000"/>
        </w:rPr>
      </w:pPr>
      <w:r>
        <w:rPr>
          <w:rFonts w:eastAsia="Calibri"/>
        </w:rPr>
        <w:t xml:space="preserve">Отчет о недоступности Системы сформирован за</w:t>
      </w:r>
      <w:r>
        <w:t xml:space="preserve"> ____ этап в период</w:t>
      </w:r>
      <w:r>
        <w:rPr>
          <w:rFonts w:eastAsia="Calibri"/>
        </w:rPr>
        <w:t xml:space="preserve"> с «__» _________ по «__» ____________ </w:t>
      </w:r>
      <w:r>
        <w:rPr>
          <w:color w:val="000000"/>
        </w:rPr>
        <w:t xml:space="preserve">на основе данных СУИ ПК и системы мониторинга и представлен в таблице ниже (Таблица Б.5).</w:t>
      </w:r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keepNext/>
        <w:spacing w:before="120" w:after="60"/>
        <w:rPr>
          <w:color w:val="000000"/>
        </w:rPr>
      </w:pPr>
      <w:r/>
      <w:bookmarkStart w:id="214" w:name="_1qoc8b1"/>
      <w:r/>
      <w:bookmarkEnd w:id="214"/>
      <w:r>
        <w:rPr>
          <w:color w:val="000000"/>
        </w:rPr>
        <w:t xml:space="preserve">Таблица Б.5 – Отчет о недоступности Системы</w:t>
      </w:r>
      <w:r>
        <w:rPr>
          <w:color w:val="000000"/>
        </w:rPr>
      </w:r>
      <w:r>
        <w:rPr>
          <w:color w:val="000000"/>
        </w:rPr>
      </w: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769"/>
        <w:gridCol w:w="1376"/>
        <w:gridCol w:w="1439"/>
        <w:gridCol w:w="1457"/>
        <w:gridCol w:w="1457"/>
        <w:gridCol w:w="1411"/>
        <w:gridCol w:w="958"/>
      </w:tblGrid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№ п/п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9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Номер записи в СУИ ПК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Дата и время зафиксированного в системе мониторинга случая недоступности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Время недоступности Системы согласно данным системы мониторинга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br/>
              <w:t xml:space="preserve">(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часы:минуты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)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Учитываемое время недоступности Системы (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часы:минуты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)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1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Внеплановая недоступность (да/нет)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center"/>
            <w:vMerge w:val="restart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  <w:t xml:space="preserve">Причина</w:t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WenQuanYi Micro Hei" w:cs="Lohit Devanagari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9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6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 xml:space="preserve">начало недоступности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Calibri" w:cs="Times New Roman"/>
                <w:b/>
                <w:sz w:val="18"/>
                <w:szCs w:val="18"/>
              </w:rPr>
              <w:t xml:space="preserve">окончание недоступности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" w:type="dxa"/>
            <w:textDirection w:val="lrTb"/>
            <w:noWrap w:val="false"/>
          </w:tcPr>
          <w:p>
            <w:pPr>
              <w:pStyle w:val="1531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color w:val="000000"/>
                <w:sz w:val="16"/>
                <w:szCs w:val="16"/>
                <w:lang w:eastAsia="en-US" w:bidi="en-US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9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6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9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1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" w:type="dxa"/>
            <w:textDirection w:val="lrTb"/>
            <w:noWrap w:val="false"/>
          </w:tcPr>
          <w:p>
            <w:pPr>
              <w:pStyle w:val="1531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color w:val="000000"/>
                <w:sz w:val="16"/>
                <w:szCs w:val="16"/>
                <w:lang w:eastAsia="en-US" w:bidi="en-US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9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6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9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1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textDirection w:val="lrTb"/>
            <w:noWrap w:val="false"/>
          </w:tcPr>
          <w:p>
            <w:pPr>
              <w:pStyle w:val="1531"/>
              <w:ind w:firstLine="567"/>
              <w:widowControl w:val="off"/>
              <w:tabs>
                <w:tab w:val="left" w:pos="6663" w:leader="none"/>
              </w:tabs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  <w:r>
              <w:rPr>
                <w:rFonts w:eastAsia="Calibri"/>
                <w:color w:val="000000"/>
                <w:sz w:val="16"/>
                <w:szCs w:val="16"/>
                <w:lang w:val="en-US" w:eastAsia="en-US" w:bidi="en-US"/>
              </w:rPr>
            </w:r>
          </w:p>
        </w:tc>
      </w:tr>
    </w:tbl>
    <w:p>
      <w:pPr>
        <w:pStyle w:val="1499"/>
        <w:ind w:firstLine="0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5000" w:type="pct"/>
        <w:tblInd w:w="0" w:type="dxa"/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59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</w:pPr>
            <w:r>
              <w:rPr>
                <w:rFonts w:eastAsia="F"/>
                <w:b/>
                <w:bCs/>
                <w:sz w:val="20"/>
              </w:rPr>
              <w:t xml:space="preserve">Общее время недоступности </w:t>
            </w:r>
            <w:r>
              <w:rPr>
                <w:b/>
                <w:sz w:val="20"/>
              </w:rPr>
              <w:t xml:space="preserve">Системы</w:t>
            </w:r>
            <w:r>
              <w:rPr>
                <w:rFonts w:eastAsia="F"/>
                <w:b/>
                <w:bCs/>
                <w:sz w:val="20"/>
              </w:rPr>
              <w:t xml:space="preserve"> (часы: минуты)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pStyle w:val="1531"/>
              <w:jc w:val="center"/>
              <w:spacing w:before="40" w:after="40" w:line="288" w:lineRule="auto"/>
              <w:widowControl w:val="off"/>
            </w:pPr>
            <w:r>
              <w:rPr>
                <w:bCs/>
                <w:sz w:val="20"/>
                <w:szCs w:val="20"/>
              </w:rPr>
              <w:t xml:space="preserve">[__]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59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</w:pPr>
            <w:r>
              <w:rPr>
                <w:rFonts w:eastAsia="F"/>
                <w:b/>
                <w:bCs/>
                <w:sz w:val="20"/>
              </w:rPr>
              <w:t xml:space="preserve">Общее (суммарное) время внеплановой недоступности </w:t>
            </w:r>
            <w:r>
              <w:rPr>
                <w:b/>
                <w:sz w:val="20"/>
              </w:rPr>
              <w:t xml:space="preserve">Системы </w:t>
            </w:r>
            <w:r>
              <w:rPr>
                <w:rFonts w:eastAsia="F"/>
                <w:b/>
                <w:bCs/>
                <w:sz w:val="20"/>
              </w:rPr>
              <w:t xml:space="preserve">(часы: минуты)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pStyle w:val="1531"/>
              <w:jc w:val="center"/>
              <w:spacing w:before="40" w:after="40" w:line="288" w:lineRule="auto"/>
              <w:widowControl w:val="off"/>
            </w:pPr>
            <w:r>
              <w:rPr>
                <w:bCs/>
                <w:sz w:val="20"/>
                <w:szCs w:val="20"/>
              </w:rPr>
              <w:t xml:space="preserve">[__]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59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</w:pPr>
            <w:r>
              <w:rPr>
                <w:b/>
                <w:bCs/>
                <w:sz w:val="20"/>
              </w:rPr>
              <w:t xml:space="preserve">Максимальное время единовременной внеплановой недоступности </w:t>
            </w:r>
            <w:r>
              <w:rPr>
                <w:b/>
                <w:sz w:val="20"/>
              </w:rPr>
              <w:t xml:space="preserve">Системы </w:t>
            </w:r>
            <w:r>
              <w:rPr>
                <w:b/>
                <w:bCs/>
                <w:sz w:val="20"/>
              </w:rPr>
              <w:t xml:space="preserve">(часы: минуты)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pStyle w:val="1505"/>
              <w:jc w:val="center"/>
              <w:spacing w:before="40" w:after="40" w:line="240" w:lineRule="auto"/>
            </w:pPr>
            <w:r>
              <w:rPr>
                <w:bCs/>
                <w:sz w:val="20"/>
              </w:rPr>
              <w:t xml:space="preserve">[__]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8359" w:type="dxa"/>
            <w:textDirection w:val="lrTb"/>
            <w:noWrap w:val="false"/>
          </w:tcPr>
          <w:p>
            <w:pPr>
              <w:pStyle w:val="1499"/>
              <w:ind w:left="609" w:firstLine="0"/>
              <w:jc w:val="left"/>
              <w:widowControl w:val="off"/>
              <w:tabs>
                <w:tab w:val="left" w:pos="6663" w:leader="none"/>
              </w:tabs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pStyle w:val="1499"/>
              <w:ind w:left="609" w:firstLine="0"/>
              <w:jc w:val="left"/>
              <w:widowControl w:val="off"/>
              <w:tabs>
                <w:tab w:val="left" w:pos="6663" w:leader="none"/>
              </w:tabs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sectPr>
          <w:headerReference w:type="default" r:id="rId17"/>
          <w:footerReference w:type="default" r:id="rId28"/>
          <w:footnotePr/>
          <w:endnotePr/>
          <w:type w:val="nextPage"/>
          <w:pgSz w:w="11906" w:h="16838" w:orient="portrait"/>
          <w:pgMar w:top="1134" w:right="850" w:bottom="1134" w:left="1701" w:header="283" w:footer="283" w:gutter="0"/>
          <w:cols w:num="1" w:sep="0" w:space="720" w:equalWidth="1"/>
          <w:docGrid w:linePitch="360"/>
        </w:sectPr>
      </w:pPr>
      <w:r/>
      <w:r/>
    </w:p>
    <w:p>
      <w:pPr>
        <w:pStyle w:val="1505"/>
        <w:jc w:val="right"/>
        <w:spacing w:after="240"/>
        <w:rPr>
          <w:color w:val="auto"/>
        </w:rPr>
      </w:pPr>
      <w:r/>
      <w:bookmarkStart w:id="215" w:name="_4anzqyu"/>
      <w:r/>
      <w:bookmarkStart w:id="216" w:name="_2pta16n"/>
      <w:r/>
      <w:bookmarkStart w:id="217" w:name="_14ykbeg"/>
      <w:r/>
      <w:bookmarkEnd w:id="215"/>
      <w:r/>
      <w:bookmarkEnd w:id="216"/>
      <w:r/>
      <w:bookmarkEnd w:id="217"/>
      <w:r>
        <w:rPr>
          <w:color w:val="auto"/>
        </w:rPr>
        <w:t xml:space="preserve">ШАБЛОН</w:t>
      </w:r>
      <w:r>
        <w:rPr>
          <w:color w:val="auto"/>
        </w:rPr>
      </w:r>
      <w:r>
        <w:rPr>
          <w:color w:val="auto"/>
        </w:rPr>
      </w:r>
    </w:p>
    <w:p>
      <w:pPr>
        <w:pStyle w:val="1531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t xml:space="preserve">Приложение 4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531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t xml:space="preserve">к Отчету об уровне оказания услуг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505"/>
        <w:jc w:val="right"/>
        <w:spacing w:after="240"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pStyle w:val="1505"/>
        <w:jc w:val="center"/>
        <w:spacing w:after="240"/>
        <w:rPr>
          <w:color w:val="auto"/>
        </w:rPr>
      </w:pPr>
      <w:r>
        <w:rPr>
          <w:b/>
          <w:bCs/>
          <w:color w:val="auto"/>
        </w:rPr>
        <w:t xml:space="preserve">Журнал резервного копирования баз данных Системы</w:t>
      </w:r>
      <w:r>
        <w:rPr>
          <w:color w:val="auto"/>
        </w:rPr>
      </w:r>
      <w:r>
        <w:rPr>
          <w:color w:val="auto"/>
        </w:rPr>
      </w:r>
    </w:p>
    <w:p>
      <w:pPr>
        <w:pStyle w:val="1505"/>
        <w:ind w:firstLine="850"/>
        <w:rPr>
          <w:color w:val="auto"/>
        </w:rPr>
      </w:pPr>
      <w:r>
        <w:rPr>
          <w:color w:val="auto"/>
        </w:rPr>
        <w:t xml:space="preserve">Журнал резервного копирования баз данных Системы</w:t>
      </w:r>
      <w:r>
        <w:rPr>
          <w:rFonts w:eastAsia="Calibri"/>
          <w:color w:val="auto"/>
        </w:rPr>
        <w:t xml:space="preserve"> сформирован </w:t>
      </w:r>
      <w:r>
        <w:rPr>
          <w:color w:val="auto"/>
        </w:rPr>
        <w:t xml:space="preserve">за ____ этап в период </w:t>
      </w:r>
      <w:r>
        <w:rPr>
          <w:rFonts w:eastAsia="Calibri"/>
          <w:color w:val="auto"/>
        </w:rPr>
        <w:t xml:space="preserve">с «__» _________ по «__» ____________ и представлен в таблице ниже (</w:t>
      </w:r>
      <w:r>
        <w:rPr>
          <w:rFonts w:eastAsia="Calibri"/>
          <w:color w:val="auto"/>
        </w:rPr>
        <w:fldChar w:fldCharType="begin"/>
      </w:r>
      <w:r>
        <w:rPr>
          <w:rFonts w:eastAsia="Calibri"/>
          <w:color w:val="auto"/>
        </w:rPr>
        <w:instrText xml:space="preserve"> REF _Ref34122981 </w:instrText>
      </w:r>
      <w:r>
        <w:rPr>
          <w:rFonts w:eastAsia="Calibri"/>
          <w:color w:val="auto"/>
        </w:rPr>
        <w:fldChar w:fldCharType="separate"/>
      </w:r>
      <w:r>
        <w:t xml:space="preserve">Таблица Б.</w:t>
      </w:r>
      <w:r>
        <w:rPr>
          <w:rFonts w:eastAsia="Calibri"/>
          <w:color w:val="auto"/>
        </w:rPr>
        <w:fldChar w:fldCharType="end"/>
      </w:r>
      <w:r>
        <w:rPr>
          <w:rFonts w:eastAsia="Calibri"/>
          <w:color w:val="auto"/>
        </w:rPr>
        <w:t xml:space="preserve">6).</w:t>
      </w:r>
      <w:r>
        <w:rPr>
          <w:color w:val="auto"/>
        </w:rPr>
      </w:r>
      <w:r>
        <w:rPr>
          <w:color w:val="auto"/>
        </w:rPr>
      </w:r>
    </w:p>
    <w:p>
      <w:pPr>
        <w:pStyle w:val="1546"/>
        <w:spacing w:before="240"/>
      </w:pPr>
      <w:r>
        <w:t xml:space="preserve">Таблица Б.6 –  Журнал резервного копирования баз данных Системы</w:t>
      </w:r>
      <w:r/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447"/>
        <w:gridCol w:w="2746"/>
        <w:gridCol w:w="2746"/>
        <w:gridCol w:w="2746"/>
        <w:gridCol w:w="1978"/>
        <w:gridCol w:w="2149"/>
      </w:tblGrid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74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№ п/п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4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Arial Unicode MS"/>
                <w:b/>
                <w:bCs/>
                <w:sz w:val="18"/>
                <w:szCs w:val="18"/>
                <w:lang w:eastAsia="en-US" w:bidi="en-US"/>
              </w:rPr>
              <w:t xml:space="preserve">Номер записи СУИ ПК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Дата и время резервного копирования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Краткая информация о резервной копии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ФИО осуществившего резервное копирование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Результат резервного копирования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0" w:type="dxa"/>
            <w:vAlign w:val="center"/>
            <w:textDirection w:val="lrTb"/>
            <w:noWrap w:val="false"/>
          </w:tcPr>
          <w:p>
            <w:pPr>
              <w:pStyle w:val="1531"/>
              <w:ind w:left="-606" w:firstLine="606"/>
              <w:jc w:val="center"/>
              <w:widowControl w:val="off"/>
              <w:tabs>
                <w:tab w:val="left" w:pos="6057" w:leader="none"/>
              </w:tabs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  <w:t xml:space="preserve">Комментарий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749" w:type="dxa"/>
            <w:textDirection w:val="lrTb"/>
            <w:noWrap w:val="false"/>
          </w:tcPr>
          <w:p>
            <w:pPr>
              <w:pStyle w:val="1531"/>
              <w:ind w:firstLine="38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Cs/>
                <w:sz w:val="18"/>
                <w:szCs w:val="18"/>
                <w:lang w:eastAsia="en-US" w:bidi="en-US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979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0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749" w:type="dxa"/>
            <w:textDirection w:val="lrTb"/>
            <w:noWrap w:val="false"/>
          </w:tcPr>
          <w:p>
            <w:pPr>
              <w:pStyle w:val="1531"/>
              <w:ind w:firstLine="38"/>
              <w:widowControl w:val="off"/>
              <w:tabs>
                <w:tab w:val="left" w:pos="6663" w:leader="none"/>
              </w:tabs>
            </w:pPr>
            <w:r>
              <w:rPr>
                <w:rFonts w:eastAsia="Calibri"/>
                <w:bCs/>
                <w:sz w:val="18"/>
                <w:szCs w:val="18"/>
                <w:lang w:eastAsia="en-US" w:bidi="en-US"/>
              </w:rPr>
              <w:t xml:space="preserve">2.</w:t>
            </w:r>
            <w:r/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748" w:type="dxa"/>
            <w:vAlign w:val="center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979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0" w:type="dxa"/>
            <w:textDirection w:val="lrTb"/>
            <w:noWrap w:val="false"/>
          </w:tcPr>
          <w:p>
            <w:pPr>
              <w:pStyle w:val="1531"/>
              <w:ind w:firstLine="567"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18"/>
                <w:szCs w:val="18"/>
                <w:lang w:eastAsia="en-US" w:bidi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  <w:r>
              <w:rPr>
                <w:rFonts w:eastAsia="Calibri"/>
                <w:b/>
                <w:sz w:val="18"/>
                <w:szCs w:val="18"/>
                <w:lang w:eastAsia="en-US" w:bidi="en-US"/>
              </w:rPr>
            </w:r>
          </w:p>
        </w:tc>
      </w:tr>
    </w:tbl>
    <w:p>
      <w:pPr>
        <w:pStyle w:val="1505"/>
        <w:spacing w:before="120"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34"/>
        <w:gridCol w:w="15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303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</w:rPr>
            </w:pPr>
            <w:r>
              <w:rPr>
                <w:rFonts w:eastAsia="F"/>
                <w:b/>
                <w:bCs/>
                <w:color w:val="auto"/>
                <w:sz w:val="20"/>
              </w:rPr>
              <w:t xml:space="preserve">Количество выполненных операций за этап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536" w:type="dxa"/>
            <w:textDirection w:val="lrTb"/>
            <w:noWrap w:val="false"/>
          </w:tcPr>
          <w:p>
            <w:pPr>
              <w:pStyle w:val="1531"/>
              <w:jc w:val="center"/>
              <w:spacing w:before="40" w:after="40" w:line="288" w:lineRule="auto"/>
              <w:widowControl w:val="off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[__]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3034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color w:val="auto"/>
              </w:rPr>
            </w:pPr>
            <w:r>
              <w:rPr>
                <w:rFonts w:eastAsia="F"/>
                <w:b/>
                <w:bCs/>
                <w:color w:val="auto"/>
                <w:sz w:val="20"/>
              </w:rPr>
              <w:t xml:space="preserve">Нарушений требований Единого регламента оказания услуг в части периодичности резервного копирования БД Системы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536" w:type="dxa"/>
            <w:textDirection w:val="lrTb"/>
            <w:noWrap w:val="false"/>
          </w:tcPr>
          <w:p>
            <w:pPr>
              <w:pStyle w:val="1531"/>
              <w:jc w:val="center"/>
              <w:spacing w:before="40" w:after="40" w:line="288" w:lineRule="auto"/>
              <w:widowControl w:val="off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[__]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</w:tbl>
    <w:p>
      <w:pPr>
        <w:pStyle w:val="1505"/>
        <w:rPr>
          <w:color w:val="0000ff"/>
        </w:rPr>
      </w:pPr>
      <w:r>
        <w:rPr>
          <w:color w:val="0000ff"/>
        </w:rPr>
      </w:r>
      <w:r>
        <w:rPr>
          <w:color w:val="0000ff"/>
        </w:rPr>
      </w:r>
      <w:r>
        <w:rPr>
          <w:color w:val="0000ff"/>
        </w:rPr>
      </w:r>
    </w:p>
    <w:p>
      <w:pPr>
        <w:pStyle w:val="1505"/>
        <w:jc w:val="right"/>
        <w:spacing w:after="240"/>
        <w:rPr>
          <w:szCs w:val="24"/>
        </w:rPr>
      </w:pPr>
      <w:r>
        <w:rPr>
          <w:szCs w:val="24"/>
        </w:rPr>
        <w:br w:type="page" w:clear="all"/>
      </w:r>
      <w:r>
        <w:rPr>
          <w:szCs w:val="24"/>
        </w:rPr>
      </w:r>
      <w:r>
        <w:rPr>
          <w:szCs w:val="24"/>
        </w:rPr>
      </w:r>
    </w:p>
    <w:p>
      <w:pPr>
        <w:pStyle w:val="1505"/>
        <w:jc w:val="right"/>
        <w:spacing w:after="240"/>
        <w:rPr>
          <w:szCs w:val="24"/>
        </w:rPr>
      </w:pPr>
      <w:r>
        <w:rPr>
          <w:szCs w:val="24"/>
        </w:rPr>
        <w:t xml:space="preserve">ШАБЛОН</w:t>
      </w:r>
      <w:r>
        <w:rPr>
          <w:szCs w:val="24"/>
        </w:rPr>
      </w:r>
      <w:r>
        <w:rPr>
          <w:szCs w:val="24"/>
        </w:rPr>
      </w:r>
    </w:p>
    <w:p>
      <w:pPr>
        <w:ind w:firstLine="709"/>
        <w:jc w:val="right"/>
        <w:rPr>
          <w:b/>
        </w:rPr>
      </w:pPr>
      <w:r>
        <w:rPr>
          <w:b/>
        </w:rPr>
        <w:t xml:space="preserve">Приложение 5</w:t>
      </w:r>
      <w:r>
        <w:rPr>
          <w:b/>
        </w:rPr>
      </w:r>
      <w:r>
        <w:rPr>
          <w:b/>
        </w:rPr>
      </w:r>
    </w:p>
    <w:p>
      <w:pPr>
        <w:ind w:firstLine="709"/>
        <w:jc w:val="right"/>
        <w:rPr>
          <w:b/>
        </w:rPr>
      </w:pPr>
      <w:r>
        <w:rPr>
          <w:b/>
        </w:rPr>
        <w:t xml:space="preserve">к Отчету об уровне оказания услуг</w:t>
      </w:r>
      <w:r>
        <w:rPr>
          <w:b/>
        </w:rPr>
      </w:r>
      <w:r>
        <w:rPr>
          <w:b/>
        </w:rPr>
      </w:r>
    </w:p>
    <w:p>
      <w:pPr>
        <w:pStyle w:val="1505"/>
        <w:jc w:val="right"/>
        <w:spacing w:after="240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505"/>
        <w:jc w:val="center"/>
        <w:spacing w:after="240"/>
        <w:rPr>
          <w:b/>
          <w:bCs/>
          <w:szCs w:val="24"/>
        </w:rPr>
      </w:pPr>
      <w:r>
        <w:rPr>
          <w:b/>
          <w:bCs/>
          <w:szCs w:val="24"/>
        </w:rPr>
        <w:t xml:space="preserve">Журнал проверок резервных копий</w:t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1505"/>
        <w:ind w:firstLine="850"/>
        <w:jc w:val="both"/>
        <w:rPr>
          <w:rFonts w:eastAsia="Calibri"/>
          <w:szCs w:val="24"/>
        </w:rPr>
      </w:pPr>
      <w:r>
        <w:rPr>
          <w:szCs w:val="24"/>
        </w:rPr>
        <w:t xml:space="preserve">Журнал проверок резервных копий </w:t>
      </w:r>
      <w:r>
        <w:rPr>
          <w:rFonts w:eastAsia="Calibri"/>
          <w:szCs w:val="24"/>
        </w:rPr>
        <w:t xml:space="preserve">сформирован </w:t>
      </w:r>
      <w:r>
        <w:rPr>
          <w:szCs w:val="24"/>
        </w:rPr>
        <w:t xml:space="preserve">за ____ этап в период </w:t>
      </w:r>
      <w:r>
        <w:rPr>
          <w:rFonts w:eastAsia="Calibri"/>
          <w:szCs w:val="24"/>
        </w:rPr>
        <w:t xml:space="preserve">с «__» _________ по «__» ____________ и представлен в таблице ниже (</w:t>
      </w:r>
      <w:r>
        <w:rPr>
          <w:rFonts w:eastAsia="Calibri"/>
          <w:szCs w:val="24"/>
        </w:rPr>
        <w:fldChar w:fldCharType="begin"/>
      </w:r>
      <w:r>
        <w:rPr>
          <w:rFonts w:eastAsia="Calibri"/>
          <w:szCs w:val="24"/>
        </w:rPr>
        <w:instrText xml:space="preserve"> REF _Ref34122981 \h  \* MERGEFORMAT </w:instrText>
      </w:r>
      <w:r>
        <w:rPr>
          <w:rFonts w:eastAsia="Calibri"/>
          <w:szCs w:val="24"/>
        </w:rPr>
        <w:fldChar w:fldCharType="separate"/>
      </w:r>
      <w:r>
        <w:rPr>
          <w:szCs w:val="24"/>
        </w:rPr>
        <w:t xml:space="preserve">Таблица Б.</w:t>
      </w:r>
      <w:r>
        <w:rPr>
          <w:rFonts w:eastAsia="Calibri"/>
          <w:szCs w:val="24"/>
        </w:rPr>
        <w:fldChar w:fldCharType="end"/>
      </w:r>
      <w:r>
        <w:rPr>
          <w:rFonts w:eastAsia="Calibri"/>
          <w:szCs w:val="24"/>
        </w:rPr>
        <w:t xml:space="preserve">7).</w:t>
      </w:r>
      <w:r>
        <w:rPr>
          <w:rFonts w:eastAsia="Calibri"/>
          <w:szCs w:val="24"/>
        </w:rPr>
      </w:r>
      <w:r>
        <w:rPr>
          <w:rFonts w:eastAsia="Calibri"/>
          <w:szCs w:val="24"/>
        </w:rPr>
      </w:r>
    </w:p>
    <w:p>
      <w:pPr>
        <w:pStyle w:val="1546"/>
        <w:spacing w:before="240" w:line="360" w:lineRule="auto"/>
      </w:pPr>
      <w:r/>
      <w:bookmarkStart w:id="218" w:name="_Ref34122981"/>
      <w:r>
        <w:t xml:space="preserve">Таблица Б.</w:t>
      </w:r>
      <w:bookmarkEnd w:id="218"/>
      <w:r>
        <w:t xml:space="preserve">7 – Сведения о результатах проверки резервной копии виртуальных машин Системы</w:t>
      </w:r>
      <w:r/>
    </w:p>
    <w:tbl>
      <w:tblPr>
        <w:tblW w:w="5000" w:type="pct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75"/>
        <w:gridCol w:w="1112"/>
        <w:gridCol w:w="2111"/>
        <w:gridCol w:w="2111"/>
        <w:gridCol w:w="2111"/>
        <w:gridCol w:w="1683"/>
        <w:gridCol w:w="1683"/>
        <w:gridCol w:w="1520"/>
        <w:gridCol w:w="1654"/>
      </w:tblGrid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7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№ п/п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eastAsia="en-US" w:bidi="en-US"/>
              </w:rPr>
              <w:t xml:space="preserve">Номер записи СУИ ПК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Дата и время регистрации заявки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Статус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2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ФИО осуществившего проверку резервной копии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78" w:type="pct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Наименование виртуальной машины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7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Дата и время проверки резервной копии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Результат проверки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8" w:type="pct"/>
            <w:vAlign w:val="center"/>
            <w:textDirection w:val="lrTb"/>
            <w:noWrap w:val="false"/>
          </w:tcPr>
          <w:p>
            <w:pPr>
              <w:contextualSpacing/>
              <w:ind w:left="-606" w:firstLine="606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Комментарий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7" w:type="pct"/>
            <w:textDirection w:val="lrTb"/>
            <w:noWrap w:val="false"/>
          </w:tcPr>
          <w:p>
            <w:pPr>
              <w:contextualSpacing/>
              <w:ind w:firstLine="38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  <w:t xml:space="preserve">1.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25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2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7" w:type="pct"/>
            <w:textDirection w:val="lrTb"/>
            <w:noWrap w:val="false"/>
          </w:tcPr>
          <w:p>
            <w:pPr>
              <w:contextualSpacing/>
              <w:ind w:firstLine="38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  <w:t xml:space="preserve">2.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2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25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2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</w:tbl>
    <w:p>
      <w:pPr>
        <w:pStyle w:val="1505"/>
        <w:spacing w:before="120"/>
        <w:rPr>
          <w:sz w:val="20"/>
        </w:rPr>
      </w:pPr>
      <w:r/>
      <w:bookmarkStart w:id="219" w:name="_Hlk114154041"/>
      <w:r>
        <w:rPr>
          <w:sz w:val="20"/>
        </w:rPr>
      </w:r>
      <w:r>
        <w:rPr>
          <w:sz w:val="20"/>
        </w:rPr>
      </w:r>
    </w:p>
    <w:tbl>
      <w:tblPr>
        <w:tblStyle w:val="1512"/>
        <w:tblW w:w="5000" w:type="pct"/>
        <w:tblLook w:val="04A0" w:firstRow="1" w:lastRow="0" w:firstColumn="1" w:lastColumn="0" w:noHBand="0" w:noVBand="1"/>
      </w:tblPr>
      <w:tblGrid>
        <w:gridCol w:w="12894"/>
        <w:gridCol w:w="1666"/>
      </w:tblGrid>
      <w:tr>
        <w:tblPrEx/>
        <w:trPr/>
        <w:tc>
          <w:tcPr>
            <w:tcW w:w="4428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20"/>
              </w:rPr>
              <w:t xml:space="preserve">Количество выполненных операций за этап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</w:tr>
      <w:tr>
        <w:tblPrEx/>
        <w:trPr/>
        <w:tc>
          <w:tcPr>
            <w:tcW w:w="4428" w:type="pct"/>
            <w:textDirection w:val="lrTb"/>
            <w:noWrap w:val="false"/>
          </w:tcPr>
          <w:p>
            <w:pPr>
              <w:pStyle w:val="1505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Нарушений требований Единого регламента оказания услуг в части периодичности проверок резервных копий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</w:rPr>
              <w:t xml:space="preserve">виртуальных машин </w:t>
            </w: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Системы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r>
          </w:p>
        </w:tc>
      </w:tr>
    </w:tbl>
    <w:p>
      <w:pPr>
        <w:pStyle w:val="1499"/>
        <w:spacing w:line="360" w:lineRule="auto"/>
        <w:rPr>
          <w:color w:val="000000"/>
        </w:rPr>
      </w:pPr>
      <w:r/>
      <w:bookmarkStart w:id="220" w:name="_3oy7u29"/>
      <w:r/>
      <w:bookmarkEnd w:id="219"/>
      <w:r/>
      <w:bookmarkEnd w:id="220"/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1505"/>
        <w:jc w:val="right"/>
        <w:spacing w:before="120"/>
        <w:rPr>
          <w:szCs w:val="24"/>
        </w:rPr>
      </w:pPr>
      <w:r/>
      <w:bookmarkStart w:id="221" w:name="_243i4a2"/>
      <w:r/>
      <w:bookmarkStart w:id="222" w:name="_j8sehv"/>
      <w:r/>
      <w:bookmarkStart w:id="223" w:name="_338fx5o"/>
      <w:r/>
      <w:bookmarkStart w:id="224" w:name="_1idq7dh"/>
      <w:r/>
      <w:bookmarkStart w:id="225" w:name="_42ddq1a"/>
      <w:r/>
      <w:bookmarkStart w:id="226" w:name="_2hio093"/>
      <w:r/>
      <w:bookmarkStart w:id="227" w:name="wnyagw"/>
      <w:r/>
      <w:bookmarkEnd w:id="221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>
        <w:rPr>
          <w:szCs w:val="24"/>
        </w:rPr>
        <w:t xml:space="preserve">ШАБЛОН</w:t>
      </w:r>
      <w:r>
        <w:rPr>
          <w:szCs w:val="24"/>
        </w:rPr>
      </w:r>
      <w:r>
        <w:rPr>
          <w:szCs w:val="24"/>
        </w:rPr>
      </w:r>
    </w:p>
    <w:p>
      <w:pPr>
        <w:ind w:firstLine="709"/>
        <w:jc w:val="right"/>
        <w:spacing w:line="360" w:lineRule="auto"/>
        <w:rPr>
          <w:b/>
        </w:rPr>
      </w:pPr>
      <w:r>
        <w:rPr>
          <w:b/>
        </w:rPr>
        <w:t xml:space="preserve">Приложение 6</w:t>
      </w:r>
      <w:r>
        <w:rPr>
          <w:b/>
        </w:rPr>
      </w:r>
      <w:r>
        <w:rPr>
          <w:b/>
        </w:rPr>
      </w:r>
    </w:p>
    <w:p>
      <w:pPr>
        <w:ind w:firstLine="709"/>
        <w:jc w:val="right"/>
        <w:spacing w:line="360" w:lineRule="auto"/>
        <w:rPr>
          <w:b/>
        </w:rPr>
      </w:pPr>
      <w:r>
        <w:rPr>
          <w:b/>
        </w:rPr>
        <w:t xml:space="preserve">к Отчету об уровне оказания услуг</w:t>
      </w:r>
      <w:r>
        <w:rPr>
          <w:b/>
        </w:rPr>
      </w:r>
      <w:r>
        <w:rPr>
          <w:b/>
        </w:rPr>
      </w:r>
    </w:p>
    <w:p>
      <w:pPr>
        <w:pStyle w:val="1505"/>
        <w:jc w:val="right"/>
        <w:spacing w:before="120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505"/>
        <w:jc w:val="center"/>
        <w:spacing w:before="120"/>
        <w:rPr>
          <w:b/>
          <w:bCs/>
          <w:szCs w:val="24"/>
        </w:rPr>
      </w:pPr>
      <w:r>
        <w:rPr>
          <w:b/>
          <w:bCs/>
          <w:szCs w:val="24"/>
        </w:rPr>
        <w:t xml:space="preserve">Журнал контрольного восстановления </w:t>
      </w:r>
      <w:r>
        <w:rPr>
          <w:b/>
          <w:bCs/>
        </w:rPr>
        <w:t xml:space="preserve">виртуальных машин</w:t>
      </w:r>
      <w:r>
        <w:rPr>
          <w:b/>
          <w:bCs/>
          <w:szCs w:val="24"/>
        </w:rPr>
        <w:t xml:space="preserve"> Системы из резервной копии</w:t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1505"/>
        <w:ind w:firstLine="850"/>
        <w:jc w:val="both"/>
        <w:rPr>
          <w:rFonts w:eastAsia="Calibri"/>
          <w:szCs w:val="24"/>
        </w:rPr>
      </w:pPr>
      <w:r>
        <w:rPr>
          <w:szCs w:val="24"/>
        </w:rPr>
        <w:t xml:space="preserve">Журнал контрольного восстановления виртуальных машин Системы из резервных копий </w:t>
      </w:r>
      <w:r>
        <w:rPr>
          <w:rFonts w:eastAsia="Calibri"/>
          <w:szCs w:val="24"/>
        </w:rPr>
        <w:t xml:space="preserve">сформирован за ____этап</w:t>
      </w:r>
      <w:r>
        <w:rPr>
          <w:szCs w:val="24"/>
        </w:rPr>
        <w:t xml:space="preserve"> в период</w:t>
      </w:r>
      <w:r>
        <w:rPr>
          <w:rFonts w:eastAsia="Calibri"/>
          <w:szCs w:val="24"/>
        </w:rPr>
        <w:t xml:space="preserve"> с «__» _________ по «__» ____________ и представлен в таблице ниже (</w:t>
      </w:r>
      <w:r>
        <w:rPr>
          <w:rFonts w:eastAsia="Calibri"/>
          <w:szCs w:val="24"/>
        </w:rPr>
        <w:fldChar w:fldCharType="begin"/>
      </w:r>
      <w:r>
        <w:rPr>
          <w:rFonts w:eastAsia="Calibri"/>
          <w:szCs w:val="24"/>
        </w:rPr>
        <w:instrText xml:space="preserve"> REF _Ref34123407 \h  \* MERGEFORMAT </w:instrText>
      </w:r>
      <w:r>
        <w:rPr>
          <w:rFonts w:eastAsia="Calibri"/>
          <w:szCs w:val="24"/>
        </w:rPr>
        <w:fldChar w:fldCharType="separate"/>
      </w:r>
      <w:r>
        <w:rPr>
          <w:szCs w:val="24"/>
        </w:rPr>
        <w:t xml:space="preserve">Таблица Б.</w:t>
      </w:r>
      <w:r>
        <w:t xml:space="preserve">8</w:t>
      </w:r>
      <w:r>
        <w:rPr>
          <w:rFonts w:eastAsia="Calibri"/>
          <w:szCs w:val="24"/>
        </w:rPr>
        <w:fldChar w:fldCharType="end"/>
      </w:r>
      <w:r>
        <w:rPr>
          <w:rFonts w:eastAsia="Calibri"/>
          <w:szCs w:val="24"/>
        </w:rPr>
        <w:t xml:space="preserve">).</w:t>
      </w:r>
      <w:r>
        <w:rPr>
          <w:rFonts w:eastAsia="Calibri"/>
          <w:szCs w:val="24"/>
        </w:rPr>
      </w:r>
      <w:r>
        <w:rPr>
          <w:rFonts w:eastAsia="Calibri"/>
          <w:szCs w:val="24"/>
        </w:rPr>
      </w:r>
    </w:p>
    <w:p>
      <w:pPr>
        <w:pStyle w:val="1546"/>
        <w:spacing w:line="360" w:lineRule="auto"/>
      </w:pPr>
      <w:r/>
      <w:bookmarkStart w:id="228" w:name="_Ref34123407"/>
      <w:r>
        <w:t xml:space="preserve">Таблица Б.8</w:t>
      </w:r>
      <w:bookmarkEnd w:id="228"/>
      <w:r>
        <w:t xml:space="preserve"> – Сведения о результатах контрольного восстановления виртуальных машин Системы из резервной копии</w:t>
      </w:r>
      <w:r/>
    </w:p>
    <w:tbl>
      <w:tblPr>
        <w:tblW w:w="5000" w:type="pct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53"/>
        <w:gridCol w:w="920"/>
        <w:gridCol w:w="1392"/>
        <w:gridCol w:w="1045"/>
        <w:gridCol w:w="1855"/>
        <w:gridCol w:w="1931"/>
        <w:gridCol w:w="1835"/>
        <w:gridCol w:w="1526"/>
        <w:gridCol w:w="1855"/>
        <w:gridCol w:w="1648"/>
      </w:tblGrid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val="en-US" w:eastAsia="en-US" w:bidi="en-US"/>
              </w:rPr>
            </w:pPr>
            <w:r/>
            <w:bookmarkStart w:id="229" w:name="_Hlk114155585"/>
            <w:r>
              <w:rPr>
                <w:rFonts w:eastAsia="Calibri"/>
                <w:b/>
                <w:color w:val="000000"/>
                <w:sz w:val="20"/>
                <w:szCs w:val="20"/>
                <w:lang w:val="en-US" w:eastAsia="en-US" w:bidi="en-US"/>
              </w:rPr>
              <w:t xml:space="preserve">№ п/п</w:t>
            </w:r>
            <w:r>
              <w:rPr>
                <w:rFonts w:eastAsia="Calibri"/>
                <w:b/>
                <w:color w:val="000000"/>
                <w:sz w:val="20"/>
                <w:szCs w:val="20"/>
                <w:lang w:val="en-US"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val="en-US"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eastAsia="en-US" w:bidi="en-US"/>
              </w:rPr>
              <w:t xml:space="preserve">Номер записи СУИ ПК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78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Дата и время регистрации заявки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59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Статус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Дата и время контрольного восстановления виртуальных машин Системы из резервных копий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ФИО осуществившего контрольное восстановление виртуальных машин Системы из резервной копии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Плановое восстановление виртуальных машин Системы из резервных копий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(да/нет)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4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Краткая информация о резервной копии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Результат контрольного восстановления из резервной копии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  <w:t xml:space="preserve">Комментарий</w:t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  <w:t xml:space="preserve">1.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59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0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  <w:t xml:space="preserve">2.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7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59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0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52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37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  <w:lang w:eastAsia="en-US" w:bidi="en-US"/>
              </w:rPr>
            </w:r>
          </w:p>
        </w:tc>
      </w:tr>
    </w:tbl>
    <w:p>
      <w:pPr>
        <w:pStyle w:val="1505"/>
        <w:spacing w:before="12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1512"/>
        <w:tblW w:w="5000" w:type="pct"/>
        <w:tblLook w:val="04A0" w:firstRow="1" w:lastRow="0" w:firstColumn="1" w:lastColumn="0" w:noHBand="0" w:noVBand="1"/>
      </w:tblPr>
      <w:tblGrid>
        <w:gridCol w:w="12894"/>
        <w:gridCol w:w="1666"/>
      </w:tblGrid>
      <w:tr>
        <w:tblPrEx/>
        <w:trPr/>
        <w:tc>
          <w:tcPr>
            <w:tcW w:w="4428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20"/>
              </w:rPr>
              <w:t xml:space="preserve">Количество выполненных операций за этап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428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Нарушений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bookmarkEnd w:id="229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1505"/>
        <w:spacing w:before="120"/>
      </w:pPr>
      <w:r>
        <w:br w:type="page" w:clear="all"/>
      </w:r>
      <w:r/>
    </w:p>
    <w:p>
      <w:pPr>
        <w:pStyle w:val="1505"/>
        <w:jc w:val="right"/>
        <w:spacing w:after="240"/>
      </w:pPr>
      <w:r/>
      <w:bookmarkStart w:id="230" w:name="_Hlk106359376"/>
      <w:r>
        <w:t xml:space="preserve">ШАБЛОН</w:t>
      </w:r>
      <w:r/>
    </w:p>
    <w:p>
      <w:pPr>
        <w:ind w:firstLine="709"/>
        <w:jc w:val="right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Приложение 7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right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к Отчету об уровне оказания услуг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505"/>
        <w:jc w:val="right"/>
        <w:spacing w:after="240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pStyle w:val="1505"/>
        <w:jc w:val="center"/>
        <w:spacing w:after="240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Журнал нагрузочного тестирования Системы</w:t>
      </w: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</w:p>
    <w:p>
      <w:pPr>
        <w:pStyle w:val="1505"/>
        <w:ind w:firstLine="850"/>
        <w:jc w:val="both"/>
        <w:rPr>
          <w:rFonts w:eastAsia="Calibri"/>
        </w:rPr>
      </w:pPr>
      <w:r>
        <w:t xml:space="preserve">Журнал нагрузочного тестирования Системы </w:t>
      </w:r>
      <w:r>
        <w:rPr>
          <w:rFonts w:eastAsia="Calibri"/>
        </w:rPr>
        <w:t xml:space="preserve">сформирован за ____этап</w:t>
      </w:r>
      <w:r>
        <w:t xml:space="preserve"> в период </w:t>
      </w:r>
      <w:r>
        <w:rPr>
          <w:rFonts w:eastAsia="Calibri"/>
        </w:rPr>
        <w:t xml:space="preserve">с «__» _________ по «__» ____________ и представлен в таблице ниже (</w:t>
      </w:r>
      <w:r>
        <w:rPr>
          <w:rFonts w:eastAsia="Calibri"/>
        </w:rPr>
        <w:fldChar w:fldCharType="begin"/>
      </w:r>
      <w:r>
        <w:rPr>
          <w:rFonts w:eastAsia="Calibri"/>
        </w:rPr>
        <w:instrText xml:space="preserve"> REF _Ref34123728 \h  \* MERGEFORMAT </w:instrText>
      </w:r>
      <w:r>
        <w:rPr>
          <w:rFonts w:eastAsia="Calibri"/>
        </w:rPr>
        <w:fldChar w:fldCharType="separate"/>
      </w:r>
      <w:r>
        <w:t xml:space="preserve">Таблица Б.</w:t>
      </w:r>
      <w:r>
        <w:rPr>
          <w:rFonts w:eastAsia="Calibri"/>
        </w:rPr>
        <w:fldChar w:fldCharType="end"/>
      </w:r>
      <w:r>
        <w:rPr>
          <w:rFonts w:eastAsia="Calibri"/>
        </w:rPr>
        <w:t xml:space="preserve">9).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546"/>
      </w:pPr>
      <w:r/>
      <w:bookmarkStart w:id="231" w:name="_Ref34123728"/>
      <w:r/>
      <w:bookmarkStart w:id="232" w:name="_Ref34125665"/>
      <w:r>
        <w:t xml:space="preserve">Таблица Б.</w:t>
      </w:r>
      <w:bookmarkEnd w:id="231"/>
      <w:r>
        <w:t xml:space="preserve">9 – Сведения о нагрузочном тестировании</w:t>
      </w:r>
      <w:bookmarkEnd w:id="232"/>
      <w:r>
        <w:t xml:space="preserve"> Системы</w:t>
      </w:r>
      <w:r/>
    </w:p>
    <w:tbl>
      <w:tblPr>
        <w:tblW w:w="5000" w:type="pct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53"/>
        <w:gridCol w:w="920"/>
        <w:gridCol w:w="1858"/>
        <w:gridCol w:w="1878"/>
        <w:gridCol w:w="1878"/>
        <w:gridCol w:w="1931"/>
        <w:gridCol w:w="1829"/>
        <w:gridCol w:w="2065"/>
        <w:gridCol w:w="1648"/>
      </w:tblGrid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pPr>
            <w:r/>
            <w:bookmarkStart w:id="233" w:name="_Hlk114156391"/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  <w:t xml:space="preserve">№ п/п</w:t>
            </w:r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bCs/>
                <w:sz w:val="20"/>
                <w:szCs w:val="20"/>
                <w:lang w:eastAsia="en-US" w:bidi="en-US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eastAsia="en-US" w:bidi="en-US"/>
              </w:rPr>
              <w:t xml:space="preserve">Номер записи СУИ ПК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8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Дата и время регистрации заявки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45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Статус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4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Дата и время нагрузочного тестирования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ФИО осуществившего нагрузочное тестирование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2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Плановое нагрузочное тестирование (да/нет)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9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Результат нагрузочного тестирования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Комментарий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ind w:firstLine="38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  <w:t xml:space="preserve">1.</w:t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4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45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2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9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textDirection w:val="lrTb"/>
            <w:noWrap w:val="false"/>
          </w:tcPr>
          <w:p>
            <w:pPr>
              <w:contextualSpacing/>
              <w:ind w:right="1887"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190" w:type="pct"/>
            <w:vAlign w:val="center"/>
            <w:textDirection w:val="lrTb"/>
            <w:noWrap w:val="false"/>
          </w:tcPr>
          <w:p>
            <w:pPr>
              <w:contextualSpacing/>
              <w:ind w:firstLine="38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  <w:t xml:space="preserve">2.</w:t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4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45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6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62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9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66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</w:tbl>
    <w:p>
      <w:pPr>
        <w:pStyle w:val="1505"/>
        <w:spacing w:before="12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1512"/>
        <w:tblW w:w="5000" w:type="pct"/>
        <w:tblLook w:val="04A0" w:firstRow="1" w:lastRow="0" w:firstColumn="1" w:lastColumn="0" w:noHBand="0" w:noVBand="1"/>
      </w:tblPr>
      <w:tblGrid>
        <w:gridCol w:w="12894"/>
        <w:gridCol w:w="1666"/>
      </w:tblGrid>
      <w:tr>
        <w:tblPrEx/>
        <w:trPr/>
        <w:tc>
          <w:tcPr>
            <w:tcW w:w="4428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20"/>
              </w:rPr>
              <w:t xml:space="preserve">Количество выполненных операций за этап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428" w:type="pct"/>
            <w:vAlign w:val="center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Нарушений требований Единого регламента оказания услуг в части периодичности выполнения нагрузочного тестирования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  <w:tc>
          <w:tcPr>
            <w:tcW w:w="572" w:type="pct"/>
            <w:textDirection w:val="lrTb"/>
            <w:noWrap w:val="false"/>
          </w:tcPr>
          <w:p>
            <w:pPr>
              <w:pStyle w:val="1505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</w:rPr>
              <w:t xml:space="preserve">[__]</w:t>
            </w:r>
            <w:bookmarkEnd w:id="230"/>
            <w:r>
              <w:rPr>
                <w:rFonts w:ascii="Times New Roman" w:hAnsi="Times New Roman" w:eastAsia="Times New Roman" w:cs="Times New Roman"/>
              </w:rPr>
            </w:r>
            <w:bookmarkEnd w:id="233"/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</w:tr>
    </w:tbl>
    <w:p>
      <w:pPr>
        <w:pStyle w:val="1505"/>
      </w:pPr>
      <w:r/>
      <w:r/>
    </w:p>
    <w:p>
      <w:pPr>
        <w:rPr>
          <w:sz w:val="26"/>
          <w:lang w:bidi="en-US"/>
        </w:rPr>
      </w:pPr>
      <w:r>
        <w:rPr>
          <w:sz w:val="26"/>
          <w:lang w:bidi="en-US"/>
        </w:rPr>
      </w:r>
      <w:r>
        <w:rPr>
          <w:sz w:val="26"/>
          <w:lang w:bidi="en-US"/>
        </w:rPr>
      </w:r>
      <w:r>
        <w:rPr>
          <w:sz w:val="26"/>
          <w:lang w:bidi="en-US"/>
        </w:rPr>
      </w:r>
    </w:p>
    <w:p>
      <w:pPr>
        <w:tabs>
          <w:tab w:val="left" w:pos="4215" w:leader="none"/>
        </w:tabs>
        <w:rPr>
          <w:sz w:val="26"/>
          <w:lang w:bidi="en-US"/>
        </w:rPr>
      </w:pPr>
      <w:r>
        <w:rPr>
          <w:sz w:val="26"/>
          <w:lang w:bidi="en-US"/>
        </w:rPr>
        <w:tab/>
      </w:r>
      <w:r>
        <w:rPr>
          <w:sz w:val="26"/>
          <w:lang w:bidi="en-US"/>
        </w:rPr>
        <w:br w:type="page" w:clear="all"/>
      </w:r>
      <w:r>
        <w:rPr>
          <w:sz w:val="26"/>
          <w:lang w:bidi="en-US"/>
        </w:rPr>
      </w:r>
      <w:r>
        <w:rPr>
          <w:sz w:val="26"/>
          <w:lang w:bidi="en-US"/>
        </w:rPr>
      </w:r>
    </w:p>
    <w:p>
      <w:pPr>
        <w:pStyle w:val="1505"/>
        <w:jc w:val="right"/>
        <w:spacing w:after="240"/>
      </w:pPr>
      <w:r>
        <w:t xml:space="preserve">ШАБЛОН</w:t>
      </w:r>
      <w:r/>
    </w:p>
    <w:p>
      <w:pPr>
        <w:ind w:firstLine="709"/>
        <w:jc w:val="right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Приложение 8</w:t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9"/>
        <w:jc w:val="right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к Отчету об уровне оказания услуг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505"/>
        <w:jc w:val="right"/>
        <w:spacing w:after="240"/>
      </w:pPr>
      <w:r/>
      <w:r/>
    </w:p>
    <w:p>
      <w:pPr>
        <w:pStyle w:val="1505"/>
        <w:jc w:val="center"/>
        <w:spacing w:after="240"/>
        <w:rPr>
          <w:b/>
          <w:bCs/>
        </w:rPr>
      </w:pPr>
      <w:r>
        <w:rPr>
          <w:b/>
          <w:bCs/>
        </w:rPr>
        <w:t xml:space="preserve">Журнал обновления Системы</w:t>
      </w:r>
      <w:r>
        <w:rPr>
          <w:b/>
          <w:bCs/>
        </w:rPr>
      </w:r>
      <w:r>
        <w:rPr>
          <w:b/>
          <w:bCs/>
        </w:rPr>
      </w:r>
    </w:p>
    <w:p>
      <w:pPr>
        <w:pStyle w:val="1505"/>
        <w:ind w:firstLine="850"/>
        <w:jc w:val="both"/>
        <w:rPr>
          <w:rFonts w:eastAsia="Calibri"/>
        </w:rPr>
      </w:pPr>
      <w:r>
        <w:t xml:space="preserve">Журнал обновлении Системы </w:t>
      </w:r>
      <w:r>
        <w:rPr>
          <w:rFonts w:eastAsia="Calibri"/>
        </w:rPr>
        <w:t xml:space="preserve">сформирован за ____этап</w:t>
      </w:r>
      <w:r>
        <w:t xml:space="preserve"> в период </w:t>
      </w:r>
      <w:r>
        <w:rPr>
          <w:rFonts w:eastAsia="Calibri"/>
        </w:rPr>
        <w:t xml:space="preserve">с «__» _________ по «__» ____________ и представлен в таблице ниже (</w:t>
      </w:r>
      <w:r>
        <w:rPr>
          <w:rStyle w:val="1519"/>
        </w:rPr>
        <w:t xml:space="preserve">Таблица Б.10</w:t>
      </w:r>
      <w:r>
        <w:rPr>
          <w:rFonts w:eastAsia="Calibri"/>
        </w:rPr>
        <w:t xml:space="preserve">).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1546"/>
      </w:pPr>
      <w:r>
        <w:rPr>
          <w:rStyle w:val="1519"/>
          <w:rFonts w:eastAsia="Arial Unicode MS"/>
        </w:rPr>
        <w:t xml:space="preserve">Таблица Б.10</w:t>
      </w:r>
      <w:r>
        <w:t xml:space="preserve"> – Сведения об обновлениях Системы</w:t>
      </w:r>
      <w:r/>
    </w:p>
    <w:tbl>
      <w:tblPr>
        <w:tblW w:w="5000" w:type="pct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653"/>
        <w:gridCol w:w="1208"/>
        <w:gridCol w:w="1363"/>
        <w:gridCol w:w="1363"/>
        <w:gridCol w:w="1363"/>
        <w:gridCol w:w="2053"/>
        <w:gridCol w:w="1290"/>
        <w:gridCol w:w="1846"/>
        <w:gridCol w:w="1846"/>
        <w:gridCol w:w="1575"/>
      </w:tblGrid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224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pPr>
            <w:r/>
            <w:bookmarkStart w:id="234" w:name="_Hlk114156474"/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  <w:t xml:space="preserve">№ п/п</w:t>
            </w:r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val="en-US"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eastAsia="en-US" w:bidi="en-US"/>
              </w:rPr>
              <w:t xml:space="preserve">Номер записи СУИ ПК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Дата и время регистрации заявки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Статус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6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Дата и время обновления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Краткое описание обновления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43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Результат обновления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Нарушение плана обновления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(да/нет)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Нарушение сроков обновления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(да/нет)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41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  <w:t xml:space="preserve">Комментарий</w:t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224" w:type="pct"/>
            <w:vAlign w:val="center"/>
            <w:textDirection w:val="lrTb"/>
            <w:noWrap w:val="false"/>
          </w:tcPr>
          <w:p>
            <w:pPr>
              <w:contextualSpacing/>
              <w:ind w:firstLine="38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  <w:t xml:space="preserve">1.</w:t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68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4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41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224" w:type="pct"/>
            <w:vAlign w:val="center"/>
            <w:textDirection w:val="lrTb"/>
            <w:noWrap w:val="false"/>
          </w:tcPr>
          <w:p>
            <w:pPr>
              <w:contextualSpacing/>
              <w:ind w:firstLine="38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Cs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  <w:t xml:space="preserve">2.</w:t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Cs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68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68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705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</w:tcMar>
            <w:tcW w:w="443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34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41" w:type="pct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line="360" w:lineRule="auto"/>
              <w:widowControl w:val="off"/>
              <w:tabs>
                <w:tab w:val="left" w:pos="6663" w:leader="none"/>
              </w:tabs>
              <w:rPr>
                <w:rFonts w:eastAsia="Calibri"/>
                <w:b/>
                <w:sz w:val="20"/>
                <w:szCs w:val="20"/>
                <w:lang w:eastAsia="en-US" w:bidi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  <w:r>
              <w:rPr>
                <w:rFonts w:eastAsia="Calibri"/>
                <w:b/>
                <w:sz w:val="20"/>
                <w:szCs w:val="20"/>
                <w:lang w:eastAsia="en-US" w:bidi="en-US"/>
              </w:rPr>
            </w:r>
          </w:p>
        </w:tc>
      </w:tr>
    </w:tbl>
    <w:p>
      <w:pPr>
        <w:pStyle w:val="1505"/>
        <w:spacing w:before="12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Style w:val="1512"/>
        <w:tblW w:w="5000" w:type="pct"/>
        <w:tblLook w:val="04A0" w:firstRow="1" w:lastRow="0" w:firstColumn="1" w:lastColumn="0" w:noHBand="0" w:noVBand="1"/>
      </w:tblPr>
      <w:tblGrid>
        <w:gridCol w:w="13037"/>
        <w:gridCol w:w="1523"/>
      </w:tblGrid>
      <w:tr>
        <w:tblPrEx/>
        <w:trPr/>
        <w:tc>
          <w:tcPr>
            <w:tcW w:w="4477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sz w:val="20"/>
              </w:rPr>
              <w:t xml:space="preserve">Количество выполненных операций за этап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</w:tc>
        <w:tc>
          <w:tcPr>
            <w:tcW w:w="523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477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Нарушений сроков обновления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  <w:tc>
          <w:tcPr>
            <w:tcW w:w="523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4477" w:type="pct"/>
            <w:textDirection w:val="lrTb"/>
            <w:noWrap w:val="false"/>
          </w:tcPr>
          <w:p>
            <w:pPr>
              <w:pStyle w:val="1505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eastAsia="Times New Roman" w:cs="Times New Roman" w:eastAsiaTheme="minorEastAsia"/>
                <w:b/>
                <w:bCs/>
                <w:sz w:val="20"/>
              </w:rPr>
              <w:t xml:space="preserve">Нарушений плана обновления Системы, в части нарушения сроков плановой недоступности Системы 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</w:r>
          </w:p>
        </w:tc>
        <w:tc>
          <w:tcPr>
            <w:tcW w:w="523" w:type="pct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[__]</w:t>
            </w:r>
            <w:bookmarkEnd w:id="234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1499"/>
        <w:ind w:firstLine="0"/>
        <w:jc w:val="left"/>
        <w:spacing w:after="160" w:line="259" w:lineRule="auto"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>
      <w:pPr>
        <w:pStyle w:val="1499"/>
        <w:ind w:firstLine="0"/>
        <w:jc w:val="left"/>
        <w:spacing w:after="160" w:line="259" w:lineRule="auto"/>
        <w:rPr>
          <w:color w:val="000000"/>
          <w:lang w:val="en-US"/>
        </w:rPr>
      </w:pPr>
      <w:r>
        <w:rPr>
          <w:color w:val="000000"/>
          <w:lang w:val="en-US"/>
        </w:rPr>
        <w:br w:type="page" w:clear="all"/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>
      <w:pPr>
        <w:pStyle w:val="1505"/>
        <w:jc w:val="right"/>
        <w:pageBreakBefore/>
        <w:spacing w:after="240"/>
      </w:pPr>
      <w:r/>
      <w:bookmarkStart w:id="235" w:name="_Hlk160201977"/>
      <w:r>
        <w:t xml:space="preserve">ШАБЛОН</w:t>
      </w:r>
      <w:r/>
    </w:p>
    <w:p>
      <w:pPr>
        <w:pStyle w:val="1531"/>
        <w:ind w:firstLine="709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8"/>
        </w:rPr>
        <w:t xml:space="preserve">Приложение 9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1531"/>
        <w:ind w:firstLine="709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8"/>
        </w:rPr>
        <w:t xml:space="preserve">к Отчету об уровне оказания услуг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1505"/>
        <w:jc w:val="right"/>
        <w:spacing w:after="240"/>
        <w:rPr>
          <w:bCs/>
          <w:color w:val="auto"/>
        </w:rPr>
      </w:pPr>
      <w:r>
        <w:rPr>
          <w:bCs/>
          <w:color w:val="auto"/>
        </w:rPr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505"/>
        <w:jc w:val="center"/>
        <w:spacing w:after="240"/>
        <w:rPr>
          <w:b/>
          <w:color w:val="auto"/>
        </w:rPr>
      </w:pPr>
      <w:r>
        <w:rPr>
          <w:b/>
          <w:color w:val="auto"/>
        </w:rPr>
        <w:t xml:space="preserve">Журнал исключенных заявок</w:t>
      </w:r>
      <w:r>
        <w:rPr>
          <w:b/>
          <w:color w:val="auto"/>
        </w:rPr>
      </w:r>
      <w:r>
        <w:rPr>
          <w:b/>
          <w:color w:val="auto"/>
        </w:rPr>
      </w:r>
    </w:p>
    <w:p>
      <w:pPr>
        <w:pStyle w:val="1505"/>
        <w:ind w:firstLine="850"/>
        <w:jc w:val="both"/>
        <w:rPr>
          <w:bCs/>
          <w:color w:val="auto"/>
        </w:rPr>
      </w:pPr>
      <w:r>
        <w:rPr>
          <w:bCs/>
          <w:color w:val="auto"/>
        </w:rPr>
        <w:t xml:space="preserve">Журнал исключенных заявок сформирован за ____ этап  в период с «__» _________ по «__» ____________ и представлен в таблице ниже (Таблица Б.11).</w:t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pStyle w:val="1546"/>
      </w:pPr>
      <w:r/>
      <w:bookmarkStart w:id="236" w:name="_Ref80710420"/>
      <w:r>
        <w:t xml:space="preserve">Таблица Б. </w:t>
      </w:r>
      <w:bookmarkEnd w:id="236"/>
      <w:r>
        <w:t xml:space="preserve">11 – Сведения об </w:t>
      </w:r>
      <w:r>
        <w:rPr>
          <w:rFonts w:eastAsia="Times New Roman"/>
        </w:rPr>
        <w:t xml:space="preserve">исключенных заявках</w:t>
      </w:r>
      <w:r/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8"/>
        <w:gridCol w:w="1461"/>
        <w:gridCol w:w="1197"/>
        <w:gridCol w:w="1599"/>
        <w:gridCol w:w="2487"/>
        <w:gridCol w:w="2322"/>
        <w:gridCol w:w="2155"/>
        <w:gridCol w:w="2141"/>
      </w:tblGrid>
      <w:tr>
        <w:tblPrEx/>
        <w:trPr>
          <w:trHeight w:val="454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6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Номер записи СУИ ПК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Статус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Краткое описание заявки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48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Решение заявки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322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Дата и время регистрации заявки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Дата и время решения заявки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4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Комментарий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 xml:space="preserve">1.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6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48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322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4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</w:tr>
      <w:tr>
        <w:tblPrEx/>
        <w:trPr>
          <w:trHeight w:val="454"/>
        </w:trPr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 xml:space="preserve">2.</w:t>
            </w: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46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19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48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322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55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8" w:type="dxa"/>
              <w:top w:w="0" w:type="dxa"/>
              <w:right w:w="108" w:type="dxa"/>
              <w:bottom w:w="0" w:type="dxa"/>
            </w:tcMar>
            <w:tcW w:w="2141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widowControl w:val="off"/>
              <w:tabs>
                <w:tab w:val="left" w:pos="6663" w:leader="none"/>
              </w:tabs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1531"/>
        <w:spacing w:before="12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64"/>
        <w:gridCol w:w="209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64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Количество исключенных заявок за этап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6" w:type="dxa"/>
            <w:textDirection w:val="lrTb"/>
            <w:noWrap w:val="false"/>
          </w:tcPr>
          <w:p>
            <w:pPr>
              <w:pStyle w:val="1531"/>
              <w:jc w:val="center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[__]</w:t>
            </w:r>
            <w:bookmarkEnd w:id="235"/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>
      <w:pPr>
        <w:pStyle w:val="1505"/>
        <w:jc w:val="center"/>
        <w:spacing w:after="240"/>
        <w:rPr>
          <w:bCs/>
          <w:color w:val="auto"/>
        </w:rPr>
      </w:pPr>
      <w:r>
        <w:rPr>
          <w:bCs/>
          <w:color w:val="auto"/>
        </w:rPr>
      </w:r>
      <w:r>
        <w:rPr>
          <w:bCs/>
          <w:color w:val="auto"/>
        </w:rPr>
      </w:r>
      <w:r>
        <w:rPr>
          <w:bCs/>
          <w:color w:val="auto"/>
        </w:rPr>
      </w:r>
    </w:p>
    <w:p>
      <w:pPr>
        <w:rPr>
          <w:sz w:val="26"/>
          <w:szCs w:val="26"/>
        </w:rPr>
      </w:pPr>
      <w: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505"/>
        <w:jc w:val="right"/>
        <w:spacing w:after="240"/>
      </w:pPr>
      <w:r>
        <w:t xml:space="preserve">ШАБЛОН</w:t>
      </w:r>
      <w:r/>
    </w:p>
    <w:p>
      <w:pPr>
        <w:pStyle w:val="1531"/>
        <w:ind w:firstLine="709"/>
        <w:jc w:val="righ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Приложение 9</w:t>
      </w:r>
      <w:r>
        <w:rPr>
          <w:rFonts w:ascii="Times New Roman" w:hAnsi="Times New Roman" w:cs="Times New Roman"/>
          <w:b/>
          <w:color w:val="000000" w:themeColor="text1"/>
        </w:rPr>
      </w:r>
      <w:r>
        <w:rPr>
          <w:rFonts w:ascii="Times New Roman" w:hAnsi="Times New Roman" w:cs="Times New Roman"/>
          <w:b/>
          <w:color w:val="000000" w:themeColor="text1"/>
        </w:rPr>
      </w:r>
    </w:p>
    <w:p>
      <w:pPr>
        <w:pStyle w:val="1531"/>
        <w:ind w:firstLine="709"/>
        <w:jc w:val="righ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к Отчету об уровне оказания услуг</w:t>
      </w:r>
      <w:r>
        <w:rPr>
          <w:rFonts w:ascii="Times New Roman" w:hAnsi="Times New Roman" w:cs="Times New Roman"/>
          <w:b/>
          <w:color w:val="000000" w:themeColor="text1"/>
        </w:rPr>
      </w:r>
      <w:r>
        <w:rPr>
          <w:rFonts w:ascii="Times New Roman" w:hAnsi="Times New Roman" w:cs="Times New Roman"/>
          <w:b/>
          <w:color w:val="000000" w:themeColor="text1"/>
        </w:rPr>
      </w:r>
    </w:p>
    <w:p>
      <w:pPr>
        <w:jc w:val="right"/>
        <w:spacing w:after="240" w:line="360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505"/>
        <w:jc w:val="center"/>
        <w:spacing w:after="240"/>
        <w:rPr>
          <w:b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</w:rPr>
        <w:t xml:space="preserve">Журнал устранения уязвимостей Системы</w:t>
      </w:r>
      <w:r>
        <w:rPr>
          <w:b/>
          <w:color w:val="000000" w:themeColor="text1"/>
          <w:sz w:val="26"/>
          <w:szCs w:val="26"/>
        </w:rPr>
      </w:r>
      <w:r>
        <w:rPr>
          <w:b/>
          <w:color w:val="000000" w:themeColor="text1"/>
          <w:sz w:val="26"/>
          <w:szCs w:val="26"/>
        </w:rPr>
      </w:r>
    </w:p>
    <w:p>
      <w:pPr>
        <w:pStyle w:val="1505"/>
        <w:ind w:firstLine="85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Cs w:val="24"/>
        </w:rPr>
        <w:t xml:space="preserve">Журнал устранения уязвимостей Систем сформирован за ____этап в период с «__» _________ по «__» ____________ и представлен в таблице ниже (Таблица Б.12).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505"/>
        <w:rPr>
          <w:color w:val="000000" w:themeColor="text1"/>
          <w:sz w:val="26"/>
          <w:szCs w:val="26"/>
        </w:rPr>
      </w:pPr>
      <w:r>
        <w:rPr>
          <w:color w:val="000000" w:themeColor="text1"/>
          <w:szCs w:val="24"/>
        </w:rPr>
        <w:t xml:space="preserve">Таблица Б.12– Сведения об устранении уязвимостей Системы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tbl>
      <w:tblPr>
        <w:tblW w:w="1468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left w:w="98" w:type="dxa"/>
          <w:right w:w="115" w:type="dxa"/>
        </w:tblCellMar>
        <w:tblLook w:val="0400" w:firstRow="0" w:lastRow="0" w:firstColumn="0" w:lastColumn="0" w:noHBand="0" w:noVBand="1"/>
      </w:tblPr>
      <w:tblGrid>
        <w:gridCol w:w="680"/>
        <w:gridCol w:w="1160"/>
        <w:gridCol w:w="1559"/>
        <w:gridCol w:w="1560"/>
        <w:gridCol w:w="992"/>
        <w:gridCol w:w="1678"/>
        <w:gridCol w:w="1866"/>
        <w:gridCol w:w="1620"/>
        <w:gridCol w:w="1926"/>
        <w:gridCol w:w="1644"/>
      </w:tblGrid>
      <w:tr>
        <w:tblPrEx/>
        <w:trPr>
          <w:trHeight w:val="128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79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№ п/п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159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Номер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записи СУИ ПК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Наименование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Системы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eastAsia="en-US" w:bidi="en-US"/>
              </w:rPr>
              <w:t xml:space="preserve">Дата и время регистрации заявки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Статус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78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eastAsia="en-US" w:bidi="en-US"/>
              </w:rPr>
              <w:t xml:space="preserve">Дата и время устранения уязвимостей Системы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866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Краткое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описание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выявленной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уязвимости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Результат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устранения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уязвимостей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Системы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926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eastAsia="en-US" w:bidi="en-US"/>
              </w:rPr>
              <w:t xml:space="preserve">Нарушение сроков устранения уязвимостей Системы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eastAsia="en-US" w:bidi="en-US"/>
              </w:rPr>
              <w:t xml:space="preserve">(да/нет)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44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Комментарий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79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1.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159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0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78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866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20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926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44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</w:tr>
      <w:tr>
        <w:tblPrEx/>
        <w:trPr>
          <w:trHeight w:val="26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79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  <w:lang w:val="en-US" w:eastAsia="en-US" w:bidi="en-US"/>
              </w:rPr>
              <w:t xml:space="preserve">2.</w:t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eastAsia="Calibri"/>
                <w:b/>
                <w:bCs/>
                <w:color w:val="000000" w:themeColor="text1"/>
                <w:sz w:val="16"/>
                <w:szCs w:val="16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159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0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78" w:type="dxa"/>
            <w:vAlign w:val="center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866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20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926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644" w:type="dxa"/>
            <w:textDirection w:val="lrTb"/>
            <w:noWrap w:val="false"/>
          </w:tcPr>
          <w:p>
            <w:pPr>
              <w:pStyle w:val="1531"/>
              <w:contextualSpacing/>
              <w:jc w:val="center"/>
              <w:widowControl w:val="off"/>
              <w:tabs>
                <w:tab w:val="left" w:pos="6663" w:leader="none"/>
              </w:tabs>
              <w:rPr>
                <w:rFonts w:eastAsia="Calibri"/>
                <w:b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  <w:r>
              <w:rPr>
                <w:rFonts w:eastAsia="Calibri"/>
                <w:b/>
                <w:color w:val="000000" w:themeColor="text1"/>
              </w:rPr>
            </w:r>
          </w:p>
        </w:tc>
      </w:tr>
    </w:tbl>
    <w:p>
      <w:pPr>
        <w:pStyle w:val="1505"/>
        <w:spacing w:before="40" w:after="40" w:line="240" w:lineRule="auto"/>
        <w:rPr>
          <w:rFonts w:eastAsia="F"/>
          <w:color w:val="000000" w:themeColor="text1"/>
          <w:sz w:val="26"/>
          <w:szCs w:val="26"/>
        </w:rPr>
      </w:pPr>
      <w:r>
        <w:rPr>
          <w:rFonts w:eastAsia="F"/>
          <w:color w:val="000000" w:themeColor="text1"/>
          <w:sz w:val="26"/>
          <w:szCs w:val="26"/>
        </w:rPr>
      </w:r>
      <w:r>
        <w:rPr>
          <w:rFonts w:eastAsia="F"/>
          <w:color w:val="000000" w:themeColor="text1"/>
          <w:sz w:val="26"/>
          <w:szCs w:val="26"/>
        </w:rPr>
      </w:r>
      <w:r>
        <w:rPr>
          <w:rFonts w:eastAsia="F"/>
          <w:color w:val="000000" w:themeColor="text1"/>
          <w:sz w:val="26"/>
          <w:szCs w:val="26"/>
        </w:rPr>
      </w:r>
    </w:p>
    <w:tbl>
      <w:tblPr>
        <w:tblW w:w="147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13036"/>
        <w:gridCol w:w="1664"/>
      </w:tblGrid>
      <w:tr>
        <w:tblPrEx/>
        <w:trPr>
          <w:trHeight w:val="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6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rFonts w:eastAsia="F"/>
                <w:b/>
                <w:bCs/>
                <w:color w:val="000000" w:themeColor="text1"/>
                <w:sz w:val="20"/>
              </w:rPr>
            </w:pPr>
            <w:r>
              <w:rPr>
                <w:rFonts w:eastAsia="F"/>
                <w:b/>
                <w:bCs/>
                <w:color w:val="000000" w:themeColor="text1"/>
                <w:sz w:val="20"/>
              </w:rPr>
              <w:t xml:space="preserve">Количество выполненных операций за этап</w:t>
            </w:r>
            <w:r>
              <w:rPr>
                <w:rFonts w:eastAsia="F"/>
                <w:b/>
                <w:bCs/>
                <w:color w:val="000000" w:themeColor="text1"/>
                <w:sz w:val="20"/>
              </w:rPr>
            </w:r>
            <w:r>
              <w:rPr>
                <w:rFonts w:eastAsia="F"/>
                <w:b/>
                <w:bCs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4" w:type="dxa"/>
            <w:textDirection w:val="lrTb"/>
            <w:noWrap w:val="false"/>
          </w:tcPr>
          <w:p>
            <w:pPr>
              <w:pStyle w:val="1505"/>
              <w:jc w:val="center"/>
              <w:spacing w:before="40" w:after="40" w:line="240" w:lineRule="auto"/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F"/>
                <w:b w:val="0"/>
                <w:bCs w:val="0"/>
                <w:color w:val="000000" w:themeColor="text1"/>
                <w:sz w:val="20"/>
              </w:rPr>
              <w:t xml:space="preserve">[__]</w:t>
            </w:r>
            <w:r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1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36" w:type="dxa"/>
            <w:textDirection w:val="lrTb"/>
            <w:noWrap w:val="false"/>
          </w:tcPr>
          <w:p>
            <w:pPr>
              <w:pStyle w:val="1505"/>
              <w:spacing w:before="40" w:after="40" w:line="240" w:lineRule="auto"/>
              <w:rPr>
                <w:rFonts w:eastAsia="F"/>
                <w:b/>
                <w:bCs/>
                <w:color w:val="000000" w:themeColor="text1"/>
                <w:sz w:val="20"/>
              </w:rPr>
            </w:pPr>
            <w:r>
              <w:rPr>
                <w:rFonts w:eastAsia="F"/>
                <w:b/>
                <w:bCs/>
                <w:color w:val="000000" w:themeColor="text1"/>
                <w:sz w:val="20"/>
              </w:rPr>
              <w:t xml:space="preserve">Нарушений сроков устранения уязвимостей Системы</w:t>
            </w:r>
            <w:r>
              <w:rPr>
                <w:rFonts w:eastAsia="F"/>
                <w:b/>
                <w:bCs/>
                <w:color w:val="000000" w:themeColor="text1"/>
                <w:sz w:val="20"/>
              </w:rPr>
            </w:r>
            <w:r>
              <w:rPr>
                <w:rFonts w:eastAsia="F"/>
                <w:b/>
                <w:bCs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4" w:type="dxa"/>
            <w:textDirection w:val="lrTb"/>
            <w:noWrap w:val="false"/>
          </w:tcPr>
          <w:p>
            <w:pPr>
              <w:pStyle w:val="1505"/>
              <w:jc w:val="center"/>
              <w:spacing w:before="40" w:after="40" w:line="240" w:lineRule="auto"/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F"/>
                <w:b w:val="0"/>
                <w:bCs w:val="0"/>
                <w:color w:val="000000" w:themeColor="text1"/>
                <w:sz w:val="20"/>
              </w:rPr>
              <w:t xml:space="preserve">[__]</w:t>
            </w:r>
            <w:r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eastAsia="F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</w:tbl>
    <w:p>
      <w:pPr>
        <w:pStyle w:val="1499"/>
        <w:ind w:firstLine="0"/>
        <w:jc w:val="left"/>
        <w:spacing w:after="160" w:line="259" w:lineRule="auto"/>
        <w:rPr>
          <w:color w:val="000000"/>
          <w:lang w:val="en-US"/>
        </w:r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>
      <w:pPr>
        <w:pStyle w:val="1499"/>
        <w:ind w:firstLine="0"/>
        <w:jc w:val="left"/>
        <w:spacing w:after="160" w:line="259" w:lineRule="auto"/>
        <w:rPr>
          <w:color w:val="000000"/>
          <w:lang w:val="en-US"/>
        </w:rPr>
        <w:sectPr>
          <w:headerReference w:type="default" r:id="rId18"/>
          <w:footerReference w:type="default" r:id="rId29"/>
          <w:footnotePr/>
          <w:endnotePr/>
          <w:type w:val="nextPage"/>
          <w:pgSz w:w="16838" w:h="11906" w:orient="landscape"/>
          <w:pgMar w:top="1701" w:right="1134" w:bottom="851" w:left="1134" w:header="284" w:footer="284" w:gutter="0"/>
          <w:cols w:num="1" w:sep="0" w:space="720" w:equalWidth="1"/>
          <w:docGrid w:linePitch="360"/>
        </w:sectPr>
      </w:pPr>
      <w:r>
        <w:rPr>
          <w:color w:val="000000"/>
          <w:lang w:val="en-US"/>
        </w:rPr>
      </w:r>
      <w:r>
        <w:rPr>
          <w:color w:val="000000"/>
          <w:lang w:val="en-US"/>
        </w:rPr>
      </w:r>
      <w:r>
        <w:rPr>
          <w:color w:val="000000"/>
          <w:lang w:val="en-US"/>
        </w:rPr>
      </w:r>
    </w:p>
    <w:p>
      <w:pPr>
        <w:pStyle w:val="1303"/>
        <w:rPr>
          <w:color w:val="000000"/>
        </w:rPr>
      </w:pPr>
      <w:r/>
      <w:bookmarkStart w:id="295" w:name="_Toc52"/>
      <w:r>
        <w:t xml:space="preserve">Приложение </w:t>
      </w:r>
      <w:bookmarkStart w:id="238" w:name="3gnlt4p"/>
      <w:r/>
      <w:bookmarkEnd w:id="238"/>
      <w:r>
        <w:t xml:space="preserve">В</w:t>
      </w:r>
      <w:bookmarkEnd w:id="295"/>
      <w:r>
        <w:rPr>
          <w:color w:val="000000"/>
        </w:rPr>
      </w:r>
      <w:r>
        <w:rPr>
          <w:color w:val="000000"/>
        </w:rPr>
      </w:r>
    </w:p>
    <w:p>
      <w:pPr>
        <w:pStyle w:val="1499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Шаблон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1508"/>
        <w:tblW w:w="9355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677"/>
        <w:gridCol w:w="4678"/>
      </w:tblGrid>
      <w:tr>
        <w:tblPrEx/>
        <w:trPr/>
        <w:tc>
          <w:tcPr>
            <w:gridSpan w:val="2"/>
            <w:tcW w:w="9355" w:type="dxa"/>
            <w:textDirection w:val="lrTb"/>
            <w:noWrap w:val="false"/>
          </w:tcPr>
          <w:p>
            <w:pPr>
              <w:pStyle w:val="1499"/>
              <w:ind w:firstLine="0"/>
              <w:jc w:val="center"/>
              <w:spacing w:before="240"/>
              <w:widowControl w:val="off"/>
              <w:rPr>
                <w:rFonts w:eastAsia="Times New Roman" w:cs="Times New Roman"/>
                <w:b/>
                <w:sz w:val="28"/>
                <w:szCs w:val="28"/>
              </w:rPr>
            </w:pPr>
            <w:r/>
            <w:bookmarkStart w:id="239" w:name="_1vsw3ci"/>
            <w:r/>
            <w:bookmarkEnd w:id="239"/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Протокол проверки результатов</w:t>
            </w:r>
            <w:r>
              <w:rPr>
                <w:rFonts w:eastAsia="Times New Roman" w:cs="Times New Roman"/>
                <w:b/>
                <w:sz w:val="28"/>
                <w:szCs w:val="28"/>
              </w:rPr>
            </w:r>
            <w:r>
              <w:rPr>
                <w:rFonts w:eastAsia="Times New Roman" w:cs="Times New Roman"/>
                <w:b/>
                <w:sz w:val="28"/>
                <w:szCs w:val="28"/>
              </w:rPr>
            </w:r>
          </w:p>
          <w:p>
            <w:pPr>
              <w:pStyle w:val="1499"/>
              <w:ind w:firstLine="0"/>
              <w:jc w:val="center"/>
              <w:spacing w:after="120"/>
              <w:widowControl w:val="off"/>
              <w:rPr>
                <w:color w:val="000000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Подготовительных мероприятий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spacing w:before="120" w:after="120"/>
              <w:widowControl w:val="off"/>
              <w:rPr>
                <w:color w:val="000000"/>
              </w:rPr>
            </w:pPr>
            <w:r>
              <w:t xml:space="preserve">г. Пермь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1499"/>
              <w:ind w:firstLine="0"/>
              <w:jc w:val="right"/>
              <w:spacing w:before="120" w:after="120"/>
              <w:widowControl w:val="off"/>
              <w:rPr>
                <w:color w:val="000000"/>
              </w:rPr>
            </w:pPr>
            <w:r>
              <w:t xml:space="preserve">«___» ______________20__ г.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505"/>
        <w:ind w:firstLine="851"/>
        <w:spacing w:before="120"/>
      </w:pPr>
      <w:r>
        <w:t xml:space="preserve">Гражданско-правовой договор</w:t>
      </w:r>
      <w:r>
        <w:rPr>
          <w:rFonts w:eastAsia="Calibri"/>
        </w:rPr>
        <w:t xml:space="preserve"> от ______________ №___________ ________________</w:t>
      </w:r>
      <w:r>
        <w:t xml:space="preserve">(далее – Контракт).</w:t>
      </w:r>
      <w:r/>
    </w:p>
    <w:p>
      <w:pPr>
        <w:pStyle w:val="1505"/>
        <w:ind w:firstLine="851"/>
      </w:pPr>
      <w:r>
        <w:t xml:space="preserve">Заказчик – ____________________________________________________________.</w:t>
      </w:r>
      <w:r/>
    </w:p>
    <w:p>
      <w:pPr>
        <w:pStyle w:val="1505"/>
        <w:ind w:firstLine="851"/>
      </w:pPr>
      <w:r>
        <w:t xml:space="preserve">Исполнитель – ________________________________________________________.</w:t>
      </w:r>
      <w:r/>
    </w:p>
    <w:p>
      <w:pPr>
        <w:pStyle w:val="1505"/>
        <w:ind w:firstLine="851"/>
      </w:pPr>
      <w:r>
        <w:rPr>
          <w:rFonts w:eastAsia="Symbol"/>
        </w:rPr>
        <w:t xml:space="preserve">Согласно </w:t>
      </w:r>
      <w:r>
        <w:t xml:space="preserve">Контракту</w:t>
      </w:r>
      <w:r>
        <w:rPr>
          <w:rFonts w:eastAsia="Symbol"/>
        </w:rPr>
        <w:t xml:space="preserve"> объектом оказания услуг по сопровождению </w:t>
      </w:r>
      <w:r>
        <w:rPr>
          <w:rFonts w:eastAsia="Symbol"/>
          <w:color w:val="auto"/>
        </w:rPr>
        <w:t xml:space="preserve">и эксплуатации </w:t>
      </w:r>
      <w:r>
        <w:rPr>
          <w:rFonts w:eastAsia="Symbol"/>
        </w:rPr>
        <w:t xml:space="preserve">является информационная система (далее –</w:t>
      </w:r>
      <w:r>
        <w:t xml:space="preserve"> Система): _____________________________________.</w:t>
      </w:r>
      <w:r/>
    </w:p>
    <w:p>
      <w:pPr>
        <w:pStyle w:val="1505"/>
        <w:ind w:firstLine="851"/>
        <w:jc w:val="both"/>
      </w:pPr>
      <w:r/>
      <w:bookmarkStart w:id="240" w:name="_Hlk118817212"/>
      <w:r>
        <w:t xml:space="preserve">Настоящий</w:t>
      </w:r>
      <w:r>
        <w:rPr>
          <w:rFonts w:eastAsia="Calibri"/>
        </w:rPr>
        <w:t xml:space="preserve"> Протокол содержит результаты проверки </w:t>
      </w:r>
      <w:r>
        <w:t xml:space="preserve">Подготовительных мероприятий</w:t>
      </w:r>
      <w:r>
        <w:rPr>
          <w:rFonts w:eastAsia="Calibri"/>
        </w:rPr>
        <w:t xml:space="preserve"> (Таблица В.1).</w:t>
      </w:r>
      <w:bookmarkEnd w:id="240"/>
      <w:r/>
      <w:r/>
    </w:p>
    <w:p>
      <w:pPr>
        <w:pStyle w:val="1499"/>
        <w:ind w:firstLine="0"/>
        <w:keepNext/>
        <w:spacing w:before="120" w:after="60"/>
        <w:rPr>
          <w:color w:val="000000"/>
        </w:rPr>
      </w:pPr>
      <w:r>
        <w:rPr>
          <w:color w:val="000000"/>
        </w:rPr>
        <w:t xml:space="preserve">Таблица В.1 – Протокол проверки результатов</w:t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179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533"/>
        <w:gridCol w:w="6237"/>
        <w:gridCol w:w="2409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№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Подготовительные мероприятия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1499"/>
              <w:ind w:firstLine="0"/>
              <w:jc w:val="center"/>
              <w:keepNext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Результат проверки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Определить и нап</w:t>
            </w:r>
            <w:r>
              <w:rPr>
                <w:rFonts w:cs="Times New Roman"/>
              </w:rPr>
              <w:t xml:space="preserve">равить официальным письмом Заказчику документ «Перечень уполномоченных специалистов Исполнителя», содержащий контактную информацию (ФИО, должность, адрес рабочей электронной почты, номер телефона) лиц, ответственных за оказание услуг со стороны Исполнителя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Запросить у Заказчика проектную и эксплуатационную документацию на Систему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Запросить официальным письмом список ответственных лиц со стороны Заказчика для подготовки Исполнителем требуемой в соответствии с пунктом 5.1 ТЗ документации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Обеспечить актуализацию или разработку (в случае отсутствия у Заказчика анкет) Анкеты резервного копирования виртуальных машин, Анкеты постановки на инфраструкту</w:t>
            </w:r>
            <w:r>
              <w:rPr>
                <w:rFonts w:cs="Times New Roman"/>
              </w:rPr>
              <w:t xml:space="preserve">рный мониторинг, Анкеты постановки на функциональный мониторинг, Анкеты настройки очереди в СУИ ПК, Анкеты подключения к системе управления репозиториями кода, Анкеты настройки нагрузочного тестирования, Анкеты предоставления доступа к виртуальным машинам.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Запросить у Заказчика доступ к СУИ ПК ответственным специалистам Исполнителя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Разработать и согласовать с Заказчиком любым способом по усмотрению Заказчика Единый регламент оказания услуг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eastAsia="zh-CN" w:bidi="hi-IN"/>
              </w:rPr>
            </w:pPr>
            <w:r>
              <w:rPr>
                <w:rFonts w:eastAsia="SimSun"/>
                <w:color w:val="000000"/>
                <w:lang w:eastAsia="zh-CN" w:bidi="hi-IN"/>
              </w:rPr>
            </w:r>
            <w:r>
              <w:rPr>
                <w:rFonts w:eastAsia="SimSun"/>
                <w:color w:val="000000"/>
                <w:lang w:eastAsia="zh-CN" w:bidi="hi-IN"/>
              </w:rPr>
            </w:r>
            <w:r>
              <w:rPr>
                <w:rFonts w:eastAsia="SimSun"/>
                <w:color w:val="000000"/>
                <w:lang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Направить запрос Заказчику на дополнительную настройку СУИ ПК в соответствии с Графиком </w:t>
            </w:r>
            <w:r>
              <w:rPr>
                <w:rFonts w:cs="Times New Roman"/>
              </w:rPr>
              <w:t xml:space="preserve">выполнений регламентных мероприятий и Матрицей эскалации инцидентов для обеспечения поддержки Пользователей и непрерывного функционирования Системы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Запросить у Заказчика доступ к Системе ответственным специалистам Исполнителя путем направления соответствующих запросов посредством РСАА ПК (при необходимости)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Запросить у Заказчика доступ к виртуальным машинам Системы ответственным специалистам Исполнителя (при необходимости)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Выполнено/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Запросить у Заказчика доступ к БД Системы ответственным специалистам Исполнителя (при необходимости)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cs="Times New Roman"/>
              </w:rPr>
            </w:pPr>
            <w:r>
              <w:rPr>
                <w:rFonts w:cs="Times New Roman"/>
              </w:rPr>
              <w:t xml:space="preserve">Выполнено/Не выполнено/Нет необходимости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Запросить доступ к системе мониторинга Заказчика для подключения ответственных специалистов Исполнителя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  <w:lang w:eastAsia="en-US"/>
              </w:rPr>
              <w:t xml:space="preserve">Выполнено/Не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505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Направить запрос Заказчику на дополнительную настройку системы мониторинга.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499"/>
              <w:ind w:firstLine="0"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По завершению настройки Исполнитель осуществляет проверку средств мониторинга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  <w:lang w:eastAsia="en-US"/>
              </w:rPr>
              <w:t xml:space="preserve">Выполнено/Не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Направить запрос Заказчику на дополнительную настройку регламентных мероприятий</w:t>
            </w:r>
            <w:r>
              <w:rPr>
                <w:rFonts w:cs="Times New Roman"/>
                <w:color w:val="000000" w:themeColor="text1"/>
              </w:rPr>
            </w:r>
            <w:r>
              <w:rPr>
                <w:rFonts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  <w:lang w:eastAsia="en-US"/>
              </w:rPr>
              <w:t xml:space="preserve">Выполнено/Не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1499"/>
              <w:numPr>
                <w:ilvl w:val="0"/>
                <w:numId w:val="2"/>
              </w:numPr>
              <w:ind w:left="0" w:firstLine="0"/>
              <w:jc w:val="left"/>
              <w:widowControl w:val="off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  <w:r>
              <w:rPr>
                <w:rFonts w:cs="Times New Roman"/>
                <w:color w:val="000000"/>
              </w:rPr>
            </w:r>
          </w:p>
          <w:p>
            <w:pPr>
              <w:rPr>
                <w:rFonts w:eastAsia="SimSun"/>
                <w:color w:val="000000"/>
                <w:lang w:val="en-US" w:eastAsia="zh-CN" w:bidi="hi-IN"/>
              </w:rPr>
            </w:pP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  <w:r>
              <w:rPr>
                <w:rFonts w:eastAsia="SimSun"/>
                <w:color w:val="000000"/>
                <w:lang w:val="en-US" w:eastAsia="zh-CN" w:bidi="hi-I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1499"/>
              <w:ind w:firstLine="0"/>
              <w:jc w:val="left"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 xml:space="preserve">Направить запрос Заказчику на подключение к системе управления репозиториями кода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1499"/>
              <w:ind w:firstLine="0"/>
              <w:keepNext/>
              <w:widowControl w:val="off"/>
              <w:rPr>
                <w:rFonts w:eastAsia="Times New Roman" w:cs="Times New Roman"/>
              </w:rPr>
            </w:pPr>
            <w:r>
              <w:rPr>
                <w:rFonts w:cs="Times New Roman"/>
                <w:lang w:eastAsia="en-US"/>
              </w:rPr>
              <w:t xml:space="preserve">Выполнено/Не выполнено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499"/>
        <w:ind w:firstLine="0"/>
        <w:spacing w:line="360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Style w:val="1508"/>
        <w:tblW w:w="9828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118"/>
        <w:gridCol w:w="4710"/>
      </w:tblGrid>
      <w:tr>
        <w:tblPrEx/>
        <w:trPr>
          <w:trHeight w:val="362"/>
        </w:trPr>
        <w:tc>
          <w:tcPr>
            <w:tcW w:w="5118" w:type="dxa"/>
            <w:textDirection w:val="lrTb"/>
            <w:noWrap w:val="false"/>
          </w:tcPr>
          <w:p>
            <w:pPr>
              <w:pStyle w:val="1499"/>
              <w:ind w:firstLine="0"/>
              <w:spacing w:line="360" w:lineRule="auto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Заказчик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  <w:tc>
          <w:tcPr>
            <w:tcW w:w="4710" w:type="dxa"/>
            <w:textDirection w:val="lrTb"/>
            <w:noWrap w:val="false"/>
          </w:tcPr>
          <w:p>
            <w:pPr>
              <w:pStyle w:val="1499"/>
              <w:ind w:firstLine="18"/>
              <w:spacing w:line="360" w:lineRule="auto"/>
              <w:widowControl w:val="off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Исполнитель</w:t>
            </w:r>
            <w:r>
              <w:rPr>
                <w:rFonts w:eastAsia="Times New Roman" w:cs="Times New Roman"/>
                <w:b/>
              </w:rPr>
            </w:r>
            <w:r>
              <w:rPr>
                <w:rFonts w:eastAsia="Times New Roman" w:cs="Times New Roman"/>
                <w:b/>
              </w:rPr>
            </w:r>
          </w:p>
        </w:tc>
      </w:tr>
      <w:tr>
        <w:tblPrEx/>
        <w:trPr>
          <w:trHeight w:val="114"/>
        </w:trPr>
        <w:tc>
          <w:tcPr>
            <w:tcW w:w="5118" w:type="dxa"/>
            <w:textDirection w:val="lrTb"/>
            <w:noWrap w:val="false"/>
          </w:tcPr>
          <w:p>
            <w:pPr>
              <w:pStyle w:val="1499"/>
              <w:ind w:firstLine="0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/Должность/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W w:w="4710" w:type="dxa"/>
            <w:textDirection w:val="lrTb"/>
            <w:noWrap w:val="false"/>
          </w:tcPr>
          <w:p>
            <w:pPr>
              <w:pStyle w:val="1499"/>
              <w:ind w:firstLine="18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/Должность/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261"/>
        </w:trPr>
        <w:tc>
          <w:tcPr>
            <w:tcW w:w="5118" w:type="dxa"/>
            <w:textDirection w:val="lrTb"/>
            <w:noWrap w:val="false"/>
          </w:tcPr>
          <w:p>
            <w:pPr>
              <w:pStyle w:val="1499"/>
              <w:ind w:firstLine="0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____________________ </w:t>
            </w:r>
            <w:r>
              <w:rPr>
                <w:rFonts w:eastAsia="Times New Roman" w:cs="Times New Roman"/>
                <w:b/>
              </w:rPr>
              <w:t xml:space="preserve">/Ф.И.О/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W w:w="4710" w:type="dxa"/>
            <w:textDirection w:val="lrTb"/>
            <w:noWrap w:val="false"/>
          </w:tcPr>
          <w:p>
            <w:pPr>
              <w:pStyle w:val="1499"/>
              <w:ind w:firstLine="18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___________________ </w:t>
            </w:r>
            <w:r>
              <w:rPr>
                <w:rFonts w:eastAsia="Times New Roman" w:cs="Times New Roman"/>
                <w:b/>
              </w:rPr>
              <w:t xml:space="preserve">/Ф.И.О/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55"/>
        </w:trPr>
        <w:tc>
          <w:tcPr>
            <w:tcW w:w="5118" w:type="dxa"/>
            <w:textDirection w:val="lrTb"/>
            <w:noWrap w:val="false"/>
          </w:tcPr>
          <w:p>
            <w:pPr>
              <w:pStyle w:val="1499"/>
              <w:ind w:firstLine="0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М.П.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W w:w="4710" w:type="dxa"/>
            <w:textDirection w:val="lrTb"/>
            <w:noWrap w:val="false"/>
          </w:tcPr>
          <w:p>
            <w:pPr>
              <w:pStyle w:val="1499"/>
              <w:ind w:firstLine="18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М.П.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  <w:tr>
        <w:tblPrEx/>
        <w:trPr>
          <w:trHeight w:val="360"/>
        </w:trPr>
        <w:tc>
          <w:tcPr>
            <w:tcW w:w="5118" w:type="dxa"/>
            <w:textDirection w:val="lrTb"/>
            <w:noWrap w:val="false"/>
          </w:tcPr>
          <w:p>
            <w:pPr>
              <w:pStyle w:val="1499"/>
              <w:ind w:firstLine="0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«_____»_______________________202_г.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  <w:tc>
          <w:tcPr>
            <w:tcW w:w="4710" w:type="dxa"/>
            <w:textDirection w:val="lrTb"/>
            <w:noWrap w:val="false"/>
          </w:tcPr>
          <w:p>
            <w:pPr>
              <w:pStyle w:val="1499"/>
              <w:ind w:firstLine="18"/>
              <w:spacing w:line="360" w:lineRule="auto"/>
              <w:widowControl w:val="off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«_____»_______________________202_г.</w:t>
            </w:r>
            <w:r>
              <w:rPr>
                <w:rFonts w:eastAsia="Times New Roman" w:cs="Times New Roman"/>
              </w:rPr>
            </w:r>
            <w:r>
              <w:rPr>
                <w:rFonts w:eastAsia="Times New Roman" w:cs="Times New Roman"/>
              </w:rPr>
            </w:r>
          </w:p>
        </w:tc>
      </w:tr>
    </w:tbl>
    <w:p>
      <w:pPr>
        <w:pStyle w:val="1595"/>
      </w:pPr>
      <w:r/>
      <w:bookmarkStart w:id="296" w:name="_Toc53"/>
      <w:r/>
      <w:bookmarkStart w:id="241" w:name="__RefHeading___Toc12235_3536650295"/>
      <w:r>
        <w:t xml:space="preserve">Приложение Г</w:t>
      </w:r>
      <w:bookmarkEnd w:id="241"/>
      <w:r/>
      <w:bookmarkEnd w:id="296"/>
      <w:r/>
      <w:r/>
    </w:p>
    <w:p>
      <w:pPr>
        <w:pStyle w:val="1531"/>
        <w:jc w:val="right"/>
        <w:spacing w:before="240" w:after="120" w:line="360" w:lineRule="auto"/>
      </w:pPr>
      <w:r>
        <w:rPr>
          <w:bCs/>
          <w:sz w:val="28"/>
          <w:szCs w:val="28"/>
        </w:rPr>
        <w:t xml:space="preserve">Шаблон</w:t>
      </w:r>
      <w:r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>
        <w:tblPrEx/>
        <w:trPr/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355" w:type="dxa"/>
            <w:textDirection w:val="lrTb"/>
            <w:noWrap w:val="false"/>
          </w:tcPr>
          <w:p>
            <w:pPr>
              <w:pStyle w:val="1531"/>
              <w:jc w:val="center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Акт передачи доступов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9355" w:type="dxa"/>
            <w:textDirection w:val="lrTb"/>
            <w:noWrap w:val="false"/>
          </w:tcPr>
          <w:p>
            <w:pPr>
              <w:pStyle w:val="1531"/>
              <w:spacing w:before="24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677" w:type="dxa"/>
            <w:textDirection w:val="lrTb"/>
            <w:noWrap w:val="false"/>
          </w:tcPr>
          <w:p>
            <w:pPr>
              <w:pStyle w:val="1531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г. Пермь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678" w:type="dxa"/>
            <w:textDirection w:val="lrTb"/>
            <w:noWrap w:val="false"/>
          </w:tcPr>
          <w:p>
            <w:pPr>
              <w:pStyle w:val="1531"/>
              <w:jc w:val="right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«___» ______________20__ г.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1505"/>
        <w:ind w:firstLine="720"/>
        <w:spacing w:before="120"/>
      </w:pPr>
      <w:r>
        <w:t xml:space="preserve">Гражданско-правовой договор</w:t>
      </w:r>
      <w:r>
        <w:rPr>
          <w:rFonts w:eastAsia="Calibri"/>
        </w:rPr>
        <w:t xml:space="preserve"> от ______________ №___________ ________________</w:t>
      </w:r>
      <w:r>
        <w:t xml:space="preserve">(далее – Контракт).</w:t>
      </w:r>
      <w:r/>
    </w:p>
    <w:p>
      <w:pPr>
        <w:pStyle w:val="1505"/>
      </w:pPr>
      <w:r>
        <w:t xml:space="preserve">Заказчик – ____________________________________________________________.</w:t>
      </w:r>
      <w:r/>
    </w:p>
    <w:p>
      <w:pPr>
        <w:pStyle w:val="1505"/>
      </w:pPr>
      <w:r>
        <w:t xml:space="preserve">Исполнитель – ________________________________________________________.</w:t>
      </w:r>
      <w:r/>
    </w:p>
    <w:p>
      <w:pPr>
        <w:pStyle w:val="1505"/>
        <w:ind w:firstLine="850"/>
      </w:pPr>
      <w:r>
        <w:rPr>
          <w:rFonts w:eastAsia="Symbol"/>
        </w:rPr>
        <w:t xml:space="preserve">Согласно </w:t>
      </w:r>
      <w:r>
        <w:t xml:space="preserve">Контракту</w:t>
      </w:r>
      <w:r>
        <w:rPr>
          <w:rFonts w:eastAsia="Symbol"/>
        </w:rPr>
        <w:t xml:space="preserve"> объектом оказания услуг по сопровождению и эксплуатации является информационная система (далее –</w:t>
      </w:r>
      <w:r>
        <w:t xml:space="preserve"> Система): _____________________________________.</w:t>
      </w:r>
      <w:r/>
    </w:p>
    <w:p>
      <w:pPr>
        <w:pStyle w:val="1505"/>
        <w:ind w:firstLine="850"/>
        <w:jc w:val="both"/>
      </w:pPr>
      <w:r>
        <w:t xml:space="preserve">Настоящий</w:t>
      </w:r>
      <w:r>
        <w:rPr>
          <w:rFonts w:eastAsia="Calibri"/>
        </w:rPr>
        <w:t xml:space="preserve"> Акт содержит реквизиты доступов, </w:t>
      </w:r>
      <w:r>
        <w:t xml:space="preserve">переданных Исполнителем Заказчику в рамках заключительного этапа оказания услуг/при расторжении Контракта (выбрать) (Таблица Г.1)</w:t>
      </w:r>
      <w:r>
        <w:rPr>
          <w:rFonts w:eastAsia="Calibri"/>
        </w:rPr>
        <w:t xml:space="preserve">.</w:t>
      </w:r>
      <w:r/>
    </w:p>
    <w:p>
      <w:pPr>
        <w:pStyle w:val="1546"/>
      </w:pPr>
      <w:r>
        <w:t xml:space="preserve">Таблица Г.1 – Реквизиты доступов</w:t>
      </w:r>
      <w:r/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"/>
        <w:gridCol w:w="5314"/>
        <w:gridCol w:w="3114"/>
      </w:tblGrid>
      <w:tr>
        <w:tblPrEx/>
        <w:trPr>
          <w:cantSplit/>
          <w:jc w:val="center"/>
          <w:trHeight w:val="474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keepNext/>
              <w:widowControl w:val="off"/>
              <w:tabs>
                <w:tab w:val="left" w:pos="38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keepNext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Доступы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vAlign w:val="center"/>
            <w:textDirection w:val="lrTb"/>
            <w:noWrap w:val="false"/>
          </w:tcPr>
          <w:p>
            <w:pPr>
              <w:pStyle w:val="1531"/>
              <w:jc w:val="center"/>
              <w:keepNext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Реквизиты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6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keepNext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Адрес Системы: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531"/>
              <w:keepNext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- основной (промышленный) контур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531"/>
              <w:keepNext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- тестовый контур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widowControl w:val="off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5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Учетные данные для доступа к Системе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5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Учетные данные для доступа к серверам (в разрезе серверов):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название ВМ, </w:t>
            </w:r>
            <w:r>
              <w:rPr>
                <w:rFonts w:ascii="Times New Roman" w:hAnsi="Times New Roman" w:cs="Times New Roman"/>
                <w:lang w:val="en-US"/>
              </w:rPr>
              <w:t xml:space="preserve">IP</w:t>
            </w:r>
            <w:r>
              <w:rPr>
                <w:rFonts w:ascii="Times New Roman" w:hAnsi="Times New Roman" w:cs="Times New Roman"/>
              </w:rPr>
              <w:t xml:space="preserve">-адрес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пароль доступа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5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Учетные данные для доступа к БД (в разрезе серверов)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5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Учетные данные для доступа к системе мониторинга Заказчика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8" w:type="dxa"/>
            <w:textDirection w:val="lrTb"/>
            <w:noWrap w:val="false"/>
          </w:tcPr>
          <w:p>
            <w:pPr>
              <w:pStyle w:val="1531"/>
              <w:numPr>
                <w:ilvl w:val="0"/>
                <w:numId w:val="35"/>
              </w:numPr>
              <w:ind w:left="0" w:firstLine="0"/>
              <w:widowControl w:val="off"/>
              <w:tabs>
                <w:tab w:val="left" w:pos="385" w:leader="none"/>
              </w:tabs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0" w:type="dxa"/>
            <w:textDirection w:val="lrTb"/>
            <w:noWrap w:val="false"/>
          </w:tcPr>
          <w:p>
            <w:pPr>
              <w:pStyle w:val="15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Иные учетные записи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pStyle w:val="1531"/>
              <w:jc w:val="center"/>
              <w:keepNext/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  <w:r>
              <w:rPr>
                <w:rFonts w:ascii="Times New Roman" w:hAnsi="Times New Roman" w:eastAsia="Arial Unicode MS" w:cs="Times New Roman"/>
                <w:bCs/>
                <w:sz w:val="22"/>
                <w:szCs w:val="22"/>
                <w:lang w:eastAsia="en-US" w:bidi="en-US"/>
              </w:rPr>
            </w:r>
          </w:p>
        </w:tc>
      </w:tr>
    </w:tbl>
    <w:p>
      <w:pPr>
        <w:pStyle w:val="1564"/>
      </w:pPr>
      <w:r/>
      <w:r/>
    </w:p>
    <w:tbl>
      <w:tblPr>
        <w:tblW w:w="98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7"/>
        <w:gridCol w:w="4711"/>
      </w:tblGrid>
      <w:tr>
        <w:tblPrEx/>
        <w:trPr>
          <w:trHeight w:val="362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17" w:type="dxa"/>
            <w:textDirection w:val="lrTb"/>
            <w:noWrap w:val="false"/>
          </w:tcPr>
          <w:p>
            <w:pPr>
              <w:pStyle w:val="1505"/>
              <w:widowControl w:val="off"/>
            </w:pPr>
            <w:r/>
            <w:bookmarkStart w:id="243" w:name="_Hlk160202241"/>
            <w:r>
              <w:rPr>
                <w:rFonts w:eastAsia="Calibri"/>
                <w:b/>
                <w:sz w:val="22"/>
                <w:lang w:eastAsia="en-US"/>
              </w:rPr>
              <w:t xml:space="preserve">Заказчик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711" w:type="dxa"/>
            <w:textDirection w:val="lrTb"/>
            <w:noWrap w:val="false"/>
          </w:tcPr>
          <w:p>
            <w:pPr>
              <w:pStyle w:val="1505"/>
              <w:ind w:firstLine="18"/>
              <w:widowControl w:val="off"/>
            </w:pPr>
            <w:r>
              <w:rPr>
                <w:rFonts w:eastAsia="Calibri"/>
                <w:b/>
                <w:sz w:val="22"/>
                <w:lang w:eastAsia="en-US"/>
              </w:rPr>
              <w:t xml:space="preserve">Исполнитель</w:t>
            </w:r>
            <w:r/>
          </w:p>
        </w:tc>
      </w:tr>
      <w:tr>
        <w:tblPrEx/>
        <w:trPr>
          <w:trHeight w:val="11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17" w:type="dxa"/>
            <w:textDirection w:val="lrTb"/>
            <w:noWrap w:val="false"/>
          </w:tcPr>
          <w:p>
            <w:pPr>
              <w:pStyle w:val="1505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/Должность/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711" w:type="dxa"/>
            <w:textDirection w:val="lrTb"/>
            <w:noWrap w:val="false"/>
          </w:tcPr>
          <w:p>
            <w:pPr>
              <w:pStyle w:val="1505"/>
              <w:ind w:firstLine="18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/Должность/</w:t>
            </w:r>
            <w:r/>
          </w:p>
        </w:tc>
      </w:tr>
      <w:tr>
        <w:tblPrEx/>
        <w:trPr>
          <w:trHeight w:val="2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17" w:type="dxa"/>
            <w:textDirection w:val="lrTb"/>
            <w:noWrap w:val="false"/>
          </w:tcPr>
          <w:p>
            <w:pPr>
              <w:pStyle w:val="1505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____________________ 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/Ф.И.О/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711" w:type="dxa"/>
            <w:textDirection w:val="lrTb"/>
            <w:noWrap w:val="false"/>
          </w:tcPr>
          <w:p>
            <w:pPr>
              <w:pStyle w:val="1505"/>
              <w:ind w:firstLine="18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___________________ 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/Ф.И.О/</w:t>
            </w:r>
            <w:r/>
          </w:p>
        </w:tc>
      </w:tr>
      <w:tr>
        <w:tblPrEx/>
        <w:trPr>
          <w:trHeight w:val="55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17" w:type="dxa"/>
            <w:textDirection w:val="lrTb"/>
            <w:noWrap w:val="false"/>
          </w:tcPr>
          <w:p>
            <w:pPr>
              <w:pStyle w:val="1505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М.П.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711" w:type="dxa"/>
            <w:textDirection w:val="lrTb"/>
            <w:noWrap w:val="false"/>
          </w:tcPr>
          <w:p>
            <w:pPr>
              <w:pStyle w:val="1505"/>
              <w:ind w:firstLine="18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М.П.</w:t>
            </w:r>
            <w:r/>
          </w:p>
        </w:tc>
      </w:tr>
      <w:tr>
        <w:tblPrEx/>
        <w:trPr>
          <w:trHeight w:val="36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17" w:type="dxa"/>
            <w:textDirection w:val="lrTb"/>
            <w:noWrap w:val="false"/>
          </w:tcPr>
          <w:p>
            <w:pPr>
              <w:pStyle w:val="1505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«_____»_______________________202_г.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711" w:type="dxa"/>
            <w:textDirection w:val="lrTb"/>
            <w:noWrap w:val="false"/>
          </w:tcPr>
          <w:p>
            <w:pPr>
              <w:pStyle w:val="1505"/>
              <w:ind w:firstLine="18"/>
              <w:widowControl w:val="off"/>
            </w:pPr>
            <w:r>
              <w:rPr>
                <w:rFonts w:eastAsia="Calibri"/>
                <w:sz w:val="22"/>
                <w:lang w:eastAsia="en-US"/>
              </w:rPr>
              <w:t xml:space="preserve">«_____»_______________________202_г.</w:t>
            </w:r>
            <w:bookmarkEnd w:id="243"/>
            <w:r/>
            <w:r/>
          </w:p>
        </w:tc>
      </w:tr>
    </w:tbl>
    <w:p>
      <w:pPr>
        <w:pStyle w:val="1531"/>
        <w:rPr>
          <w:rFonts w:ascii="Times New Roman" w:hAnsi="Times New Roman" w:cs="Times New Roman"/>
          <w:color w:val="800000"/>
          <w:sz w:val="26"/>
        </w:rPr>
      </w:pPr>
      <w:r>
        <w:rPr>
          <w:rFonts w:ascii="Times New Roman" w:hAnsi="Times New Roman" w:cs="Times New Roman"/>
          <w:color w:val="800000"/>
          <w:sz w:val="26"/>
        </w:rPr>
      </w:r>
      <w:r>
        <w:rPr>
          <w:rFonts w:ascii="Times New Roman" w:hAnsi="Times New Roman" w:cs="Times New Roman"/>
          <w:color w:val="800000"/>
          <w:sz w:val="26"/>
        </w:rPr>
      </w:r>
      <w:r>
        <w:rPr>
          <w:rFonts w:ascii="Times New Roman" w:hAnsi="Times New Roman" w:cs="Times New Roman"/>
          <w:color w:val="800000"/>
          <w:sz w:val="26"/>
        </w:rPr>
      </w:r>
    </w:p>
    <w:sectPr>
      <w:headerReference w:type="default" r:id="rId19"/>
      <w:footerReference w:type="default" r:id="rId30"/>
      <w:footnotePr/>
      <w:endnotePr/>
      <w:type w:val="nextPage"/>
      <w:pgSz w:w="11906" w:h="16838" w:orient="portrait"/>
      <w:pgMar w:top="1134" w:right="850" w:bottom="1134" w:left="1701" w:header="284" w:footer="28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B0609070205080204"/>
  </w:font>
  <w:font w:name="Cambria">
    <w:panose1 w:val="02040503050406030204"/>
  </w:font>
  <w:font w:name="WenQuanYi Micro Hei">
    <w:panose1 w:val="02000603000000000000"/>
  </w:font>
  <w:font w:name="Wingdings">
    <w:panose1 w:val="05000000000000000000"/>
  </w:font>
  <w:font w:name="Times New Roman Полужирный">
    <w:panose1 w:val="02020603050405020304"/>
  </w:font>
  <w:font w:name="Symbol">
    <w:panose1 w:val="05050102010706020507"/>
  </w:font>
  <w:font w:name="Droid Sans Fallback">
    <w:panose1 w:val="020B0502000000000001"/>
  </w:font>
  <w:font w:name=".AppleSystemUIFont">
    <w:panose1 w:val="02000603000000000000"/>
  </w:font>
  <w:font w:name="Cambria Math">
    <w:panose1 w:val="02040503050406030204"/>
  </w:font>
  <w:font w:name="Liberation Serif">
    <w:panose1 w:val="02020603050405020304"/>
  </w:font>
  <w:font w:name="Segoe UI">
    <w:panose1 w:val="020B0502040204020203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FreeSans">
    <w:panose1 w:val="02000603000000000000"/>
  </w:font>
  <w:font w:name="SimSun">
    <w:panose1 w:val="02010600030101010101"/>
  </w:font>
  <w:font w:name="OpenSymbol">
    <w:panose1 w:val="05010000000000000000"/>
  </w:font>
  <w:font w:name="Lohit Devanagari">
    <w:panose1 w:val="02000603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F">
    <w:panose1 w:val="04060505060202020A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503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50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16778544"/>
      <w:docPartObj>
        <w:docPartGallery w:val="Page Numbers (Bottom of Page)"/>
        <w:docPartUnique w:val="true"/>
      </w:docPartObj>
      <w:rPr/>
    </w:sdtPr>
    <w:sdtContent>
      <w:p>
        <w:pPr>
          <w:pStyle w:val="1503"/>
          <w:rPr>
            <w:rStyle w:val="1535"/>
          </w:rPr>
          <w:framePr w:wrap="none" w:vAnchor="text" w:hAnchor="margin" w:xAlign="center" w:y="1"/>
        </w:pPr>
        <w:r>
          <w:rPr>
            <w:rStyle w:val="1535"/>
          </w:rPr>
          <w:fldChar w:fldCharType="begin"/>
        </w:r>
        <w:r>
          <w:rPr>
            <w:rStyle w:val="1535"/>
          </w:rPr>
          <w:instrText xml:space="preserve"> PAGE </w:instrText>
        </w:r>
        <w:r>
          <w:rPr>
            <w:rStyle w:val="1535"/>
          </w:rPr>
          <w:fldChar w:fldCharType="separate"/>
        </w:r>
        <w:r>
          <w:rPr>
            <w:rStyle w:val="1535"/>
          </w:rPr>
          <w:t xml:space="preserve">12</w:t>
        </w:r>
        <w:r>
          <w:rPr>
            <w:rStyle w:val="1535"/>
          </w:rPr>
          <w:fldChar w:fldCharType="end"/>
        </w:r>
        <w:r>
          <w:rPr>
            <w:rStyle w:val="1535"/>
          </w:rPr>
        </w:r>
        <w:r>
          <w:rPr>
            <w:rStyle w:val="1535"/>
          </w:rPr>
        </w:r>
      </w:p>
    </w:sdtContent>
  </w:sdt>
  <w:p>
    <w:pPr>
      <w:pStyle w:val="150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503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44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46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49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54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56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57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63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65</w:t>
    </w:r>
    <w:r>
      <w:fldChar w:fldCharType="end"/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color w:val="000000"/>
      </w:rPr>
    </w:pP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  <w:r>
      <w:rPr>
        <w:rFonts w:ascii="Arial" w:hAnsi="Arial" w:eastAsia="Arial" w:cs="Arial"/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pStyle w:val="1586"/>
        <w:ind w:left="0"/>
        <w:widowControl w:val="off"/>
      </w:pPr>
      <w:r>
        <w:rPr>
          <w:rStyle w:val="1587"/>
        </w:rPr>
        <w:footnoteRef/>
      </w:r>
      <w:r>
        <w:t xml:space="preserve"> Перечень ключевого функционала Системы определяется Исполнителем по согласованию с Заказчиком в Едином регламенте оказания услуг.</w:t>
      </w:r>
      <w:r/>
    </w:p>
  </w:footnote>
  <w:footnote w:id="3">
    <w:p>
      <w:pPr>
        <w:pStyle w:val="1586"/>
        <w:ind w:left="0"/>
        <w:widowControl w:val="off"/>
      </w:pPr>
      <w:r>
        <w:rPr>
          <w:rStyle w:val="1587"/>
        </w:rPr>
        <w:footnoteRef/>
      </w:r>
      <w:r>
        <w:t xml:space="preserve"> </w:t>
      </w:r>
      <w:bookmarkStart w:id="148" w:name="_Hlk160196232_Копия_1"/>
      <w:r/>
      <w:bookmarkStart w:id="149" w:name="_Hlk159325369_Копия_1"/>
      <w:r>
        <w:t xml:space="preserve">Список виртуальных машин для создания резервных копий указывается в документе «Единый регламент оказания услуг»</w:t>
      </w:r>
      <w:bookmarkEnd w:id="148"/>
      <w:r/>
      <w:bookmarkEnd w:id="149"/>
      <w:r/>
      <w:r/>
    </w:p>
  </w:footnote>
  <w:footnote w:id="4">
    <w:p>
      <w:pPr>
        <w:pStyle w:val="1586"/>
        <w:ind w:left="0"/>
        <w:widowControl w:val="off"/>
      </w:pPr>
      <w:r>
        <w:rPr>
          <w:rStyle w:val="1587"/>
        </w:rPr>
        <w:footnoteRef/>
      </w:r>
      <w:r>
        <w:t xml:space="preserve">  </w:t>
      </w:r>
      <w:bookmarkStart w:id="154" w:name="_Hlk160196466_Копия_1"/>
      <w:r>
        <w:t xml:space="preserve">Список виртуальных машин для контрольного восстановления указывается в документе «Единый регламент оказания услуг»</w:t>
      </w:r>
      <w:bookmarkEnd w:id="154"/>
      <w:r/>
      <w:r/>
    </w:p>
  </w:footnote>
  <w:footnote w:id="5">
    <w:p>
      <w:pPr>
        <w:pStyle w:val="1586"/>
        <w:ind w:left="0"/>
        <w:widowControl w:val="off"/>
      </w:pPr>
      <w:r>
        <w:rPr>
          <w:rStyle w:val="1587"/>
        </w:rPr>
        <w:footnoteRef/>
      </w:r>
      <w:r>
        <w:t xml:space="preserve"> Подготовительные мероприятия оплате не подлежат</w:t>
      </w:r>
      <w:r/>
    </w:p>
  </w:footnote>
  <w:footnote w:id="6">
    <w:p>
      <w:pPr>
        <w:pStyle w:val="1586"/>
        <w:ind w:left="0"/>
        <w:widowControl w:val="off"/>
      </w:pPr>
      <w:r>
        <w:rPr>
          <w:rStyle w:val="1587"/>
        </w:rPr>
        <w:t xml:space="preserve">6</w:t>
      </w:r>
      <w:r>
        <w:t xml:space="preserve"> Порядок оформления и предъявления отчетной документации обозначен в п.1.8 настоящего ТЗ</w:t>
      </w:r>
      <w:r/>
    </w:p>
  </w:footnote>
  <w:footnote w:id="7">
    <w:p>
      <w:pPr>
        <w:pStyle w:val="1586"/>
        <w:ind w:left="0"/>
        <w:widowControl w:val="off"/>
      </w:pPr>
      <w:r/>
      <w:r/>
    </w:p>
  </w:footnote>
  <w:footnote w:id="8">
    <w:p>
      <w:pPr>
        <w:pStyle w:val="1504"/>
      </w:pPr>
      <w:r/>
      <w:r/>
    </w:p>
  </w:footnote>
  <w:footnote w:id="9">
    <w:p>
      <w:pPr>
        <w:pStyle w:val="1586"/>
        <w:ind w:left="0"/>
        <w:widowControl w:val="off"/>
      </w:pPr>
      <w:r>
        <w:rPr>
          <w:rStyle w:val="1587"/>
        </w:rPr>
        <w:footnoteRef/>
      </w:r>
      <w:r>
        <w:t xml:space="preserve"> </w:t>
      </w:r>
      <w:bookmarkStart w:id="199" w:name="_Hlk144999471_Копия_1"/>
      <w:r>
        <w:t xml:space="preserve">Перечень ключевого функционала Системы </w:t>
      </w:r>
      <w:bookmarkEnd w:id="199"/>
      <w:r>
        <w:t xml:space="preserve">приводится в Едином регламенте оказания услуг.</w:t>
      </w:r>
      <w:r/>
    </w:p>
  </w:footnote>
  <w:footnote w:id="10">
    <w:p>
      <w:pPr>
        <w:pStyle w:val="1586"/>
        <w:ind w:left="0" w:right="0" w:firstLine="0"/>
        <w:widowControl w:val="off"/>
      </w:pPr>
      <w:r>
        <w:rPr>
          <w:rStyle w:val="1587"/>
        </w:rPr>
        <w:footnoteRef/>
      </w:r>
      <w:r>
        <w:t xml:space="preserve"> </w:t>
      </w:r>
      <w:bookmarkStart w:id="205" w:name="_Hlk119409660_Копия_1"/>
      <w:r>
        <w:t xml:space="preserve">Отчет об уровне оказания услуг и приложения к нему формируются по результатам оказания услуг 1 – 3 этапов. Порядок оформления и предъявления отчетной документации обозначен в п.1.8 настоящего ТЗ</w:t>
      </w:r>
      <w:bookmarkEnd w:id="205"/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rPr>
        <w:rFonts w:ascii="Arial" w:hAnsi="Arial" w:eastAsia="Arial" w:cs="Arial"/>
        <w:i/>
        <w:color w:val="000000"/>
      </w:rPr>
    </w:pP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</w:p>
  <w:p>
    <w:pPr>
      <w:pStyle w:val="1499"/>
      <w:ind w:firstLine="0"/>
      <w:jc w:val="left"/>
      <w:rPr>
        <w:rFonts w:ascii="Arial" w:hAnsi="Arial" w:eastAsia="Arial" w:cs="Arial"/>
        <w:i/>
        <w:color w:val="000000"/>
      </w:rPr>
    </w:pP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</w:p>
  <w:p>
    <w:pPr>
      <w:pStyle w:val="1499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  <w:p>
    <w:pPr>
      <w:pStyle w:val="1499"/>
      <w:ind w:firstLine="0"/>
      <w:jc w:val="left"/>
      <w:spacing w:line="276" w:lineRule="auto"/>
      <w:widowControl w:val="off"/>
      <w:rPr>
        <w:rFonts w:ascii="Arial" w:hAnsi="Arial" w:eastAsia="Arial" w:cs="Arial"/>
        <w:i/>
        <w:color w:val="000000"/>
      </w:rPr>
    </w:pPr>
    <w:r>
      <w:fldChar w:fldCharType="begin"/>
    </w:r>
    <w:r>
      <w:instrText xml:space="preserve">PAGE</w:instrText>
    </w:r>
    <w:r>
      <w:fldChar w:fldCharType="separate"/>
    </w:r>
    <w:r>
      <w:t xml:space="preserve">0</w:t>
    </w:r>
    <w:r>
      <w:fldChar w:fldCharType="end"/>
    </w: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</w:p>
  <w:p>
    <w:pPr>
      <w:pStyle w:val="1499"/>
      <w:ind w:firstLine="0"/>
      <w:jc w:val="left"/>
      <w:spacing w:line="276" w:lineRule="auto"/>
      <w:widowControl w:val="off"/>
      <w:rPr>
        <w:rFonts w:ascii="Arial" w:hAnsi="Arial" w:eastAsia="Arial" w:cs="Arial"/>
        <w:i/>
        <w:color w:val="000000"/>
      </w:rPr>
    </w:pP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  <w:r>
      <w:rPr>
        <w:rFonts w:ascii="Arial" w:hAnsi="Arial" w:eastAsia="Arial" w:cs="Arial"/>
        <w:i/>
        <w:color w:val="00000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99"/>
      <w:ind w:firstLine="0"/>
      <w:jc w:val="center"/>
      <w:spacing w:before="120" w:after="120"/>
      <w:rPr>
        <w:color w:val="000000"/>
      </w:rP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5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1">
    <w:multiLevelType w:val="hybridMultilevel"/>
    <w:numStyleLink w:val="156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0"/>
        <w:szCs w:val="20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3">
    <w:multiLevelType w:val="hybridMultilevel"/>
    <w:styleLink w:val="1577"/>
    <w:lvl w:ilvl="0">
      <w:start w:val="1"/>
      <w:numFmt w:val="decimal"/>
      <w:pStyle w:val="1577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3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styleLink w:val="1598"/>
    <w:lvl w:ilvl="0">
      <w:start w:val="1"/>
      <w:numFmt w:val="bullet"/>
      <w:pStyle w:val="1598"/>
      <w:isLgl w:val="false"/>
      <w:suff w:val="tab"/>
      <w:lvlText w:val="‒"/>
      <w:lvlJc w:val="left"/>
      <w:pPr>
        <w:ind w:left="1276" w:hanging="426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‒"/>
      <w:lvlJc w:val="left"/>
      <w:pPr>
        <w:ind w:left="1701" w:hanging="425"/>
      </w:pPr>
      <w:rPr>
        <w:rFonts w:ascii="Times New Roman" w:hAnsi="Times New Roman"/>
      </w:rPr>
    </w:lvl>
    <w:lvl w:ilvl="2">
      <w:start w:val="1"/>
      <w:numFmt w:val="bullet"/>
      <w:isLgl w:val="false"/>
      <w:suff w:val="tab"/>
      <w:lvlText w:val="–"/>
      <w:lvlJc w:val="left"/>
      <w:pPr>
        <w:ind w:left="510" w:hanging="170"/>
      </w:pPr>
      <w:rPr>
        <w:rFonts w:ascii="OpenSymbol" w:hAnsi="OpenSymbol"/>
      </w:rPr>
    </w:lvl>
    <w:lvl w:ilvl="3">
      <w:start w:val="1"/>
      <w:numFmt w:val="bullet"/>
      <w:isLgl w:val="false"/>
      <w:suff w:val="tab"/>
      <w:lvlText w:val="–"/>
      <w:lvlJc w:val="left"/>
      <w:pPr>
        <w:ind w:left="680" w:hanging="170"/>
      </w:pPr>
      <w:rPr>
        <w:rFonts w:ascii="OpenSymbol" w:hAnsi="OpenSymbol"/>
      </w:rPr>
    </w:lvl>
    <w:lvl w:ilvl="4">
      <w:start w:val="1"/>
      <w:numFmt w:val="bullet"/>
      <w:isLgl w:val="false"/>
      <w:suff w:val="tab"/>
      <w:lvlText w:val="–"/>
      <w:lvlJc w:val="left"/>
      <w:pPr>
        <w:ind w:left="850" w:hanging="170"/>
      </w:pPr>
      <w:rPr>
        <w:rFonts w:ascii="OpenSymbol" w:hAnsi="OpenSymbol"/>
      </w:rPr>
    </w:lvl>
    <w:lvl w:ilvl="5">
      <w:start w:val="1"/>
      <w:numFmt w:val="bullet"/>
      <w:isLgl w:val="false"/>
      <w:suff w:val="tab"/>
      <w:lvlText w:val="–"/>
      <w:lvlJc w:val="left"/>
      <w:pPr>
        <w:ind w:left="1020" w:hanging="170"/>
      </w:pPr>
      <w:rPr>
        <w:rFonts w:ascii="OpenSymbol" w:hAnsi="OpenSymbol"/>
      </w:rPr>
    </w:lvl>
    <w:lvl w:ilvl="6">
      <w:start w:val="1"/>
      <w:numFmt w:val="bullet"/>
      <w:isLgl w:val="false"/>
      <w:suff w:val="tab"/>
      <w:lvlText w:val="–"/>
      <w:lvlJc w:val="left"/>
      <w:pPr>
        <w:ind w:left="1191" w:hanging="170"/>
      </w:pPr>
      <w:rPr>
        <w:rFonts w:ascii="OpenSymbol" w:hAnsi="OpenSymbol"/>
      </w:rPr>
    </w:lvl>
    <w:lvl w:ilvl="7">
      <w:start w:val="1"/>
      <w:numFmt w:val="bullet"/>
      <w:isLgl w:val="false"/>
      <w:suff w:val="tab"/>
      <w:lvlText w:val="–"/>
      <w:lvlJc w:val="left"/>
      <w:pPr>
        <w:ind w:left="1361" w:hanging="170"/>
      </w:pPr>
      <w:rPr>
        <w:rFonts w:ascii="OpenSymbol" w:hAnsi="OpenSymbol"/>
      </w:rPr>
    </w:lvl>
    <w:lvl w:ilvl="8">
      <w:start w:val="1"/>
      <w:numFmt w:val="bullet"/>
      <w:isLgl w:val="false"/>
      <w:suff w:val="tab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7">
    <w:multiLevelType w:val="hybridMultilevel"/>
    <w:lvl w:ilvl="0">
      <w:start w:val="1"/>
      <w:numFmt w:val="decimal"/>
      <w:pStyle w:val="1599"/>
      <w:isLgl w:val="false"/>
      <w:suff w:val="tab"/>
      <w:lvlText w:val="%1"/>
      <w:lvlJc w:val="center"/>
      <w:pPr>
        <w:ind w:left="1571" w:hanging="360"/>
      </w:pPr>
      <w:rPr>
        <w:rFonts w:hint="default"/>
        <w:b/>
        <w:bCs/>
        <w:i w:val="0"/>
        <w:sz w:val="32"/>
        <w:szCs w:val="32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8">
    <w:multiLevelType w:val="hybridMultilevel"/>
    <w:lvl w:ilvl="0">
      <w:start w:val="1"/>
      <w:numFmt w:val="bullet"/>
      <w:pStyle w:val="1541"/>
      <w:isLgl w:val="false"/>
      <w:suff w:val="tab"/>
      <w:lvlText w:val=""/>
      <w:lvlJc w:val="left"/>
      <w:pPr>
        <w:ind w:left="1208" w:hanging="357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1928" w:hanging="357"/>
        <w:tabs>
          <w:tab w:val="num" w:pos="1571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517" w:hanging="357"/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6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088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808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528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248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968" w:hanging="357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154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styleLink w:val="1590"/>
    <w:lvl w:ilvl="0">
      <w:start w:val="1"/>
      <w:numFmt w:val="bullet"/>
      <w:pStyle w:val="1590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bullet"/>
      <w:pStyle w:val="1565"/>
      <w:isLgl w:val="false"/>
      <w:suff w:val="tab"/>
      <w:lvlText w:val=""/>
      <w:lvlJc w:val="left"/>
      <w:pPr>
        <w:ind w:left="1276" w:hanging="426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68" w:hanging="35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88" w:hanging="357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808" w:hanging="357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528" w:hanging="357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248" w:hanging="357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968" w:hanging="357"/>
      </w:pPr>
    </w:lvl>
  </w:abstractNum>
  <w:abstractNum w:abstractNumId="14">
    <w:multiLevelType w:val="hybridMultilevel"/>
    <w:lvl w:ilvl="0">
      <w:start w:val="1"/>
      <w:numFmt w:val="bullet"/>
      <w:isLgl/>
      <w:suff w:val="tab"/>
      <w:lvlText w:val=""/>
      <w:lvlJc w:val="left"/>
      <w:pPr>
        <w:ind w:left="1276" w:hanging="426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1">
      <w:start w:val="1"/>
      <w:numFmt w:val="bullet"/>
      <w:isLgl/>
      <w:suff w:val="tab"/>
      <w:lvlText w:val=""/>
      <w:lvlJc w:val="left"/>
      <w:pPr>
        <w:ind w:left="1928" w:hanging="357"/>
        <w:tabs>
          <w:tab w:val="num" w:pos="0" w:leader="none"/>
        </w:tabs>
      </w:pPr>
      <w:rPr>
        <w:rFonts w:hint="default" w:ascii="Symbol" w:hAnsi="Symbol" w:cs="Symbol"/>
      </w:rPr>
    </w:lvl>
    <w:lvl w:ilvl="2">
      <w:start w:val="1"/>
      <w:numFmt w:val="bullet"/>
      <w:isLgl/>
      <w:suff w:val="tab"/>
      <w:lvlText w:val=""/>
      <w:lvlJc w:val="left"/>
      <w:pPr>
        <w:ind w:left="2517" w:hanging="357"/>
        <w:tabs>
          <w:tab w:val="num" w:pos="0" w:leader="none"/>
        </w:tabs>
      </w:pPr>
      <w:rPr>
        <w:rFonts w:hint="default" w:ascii="Symbol" w:hAnsi="Symbol" w:cs="Symbol"/>
      </w:rPr>
    </w:lvl>
    <w:lvl w:ilvl="3">
      <w:start w:val="1"/>
      <w:numFmt w:val="decimal"/>
      <w:isLgl/>
      <w:suff w:val="tab"/>
      <w:lvlText w:val="%1.%2.%3.%4."/>
      <w:lvlJc w:val="left"/>
      <w:pPr>
        <w:ind w:left="3368" w:hanging="357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4088" w:hanging="357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4808" w:hanging="357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5528" w:hanging="357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6248" w:hanging="357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6968" w:hanging="357"/>
        <w:tabs>
          <w:tab w:val="num" w:pos="0" w:leader="none"/>
        </w:tabs>
      </w:pPr>
    </w:lvl>
  </w:abstractNum>
  <w:abstractNum w:abstractNumId="15">
    <w:multiLevelType w:val="hybridMultilevel"/>
    <w:styleLink w:val="1589"/>
    <w:lvl w:ilvl="0">
      <w:start w:val="1"/>
      <w:numFmt w:val="bullet"/>
      <w:pStyle w:val="1589"/>
      <w:isLgl w:val="false"/>
      <w:suff w:val="tab"/>
      <w:lvlText w:val=""/>
      <w:lvlJc w:val="left"/>
      <w:pPr>
        <w:ind w:left="0" w:firstLine="709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3" w:hanging="720"/>
        <w:tabs>
          <w:tab w:val="num" w:pos="283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numStyleLink w:val="1580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styleLink w:val="1593"/>
    <w:lvl w:ilvl="0">
      <w:start w:val="1"/>
      <w:numFmt w:val="none"/>
      <w:pStyle w:val="1593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none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none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none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none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none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none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none"/>
      <w:isLgl w:val="false"/>
      <w:suff w:val="tab"/>
      <w:lvlText w:val="%9."/>
      <w:lvlJc w:val="left"/>
      <w:pPr>
        <w:ind w:left="3600" w:hanging="36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styleLink w:val="1548"/>
    <w:lvl w:ilvl="0">
      <w:start w:val="1"/>
      <w:numFmt w:val="decimal"/>
      <w:pStyle w:val="1548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22">
    <w:multiLevelType w:val="hybridMultilevel"/>
    <w:styleLink w:val="1575"/>
    <w:lvl w:ilvl="0">
      <w:start w:val="1"/>
      <w:numFmt w:val="bullet"/>
      <w:pStyle w:val="1575"/>
      <w:isLgl w:val="false"/>
      <w:suff w:val="tab"/>
      <w:lvlText w:val="‒"/>
      <w:lvlJc w:val="left"/>
      <w:pPr>
        <w:ind w:left="1276" w:hanging="426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‒"/>
      <w:lvlJc w:val="left"/>
      <w:pPr>
        <w:ind w:left="1701" w:hanging="425"/>
      </w:pPr>
      <w:rPr>
        <w:rFonts w:ascii="Times New Roman" w:hAnsi="Times New Roman"/>
      </w:rPr>
    </w:lvl>
    <w:lvl w:ilvl="2">
      <w:start w:val="1"/>
      <w:numFmt w:val="bullet"/>
      <w:isLgl w:val="false"/>
      <w:suff w:val="tab"/>
      <w:lvlText w:val="–"/>
      <w:lvlJc w:val="left"/>
      <w:pPr>
        <w:ind w:left="510" w:hanging="170"/>
      </w:pPr>
      <w:rPr>
        <w:rFonts w:ascii="OpenSymbol" w:hAnsi="OpenSymbol"/>
      </w:rPr>
    </w:lvl>
    <w:lvl w:ilvl="3">
      <w:start w:val="1"/>
      <w:numFmt w:val="bullet"/>
      <w:isLgl w:val="false"/>
      <w:suff w:val="tab"/>
      <w:lvlText w:val="–"/>
      <w:lvlJc w:val="left"/>
      <w:pPr>
        <w:ind w:left="680" w:hanging="170"/>
      </w:pPr>
      <w:rPr>
        <w:rFonts w:ascii="OpenSymbol" w:hAnsi="OpenSymbol"/>
      </w:rPr>
    </w:lvl>
    <w:lvl w:ilvl="4">
      <w:start w:val="1"/>
      <w:numFmt w:val="bullet"/>
      <w:isLgl w:val="false"/>
      <w:suff w:val="tab"/>
      <w:lvlText w:val="–"/>
      <w:lvlJc w:val="left"/>
      <w:pPr>
        <w:ind w:left="850" w:hanging="170"/>
      </w:pPr>
      <w:rPr>
        <w:rFonts w:ascii="OpenSymbol" w:hAnsi="OpenSymbol"/>
      </w:rPr>
    </w:lvl>
    <w:lvl w:ilvl="5">
      <w:start w:val="1"/>
      <w:numFmt w:val="bullet"/>
      <w:isLgl w:val="false"/>
      <w:suff w:val="tab"/>
      <w:lvlText w:val="–"/>
      <w:lvlJc w:val="left"/>
      <w:pPr>
        <w:ind w:left="1020" w:hanging="170"/>
      </w:pPr>
      <w:rPr>
        <w:rFonts w:ascii="OpenSymbol" w:hAnsi="OpenSymbol"/>
      </w:rPr>
    </w:lvl>
    <w:lvl w:ilvl="6">
      <w:start w:val="1"/>
      <w:numFmt w:val="bullet"/>
      <w:isLgl w:val="false"/>
      <w:suff w:val="tab"/>
      <w:lvlText w:val="–"/>
      <w:lvlJc w:val="left"/>
      <w:pPr>
        <w:ind w:left="1191" w:hanging="170"/>
      </w:pPr>
      <w:rPr>
        <w:rFonts w:ascii="OpenSymbol" w:hAnsi="OpenSymbol"/>
      </w:rPr>
    </w:lvl>
    <w:lvl w:ilvl="7">
      <w:start w:val="1"/>
      <w:numFmt w:val="bullet"/>
      <w:isLgl w:val="false"/>
      <w:suff w:val="tab"/>
      <w:lvlText w:val="–"/>
      <w:lvlJc w:val="left"/>
      <w:pPr>
        <w:ind w:left="1361" w:hanging="170"/>
      </w:pPr>
      <w:rPr>
        <w:rFonts w:ascii="OpenSymbol" w:hAnsi="OpenSymbol"/>
      </w:rPr>
    </w:lvl>
    <w:lvl w:ilvl="8">
      <w:start w:val="1"/>
      <w:numFmt w:val="bullet"/>
      <w:isLgl w:val="false"/>
      <w:suff w:val="tab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23">
    <w:multiLevelType w:val="hybridMultilevel"/>
    <w:styleLink w:val="1597"/>
    <w:lvl w:ilvl="0">
      <w:start w:val="1"/>
      <w:numFmt w:val="decimal"/>
      <w:pStyle w:val="1597"/>
      <w:isLgl w:val="false"/>
      <w:suff w:val="tab"/>
      <w:lvlText w:val="%1"/>
      <w:lvlJc w:val="left"/>
      <w:pPr>
        <w:ind w:left="810" w:hanging="360"/>
      </w:pPr>
      <w:rPr>
        <w:color w:val="auto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5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7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27">
    <w:multiLevelType w:val="hybridMultilevel"/>
    <w:lvl w:ilvl="0">
      <w:start w:val="1"/>
      <w:numFmt w:val="bullet"/>
      <w:pStyle w:val="1561"/>
      <w:isLgl w:val="false"/>
      <w:suff w:val="tab"/>
      <w:lvlText w:val=""/>
      <w:lvlJc w:val="left"/>
      <w:pPr>
        <w:ind w:left="1495" w:hanging="360"/>
        <w:tabs>
          <w:tab w:val="num" w:pos="993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80" w:hanging="15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pStyle w:val="1557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spacing w:val="-1"/>
        <w:sz w:val="24"/>
        <w:szCs w:val="24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80" w:hanging="3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styleLink w:val="1594"/>
    <w:lvl w:ilvl="0">
      <w:start w:val="1"/>
      <w:numFmt w:val="bullet"/>
      <w:pStyle w:val="1594"/>
      <w:isLgl w:val="false"/>
      <w:suff w:val="tab"/>
      <w:lvlText w:val="-"/>
      <w:lvlJc w:val="left"/>
      <w:pPr>
        <w:ind w:left="0" w:firstLine="454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pStyle w:val="1611"/>
      <w:isLgl/>
      <w:suff w:val="tab"/>
      <w:lvlText w:val="А.%1"/>
      <w:lvlJc w:val="left"/>
      <w:pPr>
        <w:ind w:left="0" w:firstLine="851"/>
        <w:tabs>
          <w:tab w:val="num" w:pos="0" w:leader="none"/>
        </w:tabs>
      </w:pPr>
      <w:rPr>
        <w:b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  <w:tabs>
          <w:tab w:val="num" w:pos="0" w:leader="none"/>
        </w:tabs>
      </w:pPr>
      <w:rPr>
        <w:b/>
      </w:rPr>
    </w:lvl>
    <w:lvl w:ilvl="2">
      <w:start w:val="1"/>
      <w:numFmt w:val="decimal"/>
      <w:isLgl/>
      <w:suff w:val="tab"/>
      <w:lvlText w:val="%3."/>
      <w:lvlJc w:val="left"/>
      <w:pPr>
        <w:ind w:left="862" w:hanging="72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  <w:tabs>
          <w:tab w:val="num" w:pos="0" w:leader="none"/>
        </w:tabs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80" w:hanging="15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pStyle w:val="1605"/>
      <w:isLgl w:val="false"/>
      <w:suff w:val="tab"/>
      <w:lvlText w:val=""/>
      <w:lvlJc w:val="left"/>
      <w:pPr>
        <w:ind w:left="567" w:firstLine="454"/>
        <w:tabs>
          <w:tab w:val="num" w:pos="138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55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styleLink w:val="1607"/>
    <w:lvl w:ilvl="0">
      <w:start w:val="1"/>
      <w:numFmt w:val="decimal"/>
      <w:pStyle w:val="1607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isLgl w:val="false"/>
      <w:suff w:val="tab"/>
      <w:lvlText w:val="%3."/>
      <w:lvlJc w:val="left"/>
      <w:pPr>
        <w:ind w:left="86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3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6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styleLink w:val="1585"/>
    <w:lvl w:ilvl="0">
      <w:start w:val="1"/>
      <w:numFmt w:val="bullet"/>
      <w:pStyle w:val="1585"/>
      <w:isLgl w:val="false"/>
      <w:suff w:val="tab"/>
      <w:lvlText w:val="–"/>
      <w:lvlJc w:val="left"/>
      <w:pPr>
        <w:ind w:left="1276" w:hanging="4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23" w:hanging="3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styleLink w:val="1592"/>
    <w:lvl w:ilvl="0">
      <w:start w:val="1"/>
      <w:numFmt w:val="bullet"/>
      <w:pStyle w:val="1592"/>
      <w:isLgl w:val="false"/>
      <w:suff w:val="tab"/>
      <w:lvlText w:val=""/>
      <w:lvlJc w:val="left"/>
      <w:pPr>
        <w:ind w:left="1208" w:hanging="357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68" w:hanging="35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88" w:hanging="357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808" w:hanging="357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528" w:hanging="357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248" w:hanging="357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968" w:hanging="357"/>
      </w:pPr>
    </w:lvl>
  </w:abstractNum>
  <w:abstractNum w:abstractNumId="48">
    <w:multiLevelType w:val="hybridMultilevel"/>
    <w:styleLink w:val="1608"/>
    <w:lvl w:ilvl="0">
      <w:start w:val="1"/>
      <w:numFmt w:val="decimal"/>
      <w:pStyle w:val="1608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9">
    <w:multiLevelType w:val="hybridMultilevel"/>
    <w:lvl w:ilvl="0">
      <w:start w:val="1"/>
      <w:numFmt w:val="bullet"/>
      <w:pStyle w:val="1572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styleLink w:val="1579"/>
    <w:lvl w:ilvl="0">
      <w:start w:val="1"/>
      <w:numFmt w:val="decimal"/>
      <w:pStyle w:val="1579"/>
      <w:isLgl w:val="false"/>
      <w:suff w:val="tab"/>
      <w:lvlText w:val="%1)"/>
      <w:lvlJc w:val="left"/>
      <w:pPr>
        <w:ind w:left="1276" w:hanging="426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styleLink w:val="1580"/>
    <w:lvl w:ilvl="0">
      <w:start w:val="1"/>
      <w:numFmt w:val="decimal"/>
      <w:pStyle w:val="1580"/>
      <w:isLgl w:val="false"/>
      <w:suff w:val="tab"/>
      <w:lvlText w:val="%1"/>
      <w:lvlJc w:val="left"/>
      <w:pPr>
        <w:ind w:left="851" w:firstLine="0"/>
      </w:pPr>
    </w:lvl>
    <w:lvl w:ilvl="1">
      <w:start w:val="1"/>
      <w:numFmt w:val="decimal"/>
      <w:pStyle w:val="1603"/>
      <w:isLgl w:val="false"/>
      <w:suff w:val="tab"/>
      <w:lvlText w:val="%1.%2"/>
      <w:lvlJc w:val="left"/>
      <w:pPr>
        <w:ind w:left="851" w:firstLine="0"/>
      </w:pPr>
    </w:lvl>
    <w:lvl w:ilvl="2">
      <w:start w:val="1"/>
      <w:numFmt w:val="decimal"/>
      <w:isLgl w:val="false"/>
      <w:suff w:val="tab"/>
      <w:lvlText w:val="%1.%2.%3"/>
      <w:lvlJc w:val="left"/>
      <w:pPr>
        <w:ind w:left="851" w:firstLine="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51" w:firstLine="0"/>
      </w:pPr>
      <w:rPr>
        <w:rFonts w:ascii="Times New Roman Полужирный" w:hAnsi="Times New Roman Полужирный"/>
        <w:b/>
        <w:i w:val="0"/>
        <w:caps w:val="0"/>
        <w:smallCaps w:val="0"/>
        <w:strike w:val="0"/>
        <w:vanish w:val="0"/>
        <w:position w:val="0"/>
        <w:sz w:val="26"/>
        <w:vertAlign w:val="baseli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851" w:firstLine="0"/>
      </w:pPr>
      <w:rPr>
        <w:rFonts w:ascii="Times New Roman Полужирный" w:hAnsi="Times New Roman Полужирный"/>
        <w:b/>
        <w:i w:val="0"/>
        <w:caps w:val="0"/>
        <w:smallCaps w:val="0"/>
        <w:strike w:val="0"/>
        <w:vanish w:val="0"/>
        <w:position w:val="0"/>
        <w:sz w:val="26"/>
        <w:vertAlign w:val="baseline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51" w:firstLine="0"/>
      </w:pPr>
    </w:lvl>
    <w:lvl w:ilvl="6">
      <w:start w:val="1"/>
      <w:numFmt w:val="none"/>
      <w:isLgl w:val="false"/>
      <w:suff w:val="tab"/>
      <w:lvlText w:val="%7"/>
      <w:lvlJc w:val="left"/>
      <w:pPr/>
    </w:lvl>
    <w:lvl w:ilvl="7">
      <w:start w:val="1"/>
      <w:numFmt w:val="none"/>
      <w:isLgl w:val="false"/>
      <w:suff w:val="tab"/>
      <w:lvlText w:val="%8"/>
      <w:lvlJc w:val="left"/>
      <w:pPr/>
    </w:lvl>
    <w:lvl w:ilvl="8">
      <w:start w:val="1"/>
      <w:numFmt w:val="none"/>
      <w:isLgl w:val="false"/>
      <w:suff w:val="tab"/>
      <w:lvlText w:val="%9"/>
      <w:lvlJc w:val="left"/>
      <w:pPr/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А.%1"/>
      <w:lvlJc w:val="center"/>
      <w:pPr>
        <w:ind w:left="720" w:hanging="720"/>
        <w:tabs>
          <w:tab w:val="num" w:pos="0" w:leader="none"/>
        </w:tabs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sz w:val="24"/>
        <w:szCs w:val="24"/>
      </w:rPr>
    </w:lvl>
    <w:lvl w:ilvl="1">
      <w:start w:val="1"/>
      <w:numFmt w:val="decimal"/>
      <w:isLgl w:val="false"/>
      <w:suff w:val="tab"/>
      <w:lvlText w:val="4.%2."/>
      <w:lvlJc w:val="left"/>
      <w:pPr>
        <w:ind w:left="1080" w:hanging="360"/>
        <w:tabs>
          <w:tab w:val="num" w:pos="0" w:leader="none"/>
        </w:tabs>
      </w:pPr>
      <w:rPr>
        <w:b/>
        <w:i w:val="0"/>
        <w:sz w:val="28"/>
        <w:szCs w:val="28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0" w:leader="none"/>
        </w:tabs>
      </w:p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80" w:hanging="3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styleLink w:val="1569"/>
    <w:lvl w:ilvl="0">
      <w:start w:val="1"/>
      <w:numFmt w:val="decimal"/>
      <w:pStyle w:val="1569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571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60">
    <w:multiLevelType w:val="hybridMultilevel"/>
    <w:styleLink w:val="1566"/>
    <w:lvl w:ilvl="0">
      <w:start w:val="1"/>
      <w:numFmt w:val="bullet"/>
      <w:pStyle w:val="1566"/>
      <w:isLgl w:val="false"/>
      <w:suff w:val="tab"/>
      <w:lvlText w:val=""/>
      <w:lvlJc w:val="left"/>
      <w:pPr>
        <w:ind w:left="1276" w:hanging="426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1928" w:hanging="357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517" w:hanging="357"/>
      </w:pPr>
      <w:rPr>
        <w:rFonts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368" w:hanging="35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88" w:hanging="357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808" w:hanging="357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528" w:hanging="357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248" w:hanging="357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968" w:hanging="357"/>
      </w:pPr>
    </w:lvl>
  </w:abstractNum>
  <w:abstractNum w:abstractNumId="61">
    <w:multiLevelType w:val="hybridMultilevel"/>
    <w:styleLink w:val="1588"/>
    <w:lvl w:ilvl="0">
      <w:start w:val="1"/>
      <w:numFmt w:val="bullet"/>
      <w:pStyle w:val="1588"/>
      <w:isLgl w:val="false"/>
      <w:suff w:val="tab"/>
      <w:lvlText w:val="–"/>
      <w:lvlJc w:val="left"/>
      <w:pPr>
        <w:ind w:left="1635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35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1" w:hanging="425"/>
      </w:pPr>
      <w:rPr>
        <w:rFonts w:ascii="Times New Roman" w:hAnsi="Times New Roman" w:eastAsia="OpenSymbol" w:cs="Open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 w:cs="Times New Roman"/>
        <w:color w:val="auto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1276" w:hanging="426"/>
      </w:pPr>
      <w:rPr>
        <w:rFonts w:ascii="Times New Roman" w:hAnsi="Times New Roman" w:eastAsia="OpenSymbol" w:cs="Open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</w:pPr>
    </w:lvl>
  </w:abstractNum>
  <w:abstractNum w:abstractNumId="66">
    <w:multiLevelType w:val="hybridMultilevel"/>
    <w:numStyleLink w:val="156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numStyleLink w:val="156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53"/>
  </w:num>
  <w:num w:numId="3">
    <w:abstractNumId w:val="56"/>
  </w:num>
  <w:num w:numId="4">
    <w:abstractNumId w:val="24"/>
  </w:num>
  <w:num w:numId="5">
    <w:abstractNumId w:val="55"/>
  </w:num>
  <w:num w:numId="6">
    <w:abstractNumId w:val="12"/>
  </w:num>
  <w:num w:numId="7">
    <w:abstractNumId w:val="0"/>
  </w:num>
  <w:num w:numId="8">
    <w:abstractNumId w:val="16"/>
  </w:num>
  <w:num w:numId="9">
    <w:abstractNumId w:val="2"/>
  </w:num>
  <w:num w:numId="10">
    <w:abstractNumId w:val="26"/>
  </w:num>
  <w:num w:numId="11">
    <w:abstractNumId w:val="4"/>
  </w:num>
  <w:num w:numId="12">
    <w:abstractNumId w:val="9"/>
  </w:num>
  <w:num w:numId="13">
    <w:abstractNumId w:val="8"/>
  </w:num>
  <w:num w:numId="14">
    <w:abstractNumId w:val="21"/>
  </w:num>
  <w:num w:numId="15">
    <w:abstractNumId w:val="54"/>
  </w:num>
  <w:num w:numId="16">
    <w:abstractNumId w:val="29"/>
  </w:num>
  <w:num w:numId="17">
    <w:abstractNumId w:val="27"/>
  </w:num>
  <w:num w:numId="18">
    <w:abstractNumId w:val="13"/>
  </w:num>
  <w:num w:numId="19">
    <w:abstractNumId w:val="58"/>
  </w:num>
  <w:num w:numId="20">
    <w:abstractNumId w:val="49"/>
  </w:num>
  <w:num w:numId="21">
    <w:abstractNumId w:val="22"/>
  </w:num>
  <w:num w:numId="22">
    <w:abstractNumId w:val="15"/>
  </w:num>
  <w:num w:numId="23">
    <w:abstractNumId w:val="65"/>
  </w:num>
  <w:num w:numId="24">
    <w:abstractNumId w:val="50"/>
  </w:num>
  <w:num w:numId="25">
    <w:abstractNumId w:val="50"/>
    <w:lvlOverride w:ilvl="0">
      <w:startOverride w:val="1"/>
    </w:lvlOverride>
  </w:num>
  <w:num w:numId="26">
    <w:abstractNumId w:val="62"/>
  </w:num>
  <w:num w:numId="27">
    <w:abstractNumId w:val="52"/>
  </w:num>
  <w:num w:numId="28">
    <w:abstractNumId w:val="43"/>
  </w:num>
  <w:num w:numId="29">
    <w:abstractNumId w:val="43"/>
  </w:num>
  <w:num w:numId="30">
    <w:abstractNumId w:val="61"/>
  </w:num>
  <w:num w:numId="31">
    <w:abstractNumId w:val="47"/>
  </w:num>
  <w:num w:numId="32">
    <w:abstractNumId w:val="19"/>
  </w:num>
  <w:num w:numId="33">
    <w:abstractNumId w:val="32"/>
  </w:num>
  <w:num w:numId="34">
    <w:abstractNumId w:val="32"/>
  </w:num>
  <w:num w:numId="35">
    <w:abstractNumId w:val="23"/>
  </w:num>
  <w:num w:numId="36">
    <w:abstractNumId w:val="23"/>
    <w:lvlOverride w:ilvl="0">
      <w:startOverride w:val="1"/>
    </w:lvlOverride>
  </w:num>
  <w:num w:numId="37">
    <w:abstractNumId w:val="45"/>
  </w:num>
  <w:num w:numId="38">
    <w:abstractNumId w:val="6"/>
  </w:num>
  <w:num w:numId="39">
    <w:abstractNumId w:val="7"/>
  </w:num>
  <w:num w:numId="40">
    <w:abstractNumId w:val="18"/>
    <w:lvlOverride w:ilvl="1">
      <w:lvl w:ilvl="1">
        <w:start w:val="1"/>
        <w:numFmt w:val="decimal"/>
        <w:pStyle w:val="1603"/>
        <w:isLgl w:val="false"/>
        <w:suff w:val="tab"/>
        <w:lvlText w:val="%1.%2"/>
        <w:lvlJc w:val="left"/>
        <w:pPr>
          <w:ind w:left="851" w:firstLine="0"/>
        </w:pPr>
        <w:rPr>
          <w:sz w:val="28"/>
          <w:szCs w:val="28"/>
        </w:rPr>
      </w:lvl>
    </w:lvlOverride>
  </w:num>
  <w:num w:numId="41">
    <w:abstractNumId w:val="1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35"/>
  </w:num>
  <w:num w:numId="43">
    <w:abstractNumId w:val="40"/>
  </w:num>
  <w:num w:numId="44">
    <w:abstractNumId w:val="44"/>
  </w:num>
  <w:num w:numId="45">
    <w:abstractNumId w:val="39"/>
  </w:num>
  <w:num w:numId="46">
    <w:abstractNumId w:val="48"/>
  </w:num>
  <w:num w:numId="47">
    <w:abstractNumId w:val="59"/>
  </w:num>
  <w:num w:numId="48">
    <w:abstractNumId w:val="36"/>
  </w:num>
  <w:num w:numId="49">
    <w:abstractNumId w:val="63"/>
  </w:num>
  <w:num w:numId="50">
    <w:abstractNumId w:val="10"/>
  </w:num>
  <w:num w:numId="51">
    <w:abstractNumId w:val="30"/>
  </w:num>
  <w:num w:numId="52">
    <w:abstractNumId w:val="37"/>
  </w:num>
  <w:num w:numId="53">
    <w:abstractNumId w:val="42"/>
  </w:num>
  <w:num w:numId="54">
    <w:abstractNumId w:val="41"/>
  </w:num>
  <w:num w:numId="55">
    <w:abstractNumId w:val="60"/>
  </w:num>
  <w:num w:numId="56">
    <w:abstractNumId w:val="20"/>
  </w:num>
  <w:num w:numId="57">
    <w:abstractNumId w:val="11"/>
  </w:num>
  <w:num w:numId="58">
    <w:abstractNumId w:val="51"/>
  </w:num>
  <w:num w:numId="59">
    <w:abstractNumId w:val="46"/>
  </w:num>
  <w:num w:numId="60">
    <w:abstractNumId w:val="34"/>
  </w:num>
  <w:num w:numId="61">
    <w:abstractNumId w:val="28"/>
  </w:num>
  <w:num w:numId="62">
    <w:abstractNumId w:val="57"/>
  </w:num>
  <w:num w:numId="63">
    <w:abstractNumId w:val="31"/>
  </w:num>
  <w:num w:numId="64">
    <w:abstractNumId w:val="38"/>
  </w:num>
  <w:num w:numId="65">
    <w:abstractNumId w:val="5"/>
  </w:num>
  <w:num w:numId="66">
    <w:abstractNumId w:val="17"/>
  </w:num>
  <w:num w:numId="67">
    <w:abstractNumId w:val="25"/>
  </w:num>
  <w:num w:numId="68">
    <w:abstractNumId w:val="14"/>
  </w:num>
  <w:num w:numId="69">
    <w:abstractNumId w:val="33"/>
  </w:num>
  <w:num w:numId="70">
    <w:abstractNumId w:val="64"/>
  </w:num>
  <w:num w:numId="71">
    <w:abstractNumId w:val="1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792" w:hanging="432"/>
          <w:tabs>
            <w:tab w:val="num" w:pos="907" w:leader="none"/>
          </w:tabs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2">
    <w:abstractNumId w:val="66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3">
    <w:abstractNumId w:val="67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Lohit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02" w:default="1">
    <w:name w:val="Normal"/>
    <w:qFormat/>
    <w:rPr>
      <w:rFonts w:eastAsia="Times New Roman" w:cs="Times New Roman"/>
      <w:lang w:eastAsia="ru-RU" w:bidi="ar-SA"/>
    </w:rPr>
  </w:style>
  <w:style w:type="paragraph" w:styleId="1303">
    <w:name w:val="Heading 1"/>
    <w:basedOn w:val="1499"/>
    <w:next w:val="1499"/>
    <w:link w:val="1601"/>
    <w:qFormat/>
    <w:pPr>
      <w:ind w:firstLine="720"/>
      <w:jc w:val="center"/>
      <w:keepLines/>
      <w:keepNext/>
      <w:spacing w:before="240" w:after="60"/>
      <w:outlineLvl w:val="0"/>
    </w:pPr>
    <w:rPr>
      <w:b/>
      <w:sz w:val="32"/>
      <w:szCs w:val="32"/>
    </w:rPr>
  </w:style>
  <w:style w:type="paragraph" w:styleId="1304">
    <w:name w:val="Heading 2"/>
    <w:basedOn w:val="1499"/>
    <w:next w:val="1499"/>
    <w:link w:val="1332"/>
    <w:uiPriority w:val="9"/>
    <w:unhideWhenUsed/>
    <w:qFormat/>
    <w:pPr>
      <w:ind w:left="851" w:firstLine="0"/>
      <w:jc w:val="left"/>
      <w:keepLines/>
      <w:keepNext/>
      <w:spacing w:before="240" w:after="120"/>
      <w:outlineLvl w:val="1"/>
    </w:pPr>
    <w:rPr>
      <w:b/>
      <w:sz w:val="28"/>
      <w:szCs w:val="28"/>
    </w:rPr>
  </w:style>
  <w:style w:type="paragraph" w:styleId="1305">
    <w:name w:val="Heading 3"/>
    <w:basedOn w:val="1499"/>
    <w:next w:val="1499"/>
    <w:link w:val="1333"/>
    <w:uiPriority w:val="9"/>
    <w:unhideWhenUsed/>
    <w:qFormat/>
    <w:pPr>
      <w:ind w:firstLine="0"/>
      <w:jc w:val="left"/>
      <w:keepLines/>
      <w:keepNext/>
      <w:spacing w:before="240" w:after="120"/>
      <w:outlineLvl w:val="2"/>
    </w:pPr>
    <w:rPr>
      <w:b/>
      <w:sz w:val="28"/>
      <w:szCs w:val="28"/>
    </w:rPr>
  </w:style>
  <w:style w:type="paragraph" w:styleId="1306">
    <w:name w:val="Heading 4"/>
    <w:basedOn w:val="1499"/>
    <w:next w:val="1499"/>
    <w:link w:val="1334"/>
    <w:uiPriority w:val="9"/>
    <w:unhideWhenUsed/>
    <w:qFormat/>
    <w:pPr>
      <w:ind w:left="1"/>
      <w:jc w:val="left"/>
      <w:keepLines/>
      <w:keepNext/>
      <w:spacing w:before="240" w:after="120"/>
      <w:outlineLvl w:val="3"/>
    </w:pPr>
    <w:rPr>
      <w:b/>
      <w:sz w:val="26"/>
      <w:szCs w:val="26"/>
    </w:rPr>
  </w:style>
  <w:style w:type="paragraph" w:styleId="1307">
    <w:name w:val="Heading 5"/>
    <w:basedOn w:val="1499"/>
    <w:next w:val="1499"/>
    <w:link w:val="1335"/>
    <w:unhideWhenUsed/>
    <w:qFormat/>
    <w:pPr>
      <w:ind w:left="1" w:firstLine="850"/>
      <w:jc w:val="left"/>
      <w:keepNext/>
      <w:spacing w:before="240" w:after="120"/>
      <w:outlineLvl w:val="4"/>
    </w:pPr>
    <w:rPr>
      <w:b/>
      <w:i/>
    </w:rPr>
  </w:style>
  <w:style w:type="paragraph" w:styleId="1308">
    <w:name w:val="Heading 6"/>
    <w:basedOn w:val="1499"/>
    <w:next w:val="1499"/>
    <w:link w:val="1336"/>
    <w:unhideWhenUsed/>
    <w:qFormat/>
    <w:pPr>
      <w:ind w:left="1" w:hanging="1"/>
      <w:jc w:val="left"/>
      <w:keepLines/>
      <w:keepNext/>
      <w:spacing w:before="240" w:after="120"/>
      <w:tabs>
        <w:tab w:val="left" w:pos="1" w:leader="none"/>
        <w:tab w:val="left" w:pos="284" w:leader="none"/>
        <w:tab w:val="left" w:pos="568" w:leader="none"/>
        <w:tab w:val="left" w:pos="851" w:leader="none"/>
        <w:tab w:val="left" w:pos="1134" w:leader="none"/>
        <w:tab w:val="left" w:pos="1418" w:leader="none"/>
        <w:tab w:val="left" w:pos="1701" w:leader="none"/>
        <w:tab w:val="left" w:pos="1985" w:leader="none"/>
      </w:tabs>
      <w:outlineLvl w:val="5"/>
    </w:pPr>
    <w:rPr>
      <w:b/>
    </w:rPr>
  </w:style>
  <w:style w:type="paragraph" w:styleId="1309">
    <w:name w:val="Heading 7"/>
    <w:basedOn w:val="1302"/>
    <w:next w:val="1302"/>
    <w:link w:val="13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310">
    <w:name w:val="Heading 8"/>
    <w:basedOn w:val="1302"/>
    <w:next w:val="1302"/>
    <w:link w:val="13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311">
    <w:name w:val="Heading 9"/>
    <w:basedOn w:val="1302"/>
    <w:next w:val="1302"/>
    <w:link w:val="13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312" w:default="1">
    <w:name w:val="Default Paragraph Font"/>
    <w:uiPriority w:val="1"/>
    <w:semiHidden/>
    <w:unhideWhenUsed/>
  </w:style>
  <w:style w:type="table" w:styleId="13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14" w:default="1">
    <w:name w:val="No List"/>
    <w:uiPriority w:val="99"/>
    <w:semiHidden/>
    <w:unhideWhenUsed/>
  </w:style>
  <w:style w:type="character" w:styleId="1315" w:customStyle="1">
    <w:name w:val="Caption Char"/>
    <w:basedOn w:val="1312"/>
    <w:uiPriority w:val="35"/>
    <w:rPr>
      <w:b/>
      <w:bCs/>
      <w:color w:val="4f81bd" w:themeColor="accent1"/>
      <w:sz w:val="18"/>
      <w:szCs w:val="18"/>
    </w:rPr>
  </w:style>
  <w:style w:type="character" w:styleId="1316" w:customStyle="1">
    <w:name w:val="Heading 2 Char"/>
    <w:basedOn w:val="1312"/>
    <w:uiPriority w:val="9"/>
    <w:rPr>
      <w:rFonts w:ascii="Arial" w:hAnsi="Arial" w:eastAsia="Arial" w:cs="Arial"/>
      <w:sz w:val="34"/>
    </w:rPr>
  </w:style>
  <w:style w:type="character" w:styleId="1317" w:customStyle="1">
    <w:name w:val="Heading 3 Char"/>
    <w:basedOn w:val="1312"/>
    <w:uiPriority w:val="9"/>
    <w:rPr>
      <w:rFonts w:ascii="Arial" w:hAnsi="Arial" w:eastAsia="Arial" w:cs="Arial"/>
      <w:sz w:val="30"/>
      <w:szCs w:val="30"/>
    </w:rPr>
  </w:style>
  <w:style w:type="character" w:styleId="1318" w:customStyle="1">
    <w:name w:val="Heading 4 Char"/>
    <w:basedOn w:val="1312"/>
    <w:uiPriority w:val="9"/>
    <w:rPr>
      <w:rFonts w:ascii="Arial" w:hAnsi="Arial" w:eastAsia="Arial" w:cs="Arial"/>
      <w:b/>
      <w:bCs/>
      <w:sz w:val="26"/>
      <w:szCs w:val="26"/>
    </w:rPr>
  </w:style>
  <w:style w:type="character" w:styleId="1319" w:customStyle="1">
    <w:name w:val="Heading 5 Char"/>
    <w:basedOn w:val="1312"/>
    <w:uiPriority w:val="9"/>
    <w:rPr>
      <w:rFonts w:ascii="Arial" w:hAnsi="Arial" w:eastAsia="Arial" w:cs="Arial"/>
      <w:b/>
      <w:bCs/>
      <w:sz w:val="24"/>
      <w:szCs w:val="24"/>
    </w:rPr>
  </w:style>
  <w:style w:type="character" w:styleId="1320" w:customStyle="1">
    <w:name w:val="Heading 6 Char"/>
    <w:basedOn w:val="1312"/>
    <w:uiPriority w:val="9"/>
    <w:rPr>
      <w:rFonts w:ascii="Arial" w:hAnsi="Arial" w:eastAsia="Arial" w:cs="Arial"/>
      <w:b/>
      <w:bCs/>
      <w:sz w:val="22"/>
      <w:szCs w:val="22"/>
    </w:rPr>
  </w:style>
  <w:style w:type="character" w:styleId="1321" w:customStyle="1">
    <w:name w:val="Heading 7 Char"/>
    <w:basedOn w:val="13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322" w:customStyle="1">
    <w:name w:val="Heading 8 Char"/>
    <w:basedOn w:val="1312"/>
    <w:uiPriority w:val="9"/>
    <w:rPr>
      <w:rFonts w:ascii="Arial" w:hAnsi="Arial" w:eastAsia="Arial" w:cs="Arial"/>
      <w:i/>
      <w:iCs/>
      <w:sz w:val="22"/>
      <w:szCs w:val="22"/>
    </w:rPr>
  </w:style>
  <w:style w:type="character" w:styleId="1323" w:customStyle="1">
    <w:name w:val="Heading 9 Char"/>
    <w:basedOn w:val="1312"/>
    <w:uiPriority w:val="9"/>
    <w:rPr>
      <w:rFonts w:ascii="Arial" w:hAnsi="Arial" w:eastAsia="Arial" w:cs="Arial"/>
      <w:i/>
      <w:iCs/>
      <w:sz w:val="21"/>
      <w:szCs w:val="21"/>
    </w:rPr>
  </w:style>
  <w:style w:type="character" w:styleId="1324" w:customStyle="1">
    <w:name w:val="Title Char"/>
    <w:basedOn w:val="1312"/>
    <w:uiPriority w:val="10"/>
    <w:rPr>
      <w:sz w:val="48"/>
      <w:szCs w:val="48"/>
    </w:rPr>
  </w:style>
  <w:style w:type="character" w:styleId="1325" w:customStyle="1">
    <w:name w:val="Subtitle Char"/>
    <w:basedOn w:val="1312"/>
    <w:uiPriority w:val="11"/>
    <w:rPr>
      <w:sz w:val="24"/>
      <w:szCs w:val="24"/>
    </w:rPr>
  </w:style>
  <w:style w:type="character" w:styleId="1326" w:customStyle="1">
    <w:name w:val="Quote Char"/>
    <w:uiPriority w:val="29"/>
    <w:rPr>
      <w:i/>
    </w:rPr>
  </w:style>
  <w:style w:type="character" w:styleId="1327" w:customStyle="1">
    <w:name w:val="Intense Quote Char"/>
    <w:uiPriority w:val="30"/>
    <w:rPr>
      <w:i/>
    </w:rPr>
  </w:style>
  <w:style w:type="character" w:styleId="1328" w:customStyle="1">
    <w:name w:val="Header Char"/>
    <w:basedOn w:val="1312"/>
    <w:uiPriority w:val="99"/>
  </w:style>
  <w:style w:type="character" w:styleId="1329" w:customStyle="1">
    <w:name w:val="Название объекта Знак"/>
    <w:basedOn w:val="1312"/>
    <w:link w:val="1497"/>
    <w:uiPriority w:val="35"/>
    <w:rPr>
      <w:b/>
      <w:bCs/>
      <w:color w:val="4f81bd" w:themeColor="accent1"/>
      <w:sz w:val="18"/>
      <w:szCs w:val="18"/>
    </w:rPr>
  </w:style>
  <w:style w:type="character" w:styleId="1330" w:customStyle="1">
    <w:name w:val="Endnote Text Char"/>
    <w:uiPriority w:val="99"/>
    <w:rPr>
      <w:sz w:val="20"/>
    </w:rPr>
  </w:style>
  <w:style w:type="character" w:styleId="1331" w:customStyle="1">
    <w:name w:val="Heading 1 Char"/>
    <w:basedOn w:val="1312"/>
    <w:uiPriority w:val="9"/>
    <w:rPr>
      <w:rFonts w:ascii="Arial" w:hAnsi="Arial" w:eastAsia="Arial" w:cs="Arial"/>
      <w:sz w:val="40"/>
      <w:szCs w:val="40"/>
    </w:rPr>
  </w:style>
  <w:style w:type="character" w:styleId="1332" w:customStyle="1">
    <w:name w:val="Заголовок 2 Знак"/>
    <w:basedOn w:val="1312"/>
    <w:link w:val="1304"/>
    <w:uiPriority w:val="9"/>
    <w:rPr>
      <w:rFonts w:ascii="Arial" w:hAnsi="Arial" w:eastAsia="Arial" w:cs="Arial"/>
      <w:sz w:val="34"/>
    </w:rPr>
  </w:style>
  <w:style w:type="character" w:styleId="1333" w:customStyle="1">
    <w:name w:val="Заголовок 3 Знак"/>
    <w:basedOn w:val="1312"/>
    <w:link w:val="1305"/>
    <w:uiPriority w:val="9"/>
    <w:rPr>
      <w:rFonts w:ascii="Arial" w:hAnsi="Arial" w:eastAsia="Arial" w:cs="Arial"/>
      <w:sz w:val="30"/>
      <w:szCs w:val="30"/>
    </w:rPr>
  </w:style>
  <w:style w:type="character" w:styleId="1334" w:customStyle="1">
    <w:name w:val="Заголовок 4 Знак"/>
    <w:basedOn w:val="1312"/>
    <w:link w:val="1306"/>
    <w:uiPriority w:val="9"/>
    <w:rPr>
      <w:rFonts w:ascii="Arial" w:hAnsi="Arial" w:eastAsia="Arial" w:cs="Arial"/>
      <w:b/>
      <w:bCs/>
      <w:sz w:val="26"/>
      <w:szCs w:val="26"/>
    </w:rPr>
  </w:style>
  <w:style w:type="character" w:styleId="1335" w:customStyle="1">
    <w:name w:val="Заголовок 5 Знак"/>
    <w:basedOn w:val="1312"/>
    <w:link w:val="1307"/>
    <w:uiPriority w:val="9"/>
    <w:rPr>
      <w:rFonts w:ascii="Arial" w:hAnsi="Arial" w:eastAsia="Arial" w:cs="Arial"/>
      <w:b/>
      <w:bCs/>
      <w:sz w:val="24"/>
      <w:szCs w:val="24"/>
    </w:rPr>
  </w:style>
  <w:style w:type="character" w:styleId="1336" w:customStyle="1">
    <w:name w:val="Заголовок 6 Знак"/>
    <w:basedOn w:val="1312"/>
    <w:link w:val="1308"/>
    <w:uiPriority w:val="9"/>
    <w:rPr>
      <w:rFonts w:ascii="Arial" w:hAnsi="Arial" w:eastAsia="Arial" w:cs="Arial"/>
      <w:b/>
      <w:bCs/>
      <w:sz w:val="22"/>
      <w:szCs w:val="22"/>
    </w:rPr>
  </w:style>
  <w:style w:type="character" w:styleId="1337" w:customStyle="1">
    <w:name w:val="Заголовок 7 Знак"/>
    <w:basedOn w:val="1312"/>
    <w:link w:val="13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338" w:customStyle="1">
    <w:name w:val="Заголовок 8 Знак"/>
    <w:basedOn w:val="1312"/>
    <w:link w:val="1310"/>
    <w:uiPriority w:val="9"/>
    <w:rPr>
      <w:rFonts w:ascii="Arial" w:hAnsi="Arial" w:eastAsia="Arial" w:cs="Arial"/>
      <w:i/>
      <w:iCs/>
      <w:sz w:val="22"/>
      <w:szCs w:val="22"/>
    </w:rPr>
  </w:style>
  <w:style w:type="character" w:styleId="1339" w:customStyle="1">
    <w:name w:val="Заголовок 9 Знак"/>
    <w:basedOn w:val="1312"/>
    <w:link w:val="1311"/>
    <w:uiPriority w:val="9"/>
    <w:rPr>
      <w:rFonts w:ascii="Arial" w:hAnsi="Arial" w:eastAsia="Arial" w:cs="Arial"/>
      <w:i/>
      <w:iCs/>
      <w:sz w:val="21"/>
      <w:szCs w:val="21"/>
    </w:rPr>
  </w:style>
  <w:style w:type="paragraph" w:styleId="1340">
    <w:name w:val="No Spacing"/>
    <w:uiPriority w:val="1"/>
    <w:qFormat/>
  </w:style>
  <w:style w:type="character" w:styleId="1341" w:customStyle="1">
    <w:name w:val="Заголовок Знак"/>
    <w:basedOn w:val="1312"/>
    <w:link w:val="1494"/>
    <w:uiPriority w:val="10"/>
    <w:rPr>
      <w:sz w:val="48"/>
      <w:szCs w:val="48"/>
    </w:rPr>
  </w:style>
  <w:style w:type="character" w:styleId="1342" w:customStyle="1">
    <w:name w:val="Подзаголовок Знак"/>
    <w:basedOn w:val="1312"/>
    <w:link w:val="1500"/>
    <w:uiPriority w:val="11"/>
    <w:rPr>
      <w:sz w:val="24"/>
      <w:szCs w:val="24"/>
    </w:rPr>
  </w:style>
  <w:style w:type="paragraph" w:styleId="1343">
    <w:name w:val="Quote"/>
    <w:basedOn w:val="1302"/>
    <w:next w:val="1302"/>
    <w:link w:val="1344"/>
    <w:uiPriority w:val="29"/>
    <w:qFormat/>
    <w:pPr>
      <w:ind w:left="720" w:right="720"/>
    </w:pPr>
    <w:rPr>
      <w:i/>
    </w:rPr>
  </w:style>
  <w:style w:type="character" w:styleId="1344" w:customStyle="1">
    <w:name w:val="Цитата 2 Знак"/>
    <w:link w:val="1343"/>
    <w:uiPriority w:val="29"/>
    <w:rPr>
      <w:i/>
    </w:rPr>
  </w:style>
  <w:style w:type="paragraph" w:styleId="1345">
    <w:name w:val="Intense Quote"/>
    <w:basedOn w:val="1302"/>
    <w:next w:val="1302"/>
    <w:link w:val="13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346" w:customStyle="1">
    <w:name w:val="Выделенная цитата Знак"/>
    <w:link w:val="1345"/>
    <w:uiPriority w:val="30"/>
    <w:rPr>
      <w:i/>
    </w:rPr>
  </w:style>
  <w:style w:type="character" w:styleId="1347" w:customStyle="1">
    <w:name w:val="Верхний колонтитул Знак"/>
    <w:basedOn w:val="1312"/>
    <w:link w:val="1502"/>
    <w:uiPriority w:val="99"/>
  </w:style>
  <w:style w:type="character" w:styleId="1348" w:customStyle="1">
    <w:name w:val="Footer Char"/>
    <w:basedOn w:val="1312"/>
    <w:uiPriority w:val="99"/>
  </w:style>
  <w:style w:type="character" w:styleId="1349" w:customStyle="1">
    <w:name w:val="Нижний колонтитул Знак"/>
    <w:link w:val="1503"/>
    <w:uiPriority w:val="99"/>
  </w:style>
  <w:style w:type="table" w:styleId="1350" w:customStyle="1">
    <w:name w:val="Table Grid Light"/>
    <w:basedOn w:val="13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351">
    <w:name w:val="Plain Table 1"/>
    <w:basedOn w:val="13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52">
    <w:name w:val="Plain Table 2"/>
    <w:basedOn w:val="131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53">
    <w:name w:val="Plain Table 3"/>
    <w:basedOn w:val="13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54">
    <w:name w:val="Plain Table 4"/>
    <w:basedOn w:val="13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5">
    <w:name w:val="Plain Table 5"/>
    <w:basedOn w:val="13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56">
    <w:name w:val="Grid Table 1 Light"/>
    <w:basedOn w:val="131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7" w:customStyle="1">
    <w:name w:val="Grid Table 1 Light - Accent 1"/>
    <w:basedOn w:val="131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8" w:customStyle="1">
    <w:name w:val="Grid Table 1 Light - Accent 2"/>
    <w:basedOn w:val="131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9" w:customStyle="1">
    <w:name w:val="Grid Table 1 Light - Accent 3"/>
    <w:basedOn w:val="131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0" w:customStyle="1">
    <w:name w:val="Grid Table 1 Light - Accent 4"/>
    <w:basedOn w:val="131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1" w:customStyle="1">
    <w:name w:val="Grid Table 1 Light - Accent 5"/>
    <w:basedOn w:val="131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2" w:customStyle="1">
    <w:name w:val="Grid Table 1 Light - Accent 6"/>
    <w:basedOn w:val="131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3">
    <w:name w:val="Grid Table 2"/>
    <w:basedOn w:val="13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4" w:customStyle="1">
    <w:name w:val="Grid Table 2 - Accent 1"/>
    <w:basedOn w:val="131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5" w:customStyle="1">
    <w:name w:val="Grid Table 2 - Accent 2"/>
    <w:basedOn w:val="131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6" w:customStyle="1">
    <w:name w:val="Grid Table 2 - Accent 3"/>
    <w:basedOn w:val="131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7" w:customStyle="1">
    <w:name w:val="Grid Table 2 - Accent 4"/>
    <w:basedOn w:val="131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8" w:customStyle="1">
    <w:name w:val="Grid Table 2 - Accent 5"/>
    <w:basedOn w:val="131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9" w:customStyle="1">
    <w:name w:val="Grid Table 2 - Accent 6"/>
    <w:basedOn w:val="131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0">
    <w:name w:val="Grid Table 3"/>
    <w:basedOn w:val="13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1" w:customStyle="1">
    <w:name w:val="Grid Table 3 - Accent 1"/>
    <w:basedOn w:val="131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2" w:customStyle="1">
    <w:name w:val="Grid Table 3 - Accent 2"/>
    <w:basedOn w:val="131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3" w:customStyle="1">
    <w:name w:val="Grid Table 3 - Accent 3"/>
    <w:basedOn w:val="131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4" w:customStyle="1">
    <w:name w:val="Grid Table 3 - Accent 4"/>
    <w:basedOn w:val="131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5" w:customStyle="1">
    <w:name w:val="Grid Table 3 - Accent 5"/>
    <w:basedOn w:val="131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6" w:customStyle="1">
    <w:name w:val="Grid Table 3 - Accent 6"/>
    <w:basedOn w:val="131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7">
    <w:name w:val="Grid Table 4"/>
    <w:basedOn w:val="131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78" w:customStyle="1">
    <w:name w:val="Grid Table 4 - Accent 1"/>
    <w:basedOn w:val="131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379" w:customStyle="1">
    <w:name w:val="Grid Table 4 - Accent 2"/>
    <w:basedOn w:val="131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380" w:customStyle="1">
    <w:name w:val="Grid Table 4 - Accent 3"/>
    <w:basedOn w:val="131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381" w:customStyle="1">
    <w:name w:val="Grid Table 4 - Accent 4"/>
    <w:basedOn w:val="131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382" w:customStyle="1">
    <w:name w:val="Grid Table 4 - Accent 5"/>
    <w:basedOn w:val="131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383" w:customStyle="1">
    <w:name w:val="Grid Table 4 - Accent 6"/>
    <w:basedOn w:val="131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384">
    <w:name w:val="Grid Table 5 Dark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385" w:customStyle="1">
    <w:name w:val="Grid Table 5 Dark- Accent 1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386" w:customStyle="1">
    <w:name w:val="Grid Table 5 Dark - Accent 2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387" w:customStyle="1">
    <w:name w:val="Grid Table 5 Dark - Accent 3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388" w:customStyle="1">
    <w:name w:val="Grid Table 5 Dark- Accent 4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389" w:customStyle="1">
    <w:name w:val="Grid Table 5 Dark - Accent 5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390" w:customStyle="1">
    <w:name w:val="Grid Table 5 Dark - Accent 6"/>
    <w:basedOn w:val="13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391">
    <w:name w:val="Grid Table 6 Colorful"/>
    <w:basedOn w:val="131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392" w:customStyle="1">
    <w:name w:val="Grid Table 6 Colorful - Accent 1"/>
    <w:basedOn w:val="131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393" w:customStyle="1">
    <w:name w:val="Grid Table 6 Colorful - Accent 2"/>
    <w:basedOn w:val="131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394" w:customStyle="1">
    <w:name w:val="Grid Table 6 Colorful - Accent 3"/>
    <w:basedOn w:val="131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395" w:customStyle="1">
    <w:name w:val="Grid Table 6 Colorful - Accent 4"/>
    <w:basedOn w:val="131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396" w:customStyle="1">
    <w:name w:val="Grid Table 6 Colorful - Accent 5"/>
    <w:basedOn w:val="131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397" w:customStyle="1">
    <w:name w:val="Grid Table 6 Colorful - Accent 6"/>
    <w:basedOn w:val="131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398">
    <w:name w:val="Grid Table 7 Colorful"/>
    <w:basedOn w:val="131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99" w:customStyle="1">
    <w:name w:val="Grid Table 7 Colorful - Accent 1"/>
    <w:basedOn w:val="131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0" w:customStyle="1">
    <w:name w:val="Grid Table 7 Colorful - Accent 2"/>
    <w:basedOn w:val="131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1" w:customStyle="1">
    <w:name w:val="Grid Table 7 Colorful - Accent 3"/>
    <w:basedOn w:val="131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2" w:customStyle="1">
    <w:name w:val="Grid Table 7 Colorful - Accent 4"/>
    <w:basedOn w:val="131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3" w:customStyle="1">
    <w:name w:val="Grid Table 7 Colorful - Accent 5"/>
    <w:basedOn w:val="131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4" w:customStyle="1">
    <w:name w:val="Grid Table 7 Colorful - Accent 6"/>
    <w:basedOn w:val="131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5">
    <w:name w:val="List Table 1 Light"/>
    <w:basedOn w:val="131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6" w:customStyle="1">
    <w:name w:val="List Table 1 Light - Accent 1"/>
    <w:basedOn w:val="1313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7" w:customStyle="1">
    <w:name w:val="List Table 1 Light - Accent 2"/>
    <w:basedOn w:val="1313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8" w:customStyle="1">
    <w:name w:val="List Table 1 Light - Accent 3"/>
    <w:basedOn w:val="1313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9" w:customStyle="1">
    <w:name w:val="List Table 1 Light - Accent 4"/>
    <w:basedOn w:val="1313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10" w:customStyle="1">
    <w:name w:val="List Table 1 Light - Accent 5"/>
    <w:basedOn w:val="1313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11" w:customStyle="1">
    <w:name w:val="List Table 1 Light - Accent 6"/>
    <w:basedOn w:val="1313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12">
    <w:name w:val="List Table 2"/>
    <w:basedOn w:val="131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413" w:customStyle="1">
    <w:name w:val="List Table 2 - Accent 1"/>
    <w:basedOn w:val="131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414" w:customStyle="1">
    <w:name w:val="List Table 2 - Accent 2"/>
    <w:basedOn w:val="131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415" w:customStyle="1">
    <w:name w:val="List Table 2 - Accent 3"/>
    <w:basedOn w:val="131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416" w:customStyle="1">
    <w:name w:val="List Table 2 - Accent 4"/>
    <w:basedOn w:val="131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417" w:customStyle="1">
    <w:name w:val="List Table 2 - Accent 5"/>
    <w:basedOn w:val="131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418" w:customStyle="1">
    <w:name w:val="List Table 2 - Accent 6"/>
    <w:basedOn w:val="131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419">
    <w:name w:val="List Table 3"/>
    <w:basedOn w:val="13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0" w:customStyle="1">
    <w:name w:val="List Table 3 - Accent 1"/>
    <w:basedOn w:val="131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1" w:customStyle="1">
    <w:name w:val="List Table 3 - Accent 2"/>
    <w:basedOn w:val="131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2" w:customStyle="1">
    <w:name w:val="List Table 3 - Accent 3"/>
    <w:basedOn w:val="131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3" w:customStyle="1">
    <w:name w:val="List Table 3 - Accent 4"/>
    <w:basedOn w:val="131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4" w:customStyle="1">
    <w:name w:val="List Table 3 - Accent 5"/>
    <w:basedOn w:val="131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5" w:customStyle="1">
    <w:name w:val="List Table 3 - Accent 6"/>
    <w:basedOn w:val="131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6">
    <w:name w:val="List Table 4"/>
    <w:basedOn w:val="13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7" w:customStyle="1">
    <w:name w:val="List Table 4 - Accent 1"/>
    <w:basedOn w:val="131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8" w:customStyle="1">
    <w:name w:val="List Table 4 - Accent 2"/>
    <w:basedOn w:val="131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9" w:customStyle="1">
    <w:name w:val="List Table 4 - Accent 3"/>
    <w:basedOn w:val="131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0" w:customStyle="1">
    <w:name w:val="List Table 4 - Accent 4"/>
    <w:basedOn w:val="131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1" w:customStyle="1">
    <w:name w:val="List Table 4 - Accent 5"/>
    <w:basedOn w:val="131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2" w:customStyle="1">
    <w:name w:val="List Table 4 - Accent 6"/>
    <w:basedOn w:val="131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3">
    <w:name w:val="List Table 5 Dark"/>
    <w:basedOn w:val="131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4" w:customStyle="1">
    <w:name w:val="List Table 5 Dark - Accent 1"/>
    <w:basedOn w:val="131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5" w:customStyle="1">
    <w:name w:val="List Table 5 Dark - Accent 2"/>
    <w:basedOn w:val="131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6" w:customStyle="1">
    <w:name w:val="List Table 5 Dark - Accent 3"/>
    <w:basedOn w:val="131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7" w:customStyle="1">
    <w:name w:val="List Table 5 Dark - Accent 4"/>
    <w:basedOn w:val="131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8" w:customStyle="1">
    <w:name w:val="List Table 5 Dark - Accent 5"/>
    <w:basedOn w:val="131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39" w:customStyle="1">
    <w:name w:val="List Table 5 Dark - Accent 6"/>
    <w:basedOn w:val="131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440">
    <w:name w:val="List Table 6 Colorful"/>
    <w:basedOn w:val="131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441" w:customStyle="1">
    <w:name w:val="List Table 6 Colorful - Accent 1"/>
    <w:basedOn w:val="131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442" w:customStyle="1">
    <w:name w:val="List Table 6 Colorful - Accent 2"/>
    <w:basedOn w:val="131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443" w:customStyle="1">
    <w:name w:val="List Table 6 Colorful - Accent 3"/>
    <w:basedOn w:val="131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444" w:customStyle="1">
    <w:name w:val="List Table 6 Colorful - Accent 4"/>
    <w:basedOn w:val="131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445" w:customStyle="1">
    <w:name w:val="List Table 6 Colorful - Accent 5"/>
    <w:basedOn w:val="131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446" w:customStyle="1">
    <w:name w:val="List Table 6 Colorful - Accent 6"/>
    <w:basedOn w:val="131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447">
    <w:name w:val="List Table 7 Colorful"/>
    <w:basedOn w:val="131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8" w:customStyle="1">
    <w:name w:val="List Table 7 Colorful - Accent 1"/>
    <w:basedOn w:val="131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9" w:customStyle="1">
    <w:name w:val="List Table 7 Colorful - Accent 2"/>
    <w:basedOn w:val="131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0" w:customStyle="1">
    <w:name w:val="List Table 7 Colorful - Accent 3"/>
    <w:basedOn w:val="131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1" w:customStyle="1">
    <w:name w:val="List Table 7 Colorful - Accent 4"/>
    <w:basedOn w:val="131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2" w:customStyle="1">
    <w:name w:val="List Table 7 Colorful - Accent 5"/>
    <w:basedOn w:val="131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3" w:customStyle="1">
    <w:name w:val="List Table 7 Colorful - Accent 6"/>
    <w:basedOn w:val="131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4" w:customStyle="1">
    <w:name w:val="Lined - Accent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455" w:customStyle="1">
    <w:name w:val="Lined - Accent 1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456" w:customStyle="1">
    <w:name w:val="Lined - Accent 2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457" w:customStyle="1">
    <w:name w:val="Lined - Accent 3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458" w:customStyle="1">
    <w:name w:val="Lined - Accent 4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459" w:customStyle="1">
    <w:name w:val="Lined - Accent 5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460" w:customStyle="1">
    <w:name w:val="Lined - Accent 6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461" w:customStyle="1">
    <w:name w:val="Bordered &amp; Lined - Accent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462" w:customStyle="1">
    <w:name w:val="Bordered &amp; Lined - Accent 1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463" w:customStyle="1">
    <w:name w:val="Bordered &amp; Lined - Accent 2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464" w:customStyle="1">
    <w:name w:val="Bordered &amp; Lined - Accent 3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465" w:customStyle="1">
    <w:name w:val="Bordered &amp; Lined - Accent 4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466" w:customStyle="1">
    <w:name w:val="Bordered &amp; Lined - Accent 5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467" w:customStyle="1">
    <w:name w:val="Bordered &amp; Lined - Accent 6"/>
    <w:basedOn w:val="131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468" w:customStyle="1">
    <w:name w:val="Bordered"/>
    <w:basedOn w:val="131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469" w:customStyle="1">
    <w:name w:val="Bordered - Accent 1"/>
    <w:basedOn w:val="131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470" w:customStyle="1">
    <w:name w:val="Bordered - Accent 2"/>
    <w:basedOn w:val="131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471" w:customStyle="1">
    <w:name w:val="Bordered - Accent 3"/>
    <w:basedOn w:val="131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472" w:customStyle="1">
    <w:name w:val="Bordered - Accent 4"/>
    <w:basedOn w:val="131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473" w:customStyle="1">
    <w:name w:val="Bordered - Accent 5"/>
    <w:basedOn w:val="131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474" w:customStyle="1">
    <w:name w:val="Bordered - Accent 6"/>
    <w:basedOn w:val="131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475" w:customStyle="1">
    <w:name w:val="Footnote Text Char"/>
    <w:uiPriority w:val="99"/>
    <w:rPr>
      <w:sz w:val="18"/>
    </w:rPr>
  </w:style>
  <w:style w:type="paragraph" w:styleId="1476">
    <w:name w:val="endnote text"/>
    <w:basedOn w:val="1302"/>
    <w:link w:val="1477"/>
    <w:uiPriority w:val="99"/>
    <w:semiHidden/>
    <w:unhideWhenUsed/>
    <w:rPr>
      <w:sz w:val="20"/>
    </w:rPr>
  </w:style>
  <w:style w:type="character" w:styleId="1477" w:customStyle="1">
    <w:name w:val="Текст концевой сноски Знак"/>
    <w:link w:val="1476"/>
    <w:uiPriority w:val="99"/>
    <w:rPr>
      <w:sz w:val="20"/>
    </w:rPr>
  </w:style>
  <w:style w:type="character" w:styleId="1478">
    <w:name w:val="endnote reference"/>
    <w:basedOn w:val="1312"/>
    <w:uiPriority w:val="99"/>
    <w:semiHidden/>
    <w:unhideWhenUsed/>
    <w:rPr>
      <w:vertAlign w:val="superscript"/>
    </w:rPr>
  </w:style>
  <w:style w:type="paragraph" w:styleId="1479">
    <w:name w:val="toc 3"/>
    <w:basedOn w:val="1302"/>
    <w:next w:val="1302"/>
    <w:uiPriority w:val="39"/>
    <w:unhideWhenUsed/>
    <w:pPr>
      <w:ind w:left="567"/>
      <w:spacing w:after="57"/>
    </w:pPr>
  </w:style>
  <w:style w:type="paragraph" w:styleId="1480">
    <w:name w:val="toc 5"/>
    <w:basedOn w:val="1302"/>
    <w:next w:val="1302"/>
    <w:uiPriority w:val="39"/>
    <w:unhideWhenUsed/>
    <w:pPr>
      <w:ind w:left="1134"/>
      <w:spacing w:after="57"/>
    </w:pPr>
  </w:style>
  <w:style w:type="paragraph" w:styleId="1481">
    <w:name w:val="toc 6"/>
    <w:basedOn w:val="1302"/>
    <w:next w:val="1302"/>
    <w:uiPriority w:val="39"/>
    <w:unhideWhenUsed/>
    <w:pPr>
      <w:ind w:left="1417"/>
      <w:spacing w:after="57"/>
    </w:pPr>
  </w:style>
  <w:style w:type="paragraph" w:styleId="1482">
    <w:name w:val="toc 7"/>
    <w:basedOn w:val="1302"/>
    <w:next w:val="1302"/>
    <w:uiPriority w:val="39"/>
    <w:unhideWhenUsed/>
    <w:pPr>
      <w:ind w:left="1701"/>
      <w:spacing w:after="57"/>
    </w:pPr>
  </w:style>
  <w:style w:type="paragraph" w:styleId="1483">
    <w:name w:val="toc 8"/>
    <w:basedOn w:val="1302"/>
    <w:next w:val="1302"/>
    <w:uiPriority w:val="39"/>
    <w:unhideWhenUsed/>
    <w:pPr>
      <w:ind w:left="1984"/>
      <w:spacing w:after="57"/>
    </w:pPr>
  </w:style>
  <w:style w:type="paragraph" w:styleId="1484">
    <w:name w:val="toc 9"/>
    <w:basedOn w:val="1302"/>
    <w:next w:val="1302"/>
    <w:uiPriority w:val="39"/>
    <w:unhideWhenUsed/>
    <w:pPr>
      <w:ind w:left="2268"/>
      <w:spacing w:after="57"/>
    </w:pPr>
  </w:style>
  <w:style w:type="paragraph" w:styleId="1485">
    <w:name w:val="TOC Heading"/>
    <w:uiPriority w:val="39"/>
    <w:unhideWhenUsed/>
  </w:style>
  <w:style w:type="paragraph" w:styleId="1486">
    <w:name w:val="table of figures"/>
    <w:basedOn w:val="1302"/>
    <w:next w:val="1302"/>
    <w:uiPriority w:val="99"/>
    <w:unhideWhenUsed/>
  </w:style>
  <w:style w:type="character" w:styleId="1487" w:customStyle="1">
    <w:name w:val="Интернет-ссылка"/>
    <w:rPr>
      <w:color w:val="000080"/>
      <w:u w:val="single"/>
    </w:rPr>
  </w:style>
  <w:style w:type="character" w:styleId="1488" w:customStyle="1">
    <w:name w:val="Ссылка указателя"/>
    <w:qFormat/>
  </w:style>
  <w:style w:type="character" w:styleId="1489" w:customStyle="1">
    <w:name w:val="Символ сноски"/>
    <w:qFormat/>
  </w:style>
  <w:style w:type="character" w:styleId="1490" w:customStyle="1">
    <w:name w:val="Привязка сноски"/>
    <w:rPr>
      <w:vertAlign w:val="superscript"/>
    </w:rPr>
  </w:style>
  <w:style w:type="character" w:styleId="1491" w:customStyle="1">
    <w:name w:val="Привязка концевой сноски"/>
    <w:rPr>
      <w:vertAlign w:val="superscript"/>
    </w:rPr>
  </w:style>
  <w:style w:type="character" w:styleId="1492" w:customStyle="1">
    <w:name w:val="Символ концевой сноски"/>
    <w:qFormat/>
  </w:style>
  <w:style w:type="character" w:styleId="1493" w:customStyle="1">
    <w:name w:val="Нумерация строк"/>
  </w:style>
  <w:style w:type="paragraph" w:styleId="1494">
    <w:name w:val="Title"/>
    <w:basedOn w:val="1499"/>
    <w:next w:val="1495"/>
    <w:link w:val="1341"/>
    <w:uiPriority w:val="10"/>
    <w:qFormat/>
    <w:pPr>
      <w:jc w:val="center"/>
      <w:spacing w:before="240" w:after="60" w:line="360" w:lineRule="auto"/>
    </w:pPr>
    <w:rPr>
      <w:rFonts w:ascii="Arial" w:hAnsi="Arial" w:eastAsia="Arial" w:cs="Arial"/>
      <w:b/>
      <w:smallCaps/>
      <w:sz w:val="32"/>
      <w:szCs w:val="32"/>
    </w:rPr>
  </w:style>
  <w:style w:type="paragraph" w:styleId="1495">
    <w:name w:val="Body Text"/>
    <w:basedOn w:val="1302"/>
    <w:pPr>
      <w:spacing w:after="140" w:line="276" w:lineRule="auto"/>
    </w:pPr>
  </w:style>
  <w:style w:type="paragraph" w:styleId="1496">
    <w:name w:val="List"/>
    <w:basedOn w:val="1495"/>
  </w:style>
  <w:style w:type="paragraph" w:styleId="1497">
    <w:name w:val="Caption"/>
    <w:basedOn w:val="1302"/>
    <w:link w:val="1329"/>
    <w:qFormat/>
    <w:pPr>
      <w:spacing w:before="120" w:after="120"/>
      <w:suppressLineNumbers/>
    </w:pPr>
    <w:rPr>
      <w:i/>
      <w:iCs/>
    </w:rPr>
  </w:style>
  <w:style w:type="paragraph" w:styleId="1498">
    <w:name w:val="index heading"/>
    <w:basedOn w:val="1302"/>
    <w:qFormat/>
    <w:pPr>
      <w:suppressLineNumbers/>
    </w:pPr>
  </w:style>
  <w:style w:type="paragraph" w:styleId="1499" w:customStyle="1">
    <w:name w:val="LO-normal"/>
    <w:link w:val="1600"/>
    <w:qFormat/>
    <w:pPr>
      <w:ind w:firstLine="851"/>
      <w:jc w:val="both"/>
    </w:pPr>
  </w:style>
  <w:style w:type="paragraph" w:styleId="1500">
    <w:name w:val="Subtitle"/>
    <w:basedOn w:val="1499"/>
    <w:next w:val="1499"/>
    <w:link w:val="1342"/>
    <w:qFormat/>
    <w:pPr>
      <w:spacing w:after="160"/>
    </w:pPr>
    <w:rPr>
      <w:rFonts w:ascii="Calibri" w:hAnsi="Calibri" w:eastAsia="Calibri" w:cs="Calibri"/>
      <w:color w:val="5a5a5a"/>
      <w:sz w:val="22"/>
      <w:szCs w:val="22"/>
    </w:rPr>
  </w:style>
  <w:style w:type="paragraph" w:styleId="1501" w:customStyle="1">
    <w:name w:val="Колонтитул"/>
    <w:basedOn w:val="1302"/>
    <w:qFormat/>
  </w:style>
  <w:style w:type="paragraph" w:styleId="1502">
    <w:name w:val="Header"/>
    <w:basedOn w:val="1501"/>
    <w:link w:val="1347"/>
  </w:style>
  <w:style w:type="paragraph" w:styleId="1503">
    <w:name w:val="Footer"/>
    <w:basedOn w:val="1501"/>
    <w:link w:val="1349"/>
  </w:style>
  <w:style w:type="paragraph" w:styleId="1504">
    <w:name w:val="footnote text"/>
    <w:basedOn w:val="1302"/>
    <w:link w:val="1559"/>
    <w:uiPriority w:val="99"/>
  </w:style>
  <w:style w:type="paragraph" w:styleId="1505" w:customStyle="1">
    <w:name w:val="Гост-абзац"/>
    <w:basedOn w:val="1302"/>
    <w:link w:val="1519"/>
    <w:qFormat/>
    <w:pPr>
      <w:spacing w:line="360" w:lineRule="auto"/>
    </w:pPr>
    <w:rPr>
      <w:color w:val="000000"/>
      <w:szCs w:val="20"/>
    </w:rPr>
  </w:style>
  <w:style w:type="paragraph" w:styleId="1506" w:customStyle="1">
    <w:name w:val="Содержимое таблицы"/>
    <w:basedOn w:val="1302"/>
    <w:qFormat/>
    <w:pPr>
      <w:widowControl w:val="off"/>
      <w:suppressLineNumbers/>
    </w:pPr>
  </w:style>
  <w:style w:type="paragraph" w:styleId="1507" w:customStyle="1">
    <w:name w:val="Заголовок таблицы"/>
    <w:basedOn w:val="1506"/>
    <w:qFormat/>
    <w:pPr>
      <w:jc w:val="center"/>
    </w:pPr>
    <w:rPr>
      <w:b/>
      <w:bCs/>
    </w:rPr>
  </w:style>
  <w:style w:type="table" w:styleId="1508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509">
    <w:name w:val="Revision"/>
    <w:hidden/>
    <w:uiPriority w:val="99"/>
    <w:semiHidden/>
    <w:rPr>
      <w:rFonts w:cs="Mangal"/>
      <w:szCs w:val="21"/>
    </w:rPr>
  </w:style>
  <w:style w:type="paragraph" w:styleId="1510">
    <w:name w:val="Balloon Text"/>
    <w:basedOn w:val="1302"/>
    <w:link w:val="1511"/>
    <w:uiPriority w:val="99"/>
    <w:semiHidden/>
    <w:unhideWhenUsed/>
    <w:rPr>
      <w:rFonts w:ascii="Segoe UI" w:hAnsi="Segoe UI" w:cs="Mangal"/>
      <w:sz w:val="18"/>
      <w:szCs w:val="16"/>
    </w:rPr>
  </w:style>
  <w:style w:type="character" w:styleId="1511" w:customStyle="1">
    <w:name w:val="Текст выноски Знак"/>
    <w:basedOn w:val="1312"/>
    <w:link w:val="1510"/>
    <w:uiPriority w:val="99"/>
    <w:semiHidden/>
    <w:rPr>
      <w:rFonts w:ascii="Segoe UI" w:hAnsi="Segoe UI" w:cs="Mangal"/>
      <w:sz w:val="18"/>
      <w:szCs w:val="16"/>
    </w:rPr>
  </w:style>
  <w:style w:type="table" w:styleId="1512">
    <w:name w:val="Table Grid"/>
    <w:basedOn w:val="1313"/>
    <w:rPr>
      <w:rFonts w:cs="Times New Roman" w:asciiTheme="minorHAnsi" w:hAnsiTheme="minorHAnsi" w:eastAsiaTheme="minorEastAsia"/>
      <w:sz w:val="22"/>
      <w:szCs w:val="22"/>
      <w:lang w:eastAsia="ru-RU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13" w:customStyle="1">
    <w:name w:val="Сетка таблицы1"/>
    <w:basedOn w:val="1313"/>
    <w:next w:val="1512"/>
    <w:uiPriority w:val="39"/>
    <w:rPr>
      <w:rFonts w:ascii="Calibri" w:hAnsi="Calibri" w:eastAsia="Times New Roman" w:cs="Times New Roman"/>
      <w:sz w:val="22"/>
      <w:szCs w:val="22"/>
      <w:lang w:eastAsia="ru-RU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514">
    <w:name w:val="Normal (Web)"/>
    <w:basedOn w:val="1302"/>
    <w:uiPriority w:val="99"/>
    <w:unhideWhenUsed/>
    <w:pPr>
      <w:spacing w:before="100" w:beforeAutospacing="1" w:after="100" w:afterAutospacing="1"/>
    </w:pPr>
  </w:style>
  <w:style w:type="paragraph" w:styleId="1515">
    <w:name w:val="toc 1"/>
    <w:basedOn w:val="1302"/>
    <w:next w:val="1302"/>
    <w:uiPriority w:val="39"/>
    <w:unhideWhenUsed/>
    <w:pPr>
      <w:spacing w:after="100"/>
      <w:tabs>
        <w:tab w:val="left" w:pos="480" w:leader="none"/>
        <w:tab w:val="right" w:pos="9488" w:leader="none"/>
      </w:tabs>
    </w:pPr>
  </w:style>
  <w:style w:type="paragraph" w:styleId="1516">
    <w:name w:val="toc 2"/>
    <w:basedOn w:val="1302"/>
    <w:next w:val="1302"/>
    <w:uiPriority w:val="39"/>
    <w:unhideWhenUsed/>
    <w:pPr>
      <w:ind w:left="240"/>
      <w:spacing w:after="100"/>
      <w:tabs>
        <w:tab w:val="left" w:pos="1200" w:leader="none"/>
        <w:tab w:val="right" w:pos="9488" w:leader="none"/>
      </w:tabs>
    </w:pPr>
  </w:style>
  <w:style w:type="paragraph" w:styleId="1517">
    <w:name w:val="toc 4"/>
    <w:basedOn w:val="1302"/>
    <w:next w:val="1302"/>
    <w:uiPriority w:val="39"/>
    <w:unhideWhenUsed/>
    <w:pPr>
      <w:ind w:left="720"/>
      <w:spacing w:after="100"/>
    </w:pPr>
  </w:style>
  <w:style w:type="character" w:styleId="1518">
    <w:name w:val="Hyperlink"/>
    <w:basedOn w:val="1312"/>
    <w:uiPriority w:val="99"/>
    <w:unhideWhenUsed/>
    <w:rPr>
      <w:color w:val="0000ff" w:themeColor="hyperlink"/>
      <w:u w:val="single"/>
    </w:rPr>
  </w:style>
  <w:style w:type="character" w:styleId="1519" w:customStyle="1">
    <w:name w:val="Гост-абзац Знак"/>
    <w:link w:val="1505"/>
    <w:qFormat/>
    <w:rPr>
      <w:rFonts w:eastAsia="Times New Roman" w:cs="Times New Roman"/>
      <w:color w:val="000000"/>
      <w:szCs w:val="20"/>
      <w:lang w:eastAsia="ru-RU" w:bidi="ar-SA"/>
    </w:rPr>
  </w:style>
  <w:style w:type="paragraph" w:styleId="1520" w:customStyle="1">
    <w:name w:val="ГОСТ-список"/>
    <w:basedOn w:val="1302"/>
    <w:link w:val="1521"/>
    <w:qFormat/>
    <w:pPr>
      <w:jc w:val="both"/>
      <w:spacing w:line="360" w:lineRule="auto"/>
    </w:pPr>
    <w:rPr>
      <w:rFonts w:eastAsia="Calibri"/>
      <w:shd w:val="clear" w:color="auto" w:fill="ffffff"/>
      <w:lang w:eastAsia="en-US"/>
    </w:rPr>
  </w:style>
  <w:style w:type="character" w:styleId="1521" w:customStyle="1">
    <w:name w:val="ГОСТ-список Знак"/>
    <w:link w:val="1520"/>
    <w:qFormat/>
    <w:rPr>
      <w:rFonts w:eastAsia="Calibri" w:cs="Times New Roman"/>
      <w:lang w:eastAsia="en-US" w:bidi="ar-SA"/>
    </w:rPr>
  </w:style>
  <w:style w:type="paragraph" w:styleId="1522">
    <w:name w:val="List Paragraph"/>
    <w:basedOn w:val="1302"/>
    <w:link w:val="1550"/>
    <w:qFormat/>
    <w:pPr>
      <w:contextualSpacing/>
      <w:ind w:left="720"/>
    </w:pPr>
  </w:style>
  <w:style w:type="character" w:styleId="1523">
    <w:name w:val="annotation reference"/>
    <w:basedOn w:val="1312"/>
    <w:unhideWhenUsed/>
    <w:qFormat/>
    <w:rPr>
      <w:sz w:val="16"/>
      <w:szCs w:val="16"/>
    </w:rPr>
  </w:style>
  <w:style w:type="paragraph" w:styleId="1524">
    <w:name w:val="annotation text"/>
    <w:basedOn w:val="1302"/>
    <w:link w:val="1525"/>
    <w:unhideWhenUsed/>
    <w:rPr>
      <w:sz w:val="20"/>
      <w:szCs w:val="20"/>
    </w:rPr>
  </w:style>
  <w:style w:type="character" w:styleId="1525" w:customStyle="1">
    <w:name w:val="Текст примечания Знак"/>
    <w:basedOn w:val="1312"/>
    <w:link w:val="1524"/>
    <w:rPr>
      <w:rFonts w:eastAsia="Times New Roman" w:cs="Times New Roman"/>
      <w:sz w:val="20"/>
      <w:szCs w:val="20"/>
      <w:lang w:eastAsia="ru-RU" w:bidi="ar-SA"/>
    </w:rPr>
  </w:style>
  <w:style w:type="paragraph" w:styleId="1526">
    <w:name w:val="annotation subject"/>
    <w:basedOn w:val="1524"/>
    <w:next w:val="1524"/>
    <w:link w:val="1527"/>
    <w:uiPriority w:val="99"/>
    <w:semiHidden/>
    <w:unhideWhenUsed/>
    <w:rPr>
      <w:b/>
      <w:bCs/>
    </w:rPr>
  </w:style>
  <w:style w:type="character" w:styleId="1527" w:customStyle="1">
    <w:name w:val="Тема примечания Знак"/>
    <w:basedOn w:val="1525"/>
    <w:link w:val="1526"/>
    <w:uiPriority w:val="99"/>
    <w:semiHidden/>
    <w:rPr>
      <w:rFonts w:eastAsia="Times New Roman" w:cs="Times New Roman"/>
      <w:b/>
      <w:bCs/>
      <w:sz w:val="20"/>
      <w:szCs w:val="20"/>
      <w:lang w:eastAsia="ru-RU" w:bidi="ar-SA"/>
    </w:rPr>
  </w:style>
  <w:style w:type="character" w:styleId="1528" w:customStyle="1">
    <w:name w:val="Неразрешенное упоминание1"/>
    <w:basedOn w:val="1312"/>
    <w:uiPriority w:val="99"/>
    <w:semiHidden/>
    <w:unhideWhenUsed/>
    <w:rPr>
      <w:color w:val="605e5c"/>
      <w:shd w:val="clear" w:color="auto" w:fill="e1dfdd"/>
    </w:rPr>
  </w:style>
  <w:style w:type="paragraph" w:styleId="1529" w:customStyle="1">
    <w:name w:val="Стиль1"/>
    <w:basedOn w:val="1302"/>
    <w:qFormat/>
    <w:pPr>
      <w:ind w:firstLine="720"/>
      <w:jc w:val="both"/>
      <w:spacing w:line="360" w:lineRule="auto"/>
    </w:pPr>
  </w:style>
  <w:style w:type="paragraph" w:styleId="1530" w:customStyle="1">
    <w:name w:val="Стиль2"/>
    <w:basedOn w:val="1505"/>
    <w:qFormat/>
    <w:pPr>
      <w:ind w:firstLine="720"/>
      <w:jc w:val="both"/>
      <w:spacing w:before="120"/>
    </w:pPr>
  </w:style>
  <w:style w:type="paragraph" w:styleId="1531" w:customStyle="1">
    <w:name w:val="Standard"/>
    <w:qFormat/>
    <w:rPr>
      <w:rFonts w:ascii="Liberation Serif" w:hAnsi="Liberation Serif" w:eastAsia="Droid Sans Fallback" w:cs="FreeSans"/>
    </w:rPr>
  </w:style>
  <w:style w:type="character" w:styleId="1532">
    <w:name w:val="FollowedHyperlink"/>
    <w:basedOn w:val="1312"/>
    <w:uiPriority w:val="99"/>
    <w:semiHidden/>
    <w:unhideWhenUsed/>
    <w:rPr>
      <w:color w:val="800080" w:themeColor="followedHyperlink"/>
      <w:u w:val="single"/>
    </w:rPr>
  </w:style>
  <w:style w:type="paragraph" w:styleId="1533" w:customStyle="1">
    <w:name w:val="Текст таблицы"/>
    <w:basedOn w:val="1302"/>
    <w:qFormat/>
    <w:rPr>
      <w:lang w:val="en-US" w:eastAsia="en-US"/>
    </w:rPr>
  </w:style>
  <w:style w:type="paragraph" w:styleId="1534" w:customStyle="1">
    <w:name w:val="Шапка таблицы"/>
    <w:basedOn w:val="1302"/>
    <w:uiPriority w:val="99"/>
    <w:qFormat/>
    <w:pPr>
      <w:jc w:val="center"/>
      <w:keepNext/>
    </w:pPr>
    <w:rPr>
      <w:b/>
      <w:sz w:val="22"/>
      <w:szCs w:val="22"/>
      <w:lang w:eastAsia="en-US"/>
    </w:rPr>
  </w:style>
  <w:style w:type="character" w:styleId="1535">
    <w:name w:val="page number"/>
    <w:basedOn w:val="1312"/>
    <w:uiPriority w:val="99"/>
    <w:semiHidden/>
    <w:unhideWhenUsed/>
  </w:style>
  <w:style w:type="paragraph" w:styleId="1536" w:customStyle="1">
    <w:name w:val="Гост-заг2"/>
    <w:basedOn w:val="1302"/>
    <w:qFormat/>
    <w:pPr>
      <w:ind w:left="1418" w:hanging="567"/>
      <w:jc w:val="both"/>
      <w:keepLines/>
      <w:keepNext/>
      <w:spacing w:before="240" w:after="120" w:line="276" w:lineRule="auto"/>
      <w:outlineLvl w:val="1"/>
    </w:pPr>
    <w:rPr>
      <w:rFonts w:cstheme="minorBidi"/>
      <w:b/>
      <w:bCs/>
      <w:iCs/>
      <w:sz w:val="30"/>
      <w:lang w:eastAsia="en-US" w:bidi="en-US"/>
    </w:rPr>
  </w:style>
  <w:style w:type="paragraph" w:styleId="1537" w:customStyle="1">
    <w:name w:val="Гост-заг3"/>
    <w:basedOn w:val="1302"/>
    <w:qFormat/>
    <w:pPr>
      <w:ind w:left="1418" w:hanging="567"/>
      <w:jc w:val="both"/>
      <w:keepLines/>
      <w:keepNext/>
      <w:spacing w:before="240" w:after="120" w:line="276" w:lineRule="auto"/>
      <w:outlineLvl w:val="2"/>
    </w:pPr>
    <w:rPr>
      <w:rFonts w:ascii="Times New Roman Полужирный" w:hAnsi="Times New Roman Полужирный" w:cstheme="minorBidi"/>
      <w:b/>
      <w:bCs/>
      <w:iCs/>
      <w:sz w:val="30"/>
      <w:szCs w:val="26"/>
      <w:lang w:eastAsia="en-US" w:bidi="en-US"/>
    </w:rPr>
  </w:style>
  <w:style w:type="paragraph" w:styleId="1538" w:customStyle="1">
    <w:name w:val="Гост-заг4"/>
    <w:basedOn w:val="1302"/>
    <w:qFormat/>
    <w:pPr>
      <w:ind w:left="851"/>
      <w:jc w:val="both"/>
      <w:keepLines/>
      <w:keepNext/>
      <w:spacing w:before="240" w:after="120" w:line="360" w:lineRule="auto"/>
      <w:outlineLvl w:val="3"/>
    </w:pPr>
    <w:rPr>
      <w:rFonts w:ascii="Times New Roman Полужирный" w:hAnsi="Times New Roman Полужирный" w:cstheme="minorBidi"/>
      <w:b/>
      <w:bCs/>
      <w:iCs/>
      <w:sz w:val="26"/>
      <w:szCs w:val="26"/>
      <w:lang w:eastAsia="en-US" w:bidi="en-US"/>
    </w:rPr>
  </w:style>
  <w:style w:type="paragraph" w:styleId="1539" w:customStyle="1">
    <w:name w:val="гост-табл-текст"/>
    <w:basedOn w:val="1302"/>
    <w:link w:val="1554"/>
    <w:qFormat/>
    <w:rPr>
      <w:lang w:eastAsia="en-US"/>
    </w:rPr>
  </w:style>
  <w:style w:type="paragraph" w:styleId="1540">
    <w:name w:val="List Number"/>
    <w:basedOn w:val="1302"/>
    <w:unhideWhenUsed/>
    <w:pPr>
      <w:numPr>
        <w:ilvl w:val="0"/>
        <w:numId w:val="12"/>
      </w:numPr>
      <w:contextualSpacing/>
    </w:pPr>
  </w:style>
  <w:style w:type="paragraph" w:styleId="1541">
    <w:name w:val="List Bullet"/>
    <w:basedOn w:val="1542"/>
    <w:qFormat/>
    <w:pPr>
      <w:numPr>
        <w:ilvl w:val="0"/>
        <w:numId w:val="13"/>
      </w:numPr>
    </w:pPr>
    <w:rPr>
      <w:sz w:val="26"/>
      <w:lang w:bidi="en-US"/>
    </w:rPr>
  </w:style>
  <w:style w:type="paragraph" w:styleId="1542" w:customStyle="1">
    <w:name w:val="Гост-список-марк"/>
    <w:basedOn w:val="1302"/>
    <w:link w:val="1543"/>
    <w:qFormat/>
    <w:pPr>
      <w:ind w:left="1208" w:hanging="357"/>
      <w:jc w:val="both"/>
      <w:spacing w:line="360" w:lineRule="auto"/>
    </w:pPr>
    <w:rPr>
      <w:rFonts w:eastAsia="Calibri"/>
      <w:shd w:val="clear" w:color="auto" w:fill="ffffff"/>
      <w:lang w:eastAsia="en-US"/>
    </w:rPr>
  </w:style>
  <w:style w:type="character" w:styleId="1543" w:customStyle="1">
    <w:name w:val="Гост-список-марк Знак"/>
    <w:link w:val="1542"/>
    <w:rPr>
      <w:rFonts w:eastAsia="Calibri" w:cs="Times New Roman"/>
      <w:lang w:eastAsia="en-US" w:bidi="ar-SA"/>
    </w:rPr>
  </w:style>
  <w:style w:type="character" w:styleId="1544" w:customStyle="1">
    <w:name w:val="Неразрешенное упоминание2"/>
    <w:basedOn w:val="1312"/>
    <w:uiPriority w:val="99"/>
    <w:semiHidden/>
    <w:unhideWhenUsed/>
    <w:rPr>
      <w:color w:val="605e5c"/>
      <w:shd w:val="clear" w:color="auto" w:fill="e1dfdd"/>
    </w:rPr>
  </w:style>
  <w:style w:type="paragraph" w:styleId="1545" w:customStyle="1">
    <w:name w:val="Спис."/>
    <w:basedOn w:val="1522"/>
    <w:pPr>
      <w:contextualSpacing w:val="0"/>
      <w:ind w:left="0" w:firstLine="840"/>
      <w:spacing w:line="360" w:lineRule="auto"/>
    </w:pPr>
    <w:rPr>
      <w:color w:val="000000"/>
      <w:szCs w:val="20"/>
    </w:rPr>
  </w:style>
  <w:style w:type="paragraph" w:styleId="1546" w:customStyle="1">
    <w:name w:val="Гост-табл-назв"/>
    <w:basedOn w:val="1302"/>
    <w:link w:val="1547"/>
    <w:qFormat/>
    <w:pPr>
      <w:jc w:val="both"/>
      <w:keepNext/>
      <w:spacing w:before="120" w:after="120"/>
    </w:pPr>
    <w:rPr>
      <w:rFonts w:eastAsia="Arial Unicode MS"/>
      <w:bCs/>
      <w:lang w:eastAsia="en-US" w:bidi="en-US"/>
    </w:rPr>
  </w:style>
  <w:style w:type="character" w:styleId="1547" w:customStyle="1">
    <w:name w:val="Гост-табл-назв Знак"/>
    <w:basedOn w:val="1312"/>
    <w:link w:val="1546"/>
    <w:rPr>
      <w:rFonts w:eastAsia="Arial Unicode MS" w:cs="Times New Roman"/>
      <w:bCs/>
      <w:lang w:eastAsia="en-US" w:bidi="en-US"/>
    </w:rPr>
  </w:style>
  <w:style w:type="numbering" w:styleId="1548" w:customStyle="1">
    <w:name w:val="Текущий список1"/>
    <w:uiPriority w:val="99"/>
    <w:pPr>
      <w:numPr>
        <w:ilvl w:val="0"/>
        <w:numId w:val="14"/>
      </w:numPr>
    </w:pPr>
  </w:style>
  <w:style w:type="character" w:styleId="1549">
    <w:name w:val="Strong"/>
    <w:basedOn w:val="1312"/>
    <w:uiPriority w:val="22"/>
    <w:qFormat/>
    <w:rPr>
      <w:b/>
      <w:bCs/>
    </w:rPr>
  </w:style>
  <w:style w:type="character" w:styleId="1550" w:customStyle="1">
    <w:name w:val="Абзац списка Знак"/>
    <w:link w:val="1522"/>
    <w:uiPriority w:val="34"/>
    <w:qFormat/>
    <w:rPr>
      <w:rFonts w:eastAsia="Times New Roman" w:cs="Times New Roman"/>
      <w:lang w:eastAsia="ru-RU" w:bidi="ar-SA"/>
    </w:rPr>
  </w:style>
  <w:style w:type="character" w:styleId="1551" w:customStyle="1">
    <w:name w:val="ListLabel 405"/>
    <w:qFormat/>
    <w:rPr>
      <w:rFonts w:cs="Courier New"/>
    </w:rPr>
  </w:style>
  <w:style w:type="paragraph" w:styleId="1552" w:customStyle="1">
    <w:name w:val="ОснТекст"/>
    <w:basedOn w:val="1516"/>
    <w:link w:val="1553"/>
    <w:qFormat/>
    <w:pPr>
      <w:ind w:left="0" w:firstLine="851"/>
      <w:jc w:val="both"/>
      <w:spacing w:after="0" w:line="360" w:lineRule="auto"/>
      <w:tabs>
        <w:tab w:val="left" w:pos="851" w:leader="none"/>
        <w:tab w:val="clear" w:pos="1200" w:leader="none"/>
        <w:tab w:val="left" w:pos="1418" w:leader="none"/>
        <w:tab w:val="right" w:pos="9355" w:leader="dot"/>
        <w:tab w:val="clear" w:pos="9488" w:leader="none"/>
      </w:tabs>
    </w:pPr>
    <w:rPr>
      <w:rFonts w:eastAsia="Symbol" w:cs="Symbol"/>
      <w:szCs w:val="44"/>
    </w:rPr>
  </w:style>
  <w:style w:type="character" w:styleId="1553" w:customStyle="1">
    <w:name w:val="ОснТекст Знак"/>
    <w:link w:val="1552"/>
    <w:qFormat/>
    <w:rPr>
      <w:rFonts w:eastAsia="Symbol" w:cs="Symbol"/>
      <w:szCs w:val="44"/>
      <w:lang w:eastAsia="ru-RU" w:bidi="ar-SA"/>
    </w:rPr>
  </w:style>
  <w:style w:type="character" w:styleId="1554" w:customStyle="1">
    <w:name w:val="гост-табл-текст Знак"/>
    <w:link w:val="1539"/>
    <w:qFormat/>
    <w:rPr>
      <w:rFonts w:eastAsia="Times New Roman" w:cs="Times New Roman"/>
      <w:lang w:eastAsia="en-US" w:bidi="ar-SA"/>
    </w:rPr>
  </w:style>
  <w:style w:type="paragraph" w:styleId="1555" w:customStyle="1">
    <w:name w:val="Table Paragraph"/>
    <w:basedOn w:val="1302"/>
    <w:uiPriority w:val="1"/>
    <w:qFormat/>
    <w:pPr>
      <w:widowControl w:val="off"/>
    </w:pPr>
    <w:rPr>
      <w:sz w:val="22"/>
      <w:szCs w:val="22"/>
      <w:lang w:eastAsia="en-US"/>
    </w:rPr>
  </w:style>
  <w:style w:type="paragraph" w:styleId="1556" w:customStyle="1">
    <w:name w:val="p1"/>
    <w:basedOn w:val="1302"/>
    <w:rPr>
      <w:rFonts w:ascii=".AppleSystemUIFont" w:hAnsi=".AppleSystemUIFont"/>
      <w:sz w:val="20"/>
      <w:szCs w:val="20"/>
    </w:rPr>
  </w:style>
  <w:style w:type="paragraph" w:styleId="1557" w:customStyle="1">
    <w:name w:val="*_1_Список"/>
    <w:basedOn w:val="1541"/>
    <w:link w:val="1558"/>
    <w:qFormat/>
    <w:pPr>
      <w:numPr>
        <w:ilvl w:val="0"/>
        <w:numId w:val="16"/>
      </w:numPr>
      <w:ind w:left="1276" w:hanging="425"/>
      <w:shd w:val="clear" w:color="auto" w:fill="ffffff"/>
      <w:tabs>
        <w:tab w:val="num" w:pos="0" w:leader="none"/>
        <w:tab w:val="num" w:pos="360" w:leader="none"/>
      </w:tabs>
    </w:pPr>
    <w:rPr>
      <w:sz w:val="24"/>
      <w:shd w:val="clear" w:color="auto" w:fill="auto"/>
      <w:lang w:eastAsia="ru-RU" w:bidi="ar-SA"/>
    </w:rPr>
  </w:style>
  <w:style w:type="character" w:styleId="1558" w:customStyle="1">
    <w:name w:val="*_1_Список Знак"/>
    <w:basedOn w:val="1312"/>
    <w:link w:val="1557"/>
    <w:rPr>
      <w:rFonts w:eastAsia="Calibri" w:cs="Times New Roman"/>
      <w:shd w:val="clear" w:color="auto" w:fill="ffffff"/>
      <w:lang w:eastAsia="ru-RU" w:bidi="ar-SA"/>
    </w:rPr>
  </w:style>
  <w:style w:type="character" w:styleId="1559" w:customStyle="1">
    <w:name w:val="Текст сноски Знак"/>
    <w:basedOn w:val="1312"/>
    <w:link w:val="1504"/>
    <w:uiPriority w:val="99"/>
    <w:qFormat/>
    <w:rPr>
      <w:rFonts w:eastAsia="Times New Roman" w:cs="Times New Roman"/>
      <w:lang w:eastAsia="ru-RU" w:bidi="ar-SA"/>
    </w:rPr>
  </w:style>
  <w:style w:type="character" w:styleId="1560" w:customStyle="1">
    <w:name w:val="Знак сноски1"/>
    <w:rPr>
      <w:rFonts w:cs="Times New Roman"/>
      <w:vertAlign w:val="superscript"/>
    </w:rPr>
  </w:style>
  <w:style w:type="paragraph" w:styleId="1561" w:customStyle="1">
    <w:name w:val="Гост-табл-список"/>
    <w:basedOn w:val="1539"/>
    <w:qFormat/>
    <w:pPr>
      <w:numPr>
        <w:ilvl w:val="0"/>
        <w:numId w:val="17"/>
      </w:numPr>
    </w:pPr>
  </w:style>
  <w:style w:type="table" w:styleId="1562" w:customStyle="1">
    <w:name w:val="Сетка таблицы2"/>
    <w:basedOn w:val="1313"/>
    <w:next w:val="1512"/>
    <w:uiPriority w:val="39"/>
    <w:rPr>
      <w:rFonts w:ascii="Courier New" w:hAnsi="Courier New" w:eastAsia="Courier New" w:cs="Times New Roman"/>
      <w:sz w:val="18"/>
      <w:szCs w:val="22"/>
      <w:lang w:eastAsia="ru-RU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563" w:customStyle="1">
    <w:name w:val="Table"/>
    <w:basedOn w:val="1531"/>
    <w:pPr>
      <w:widowControl w:val="off"/>
      <w:tabs>
        <w:tab w:val="left" w:pos="567" w:leader="none"/>
      </w:tabs>
    </w:pPr>
    <w:rPr>
      <w:rFonts w:ascii="Times New Roman" w:hAnsi="Times New Roman" w:eastAsia="Symbol" w:cs="Symbol"/>
      <w:szCs w:val="20"/>
      <w:lang w:eastAsia="en-US" w:bidi="ar-SA"/>
    </w:rPr>
  </w:style>
  <w:style w:type="paragraph" w:styleId="1564" w:customStyle="1">
    <w:name w:val="Текст документа"/>
    <w:basedOn w:val="1531"/>
    <w:pPr>
      <w:ind w:firstLine="851"/>
      <w:jc w:val="both"/>
      <w:spacing w:line="360" w:lineRule="auto"/>
    </w:pPr>
    <w:rPr>
      <w:rFonts w:ascii="Times New Roman" w:hAnsi="Times New Roman" w:eastAsia="Times New Roman" w:cs="Times New Roman"/>
      <w:sz w:val="26"/>
      <w:lang w:eastAsia="ru-RU" w:bidi="ar-SA"/>
    </w:rPr>
  </w:style>
  <w:style w:type="paragraph" w:styleId="1565" w:customStyle="1">
    <w:name w:val="Дефис 2"/>
    <w:basedOn w:val="1302"/>
    <w:pPr>
      <w:numPr>
        <w:ilvl w:val="0"/>
        <w:numId w:val="18"/>
      </w:numPr>
      <w:widowControl w:val="off"/>
      <w:tabs>
        <w:tab w:val="left" w:pos="788" w:leader="none"/>
        <w:tab w:val="left" w:pos="2020" w:leader="none"/>
      </w:tabs>
    </w:pPr>
    <w:rPr>
      <w:rFonts w:ascii="Calibri" w:hAnsi="Calibri" w:eastAsia="Calibri" w:cs="F"/>
      <w:color w:val="0000ff"/>
      <w:sz w:val="26"/>
      <w:szCs w:val="20"/>
      <w:lang w:eastAsia="en-US" w:bidi="en-US"/>
    </w:rPr>
  </w:style>
  <w:style w:type="numbering" w:styleId="1566" w:customStyle="1">
    <w:name w:val="WWNum14"/>
    <w:basedOn w:val="1314"/>
    <w:pPr>
      <w:numPr>
        <w:ilvl w:val="0"/>
        <w:numId w:val="55"/>
      </w:numPr>
    </w:pPr>
  </w:style>
  <w:style w:type="paragraph" w:styleId="1567" w:customStyle="1">
    <w:name w:val="текст примера"/>
    <w:basedOn w:val="1302"/>
    <w:pPr>
      <w:ind w:firstLine="851"/>
      <w:jc w:val="both"/>
      <w:spacing w:line="360" w:lineRule="auto"/>
    </w:pPr>
    <w:rPr>
      <w:color w:val="0000ff"/>
    </w:rPr>
  </w:style>
  <w:style w:type="character" w:styleId="1568" w:customStyle="1">
    <w:name w:val="WW8Num4z4"/>
    <w:rPr>
      <w:rFonts w:ascii="Courier New" w:hAnsi="Courier New" w:eastAsia="Courier New" w:cs="Courier New"/>
    </w:rPr>
  </w:style>
  <w:style w:type="numbering" w:styleId="1569" w:customStyle="1">
    <w:name w:val="Заголовки"/>
    <w:basedOn w:val="1314"/>
    <w:pPr>
      <w:numPr>
        <w:ilvl w:val="0"/>
        <w:numId w:val="19"/>
      </w:numPr>
    </w:pPr>
  </w:style>
  <w:style w:type="character" w:styleId="1570" w:customStyle="1">
    <w:name w:val="_Основной перед списком Знак"/>
    <w:rPr>
      <w:rFonts w:ascii="Times New Roman" w:hAnsi="Times New Roman" w:eastAsia="Times New Roman" w:cs="Times New Roman"/>
      <w:sz w:val="24"/>
      <w:szCs w:val="24"/>
    </w:rPr>
  </w:style>
  <w:style w:type="numbering" w:styleId="1571" w:customStyle="1">
    <w:name w:val="WWNum141"/>
    <w:basedOn w:val="1314"/>
  </w:style>
  <w:style w:type="paragraph" w:styleId="1572">
    <w:name w:val="List Bullet 2"/>
    <w:basedOn w:val="1302"/>
    <w:unhideWhenUsed/>
    <w:pPr>
      <w:numPr>
        <w:ilvl w:val="0"/>
        <w:numId w:val="20"/>
      </w:numPr>
      <w:contextualSpacing/>
    </w:pPr>
  </w:style>
  <w:style w:type="paragraph" w:styleId="1573" w:customStyle="1">
    <w:name w:val="List Paragraph;Bullet List;FooterText;numbered;ТЗ список;Абзац списка литеральный;Paragraphe de liste1;lp1;Маркер;Абзац списка нумерованный;Булет1;1Булет;it_List1;Макированый список ТЗ;Таблицы;Use Case List Paragraph;Table-Normal;RSHB_Table-Normal"/>
    <w:basedOn w:val="1531"/>
    <w:pPr>
      <w:ind w:left="357" w:hanging="334"/>
      <w:jc w:val="both"/>
    </w:pPr>
    <w:rPr>
      <w:rFonts w:ascii="Times New Roman" w:hAnsi="Times New Roman" w:eastAsia="Times New Roman" w:cs="Times New Roman"/>
      <w:lang w:eastAsia="ru-RU" w:bidi="ar-SA"/>
    </w:rPr>
  </w:style>
  <w:style w:type="character" w:styleId="1574" w:customStyle="1">
    <w:name w:val="Электронная подпись Знак1"/>
    <w:rPr>
      <w:rFonts w:ascii="Symbol" w:hAnsi="Symbol" w:eastAsia="Symbol" w:cs="Symbol"/>
      <w:sz w:val="24"/>
      <w:szCs w:val="20"/>
      <w:lang w:eastAsia="zh-CN"/>
    </w:rPr>
  </w:style>
  <w:style w:type="numbering" w:styleId="1575" w:customStyle="1">
    <w:name w:val="Список 21"/>
    <w:basedOn w:val="1314"/>
    <w:pPr>
      <w:numPr>
        <w:ilvl w:val="0"/>
        <w:numId w:val="21"/>
      </w:numPr>
    </w:pPr>
  </w:style>
  <w:style w:type="numbering" w:styleId="1576" w:customStyle="1">
    <w:name w:val="WWNum1a"/>
    <w:basedOn w:val="1314"/>
  </w:style>
  <w:style w:type="numbering" w:styleId="1577" w:customStyle="1">
    <w:name w:val="WWNum142"/>
    <w:basedOn w:val="1314"/>
    <w:pPr>
      <w:numPr>
        <w:ilvl w:val="0"/>
        <w:numId w:val="1"/>
      </w:numPr>
    </w:pPr>
  </w:style>
  <w:style w:type="paragraph" w:styleId="1578" w:customStyle="1">
    <w:name w:val="Отступ списка"/>
    <w:basedOn w:val="1302"/>
    <w:pPr>
      <w:ind w:left="1247"/>
      <w:jc w:val="both"/>
      <w:spacing w:line="360" w:lineRule="auto"/>
    </w:pPr>
    <w:rPr>
      <w:sz w:val="26"/>
    </w:rPr>
  </w:style>
  <w:style w:type="numbering" w:styleId="1579" w:customStyle="1">
    <w:name w:val="WWNum41"/>
    <w:basedOn w:val="1314"/>
    <w:pPr>
      <w:numPr>
        <w:ilvl w:val="0"/>
        <w:numId w:val="24"/>
      </w:numPr>
    </w:pPr>
  </w:style>
  <w:style w:type="numbering" w:styleId="1580" w:customStyle="1">
    <w:name w:val="Outline"/>
    <w:basedOn w:val="1314"/>
    <w:pPr>
      <w:numPr>
        <w:ilvl w:val="0"/>
        <w:numId w:val="27"/>
      </w:numPr>
    </w:pPr>
  </w:style>
  <w:style w:type="paragraph" w:styleId="1581" w:customStyle="1">
    <w:name w:val="Заголовок 21"/>
    <w:pPr>
      <w:ind w:left="851"/>
      <w:keepNext/>
      <w:spacing w:before="240" w:after="120" w:line="360" w:lineRule="auto"/>
      <w:widowControl w:val="off"/>
      <w:tabs>
        <w:tab w:val="left" w:pos="-567" w:leader="none"/>
      </w:tabs>
      <w:outlineLvl w:val="1"/>
    </w:pPr>
    <w:rPr>
      <w:rFonts w:eastAsia="Arial Unicode MS" w:cs="Times New Roman"/>
      <w:b/>
      <w:sz w:val="28"/>
      <w:szCs w:val="28"/>
      <w:lang w:eastAsia="en-US" w:bidi="ar-SA"/>
    </w:rPr>
  </w:style>
  <w:style w:type="paragraph" w:styleId="1582" w:customStyle="1">
    <w:name w:val="Заголовок 31"/>
    <w:pPr>
      <w:ind w:left="851"/>
      <w:keepNext/>
      <w:spacing w:before="240" w:after="120" w:line="360" w:lineRule="auto"/>
      <w:tabs>
        <w:tab w:val="left" w:pos="2120" w:leader="none"/>
      </w:tabs>
      <w:outlineLvl w:val="2"/>
    </w:pPr>
    <w:rPr>
      <w:rFonts w:eastAsia="Times New Roman" w:cs="Times New Roman"/>
      <w:b/>
      <w:sz w:val="28"/>
      <w:szCs w:val="28"/>
      <w:lang w:eastAsia="en-US" w:bidi="ar-SA"/>
    </w:rPr>
  </w:style>
  <w:style w:type="paragraph" w:styleId="1583" w:customStyle="1">
    <w:name w:val="Заголовок 41"/>
    <w:pPr>
      <w:ind w:left="851"/>
      <w:keepNext/>
      <w:spacing w:before="240" w:after="120" w:line="360" w:lineRule="auto"/>
      <w:outlineLvl w:val="3"/>
    </w:pPr>
    <w:rPr>
      <w:rFonts w:eastAsia="Times New Roman" w:cs="Times New Roman"/>
      <w:b/>
      <w:sz w:val="28"/>
      <w:szCs w:val="28"/>
      <w:lang w:eastAsia="en-US" w:bidi="ar-SA"/>
    </w:rPr>
  </w:style>
  <w:style w:type="paragraph" w:styleId="1584" w:customStyle="1">
    <w:name w:val="Заголовок 51"/>
    <w:pPr>
      <w:ind w:left="851"/>
      <w:jc w:val="both"/>
      <w:spacing w:before="240" w:after="120" w:line="360" w:lineRule="auto"/>
      <w:widowControl w:val="off"/>
      <w:tabs>
        <w:tab w:val="left" w:pos="1553" w:leader="none"/>
      </w:tabs>
      <w:outlineLvl w:val="4"/>
    </w:pPr>
    <w:rPr>
      <w:rFonts w:eastAsia="Times New Roman" w:cs="Times New Roman"/>
      <w:b/>
      <w:sz w:val="26"/>
      <w:szCs w:val="28"/>
      <w:lang w:eastAsia="en-US" w:bidi="ar-SA"/>
    </w:rPr>
  </w:style>
  <w:style w:type="numbering" w:styleId="1585" w:customStyle="1">
    <w:name w:val="WWNum47"/>
    <w:basedOn w:val="1314"/>
    <w:pPr>
      <w:numPr>
        <w:ilvl w:val="0"/>
        <w:numId w:val="28"/>
      </w:numPr>
    </w:pPr>
  </w:style>
  <w:style w:type="paragraph" w:styleId="1586" w:customStyle="1">
    <w:name w:val="Footnote"/>
    <w:basedOn w:val="1531"/>
    <w:pPr>
      <w:ind w:left="850"/>
      <w:jc w:val="both"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character" w:styleId="1587">
    <w:name w:val="footnote reference"/>
    <w:basedOn w:val="1312"/>
    <w:rPr>
      <w:position w:val="0"/>
      <w:vertAlign w:val="superscript"/>
    </w:rPr>
  </w:style>
  <w:style w:type="numbering" w:styleId="1588" w:customStyle="1">
    <w:name w:val="WWNum48"/>
    <w:basedOn w:val="1314"/>
    <w:pPr>
      <w:numPr>
        <w:ilvl w:val="0"/>
        <w:numId w:val="30"/>
      </w:numPr>
    </w:pPr>
  </w:style>
  <w:style w:type="numbering" w:styleId="1589" w:customStyle="1">
    <w:name w:val="Заголовки1"/>
    <w:basedOn w:val="1314"/>
    <w:pPr>
      <w:numPr>
        <w:ilvl w:val="0"/>
        <w:numId w:val="22"/>
      </w:numPr>
    </w:pPr>
  </w:style>
  <w:style w:type="numbering" w:styleId="1590" w:customStyle="1">
    <w:name w:val="WWNum30"/>
    <w:basedOn w:val="1314"/>
    <w:pPr>
      <w:numPr>
        <w:ilvl w:val="0"/>
        <w:numId w:val="50"/>
      </w:numPr>
    </w:pPr>
  </w:style>
  <w:style w:type="paragraph" w:styleId="1591" w:customStyle="1">
    <w:name w:val="Комментарий Список"/>
    <w:basedOn w:val="1531"/>
    <w:pPr>
      <w:ind w:firstLine="720"/>
      <w:jc w:val="both"/>
      <w:tabs>
        <w:tab w:val="left" w:pos="1080" w:leader="none"/>
      </w:tabs>
    </w:pPr>
    <w:rPr>
      <w:rFonts w:ascii="Times New Roman" w:hAnsi="Times New Roman" w:eastAsia="Times New Roman" w:cs="Times New Roman"/>
      <w:color w:val="0000ff"/>
      <w:lang w:eastAsia="ru-RU" w:bidi="ar-SA"/>
    </w:rPr>
  </w:style>
  <w:style w:type="numbering" w:styleId="1592" w:customStyle="1">
    <w:name w:val="WWNum33"/>
    <w:basedOn w:val="1314"/>
    <w:pPr>
      <w:numPr>
        <w:ilvl w:val="0"/>
        <w:numId w:val="31"/>
      </w:numPr>
    </w:pPr>
  </w:style>
  <w:style w:type="numbering" w:styleId="1593" w:customStyle="1">
    <w:name w:val="Bulleted 3"/>
    <w:basedOn w:val="1314"/>
    <w:pPr>
      <w:numPr>
        <w:ilvl w:val="0"/>
        <w:numId w:val="32"/>
      </w:numPr>
    </w:pPr>
  </w:style>
  <w:style w:type="numbering" w:styleId="1594" w:customStyle="1">
    <w:name w:val="WWNum19"/>
    <w:basedOn w:val="1314"/>
    <w:pPr>
      <w:numPr>
        <w:ilvl w:val="0"/>
        <w:numId w:val="33"/>
      </w:numPr>
    </w:pPr>
  </w:style>
  <w:style w:type="paragraph" w:styleId="1595" w:customStyle="1">
    <w:name w:val="Заголовок приложения"/>
    <w:basedOn w:val="1538"/>
    <w:pPr>
      <w:ind w:left="0"/>
      <w:jc w:val="center"/>
      <w:pageBreakBefore/>
      <w:spacing w:before="0" w:after="0" w:line="240" w:lineRule="auto"/>
      <w:outlineLvl w:val="0"/>
    </w:pPr>
    <w:rPr>
      <w:rFonts w:ascii="Times New Roman" w:hAnsi="Times New Roman" w:cs="Times New Roman"/>
      <w:sz w:val="32"/>
      <w:szCs w:val="32"/>
    </w:rPr>
  </w:style>
  <w:style w:type="paragraph" w:styleId="1596" w:customStyle="1">
    <w:name w:val="ТЛ_Название_учреждения"/>
    <w:basedOn w:val="1302"/>
    <w:pPr>
      <w:jc w:val="center"/>
    </w:pPr>
    <w:rPr>
      <w:caps/>
      <w:sz w:val="28"/>
    </w:rPr>
  </w:style>
  <w:style w:type="numbering" w:styleId="1597" w:customStyle="1">
    <w:name w:val="WWNum37"/>
    <w:basedOn w:val="1314"/>
    <w:pPr>
      <w:numPr>
        <w:ilvl w:val="0"/>
        <w:numId w:val="35"/>
      </w:numPr>
    </w:pPr>
  </w:style>
  <w:style w:type="numbering" w:styleId="1598" w:customStyle="1">
    <w:name w:val="Список 22"/>
    <w:basedOn w:val="1314"/>
    <w:pPr>
      <w:numPr>
        <w:ilvl w:val="0"/>
        <w:numId w:val="38"/>
      </w:numPr>
    </w:pPr>
  </w:style>
  <w:style w:type="paragraph" w:styleId="1599" w:customStyle="1">
    <w:name w:val="ГОСТ Заголовок 1"/>
    <w:basedOn w:val="1303"/>
    <w:link w:val="1602"/>
    <w:qFormat/>
    <w:pPr>
      <w:numPr>
        <w:ilvl w:val="0"/>
        <w:numId w:val="39"/>
      </w:numPr>
      <w:jc w:val="left"/>
    </w:pPr>
  </w:style>
  <w:style w:type="character" w:styleId="1600" w:customStyle="1">
    <w:name w:val="LO-normal Знак"/>
    <w:basedOn w:val="1312"/>
    <w:link w:val="1499"/>
  </w:style>
  <w:style w:type="character" w:styleId="1601" w:customStyle="1">
    <w:name w:val="Заголовок 1 Знак"/>
    <w:basedOn w:val="1600"/>
    <w:link w:val="1303"/>
    <w:rPr>
      <w:b/>
      <w:sz w:val="32"/>
      <w:szCs w:val="32"/>
    </w:rPr>
  </w:style>
  <w:style w:type="character" w:styleId="1602" w:customStyle="1">
    <w:name w:val="ГОСТ Заголовок 1 Знак"/>
    <w:basedOn w:val="1601"/>
    <w:link w:val="1599"/>
    <w:rPr>
      <w:b/>
      <w:sz w:val="32"/>
      <w:szCs w:val="32"/>
    </w:rPr>
  </w:style>
  <w:style w:type="paragraph" w:styleId="1603" w:customStyle="1">
    <w:name w:val="ГОСТ Заголовок 2"/>
    <w:basedOn w:val="1599"/>
    <w:link w:val="1604"/>
    <w:qFormat/>
    <w:pPr>
      <w:numPr>
        <w:ilvl w:val="1"/>
        <w:numId w:val="40"/>
      </w:numPr>
      <w:spacing w:after="120"/>
    </w:pPr>
    <w:rPr>
      <w:sz w:val="28"/>
      <w:szCs w:val="28"/>
    </w:rPr>
  </w:style>
  <w:style w:type="character" w:styleId="1604" w:customStyle="1">
    <w:name w:val="ГОСТ Заголовок 2 Знак"/>
    <w:basedOn w:val="1602"/>
    <w:link w:val="1603"/>
    <w:rPr>
      <w:b/>
      <w:sz w:val="28"/>
      <w:szCs w:val="28"/>
    </w:rPr>
  </w:style>
  <w:style w:type="paragraph" w:styleId="1605" w:customStyle="1">
    <w:name w:val="Маркированный список 1"/>
    <w:basedOn w:val="1541"/>
    <w:uiPriority w:val="99"/>
    <w:pPr>
      <w:numPr>
        <w:ilvl w:val="0"/>
        <w:numId w:val="42"/>
      </w:numPr>
      <w:spacing w:line="276" w:lineRule="auto"/>
    </w:pPr>
    <w:rPr>
      <w:rFonts w:eastAsia="Times New Roman"/>
      <w:color w:val="800000"/>
      <w:sz w:val="24"/>
      <w:shd w:val="clear" w:color="auto" w:fill="auto"/>
      <w:lang w:eastAsia="ru-RU" w:bidi="ar-SA"/>
    </w:rPr>
  </w:style>
  <w:style w:type="paragraph" w:styleId="1606" w:customStyle="1">
    <w:name w:val="марк_список примера"/>
    <w:basedOn w:val="1605"/>
    <w:qFormat/>
    <w:pPr>
      <w:ind w:left="1276" w:hanging="425"/>
      <w:spacing w:line="360" w:lineRule="auto"/>
      <w:tabs>
        <w:tab w:val="clear" w:pos="1381" w:leader="none"/>
      </w:tabs>
    </w:pPr>
    <w:rPr>
      <w:color w:val="0000ff"/>
    </w:rPr>
  </w:style>
  <w:style w:type="numbering" w:styleId="1607" w:customStyle="1">
    <w:name w:val="WWNum15"/>
    <w:basedOn w:val="1314"/>
    <w:pPr>
      <w:numPr>
        <w:ilvl w:val="0"/>
        <w:numId w:val="45"/>
      </w:numPr>
    </w:pPr>
  </w:style>
  <w:style w:type="numbering" w:styleId="1608" w:customStyle="1">
    <w:name w:val="WWNum16"/>
    <w:basedOn w:val="1314"/>
    <w:pPr>
      <w:numPr>
        <w:ilvl w:val="0"/>
        <w:numId w:val="46"/>
      </w:numPr>
    </w:pPr>
  </w:style>
  <w:style w:type="paragraph" w:styleId="1609" w:customStyle="1">
    <w:name w:val="Ш_Таблица Название"/>
    <w:qFormat/>
    <w:pPr>
      <w:jc w:val="both"/>
      <w:keepNext/>
      <w:spacing w:before="113"/>
      <w:widowControl w:val="off"/>
      <w:tabs>
        <w:tab w:val="left" w:pos="567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Symbol" w:cs="Symbol"/>
      <w:sz w:val="26"/>
      <w:szCs w:val="26"/>
      <w:lang w:eastAsia="en-US" w:bidi="ar-SA"/>
    </w:rPr>
  </w:style>
  <w:style w:type="paragraph" w:styleId="1610" w:customStyle="1">
    <w:name w:val="гост-табл-заг"/>
    <w:qFormat/>
    <w:pPr>
      <w:jc w:val="center"/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b/>
      <w:lang w:eastAsia="en-US" w:bidi="ar-SA"/>
    </w:rPr>
  </w:style>
  <w:style w:type="paragraph" w:styleId="1611" w:customStyle="1">
    <w:name w:val="Заголовок 1 приложения"/>
    <w:qFormat/>
    <w:pPr>
      <w:numPr>
        <w:ilvl w:val="0"/>
        <w:numId w:val="69"/>
      </w:numPr>
      <w:jc w:val="both"/>
      <w:spacing w:before="240" w:after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b/>
      <w:sz w:val="28"/>
      <w:szCs w:val="28"/>
      <w:lang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footer" Target="footer3.xml" /><Relationship Id="rId23" Type="http://schemas.openxmlformats.org/officeDocument/2006/relationships/footer" Target="footer4.xml" /><Relationship Id="rId24" Type="http://schemas.openxmlformats.org/officeDocument/2006/relationships/footer" Target="footer5.xml" /><Relationship Id="rId25" Type="http://schemas.openxmlformats.org/officeDocument/2006/relationships/footer" Target="footer6.xml" /><Relationship Id="rId26" Type="http://schemas.openxmlformats.org/officeDocument/2006/relationships/footer" Target="footer7.xml" /><Relationship Id="rId27" Type="http://schemas.openxmlformats.org/officeDocument/2006/relationships/footer" Target="footer8.xml" /><Relationship Id="rId28" Type="http://schemas.openxmlformats.org/officeDocument/2006/relationships/footer" Target="footer9.xml" /><Relationship Id="rId29" Type="http://schemas.openxmlformats.org/officeDocument/2006/relationships/footer" Target="footer10.xml" /><Relationship Id="rId30" Type="http://schemas.openxmlformats.org/officeDocument/2006/relationships/footer" Target="footer11.xml" /><Relationship Id="rId31" Type="http://schemas.openxmlformats.org/officeDocument/2006/relationships/customXml" Target="../customXml/item1.xml" /><Relationship Id="rId32" Type="http://schemas.openxmlformats.org/officeDocument/2006/relationships/hyperlink" Target="http://office.permkrai.ru/lk/registe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er8.xml.rels><?xml version="1.0" encoding="UTF-8" standalone="yes"?><Relationships xmlns="http://schemas.openxmlformats.org/package/2006/relationships"></Relationships>
</file>

<file path=word/_rels/footer9.xml.rels><?xml version="1.0" encoding="UTF-8" standalone="yes"?><Relationships xmlns="http://schemas.openxmlformats.org/package/2006/relationships"></Relationships>
</file>

<file path=word/_rels/footer10.xml.rels><?xml version="1.0" encoding="UTF-8" standalone="yes"?><Relationships xmlns="http://schemas.openxmlformats.org/package/2006/relationships"></Relationships>
</file>

<file path=word/_rels/footer1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E375F0-6150-449E-ABF6-6DF26577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 Валерия</dc:creator>
  <cp:keywords/>
  <dc:description/>
  <dc:language>ru-RU</dc:language>
  <cp:lastModifiedBy>aismirnova</cp:lastModifiedBy>
  <cp:revision>182</cp:revision>
  <dcterms:created xsi:type="dcterms:W3CDTF">2024-10-30T05:54:00Z</dcterms:created>
  <dcterms:modified xsi:type="dcterms:W3CDTF">2026-10-08T12:51:31Z</dcterms:modified>
</cp:coreProperties>
</file>