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0FA93B" w14:textId="4AD1E39E" w:rsidR="00A37185" w:rsidRDefault="00A37185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ru-RU"/>
        </w:rPr>
        <w:t>Добрый день, уважаемый участник!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"/>
        <w:gridCol w:w="3312"/>
        <w:gridCol w:w="6552"/>
      </w:tblGrid>
      <w:tr w:rsidR="00A37185" w:rsidRPr="00390794" w14:paraId="25AED51D" w14:textId="77777777" w:rsidTr="00500CCC">
        <w:trPr>
          <w:cantSplit/>
          <w:tblHeader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4EF5B7AA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4393C9BA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0794">
              <w:rPr>
                <w:rFonts w:ascii="Times New Roman" w:hAnsi="Times New Roman" w:cs="Times New Roman"/>
                <w:b/>
                <w:sz w:val="24"/>
                <w:szCs w:val="24"/>
              </w:rPr>
              <w:t>Вопрос</w:t>
            </w:r>
            <w:proofErr w:type="spellEnd"/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17AEBDAA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0794">
              <w:rPr>
                <w:rFonts w:ascii="Times New Roman" w:hAnsi="Times New Roman" w:cs="Times New Roman"/>
                <w:b/>
                <w:sz w:val="24"/>
                <w:szCs w:val="24"/>
              </w:rPr>
              <w:t>Ответ</w:t>
            </w:r>
            <w:proofErr w:type="spellEnd"/>
          </w:p>
        </w:tc>
      </w:tr>
      <w:tr w:rsidR="00A37185" w:rsidRPr="00390794" w14:paraId="5E56BB25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3F326F69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0CE8D9A0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кого на дату закупки находятся исключительные права на существующие цифровые продукты: основной сайт музея, сайт Фонда, интернет-магазин, мобильные приложения, личный кабинет?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5BF197BB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Исключительные права на существующие основной и дополнительный сайты, интернет-магазин и мобильное приложение принадлежат Музею. Единый личный кабинет создаётся в рамках настоящего контракта с интеграцией существующих пользовательских сервисов.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Права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стороннее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программное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определяются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условиями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соответствующих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лицензий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7185" w:rsidRPr="0031367F" w14:paraId="1251E66F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40566EF5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4EEB71CA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Какими неисключительными правами и какими исходными кодами обладает Заказчик по каждому из этих продуктов? Просим указать состав ПО, включая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CMS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модули магазина и сторонние компоненты (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OSS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ПО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неисключительным лицензиям).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3979227B" w14:textId="77777777" w:rsidR="00A37185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Предоставляем имеющийся исходный код существующих продуктов.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Репозитории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историей изменений, инструкции сборки, схемы баз данных и конфигурации развёртывания как отдельный комплект не предоставляются. Исходные платформы указаны в п. 3.2 ТЗ: интернет-магазин — 1С-Битрикс, мобильное приложение —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Flutter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электронный каталог — КАМИС «Коллекция онлайн». </w:t>
            </w:r>
          </w:p>
          <w:p w14:paraId="772CA930" w14:textId="77777777" w:rsidR="00A37185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3136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интернет-магазину у Заказчика имеется лицензия на программный продукт «1С-Битрикс24: Интернет-магазин + CRM». Указанная лицензия 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3136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неисключительные права на использование соответствующего функционала CMS, модулей интернет-магазина и CRM в объ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3136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ме, предусмотренном лицензией.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076394D8" w14:textId="77777777" w:rsidR="00A37185" w:rsidRPr="0031367F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Фактический состав компонентов, модулей, редакций и лицензий Подрядчик устанавливает при обследовании. Необходимую документацию Подрядчик подготавливает в составе предусмотренных ТЗ работ.</w:t>
            </w:r>
          </w:p>
        </w:tc>
      </w:tr>
      <w:tr w:rsidR="00A37185" w:rsidRPr="00D10D3B" w14:paraId="1BB44C52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6B01DA22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411A31D4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Имеются ли лицензии (сублицензии) третьих лиц на компоненты продуктов, ограничивающие модификацию, встраивание новых модулей или передачу результата другому подрядчику (пункт 20 ТЗ)?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24F66603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Специальная проверка условий действующих сторонних лицензий не проводилась; подтверждённые сведения об ограничениях отсутствуют. Проверка лицензий и фиксация ограничений входят в обследование по п. 3.2 ТЗ. Целевая лицензионная схема должна обеспечивать законное использование, модификацию и дальнейшее сопровождение результата Музеем либо привлечёнными им лицами с соблюдением раздела 20 ТЗ.</w:t>
            </w:r>
          </w:p>
        </w:tc>
      </w:tr>
      <w:tr w:rsidR="00A37185" w:rsidRPr="00D10D3B" w14:paraId="6769FFCA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6EE0A759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3B80FF10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Кто является текущим разработчиком (сопровождающим) сайта, магазина и мобильных приложений?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передаче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дел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Исполнителю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5EC5DADC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Действующий подрядчик по разработке и сопровождению указанных продуктов отсутствует. Передачу имеющегося исходного кода и исходных сведений организует Музей. Гарантированное участие прежних разработчиков в передаче дел не предусматривается.</w:t>
            </w:r>
          </w:p>
        </w:tc>
      </w:tr>
      <w:tr w:rsidR="00A37185" w:rsidRPr="00D10D3B" w14:paraId="77F83F56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6886C85D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15C18BC7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Требуется ли передача исключительных прав на создаваемый контент (сценарии, тексты, графику, 2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/3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-объекты, аудиозаписи) или достаточно неисключительной лицензии? В каком объёме Заказчик передаёт права на собственные материалы — изображения экспонатов, архивные материалы, тексты (раздел 20 ТЗ)?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3D1C0BAA" w14:textId="77777777" w:rsidR="00A37185" w:rsidRPr="00380E55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специально созданные в рамках работ концепции, сценарии, тексты, графику, 2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/3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-объекты, аудиозаписи, озвучивание и другие контентные результаты требуется передача исключительных прав Музею вместе с редактируемыми исходниками в соответствии с разделом 20 ТЗ. Подрядчик обеспечивает получение необходимых прав от авторов и исполнителей. Исходные музейные материалы отбираем совместно с Подрядчиком при разработке сценариев и предоставляем для исполнения контракта в пределах имеющихся прав. Предоставление этих материалов не означает отчужде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ния исключительных прав на них.</w:t>
            </w:r>
          </w:p>
        </w:tc>
      </w:tr>
      <w:tr w:rsidR="00A37185" w:rsidRPr="00A37185" w14:paraId="39B980AB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09A2CA7F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453F0E2D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какой срок (в рабочих днях) после заключения контракта Заказчик передаст исходный код,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репозитории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техническую документацию по существующим продуктам?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1F0FBC5A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Передаём имеющийся исходный код. Полный комплект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репозиториев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историей изменений и технической документации не предоставляется.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A37185" w:rsidRPr="00D10D3B" w14:paraId="0F23E821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1C89EDE6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727858DC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Будут ли предоставлены тестовые и промышленные среды существующих продуктов, доступы к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API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схемам баз данных и профилям развёртывания?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0DF5D4A1" w14:textId="77777777" w:rsidR="00A37185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Готовые технологические среды существующих продуктов и доступы к ним не предоставляются. Целевые среды создаёт и настраивает Подрядчик по п. 12.2.1 ТЗ. Потребность в доступах к внешним системам и исходным данным определяется при обследовании. Музей обеспечивает предоставление имеющихся у него необходимых полномочий и доступов.</w:t>
            </w:r>
          </w:p>
          <w:p w14:paraId="2AEADCC3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Доступы, имеющиеся у Музея на момент заключения контракта, могут быть предоставлены Подрядчику в течение 5 (пяти) рабочих дней с даты заключения контракта. Доступы, запрашиваемые Подрядчиком в ходе исполнения контракта, предоставляются Музеем в течение 3 (тр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181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х) рабочих дней с даты получения соответствующего запроса при условии наличия таких доступов у Музея. Предоставление указанных доступов осуществляется в объ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181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ме, необходимом для выполнения работ, и не изменяет установленный контрактом порядок создания целевых сред Подрядчиком.</w:t>
            </w:r>
          </w:p>
        </w:tc>
      </w:tr>
      <w:tr w:rsidR="00A37185" w:rsidRPr="00D10D3B" w14:paraId="78BDD966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6F8CF1CF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0D257868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какой срок предоставляются доступы и документация по внешним системам: билетная система, 1С, КАМИС (электронный каталог),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Bitrix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 платёжный провайдер, ККТ и ОФД (пункт 11.15 ТЗ)?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7188D7F7" w14:textId="77777777" w:rsidR="00A37185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Подрядчик в ходе обследования определяет необходимые интерфейсы, документацию, доступы и участие поставщиков билетной системы, 1С, КАМИС,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Bitrix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 платёжного провайдера, ККТ и ОФД. Музей обеспечивает организационное взаимодействие и предоставление имеющихся у него доступов. Ограничения и внешние зависимости фиксируются в порядке п. 11.15 ТЗ.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  <w:p w14:paraId="29D202B0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Доступы, имеющиеся у Музея на момент заключения контракта, могут быть предоставлены Подрядчику в течение 5 (пяти) рабочих дней с даты заключения контракта. Доступы, запрашиваемые Подрядчиком в ходе исполнения контракта, предоставляются Музеем в течение 3 (трех) рабочих дней с даты получения соответствующего запроса при условии наличия таких доступов у Музея. Предоставление указанных доступов осуществляется в объеме, необходимом для выполнения работ, и не изменяет установленный контрактом порядок создания целевых сред Подрядчиком.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37185" w:rsidRPr="0031367F" w14:paraId="6442170E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264A187D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039A45C3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Какие методы интеграции доступны у билетной системы (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виджет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API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webhook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QR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 есть ли тестовый контур и кто владелец системы со стороны Заказчика?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5072EEDB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Используется билетная система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HighWay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Media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Подрядчик обследует доступные способы интеграции, состав методов и данных, наличие документации и тестового контура. Музей обеспечивает необходимое организационное взаимодействие с поставщиком. На этапе 1 сохраняется действующий билетный сценарий, на этапе 2 обеспечивается предусмотренная ТЗ интеграция с единым пользовательским контуром. Отображение активных билетов и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QR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обязательно; способ реализации определяется доступными возможностями системы согласно Приложению № 11: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API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виджет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защищённая ссылка, согласованная выгрузка либо иной документированный механизм.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Владелец системы со стороны заказчика сообщается после заключения контракта.</w:t>
            </w:r>
          </w:p>
        </w:tc>
      </w:tr>
      <w:tr w:rsidR="00A37185" w:rsidRPr="0031367F" w14:paraId="72CD840C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567B6993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578DFF0C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Имеются ли на дату закупки утверждённые дизайн-макеты,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брендбук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дизайн-система, структура страниц и тексты для наполнения? Если нет — в какой срок они предоставляются и кто их согласовывает?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7D7E569B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94A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Предоставляем </w:t>
            </w:r>
            <w:proofErr w:type="spellStart"/>
            <w:r w:rsidRPr="0018194A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брендбук</w:t>
            </w:r>
            <w:proofErr w:type="spellEnd"/>
            <w:r w:rsidRPr="0018194A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и имеющийся макет основного сайта. 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Макет является основой для доработки и согласования с Музеем в соответствии с ТЗ. Готовый комплект макетов остальных продуктов и полная дизайн-система не предоставляются; их разработка входит в обязанности Подрядчика. Имеющиеся структура, тексты и другие материалы передаются в доступном объёме. Дизайн и промежуточные результаты согласовывает Музей.</w:t>
            </w:r>
          </w:p>
        </w:tc>
      </w:tr>
      <w:tr w:rsidR="00A37185" w:rsidRPr="00390794" w14:paraId="0DC4AF92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514FB76B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7A3C75D5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Требуется ли миграция существующих данных (контент, пользователи, заказы, история билетов) в новую инфраструктуру в рамках контракта?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и в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каком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объёме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7C817725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Да, миграция обязательна по п. 12.2.1 и Приложению № 11. Подрядчик выполняет инвентаризацию, устанавливает фактические объёмы, доступную глубину истории, способы выгрузки и технические ограничения. При отсутствии численного значения переносится весь актуальный опубликованный объём соответствующего источника, отвечающий условиям строки матрицы миграции.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 xml:space="preserve">Существующая история заказов магазина сохраняется. К завершению этапа 2 в едином ЛК отображаются заказы начиная с публичного запуска этапа 1; более ранние — по согласованным возможностям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API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/экспорта и правовым основаниям, без удаления истории из исходной системы. Активные билеты и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QR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должны быть доступны. Профили переносятся при наличии подтверждённого основания. Для КАМИС создаётся разрешённая публикационная копия/индекс со связями по устойчивым идентификаторам; мастер-база не переносится.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миграции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согласуются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Музеем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7185" w:rsidRPr="00A37185" w14:paraId="32D010F5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4D902185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2D62CEF9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Предоставляет ли Заказчик облачную инфраструктуру или её создаёт Исполнитель? Просим указать требования к провайдеру и порядок передачи учётной записи, доменов,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DNS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TLS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-сертификатов и хранилища секретов на Заказчика до запуска первого этапа (пункт 12.2.1 ТЗ).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42AAF043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Инфраструктуру подбирает, создаёт и настраивает Подрядчик у согласованного российского облачного провайдера с размещением соответствующих данных и резервных копий в РФ. Облачная организация, проекты,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биллинг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домены,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DNS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TLS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-сертификаты,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репозитории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мониторинг, хранилище секретов и иные эксплуатационные ресурсы оформляются на Музей с момента создания. Подрядчику предоставляются делегированные права. Административный контроль Музея обеспечивается до запуска этапа 1.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 xml:space="preserve">Состав готовности сред определяется п. 12.2.1: для первого запуска — промышленная и тестовая среды и необходимые средства эксплуатации; к этапу 2 — также среда разработки,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предпромышленная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среда и полный сетевой контур.</w:t>
            </w:r>
          </w:p>
        </w:tc>
      </w:tr>
      <w:tr w:rsidR="00A37185" w:rsidRPr="00A37185" w14:paraId="2414DD21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73275FF1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489891B1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Кто несёт регулярные расходы на инфраструктуру после завершения этапа 4? В каком виде требуется расчёт таких расходов в составе заявки?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201A17EF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Расходы на инфраструктуру для разработки, испытаний и промышленной эксплуатации до завершения этапа 4 включаются в цену контракта без повторного учёта. После завершения этапа 4 регулярные платежи осуществляет Музей. Подрядчик раскрывает расходы по сервисам, тарифы, лимиты и последствия прекращения оплаты в документации по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12.2.1 и 20.1 ТЗ.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Таблица со списком сервисов инфраструктуры с ценой данных сервисов. Вид таблицы определяется в ЧТЗ.</w:t>
            </w:r>
          </w:p>
        </w:tc>
      </w:tr>
      <w:tr w:rsidR="00A37185" w:rsidRPr="00D10D3B" w14:paraId="031E31DD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4F740265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308CBA81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Допускается ли развитие существующих продуктов на их текущем технологическом стеке (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либо требуется единый согласованный стек для всей экосистемы?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21DBAA3A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Единство Экосистемы обеспечивается согласованной архитектурой, идентификацией, данными, интеграциями, интерфейсами и эксплуатацией. Требование использовать один язык программирования или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фреймворк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всех компонентов не установлено. Для соответствующих веб- и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CRM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-компонентов предусмотрены совместимые продукты семейства 1С-Битрикс/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Bitrix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24, приложение дорабатывается на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Flutter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Сохранение либо контролируемая замена серверной части приложения определяется аудитом. Эквивалентные решения рассматриваются в порядке п. 3.3 ТЗ при соблюдении требований совместимости, миграции, безопасности, приёмки и стоимости.</w:t>
            </w:r>
          </w:p>
        </w:tc>
      </w:tr>
      <w:tr w:rsidR="00A37185" w:rsidRPr="00390794" w14:paraId="71459C02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386BA701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14F2A24B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Средства защиты от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DDoS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-атак и защиты веб-приложений (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WAF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предоставляет Заказчик или приобретает Исполнитель? Какие требования предъявляются к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7-балансировщику и статическим публичным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IPv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4-адресам (пункт 12.2.1 ТЗ)?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3B48C1F5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Средства защиты и сетевые ресурсы обеспечивает Подрядчик в составе инфраструктуры по п. 12.2.1 ТЗ. Требуются противодействие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DDoS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сетевом и транспортном уровнях, защита веб-приложений, ограничение запросов и блокирование аномальной активности.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 xml:space="preserve">Отказоустойчивый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7-балансировщик либо эквивалент должен исключать единую точку отказа, обеспечивать маршрутизацию по доменам и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URL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проверку доступности компонентов, передачу исходного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IP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клиента, ограничение запросов и соединений,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журналирование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применение защитных правил. Выделенные статические публичные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IPv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обеспечиваются, если внешние системы требуют включения адресов источника в разрешённые списки; количество определяется архитектурой.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Ресурсы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оформляются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Музей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7185" w:rsidRPr="00D10D3B" w14:paraId="60A0EA38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167EE7EC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1D94117E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Требуется ли подключение к внутренним системам музея через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VPN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-туннель? Какой класс средств криптографической защиты информации и какие требования к сетевой сегментации применяются?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546FD08F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Подключение к внутренним системам Музея осуществляется через защищённый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VPN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-туннель с применением сетевой сегментации согласно п. 12.2.1 ТЗ. Необходимость применения СКЗИ, требования к их классу и сертификации, а также состав обязательных мер защиты Подрядчик определяет и обосновывает по результатам обследования, модели угроз и анализа применимых нормативных требований в соответствии с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15.1–15.2 ТЗ. Решения представляются на утверждение Музею до утверждения окончательной архитектуры. Необходимость выделенного канала определяется архитектурой и моделью угроз.</w:t>
            </w:r>
          </w:p>
        </w:tc>
      </w:tr>
      <w:tr w:rsidR="00A37185" w:rsidRPr="00D10D3B" w14:paraId="6745B562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1846523E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5CCDDD94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 1.5 ТЗ упоминает детализирующие документы (ЧТЗ). Просим предоставить их перечень, сроки передачи и порядок утверждения.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60BA546D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ЧТЗ, спецификации, схемы и иные детализирующие документы разрабатывает Подрядчик в пределах настоящего ТЗ. Они раскрывают архитектуру, данные, интеграции, интерфейсы, миграцию, аналитику, испытания, контентные продукты и другие предусмотренные результаты. Состав комплекта и последовательность согласования фиксируются планом работ. Основные проектные результаты и параметры контентных продуктов согласуются к КТ-2. Документы утверждает Музей. По п. 1.5 детализация не может увеличивать или уменьшать объём закупки, исключать требования, ухудшать показатели либо переносить обязательный функционал за пределы контракта.</w:t>
            </w:r>
          </w:p>
        </w:tc>
      </w:tr>
      <w:tr w:rsidR="00A37185" w:rsidRPr="00D10D3B" w14:paraId="4DC69C99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784C5DFE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24BEE0F8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Кто предоставляет контент для обязательного объёма по пункту 9.10.12: концепции, сценарии, тексты, графику, 3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-объекты и аудио создаёт Исполнитель или Заказчик предоставляет материалы?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49C96222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Подрядчик производит обязательные пилотные игровые маршруты,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-маршруты и аудиогиды под ключ: концепции, сценарии, тексты, графику, 2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/3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-материалы, аудиозапись, озвучивание, монтаж, техническую сборку, тестирование и подготовку к публикации. Исходные музейные материалы отбираем совместно при разработке сценариев. Музей проводит научную проверку и согласовывает содержание. Предоставление исходных материалов не заменяет обязанности Подрядчика создать готовые контентные продукты по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9.10 и 9.10.12 ТЗ.</w:t>
            </w:r>
          </w:p>
        </w:tc>
      </w:tr>
      <w:tr w:rsidR="00A37185" w:rsidRPr="00D10D3B" w14:paraId="640CB783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57728926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60046266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Просим указать предельные параметры пилотного контента: количество точек в каждом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-маршруте, продолжительность каждого аудиогида, количество вопросов в викторине, необходимый объём перевода на английский язык.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233FDCF7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Сохраняется минимум по п. 9.10.12: не менее двух игровых маршрутов, каждый не менее чем из восьми связанных заданий; не менее двух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-маршрутов и двух аудиогидов. Контент должен демонстрировать все предусмотренные ТЗ механики. Если минимального объёма недостаточно, объём увеличивается до необходимого для их полного покрытия. Соответствие механик заданиям и точкам маршрутов фиксируется в проектной и приёмочной документации.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 xml:space="preserve">Количество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-точек, состав мультимедиа, число и состав вопросов викторин, количество остановок и продолжительность аудиогидов предлагает Подрядчик на основе сценариев и согласовывает с Музеем к КТ-2. Отдельные численные максимумы ТЗ не установлены. Массовое производство последующих маршрутов и аудиогидов в объём работ не входит. Перевод пилотного музейного контента Подрядчиком не требуется; интерфейсные элементы должны быть доступны на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A37185" w:rsidRPr="00D10D3B" w14:paraId="61B3DCF7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56E8F6E1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4253EADB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кого оформляются аккаунты разработчика в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RuStore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App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Store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Google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Play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кто оплачивает сборы и подписки и кто отвечает за прохождение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модерации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магазинов приложений?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2865BA96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Приложения должны быть полностью опубликованы в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App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Store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Google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Play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RuStore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 завершению этапа 3. Аккаунты разработчика не предоставляются. Подрядчик организует их регистрацию на юридическое лицо Музея, настройку, подготовку и подписание сборок, подачу материалов, устранение замечаний, относящихся к результату работ, и повторную подачу до положительного решения. Музей предоставляет необходимые сведения и выполняет действия по подтверждению организации.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 xml:space="preserve">Сборы и подписки до завершения этапа 4 оплачивает Подрядчик в пределах цены контракта; далее — Музей. Передача сборки на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модерацию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сама по себе не подтверждает выполнение требования о публикации.</w:t>
            </w:r>
          </w:p>
        </w:tc>
      </w:tr>
      <w:tr w:rsidR="00A37185" w:rsidRPr="00A37185" w14:paraId="767663F7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4C30CCB7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072A7248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Просим установить предельные количественные показатели объёма при твёрдой цене: максимальное число страниц и экранов дизайн-макетов, максимальное число интеграционных взаимодействий, максимальное число событий аналитики, число контрольных точек, к которым предоставляется отчётность.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026EF9EB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Объём макетов, интеграционных взаимодействий и аналитических событий определяется полным покрытием требований и сценариев ТЗ. Он включает обязательные интерфейсы, состояния и адаптивные варианты, интеграции по Приложению № 8, события по Приложению № 9 и другим применимым требованиям. Отдельный произвольный численный максимум не устанавливается. Детализация не является основанием для добавления функций вне ТЗ.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Пункт 17.3 предусматривает 13 контрольных точек: КТ-1—КТ-11, КТ-Д и КТ-М. Результаты и подтверждающие материалы представляются по соответствующим контрольным точкам в установленном ТЗ составе.</w:t>
            </w:r>
          </w:p>
        </w:tc>
      </w:tr>
      <w:tr w:rsidR="00A37185" w:rsidRPr="00390794" w14:paraId="62281F96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36E5F265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2E90DA3E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 17.2.2 отводит на комплекс работ этапа 1 период до 120-го календарного дня с даты заключения контракта, при этом КТ-Д и предельная дата этапа 1 установлены на 20.12.2026 (пункты 17.2.1, 17.3). Просим уточнить планируемую дату заключения контракта и порядок соотнесения этих сроков.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0611564B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Период до 120-го календарного дня относится к комплексу разработки общего веб-контура. В п. 17.2.2 отдельно указано, что состав этапа 1 должен быть выполнен до КТ-Д — 20.12.2026. По п. 17.2.1 относительные сроки контрольных точек не переносят календарные даты завершения этапов. Необходимые для раннего запуска результаты предоставляются в объёме соответствующего выпуска до его запуска.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Фиксированная дата заключения контракта в ТЗ не установлена.</w:t>
            </w:r>
          </w:p>
        </w:tc>
      </w:tr>
      <w:tr w:rsidR="00A37185" w:rsidRPr="00D10D3B" w14:paraId="3EA4F232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38509B01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07574338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Просим указать сроки (в рабочих днях) рассмотрения Заказчиком промежуточных результатов по каждой контрольной точке: применяется ли к ним общий пятидневный срок из пункта 17.4 ТЗ или устанавливаются отдельные сроки.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39BA6441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Да. По п. 17.4 ТЗ промежуточный результат рассматривается с направлением единого консолидированного перечня замечаний в течение пяти рабочих дней, если иной срок не установлен протоколом рабочей встречи. Этот порядок применяется к промежуточным результатам и не заменяет установленную контрактом процедуру приёмки самостоятельных этапов.</w:t>
            </w:r>
          </w:p>
        </w:tc>
      </w:tr>
      <w:tr w:rsidR="00A37185" w:rsidRPr="00D10D3B" w14:paraId="2E58A868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58EC472C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7B73491C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Просим подтвердить, что по критерию оценки «Квалификация» учитываются договоры не только на сопровождение, но и на создание и развитие информационных систем и мобильных приложений, и указать дату окончания срока подачи заявок, от которой исчисляется пятилетний период для последнего акта сдачи-приёмки.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10C8A71E" w14:textId="77777777" w:rsidR="00A37185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Договоры на 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и развитие информационных систем и мобильных приложений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учитываются по 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критерию оценки «Квалификация»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CBFEBC2" w14:textId="77777777" w:rsidR="00A37185" w:rsidRPr="00052FD8" w:rsidRDefault="00A37185" w:rsidP="00500CCC">
            <w:pPr>
              <w:tabs>
                <w:tab w:val="left" w:pos="-360"/>
                <w:tab w:val="left" w:pos="360"/>
              </w:tabs>
              <w:rPr>
                <w:rFonts w:ascii="Times New Roman" w:eastAsia="Times New Roman" w:hAnsi="Times New Roman" w:cs="Times New Roman"/>
                <w:color w:val="000000" w:themeColor="text1"/>
                <w:sz w:val="22"/>
                <w:shd w:val="clear" w:color="auto" w:fill="FFFFFF"/>
                <w:lang w:val="ru-RU"/>
              </w:rPr>
            </w:pPr>
            <w:r w:rsidRPr="00052FD8">
              <w:rPr>
                <w:rFonts w:ascii="Times New Roman" w:eastAsia="Times New Roman" w:hAnsi="Times New Roman" w:cs="Times New Roman"/>
                <w:color w:val="000000" w:themeColor="text1"/>
                <w:sz w:val="22"/>
                <w:shd w:val="clear" w:color="auto" w:fill="FFFFFF"/>
                <w:lang w:val="ru-RU"/>
              </w:rPr>
              <w:t>Последний акт, составленный при исполнении договора/контракта, должен быть подписан не ранее чем за 5 лет до даты окончания срока подачи заявок.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hd w:val="clear" w:color="auto" w:fill="FFFFFF"/>
                <w:lang w:val="ru-RU"/>
              </w:rPr>
              <w:t xml:space="preserve"> Дата окончания подачи заявок указана в Извещении об осуществлении закупки.</w:t>
            </w:r>
          </w:p>
          <w:p w14:paraId="69C464B7" w14:textId="77777777" w:rsidR="00A37185" w:rsidRPr="00052FD8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</w:tc>
      </w:tr>
      <w:tr w:rsidR="00A37185" w:rsidRPr="00D10D3B" w14:paraId="1E1F7304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1A417526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5C3804B3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Пункт 13.4 устанавливает соответствие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WCAG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2.2 уровня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«в применимой части». Просим предоставить перечень страниц и экранов, по которым проверка доступности проводится в обязательном порядке, и порядок её проведения.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6C193552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Обязательная область проверок установлена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13.4 и 18.4.7 ТЗ: главная, навигация, афиша, карточка события, переход к покупке, авторизация, ЛК, </w:t>
            </w: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QR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-билет, история билетов, обращения, согласия, сообщения об ошибках, мобильная версия и другие критические сценарии. Аудит охватывает применимые интерфейсы сайта, ЛК, приложения, магазина и административные интерфейсы регулярного использования.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 xml:space="preserve">Предусмотрены автоматизированные и ручные проверки, клавиатурная навигация, экранный доступ и другие применимые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ассистивные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технологии, проверка контрастности, масштабирования, семантики, форм и альтернатив мультимедиа. В независимом аудите участвуют люди с инвалидностью либо эксперты с подтверждённым опытом </w:t>
            </w:r>
            <w:proofErr w:type="spellStart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ассистивных</w:t>
            </w:r>
            <w:proofErr w:type="spellEnd"/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технологий. Программу и методику согласовывает Музей. На этапах 1–2 проверки проводит Подрядчик собственными силами; независимые аудиты проводятся только на этапе 3, к КТ-8.</w:t>
            </w:r>
          </w:p>
        </w:tc>
      </w:tr>
      <w:tr w:rsidR="00A37185" w:rsidRPr="00D10D3B" w14:paraId="68135F75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378C2D68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17B6B72A" w14:textId="77777777" w:rsidR="00A37185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Пункт 18.6: засчитывается ли в 720 часов опытной эксплуатации время устранения выявленных дефектов и что считается нарушением её непрерывности? </w:t>
            </w:r>
          </w:p>
          <w:p w14:paraId="579D8B91" w14:textId="77777777" w:rsidR="00A37185" w:rsidRPr="003548FC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48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Уточнить состав комиссии и порядок оформления акта.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52001430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Необходимо накопить 720 зачётных часов опытной эксплуатации полного состава Экосистемы на этапе 3. Эксплуатация отдельных продуктов после этапов 1–2 в этот срок не засчитывается. Исправления, не нарушающие проверяемые сценарии, не останавливают отсчёт. При сбое, препятствующем обязательным сценариям или безопасной эксплуатации, отсчёт приостанавливается; простой не засчитывается. После восстановления и повторной проверки затронутых сценариев отсчёт продолжается без обнуления.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Паузы и возобновление фиксируются в журнале и протоколах. Состав комиссии определяет Музей. Подрядчик представляет журналы, протоколы и проект акта. Завершение оформляется актом после накопления 720 зачётных часов, устранения критических дефектов и выполнения остальных применимых условий приёмки.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A37185" w:rsidRPr="00D10D3B" w14:paraId="2913505E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4A420C88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62E78F00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Действуют ли круглосуточное дежурство и сроки реакции из таблицы пункта 21.2 в течение всего гарантийного срока (6 месяцев) или только в период опытной эксплуатации и стабилизации?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6865EBC8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Круглосуточное реагирование специалистов на критические инциденты обеспечивается в период опытной эксплуатации и 90-дневной стабилизации. После стабилизации до окончания гарантии сроки из таблицы п. 21.2 продолжают действовать, но исчисляются исключительно в рабочее время поддержки. Обращение вне рабочего времени запускает отсчёт с начала ближайшего рабочего периода.</w:t>
            </w: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Автоматизированный мониторинг работает круглосуточно с публичного запуска этапа 1. После стабилизации участие специалистов вне рабочего времени также требуется при выполнении Подрядчиком согласованных работ — до восстановления штатной работы. Гарантия составляет шесть месяцев с приёмки этапа 3; период стабилизации входит в гарантийный срок.</w:t>
            </w:r>
          </w:p>
        </w:tc>
      </w:tr>
      <w:tr w:rsidR="00A37185" w:rsidRPr="00D10D3B" w14:paraId="5E52FB8E" w14:textId="77777777" w:rsidTr="00500CCC">
        <w:trPr>
          <w:cantSplit/>
          <w:jc w:val="center"/>
        </w:trPr>
        <w:tc>
          <w:tcPr>
            <w:tcW w:w="504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64FEF186" w14:textId="77777777" w:rsidR="00A37185" w:rsidRPr="00390794" w:rsidRDefault="00A37185" w:rsidP="00500CCC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331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2384978B" w14:textId="77777777" w:rsidR="00A37185" w:rsidRPr="00390794" w:rsidRDefault="00A37185" w:rsidP="00500CCC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каком формате подтверждается опыт и исполнение по договорам для оценки заявки: требуется ли реестр договоров по определённой форме и достаточно ли электронных образов актов сдачи-приёмки?</w:t>
            </w:r>
          </w:p>
        </w:tc>
        <w:tc>
          <w:tcPr>
            <w:tcW w:w="655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30B67E9F" w14:textId="77777777" w:rsidR="00A37185" w:rsidRPr="00FB1AED" w:rsidRDefault="00A37185" w:rsidP="00500CCC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1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 Приложению № 4 к Извещению прилагается рекомендуемая форма для заполнения данных по контрактам/договорам.</w:t>
            </w:r>
          </w:p>
          <w:p w14:paraId="64246C68" w14:textId="77777777" w:rsidR="00A37185" w:rsidRPr="00FB1AED" w:rsidRDefault="00A37185" w:rsidP="00500CCC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FB1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окументы направляются в форме электронных документов либо электронных образов бумажных документов.</w:t>
            </w:r>
          </w:p>
          <w:p w14:paraId="645FB908" w14:textId="77777777" w:rsidR="00A37185" w:rsidRPr="00FB1AED" w:rsidRDefault="00A37185" w:rsidP="00500CCC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1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 оценке принимаются договор(ы)/контракт(ы), представленные в заявке в полном объеме и со всеми приложениями в форме электронных документов или в форме электронных образов бумажных документов.</w:t>
            </w:r>
          </w:p>
          <w:p w14:paraId="474A4D49" w14:textId="77777777" w:rsidR="00A37185" w:rsidRPr="009446DC" w:rsidRDefault="00A37185" w:rsidP="00500CCC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6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Если документы, подтверждающие квалификацию участника закупки, и информация о таких документах содержатся в открытых и общедоступных государственных реестрах, размещенных в информационно-телекоммуникационной сети "Интернет",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информационно-телекоммуникационной сети "Интернет", вместо направления таких документов участник закупки вправе направить номер реестровой записи из соответствующего реестра (</w:t>
            </w:r>
            <w:proofErr w:type="spellStart"/>
            <w:r w:rsidRPr="009446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п.п</w:t>
            </w:r>
            <w:proofErr w:type="spellEnd"/>
            <w:r w:rsidRPr="009446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ж) п. 28 раздела 5 постановления Правительства РФ от 31.12.2021 № 2604).</w:t>
            </w:r>
          </w:p>
          <w:p w14:paraId="0883BA25" w14:textId="77777777" w:rsidR="00A37185" w:rsidRDefault="00A37185" w:rsidP="00500CCC">
            <w:pPr>
              <w:pStyle w:val="aff8"/>
              <w:spacing w:before="0" w:beforeAutospacing="0" w:after="0" w:afterAutospacing="0" w:line="288" w:lineRule="atLeast"/>
              <w:jc w:val="both"/>
            </w:pPr>
          </w:p>
          <w:p w14:paraId="4088E200" w14:textId="77777777" w:rsidR="00A37185" w:rsidRPr="00FB1AED" w:rsidRDefault="00A37185" w:rsidP="00500CCC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0DB7524" w14:textId="77777777" w:rsidR="00A37185" w:rsidRDefault="00A3718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031BA63" w14:textId="77777777" w:rsidR="00A37185" w:rsidRDefault="00A3718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8D0B250" w14:textId="77777777" w:rsidR="00A37185" w:rsidRDefault="00A3718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BC73513" w14:textId="77777777" w:rsidR="00A37185" w:rsidRDefault="00A3718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C29F90A" w14:textId="7025F8D0" w:rsidR="00687063" w:rsidRPr="00390794" w:rsidRDefault="00380E5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90794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sectPr w:rsidR="00687063" w:rsidRPr="00390794" w:rsidSect="00034616">
      <w:footerReference w:type="default" r:id="rId8"/>
      <w:pgSz w:w="12240" w:h="15840"/>
      <w:pgMar w:top="936" w:right="936" w:bottom="864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086B3E" w14:textId="77777777" w:rsidR="00A14AAB" w:rsidRDefault="00A14AAB">
      <w:pPr>
        <w:spacing w:after="0" w:line="240" w:lineRule="auto"/>
      </w:pPr>
      <w:r>
        <w:separator/>
      </w:r>
    </w:p>
  </w:endnote>
  <w:endnote w:type="continuationSeparator" w:id="0">
    <w:p w14:paraId="0F89CCF7" w14:textId="77777777" w:rsidR="00A14AAB" w:rsidRDefault="00A14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600F6A" w14:textId="1E3C6C94" w:rsidR="00687063" w:rsidRDefault="00380E55">
    <w:pPr>
      <w:pStyle w:val="a7"/>
      <w:jc w:val="right"/>
    </w:pPr>
    <w:r>
      <w:fldChar w:fldCharType="begin"/>
    </w:r>
    <w:r>
      <w:instrText>PAGE</w:instrText>
    </w:r>
    <w:r>
      <w:fldChar w:fldCharType="separate"/>
    </w:r>
    <w:r w:rsidR="00A37185">
      <w:rPr>
        <w:noProof/>
      </w:rPr>
      <w:t>11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32830F" w14:textId="77777777" w:rsidR="00A14AAB" w:rsidRDefault="00A14AAB">
      <w:pPr>
        <w:spacing w:after="0" w:line="240" w:lineRule="auto"/>
      </w:pPr>
      <w:r>
        <w:separator/>
      </w:r>
    </w:p>
  </w:footnote>
  <w:footnote w:type="continuationSeparator" w:id="0">
    <w:p w14:paraId="67730F80" w14:textId="77777777" w:rsidR="00A14AAB" w:rsidRDefault="00A14A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2FD8"/>
    <w:rsid w:val="0006063C"/>
    <w:rsid w:val="0015074B"/>
    <w:rsid w:val="0018194A"/>
    <w:rsid w:val="001922D0"/>
    <w:rsid w:val="0029639D"/>
    <w:rsid w:val="0031367F"/>
    <w:rsid w:val="00326F90"/>
    <w:rsid w:val="003548FC"/>
    <w:rsid w:val="00380E55"/>
    <w:rsid w:val="00390794"/>
    <w:rsid w:val="003D3FCF"/>
    <w:rsid w:val="00404261"/>
    <w:rsid w:val="00687063"/>
    <w:rsid w:val="00777035"/>
    <w:rsid w:val="008C6A19"/>
    <w:rsid w:val="009446DC"/>
    <w:rsid w:val="009A7BDA"/>
    <w:rsid w:val="00A14AAB"/>
    <w:rsid w:val="00A37185"/>
    <w:rsid w:val="00AA1D8D"/>
    <w:rsid w:val="00AB1D82"/>
    <w:rsid w:val="00B47730"/>
    <w:rsid w:val="00CB0664"/>
    <w:rsid w:val="00D10D3B"/>
    <w:rsid w:val="00EE6BD3"/>
    <w:rsid w:val="00FB1A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164E4"/>
  <w14:defaultImageDpi w14:val="300"/>
  <w15:docId w15:val="{58073A95-1705-4C94-BD24-6D0E409D4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9446DC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ru-RU" w:eastAsia="ru-RU"/>
    </w:rPr>
  </w:style>
  <w:style w:type="character" w:styleId="aff9">
    <w:name w:val="Hyperlink"/>
    <w:basedOn w:val="a2"/>
    <w:uiPriority w:val="99"/>
    <w:semiHidden/>
    <w:unhideWhenUsed/>
    <w:rsid w:val="009446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74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CB2B63-877A-41F5-8CBB-3AA27B86D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3413</Words>
  <Characters>19460</Characters>
  <Application>Microsoft Office Word</Application>
  <DocSecurity>0</DocSecurity>
  <Lines>162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Еремина Вера Александровна</cp:lastModifiedBy>
  <cp:revision>4</cp:revision>
  <dcterms:created xsi:type="dcterms:W3CDTF">2026-10-09T11:07:00Z</dcterms:created>
  <dcterms:modified xsi:type="dcterms:W3CDTF">2026-10-09T12:27:00Z</dcterms:modified>
  <cp:category/>
</cp:coreProperties>
</file>