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A5" w:rsidRDefault="003C22EF">
      <w:pPr>
        <w:keepNext/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9A6801">
        <w:rPr>
          <w:rFonts w:ascii="Times New Roman" w:hAnsi="Times New Roman"/>
          <w:sz w:val="28"/>
          <w:szCs w:val="28"/>
          <w:lang w:val="en-US"/>
        </w:rPr>
        <w:t>3</w:t>
      </w:r>
    </w:p>
    <w:p w:rsidR="00104DA5" w:rsidRDefault="003C22EF">
      <w:pPr>
        <w:keepNext/>
        <w:widowControl w:val="0"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Контракту от «___» ____________ 2026 г. № ________</w:t>
      </w:r>
    </w:p>
    <w:p w:rsidR="00720AE2" w:rsidRDefault="003C22EF" w:rsidP="00720AE2">
      <w:pPr>
        <w:keepNext/>
        <w:widowControl w:val="0"/>
        <w:spacing w:before="240" w:after="12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Календарный план оказания Услуг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2900"/>
        <w:gridCol w:w="3300"/>
        <w:gridCol w:w="1800"/>
        <w:gridCol w:w="2370"/>
      </w:tblGrid>
      <w:tr w:rsidR="00104DA5">
        <w:trPr>
          <w:tblHeader/>
        </w:trPr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этапа, состав работ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3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Отчетные документы</w:t>
            </w:r>
          </w:p>
        </w:tc>
        <w:tc>
          <w:tcPr>
            <w:tcW w:w="18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 оказания</w:t>
            </w:r>
          </w:p>
        </w:tc>
        <w:tc>
          <w:tcPr>
            <w:tcW w:w="237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Стоимость этапа, % цены Контракта</w:t>
            </w:r>
          </w:p>
        </w:tc>
      </w:tr>
      <w:tr w:rsidR="00104DA5">
        <w:trPr>
          <w:tblHeader/>
        </w:trPr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7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04DA5">
        <w:tc>
          <w:tcPr>
            <w:tcW w:w="600" w:type="dxa"/>
            <w:shd w:val="clear" w:color="auto" w:fill="F2F2F2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00" w:type="dxa"/>
            <w:gridSpan w:val="3"/>
            <w:shd w:val="clear" w:color="auto" w:fill="F2F2F2"/>
          </w:tcPr>
          <w:p w:rsidR="00104DA5" w:rsidRDefault="003C22EF" w:rsidP="00B255F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Этап 1. Разр</w:t>
            </w:r>
            <w:r w:rsidR="00B255F5">
              <w:rPr>
                <w:rFonts w:ascii="Times New Roman" w:hAnsi="Times New Roman"/>
                <w:b/>
                <w:bCs/>
                <w:sz w:val="24"/>
                <w:szCs w:val="24"/>
              </w:rPr>
              <w:t>аботка документации на Систему</w:t>
            </w:r>
          </w:p>
        </w:tc>
        <w:tc>
          <w:tcPr>
            <w:tcW w:w="1800" w:type="dxa"/>
            <w:vMerge w:val="restart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даты заключения Контракта в течение 15 календарных дней</w:t>
            </w:r>
          </w:p>
        </w:tc>
        <w:tc>
          <w:tcPr>
            <w:tcW w:w="2370" w:type="dxa"/>
            <w:vMerge w:val="restart"/>
          </w:tcPr>
          <w:p w:rsidR="00104DA5" w:rsidRDefault="000603B2" w:rsidP="000603B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5 %</w:t>
            </w: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Обследование: уточнение и согласование с Заказчиком состава показателей, отчетных форм и справочников в объеме, предусмотренном разделом 2.2.3 Технического задания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Согласованные Заказчиком перечни показателей, отчетных форм и справочников</w:t>
            </w:r>
          </w:p>
        </w:tc>
        <w:tc>
          <w:tcPr>
            <w:tcW w:w="3300" w:type="dxa"/>
            <w:vMerge w:val="restart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согласованные Заказчиком перечни показателей, отчетных форм и справочников.</w:t>
            </w:r>
          </w:p>
          <w:p w:rsidR="00104DA5" w:rsidRDefault="00720AE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Техническая документация: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комплекса технических средств;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программного обеспечения;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матрица доступа Пользователей к ресурсам;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базы данных программного обеспечения и файлового хранилища Системы.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Документ о приемке.</w:t>
            </w: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технической документации на Систему: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комплекса технических средств;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программного обеспечения;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матрица доступа Пользователей к ресурсам;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описание базы данных программного обеспечения и файлового хранилища Системы.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документация на Систему, переданная Заказчику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  <w:shd w:val="clear" w:color="auto" w:fill="F2F2F2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00" w:type="dxa"/>
            <w:gridSpan w:val="3"/>
            <w:shd w:val="clear" w:color="auto" w:fill="F2F2F2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Этап 2. Предоставление прав использования программного обеспечения подсистемы инструментальных средств, подсистемы оркестрации ETL-процессов и подсистемы прикладных аналитических модулей</w:t>
            </w:r>
          </w:p>
        </w:tc>
        <w:tc>
          <w:tcPr>
            <w:tcW w:w="1800" w:type="dxa"/>
            <w:vMerge w:val="restart"/>
          </w:tcPr>
          <w:p w:rsidR="00104DA5" w:rsidRDefault="003C22EF" w:rsidP="000603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10 календарных дней с даты окончания Этапа 1</w:t>
            </w:r>
          </w:p>
        </w:tc>
        <w:tc>
          <w:tcPr>
            <w:tcW w:w="2370" w:type="dxa"/>
            <w:vMerge w:val="restart"/>
          </w:tcPr>
          <w:p w:rsidR="00104DA5" w:rsidRDefault="000603B2" w:rsidP="000603B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85 %</w:t>
            </w: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прав использования программного обеспечения подсистемы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инструментальных средств на условиях простой (неисключительной) лицензии: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лицензия на 2 серверные установки (1 сервер для тестирования, 1 сервер открытого продуктивного контура);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количество поддерживаемых физических ядер процессора (CPU) 16;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суммарное количество пользователей 150, в том числе 95 пользователей на просмотр, 50 операторов с правом ввода данных, 5 администраторов;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объем обрабатываемых данных 1 Тб;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лицензионная поддержка 1 год, уровень «Оптимальный»;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срок использования бессрочно.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Заказчику предоставлены права использования программного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подсистемы инструментальных средств, переданы ключи активации Лицензии и установочные файлы (дистрибутивы)</w:t>
            </w:r>
          </w:p>
        </w:tc>
        <w:tc>
          <w:tcPr>
            <w:tcW w:w="3300" w:type="dxa"/>
            <w:vMerge w:val="restart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Акт приема-передачи прав использования программ для ЭВМ (программное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подсистемы инструментальных средств, подсистемы оркестрации ETL-процессов, подсистемы прикладных аналитических модулей) в двух экземплярах;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лицензионные свидетельства (сертификаты или иные документы, установленные правообладателем, Лицензиаром) с указанием наименования Лицензиата, наименования ПО, номера, даты и срока действия Лицензии;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документы, подтверждающие право Исполнителя на предоставление прав использования ПО;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установочные файлы (дистрибутивы) ПО или инструкция по доступу к сайту производителя (правообладателя) ПО для получения дистрибутива;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комплект инструкций, дисков, поставляемых производителем ПО совместно с ПО;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документация на ПО (допускается в виде ссылок на онлайн документацию производителя);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документ о приемке.</w:t>
            </w: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прав использования программного обеспечения подсистемы оркестрации ETL-процессов на условиях простой (неисключительной) лицензии: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лицензия на 2 серверные установки (1 сервер для тестирования, 1 сервер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открытого продуктивного контура);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суммарное число одновременных ETL-процессов не менее 30;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лицензионная поддержка 1 год;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срок использования бессрочно.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Заказчику предоставлены права использования программного обеспечения подсистемы оркестрации ETL-процессов, переданы ключи активации Лицензии и установочные файлы (дистрибутивы)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прав использования программного обеспечения подсистемы прикладных аналитических модулей на условиях простой (неисключительной) лицензии: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лицензия на 2 серверные установки (1 сервер для тестирования, 1 сервер открытого продуктивного контура);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лицензионная поддержка 1 год;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срок использования бессрочно.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Заказчику предоставлены права использования программного обеспечения подсистемы прикладных аналитических модулей, переданы ключи активации Лицензии и установочные файлы (дистрибутивы)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  <w:shd w:val="clear" w:color="auto" w:fill="F2F2F2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00" w:type="dxa"/>
            <w:gridSpan w:val="3"/>
            <w:shd w:val="clear" w:color="auto" w:fill="F2F2F2"/>
          </w:tcPr>
          <w:p w:rsidR="00104DA5" w:rsidRDefault="003C22EF" w:rsidP="00B255F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Этап 3. Предоставление прав использования операционных систем, адаптация программного обеспечения, разработка рабочей документации и документов по защите информации, пусконаладочные работы, инструктаж пользова</w:t>
            </w:r>
            <w:r w:rsidR="00B255F5">
              <w:rPr>
                <w:rFonts w:ascii="Times New Roman" w:hAnsi="Times New Roman"/>
                <w:b/>
                <w:bCs/>
                <w:sz w:val="24"/>
                <w:szCs w:val="24"/>
              </w:rPr>
              <w:t>телей и приемочные испытания</w:t>
            </w:r>
          </w:p>
        </w:tc>
        <w:tc>
          <w:tcPr>
            <w:tcW w:w="1800" w:type="dxa"/>
            <w:vMerge w:val="restart"/>
          </w:tcPr>
          <w:p w:rsidR="00104DA5" w:rsidRDefault="003C22EF" w:rsidP="00B255F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B255F5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календарных дней с даты окончания Этапа 2</w:t>
            </w:r>
            <w:r w:rsidR="00B255F5">
              <w:rPr>
                <w:rFonts w:ascii="Times New Roman" w:hAnsi="Times New Roman"/>
                <w:sz w:val="24"/>
                <w:szCs w:val="24"/>
              </w:rPr>
              <w:t>, но не позднее 18.12.2026</w:t>
            </w:r>
          </w:p>
        </w:tc>
        <w:tc>
          <w:tcPr>
            <w:tcW w:w="2370" w:type="dxa"/>
            <w:vMerge w:val="restart"/>
          </w:tcPr>
          <w:p w:rsidR="00104DA5" w:rsidRDefault="000603B2" w:rsidP="000603B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10 %</w:t>
            </w: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прав использования операционных систем для серверов ИАС на условиях простой (неисключительной) лицензии в количестве, необходимом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установки на все серверы Системы, со сроком действия бессрочно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Заказчику предоставлены права использования операционных систем, сертифицированных ФСТЭК России, переданы установочные файлы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(дистрибутивы)</w:t>
            </w:r>
          </w:p>
        </w:tc>
        <w:tc>
          <w:tcPr>
            <w:tcW w:w="3300" w:type="dxa"/>
            <w:vMerge w:val="restart"/>
          </w:tcPr>
          <w:p w:rsidR="00104DA5" w:rsidRDefault="00720AE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Лицензионные документы на операционные системы: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Акт приема-передачи прав использования программ для ЭВМ (операционные системы) в двух экземплярах;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лицензионные документы на операционные системы с указанием наименования Лицензиата;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установочные файлы (дистрибутивы) операционных систем;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копии сертификатов ФСТЭК России на поставленные версии операционных систем;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документация на операционные системы (допускается в виде ссылок на онлайн документацию производителя).</w:t>
            </w:r>
          </w:p>
          <w:p w:rsidR="00104DA5" w:rsidRDefault="00720AE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Эксплуатационная документация: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инструкция и регламент технического обслуживания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инструкция и регламент резервного копирования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инструкция по разворачиванию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инструкция по восстановлению базы данных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руководство пользователя;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руководство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администратора.</w:t>
            </w:r>
          </w:p>
          <w:p w:rsidR="00104DA5" w:rsidRDefault="00720AE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Документы по защите информации: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проект акта определения уровня защищенности персональных данных;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проект акта классификации информационной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Модель угроз безопасности информации;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Частное техническое задание на создание системы защиты информации;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технический проект на создание системы защиты информации (пояснительная записка, ведомость технического проекта, спецификация системы защиты информации);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руководство администратора безопасности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руководство пользователя системы защиты информации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инструкция по эксплуатации системы защиты информации.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Документы по испытаниям и инструктажу: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программа и методика приемочных испытаний, утвержденная Заказчиком;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протокол инструктажа пользователей;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акт приемочных испытаний.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Документ о приемке.</w:t>
            </w: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и базовая настройка операционных систем на серверах тестового и промышленного контуров 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Операционные системы установлены и настроены на серверах Системы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Развертывание и настройка программного обеспечения подсистемы оркестрации ETL-процессов, подсистемы инструментальных средств и подсистемы прикладных аналитических модулей в тестовом и промышленном контурах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Системы установлено на технических средствах Заказчика и настроено в тестовом и промышленном контурах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Настройка ETL-процессов и информационного взаимодействия с источниками данных, предусмотренными разделом 2.2.3 Технического задания; настройка форм ручного ввода данных и нормативно-справочной информации; настройка прав доступа пользователей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Настроенные процессы загрузки данных, формы ручного ввода и нормативно-справочная информация; настроенные права доступа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Адаптация и настройка прикладных аналитических модулей под условия Донецкой Народной Республики (внесение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перечня муниципальных образований, настройка картосхемы и прав доступа), включая аналитическую и регламентную отчетность: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мониторинга индикаторов, определенных Указом Президента Российской Федерации от 28 ноября 2024 г. № 1014;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мониторинга социально-экономического развития;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мониторинга государственных закупок;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мониторинга общественно-политической ситуации;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мониторинга исполнительской дисциплины;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модуль управления реализацией региональных проектов.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Настроенные прикладные аналитические модули и отчетные представления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эксплуатационной документации на Систему в электронном виде в формате *.PDF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Эксплуатационная документация на Систему, переданная Заказчику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36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документов по защите информации: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защищенности персональных данных и класса защищенности Системы;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Модели угроз безопасности информации, включая выводы о необходимом к применению классе СКЗИ;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Частного технического задания на создание системы защиты информации;</w:t>
            </w:r>
          </w:p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разработка технического проекта на создание системы защиты информации.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Комплект документов по защите информации, переданный Заказчику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эксплуатационной и организационно-распорядительной документации по защите информации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Эксплуатационная и организационно-распорядительная документация по защите информации, переданная Заказчику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инструктажа пользователей по работе с программным обеспечением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Пользователи прошли инструктаж по работе с программным обеспечением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программы и методики приемочных испытаний и передача ее на утверждение Заказчику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Утвержденная Заказчиком программа и методика приемочных испытаний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4DA5">
        <w:tc>
          <w:tcPr>
            <w:tcW w:w="600" w:type="dxa"/>
          </w:tcPr>
          <w:p w:rsidR="00104DA5" w:rsidRDefault="003C22E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3600" w:type="dxa"/>
          </w:tcPr>
          <w:p w:rsidR="00104DA5" w:rsidRDefault="003C22EF" w:rsidP="00720AE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приемо-сдаточных (приемочных) испытаний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Системы, в том числе тестирование корректного функционирования Системы с установленными и настроенными СЗИ совместно с Заказчиком</w:t>
            </w:r>
          </w:p>
        </w:tc>
        <w:tc>
          <w:tcPr>
            <w:tcW w:w="2900" w:type="dxa"/>
          </w:tcPr>
          <w:p w:rsidR="00104DA5" w:rsidRDefault="003C22E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Подписанный акт приемочных испытаний</w:t>
            </w:r>
          </w:p>
        </w:tc>
        <w:tc>
          <w:tcPr>
            <w:tcW w:w="33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:rsidR="00104DA5" w:rsidRDefault="00104D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4DA5" w:rsidRDefault="00104DA5">
      <w:pPr>
        <w:keepNext/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603B2" w:rsidRDefault="000603B2">
      <w:pPr>
        <w:keepNext/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285"/>
        <w:gridCol w:w="7285"/>
      </w:tblGrid>
      <w:tr w:rsidR="00104DA5">
        <w:trPr>
          <w:cantSplit/>
        </w:trPr>
        <w:tc>
          <w:tcPr>
            <w:tcW w:w="7285" w:type="dxa"/>
          </w:tcPr>
          <w:p w:rsidR="00104DA5" w:rsidRDefault="003C22EF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Заказчик: _______________ / _______________ /</w:t>
            </w:r>
          </w:p>
        </w:tc>
        <w:tc>
          <w:tcPr>
            <w:tcW w:w="7285" w:type="dxa"/>
          </w:tcPr>
          <w:p w:rsidR="00104DA5" w:rsidRDefault="003C22EF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 _______________ / _______________ /</w:t>
            </w:r>
          </w:p>
        </w:tc>
      </w:tr>
    </w:tbl>
    <w:p w:rsidR="003C22EF" w:rsidRDefault="003C22EF">
      <w:bookmarkStart w:id="0" w:name="_GoBack"/>
      <w:bookmarkEnd w:id="0"/>
    </w:p>
    <w:sectPr w:rsidR="003C22EF">
      <w:headerReference w:type="default" r:id="rId8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10C" w:rsidRDefault="006F410C">
      <w:pPr>
        <w:spacing w:after="0" w:line="240" w:lineRule="auto"/>
      </w:pPr>
      <w:r>
        <w:separator/>
      </w:r>
    </w:p>
  </w:endnote>
  <w:endnote w:type="continuationSeparator" w:id="0">
    <w:p w:rsidR="006F410C" w:rsidRDefault="006F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10C" w:rsidRDefault="006F410C">
      <w:pPr>
        <w:spacing w:after="0" w:line="240" w:lineRule="auto"/>
      </w:pPr>
      <w:r>
        <w:separator/>
      </w:r>
    </w:p>
  </w:footnote>
  <w:footnote w:type="continuationSeparator" w:id="0">
    <w:p w:rsidR="006F410C" w:rsidRDefault="006F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5581741"/>
      <w:docPartObj>
        <w:docPartGallery w:val="Page Numbers (Top of Page)"/>
        <w:docPartUnique/>
      </w:docPartObj>
    </w:sdtPr>
    <w:sdtEndPr/>
    <w:sdtContent>
      <w:p w:rsidR="00E401B4" w:rsidRDefault="00E401B4">
        <w:pPr>
          <w:pStyle w:val="16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BE0282">
          <w:rPr>
            <w:rFonts w:ascii="Times New Roman" w:hAnsi="Times New Roman"/>
            <w:noProof/>
            <w:sz w:val="24"/>
            <w:szCs w:val="24"/>
          </w:rPr>
          <w:t>1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2DBE"/>
    <w:multiLevelType w:val="hybridMultilevel"/>
    <w:tmpl w:val="2D6E243C"/>
    <w:lvl w:ilvl="0" w:tplc="59A6C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6EFC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60D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924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D03F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EA36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2A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A59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49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48B2"/>
    <w:multiLevelType w:val="hybridMultilevel"/>
    <w:tmpl w:val="0C2EC378"/>
    <w:lvl w:ilvl="0" w:tplc="66D45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120CEA">
      <w:start w:val="1"/>
      <w:numFmt w:val="none"/>
      <w:lvlText w:val=""/>
      <w:lvlJc w:val="left"/>
      <w:pPr>
        <w:tabs>
          <w:tab w:val="num" w:pos="360"/>
        </w:tabs>
      </w:pPr>
    </w:lvl>
    <w:lvl w:ilvl="2" w:tplc="E53854BA">
      <w:start w:val="1"/>
      <w:numFmt w:val="none"/>
      <w:lvlText w:val=""/>
      <w:lvlJc w:val="left"/>
      <w:pPr>
        <w:tabs>
          <w:tab w:val="num" w:pos="360"/>
        </w:tabs>
      </w:pPr>
    </w:lvl>
    <w:lvl w:ilvl="3" w:tplc="FBA6B620">
      <w:start w:val="1"/>
      <w:numFmt w:val="none"/>
      <w:lvlText w:val=""/>
      <w:lvlJc w:val="left"/>
      <w:pPr>
        <w:tabs>
          <w:tab w:val="num" w:pos="360"/>
        </w:tabs>
      </w:pPr>
    </w:lvl>
    <w:lvl w:ilvl="4" w:tplc="75A268F6">
      <w:start w:val="1"/>
      <w:numFmt w:val="none"/>
      <w:lvlText w:val=""/>
      <w:lvlJc w:val="left"/>
      <w:pPr>
        <w:tabs>
          <w:tab w:val="num" w:pos="360"/>
        </w:tabs>
      </w:pPr>
    </w:lvl>
    <w:lvl w:ilvl="5" w:tplc="0E30AE8E">
      <w:start w:val="1"/>
      <w:numFmt w:val="none"/>
      <w:lvlText w:val=""/>
      <w:lvlJc w:val="left"/>
      <w:pPr>
        <w:tabs>
          <w:tab w:val="num" w:pos="360"/>
        </w:tabs>
      </w:pPr>
    </w:lvl>
    <w:lvl w:ilvl="6" w:tplc="2E5275E8">
      <w:start w:val="1"/>
      <w:numFmt w:val="none"/>
      <w:lvlText w:val=""/>
      <w:lvlJc w:val="left"/>
      <w:pPr>
        <w:tabs>
          <w:tab w:val="num" w:pos="360"/>
        </w:tabs>
      </w:pPr>
    </w:lvl>
    <w:lvl w:ilvl="7" w:tplc="D94CD3F0">
      <w:start w:val="1"/>
      <w:numFmt w:val="none"/>
      <w:lvlText w:val=""/>
      <w:lvlJc w:val="left"/>
      <w:pPr>
        <w:tabs>
          <w:tab w:val="num" w:pos="360"/>
        </w:tabs>
      </w:pPr>
    </w:lvl>
    <w:lvl w:ilvl="8" w:tplc="1906688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D61779"/>
    <w:multiLevelType w:val="multilevel"/>
    <w:tmpl w:val="D0BC690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72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72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72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72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72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72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72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72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720"/>
      </w:pPr>
    </w:lvl>
  </w:abstractNum>
  <w:abstractNum w:abstractNumId="3" w15:restartNumberingAfterBreak="0">
    <w:nsid w:val="21922571"/>
    <w:multiLevelType w:val="hybridMultilevel"/>
    <w:tmpl w:val="5316E830"/>
    <w:lvl w:ilvl="0" w:tplc="32BCB48A">
      <w:start w:val="1"/>
      <w:numFmt w:val="decimal"/>
      <w:pStyle w:val="11"/>
      <w:lvlText w:val="%1."/>
      <w:lvlJc w:val="left"/>
      <w:rPr>
        <w:rFonts w:hint="default"/>
      </w:rPr>
    </w:lvl>
    <w:lvl w:ilvl="1" w:tplc="CA58167A">
      <w:start w:val="1"/>
      <w:numFmt w:val="none"/>
      <w:pStyle w:val="21"/>
      <w:lvlText w:val=""/>
      <w:lvlJc w:val="left"/>
      <w:pPr>
        <w:tabs>
          <w:tab w:val="num" w:pos="360"/>
        </w:tabs>
      </w:pPr>
    </w:lvl>
    <w:lvl w:ilvl="2" w:tplc="8F72A5C2">
      <w:start w:val="1"/>
      <w:numFmt w:val="none"/>
      <w:pStyle w:val="31"/>
      <w:lvlText w:val=""/>
      <w:lvlJc w:val="left"/>
      <w:pPr>
        <w:tabs>
          <w:tab w:val="num" w:pos="360"/>
        </w:tabs>
      </w:pPr>
    </w:lvl>
    <w:lvl w:ilvl="3" w:tplc="A26C9D66">
      <w:start w:val="1"/>
      <w:numFmt w:val="none"/>
      <w:pStyle w:val="41"/>
      <w:lvlText w:val=""/>
      <w:lvlJc w:val="left"/>
      <w:pPr>
        <w:tabs>
          <w:tab w:val="num" w:pos="360"/>
        </w:tabs>
      </w:pPr>
    </w:lvl>
    <w:lvl w:ilvl="4" w:tplc="E92CCEE4">
      <w:start w:val="1"/>
      <w:numFmt w:val="none"/>
      <w:pStyle w:val="51"/>
      <w:lvlText w:val=""/>
      <w:lvlJc w:val="left"/>
      <w:pPr>
        <w:tabs>
          <w:tab w:val="num" w:pos="360"/>
        </w:tabs>
      </w:pPr>
    </w:lvl>
    <w:lvl w:ilvl="5" w:tplc="AAFAD512">
      <w:start w:val="1"/>
      <w:numFmt w:val="none"/>
      <w:pStyle w:val="61"/>
      <w:lvlText w:val=""/>
      <w:lvlJc w:val="left"/>
      <w:pPr>
        <w:tabs>
          <w:tab w:val="num" w:pos="360"/>
        </w:tabs>
      </w:pPr>
    </w:lvl>
    <w:lvl w:ilvl="6" w:tplc="B38A5BC2">
      <w:start w:val="1"/>
      <w:numFmt w:val="none"/>
      <w:pStyle w:val="71"/>
      <w:lvlText w:val=""/>
      <w:lvlJc w:val="left"/>
      <w:pPr>
        <w:tabs>
          <w:tab w:val="num" w:pos="360"/>
        </w:tabs>
      </w:pPr>
    </w:lvl>
    <w:lvl w:ilvl="7" w:tplc="A19C520E">
      <w:start w:val="1"/>
      <w:numFmt w:val="none"/>
      <w:pStyle w:val="81"/>
      <w:lvlText w:val=""/>
      <w:lvlJc w:val="left"/>
      <w:pPr>
        <w:tabs>
          <w:tab w:val="num" w:pos="360"/>
        </w:tabs>
      </w:pPr>
    </w:lvl>
    <w:lvl w:ilvl="8" w:tplc="73B8E1C4">
      <w:start w:val="1"/>
      <w:numFmt w:val="none"/>
      <w:pStyle w:val="91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DA580D"/>
    <w:multiLevelType w:val="multilevel"/>
    <w:tmpl w:val="D0BC690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72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72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72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72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72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72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72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72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720"/>
      </w:pPr>
    </w:lvl>
  </w:abstractNum>
  <w:abstractNum w:abstractNumId="5" w15:restartNumberingAfterBreak="0">
    <w:nsid w:val="5ED01D69"/>
    <w:multiLevelType w:val="hybridMultilevel"/>
    <w:tmpl w:val="E1C6239E"/>
    <w:lvl w:ilvl="0" w:tplc="E5FA2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C1962"/>
    <w:multiLevelType w:val="multilevel"/>
    <w:tmpl w:val="75583870"/>
    <w:lvl w:ilvl="0">
      <w:start w:val="1"/>
      <w:numFmt w:val="bullet"/>
      <w:lvlText w:val=""/>
      <w:lvlJc w:val="left"/>
      <w:pPr>
        <w:tabs>
          <w:tab w:val="num" w:pos="2136"/>
        </w:tabs>
        <w:ind w:left="2136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720"/>
      </w:pPr>
    </w:lvl>
    <w:lvl w:ilvl="2">
      <w:start w:val="1"/>
      <w:numFmt w:val="decimal"/>
      <w:lvlText w:val="%3."/>
      <w:lvlJc w:val="left"/>
      <w:pPr>
        <w:tabs>
          <w:tab w:val="num" w:pos="3576"/>
        </w:tabs>
        <w:ind w:left="3576" w:hanging="72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720"/>
      </w:pPr>
    </w:lvl>
    <w:lvl w:ilvl="4">
      <w:start w:val="1"/>
      <w:numFmt w:val="decimal"/>
      <w:lvlText w:val="%5."/>
      <w:lvlJc w:val="left"/>
      <w:pPr>
        <w:tabs>
          <w:tab w:val="num" w:pos="5016"/>
        </w:tabs>
        <w:ind w:left="5016" w:hanging="720"/>
      </w:pPr>
    </w:lvl>
    <w:lvl w:ilvl="5">
      <w:start w:val="1"/>
      <w:numFmt w:val="decimal"/>
      <w:lvlText w:val="%6."/>
      <w:lvlJc w:val="left"/>
      <w:pPr>
        <w:tabs>
          <w:tab w:val="num" w:pos="5736"/>
        </w:tabs>
        <w:ind w:left="5736" w:hanging="720"/>
      </w:p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720"/>
      </w:pPr>
    </w:lvl>
    <w:lvl w:ilvl="7">
      <w:start w:val="1"/>
      <w:numFmt w:val="decimal"/>
      <w:lvlText w:val="%8."/>
      <w:lvlJc w:val="left"/>
      <w:pPr>
        <w:tabs>
          <w:tab w:val="num" w:pos="7176"/>
        </w:tabs>
        <w:ind w:left="7176" w:hanging="720"/>
      </w:pPr>
    </w:lvl>
    <w:lvl w:ilvl="8">
      <w:start w:val="1"/>
      <w:numFmt w:val="decimal"/>
      <w:lvlText w:val="%9."/>
      <w:lvlJc w:val="left"/>
      <w:pPr>
        <w:tabs>
          <w:tab w:val="num" w:pos="7896"/>
        </w:tabs>
        <w:ind w:left="7896" w:hanging="720"/>
      </w:pPr>
    </w:lvl>
  </w:abstractNum>
  <w:abstractNum w:abstractNumId="7" w15:restartNumberingAfterBreak="0">
    <w:nsid w:val="60B71F83"/>
    <w:multiLevelType w:val="multilevel"/>
    <w:tmpl w:val="D0BC690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72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72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72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72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72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72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72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72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7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796"/>
    <w:rsid w:val="00046374"/>
    <w:rsid w:val="000603B2"/>
    <w:rsid w:val="000F105B"/>
    <w:rsid w:val="00104DA5"/>
    <w:rsid w:val="001B53D9"/>
    <w:rsid w:val="001E12C6"/>
    <w:rsid w:val="00222268"/>
    <w:rsid w:val="002C4CD6"/>
    <w:rsid w:val="00316167"/>
    <w:rsid w:val="00341C1C"/>
    <w:rsid w:val="003B6C85"/>
    <w:rsid w:val="003C22EF"/>
    <w:rsid w:val="00427054"/>
    <w:rsid w:val="00457A77"/>
    <w:rsid w:val="004F1192"/>
    <w:rsid w:val="0050520B"/>
    <w:rsid w:val="00544B0E"/>
    <w:rsid w:val="005B49DF"/>
    <w:rsid w:val="0062424D"/>
    <w:rsid w:val="00640656"/>
    <w:rsid w:val="006931A3"/>
    <w:rsid w:val="006A4910"/>
    <w:rsid w:val="006C00E0"/>
    <w:rsid w:val="006C5FF9"/>
    <w:rsid w:val="006E472E"/>
    <w:rsid w:val="006F410C"/>
    <w:rsid w:val="00704049"/>
    <w:rsid w:val="00720AE2"/>
    <w:rsid w:val="00745372"/>
    <w:rsid w:val="007F3561"/>
    <w:rsid w:val="00834DE5"/>
    <w:rsid w:val="008F7D31"/>
    <w:rsid w:val="00903D6F"/>
    <w:rsid w:val="009A6801"/>
    <w:rsid w:val="009E100B"/>
    <w:rsid w:val="009E1B9F"/>
    <w:rsid w:val="009F1CDA"/>
    <w:rsid w:val="00A53DF5"/>
    <w:rsid w:val="00A621D5"/>
    <w:rsid w:val="00A7061C"/>
    <w:rsid w:val="00A7283C"/>
    <w:rsid w:val="00AA6A2F"/>
    <w:rsid w:val="00AD0581"/>
    <w:rsid w:val="00B255F5"/>
    <w:rsid w:val="00B34227"/>
    <w:rsid w:val="00B53091"/>
    <w:rsid w:val="00B74D62"/>
    <w:rsid w:val="00B93F42"/>
    <w:rsid w:val="00B97708"/>
    <w:rsid w:val="00BB4112"/>
    <w:rsid w:val="00BD02A7"/>
    <w:rsid w:val="00BE0282"/>
    <w:rsid w:val="00C05D12"/>
    <w:rsid w:val="00C64D18"/>
    <w:rsid w:val="00D21090"/>
    <w:rsid w:val="00D96CEB"/>
    <w:rsid w:val="00E401B4"/>
    <w:rsid w:val="00E9670E"/>
    <w:rsid w:val="00EB5796"/>
    <w:rsid w:val="00EC263F"/>
    <w:rsid w:val="00F17BC7"/>
    <w:rsid w:val="00F26E82"/>
    <w:rsid w:val="00F8596F"/>
    <w:rsid w:val="00FC0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CF34"/>
  <w15:docId w15:val="{AA53C6C1-0D10-47F5-BD3D-B04D0EED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9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1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1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uiPriority w:val="99"/>
    <w:qFormat/>
    <w:pPr>
      <w:keepNext/>
      <w:keepLines/>
      <w:spacing w:before="40" w:after="0" w:line="252" w:lineRule="auto"/>
      <w:outlineLvl w:val="3"/>
    </w:pPr>
    <w:rPr>
      <w:rFonts w:ascii="Times New Roman" w:eastAsia="Times New Roman" w:hAnsi="Times New Roman"/>
      <w:b/>
      <w:iCs/>
      <w:sz w:val="28"/>
      <w:lang w:eastAsia="zh-CN"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40" w:after="0" w:line="252" w:lineRule="auto"/>
      <w:outlineLvl w:val="4"/>
    </w:pPr>
    <w:rPr>
      <w:rFonts w:ascii="Times New Roman" w:eastAsia="Times New Roman" w:hAnsi="Times New Roman"/>
      <w:b/>
      <w:sz w:val="28"/>
      <w:lang w:eastAsia="zh-CN"/>
    </w:rPr>
  </w:style>
  <w:style w:type="paragraph" w:styleId="6">
    <w:name w:val="heading 6"/>
    <w:basedOn w:val="a"/>
    <w:next w:val="a"/>
    <w:link w:val="61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0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0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0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0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0">
    <w:name w:val="Верхний колонтитул Знак1"/>
    <w:basedOn w:val="a0"/>
    <w:link w:val="aa"/>
    <w:uiPriority w:val="99"/>
  </w:style>
  <w:style w:type="character" w:customStyle="1" w:styleId="12">
    <w:name w:val="Нижний колонтитул Знак1"/>
    <w:basedOn w:val="a0"/>
    <w:link w:val="ab"/>
    <w:uiPriority w:val="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11">
    <w:name w:val="Заголовок 11"/>
    <w:basedOn w:val="a"/>
    <w:next w:val="a"/>
    <w:link w:val="15"/>
    <w:uiPriority w:val="9"/>
    <w:qFormat/>
    <w:pPr>
      <w:keepNext/>
      <w:keepLines/>
      <w:numPr>
        <w:numId w:val="2"/>
      </w:numPr>
      <w:spacing w:before="240" w:after="120"/>
      <w:jc w:val="center"/>
      <w:outlineLvl w:val="0"/>
    </w:pPr>
    <w:rPr>
      <w:rFonts w:ascii="Times New Roman" w:eastAsia="Times New Roman" w:hAnsi="Times New Roman"/>
    </w:rPr>
  </w:style>
  <w:style w:type="paragraph" w:customStyle="1" w:styleId="21">
    <w:name w:val="Заголовок 21"/>
    <w:basedOn w:val="a"/>
    <w:next w:val="a"/>
    <w:link w:val="24"/>
    <w:uiPriority w:val="9"/>
    <w:qFormat/>
    <w:pPr>
      <w:numPr>
        <w:ilvl w:val="1"/>
        <w:numId w:val="2"/>
      </w:numPr>
      <w:spacing w:before="120" w:after="120"/>
      <w:jc w:val="both"/>
      <w:outlineLvl w:val="1"/>
    </w:pPr>
    <w:rPr>
      <w:rFonts w:ascii="Times New Roman" w:eastAsia="Times New Roman" w:hAnsi="Times New Roman"/>
      <w:bCs/>
      <w:szCs w:val="26"/>
    </w:rPr>
  </w:style>
  <w:style w:type="paragraph" w:customStyle="1" w:styleId="31">
    <w:name w:val="Заголовок 31"/>
    <w:basedOn w:val="a"/>
    <w:next w:val="a"/>
    <w:link w:val="32"/>
    <w:uiPriority w:val="9"/>
    <w:qFormat/>
    <w:pPr>
      <w:numPr>
        <w:ilvl w:val="2"/>
        <w:numId w:val="2"/>
      </w:numPr>
      <w:spacing w:before="120" w:after="120"/>
      <w:jc w:val="both"/>
      <w:outlineLvl w:val="2"/>
    </w:pPr>
    <w:rPr>
      <w:rFonts w:ascii="Times New Roman" w:eastAsia="Times New Roman" w:hAnsi="Times New Roman"/>
      <w:bCs/>
    </w:rPr>
  </w:style>
  <w:style w:type="paragraph" w:customStyle="1" w:styleId="41">
    <w:name w:val="Заголовок 41"/>
    <w:basedOn w:val="a"/>
    <w:next w:val="a"/>
    <w:link w:val="42"/>
    <w:uiPriority w:val="9"/>
    <w:qFormat/>
    <w:pPr>
      <w:numPr>
        <w:ilvl w:val="3"/>
        <w:numId w:val="2"/>
      </w:numPr>
      <w:spacing w:before="120" w:after="120"/>
      <w:jc w:val="both"/>
      <w:outlineLvl w:val="3"/>
    </w:pPr>
    <w:rPr>
      <w:rFonts w:ascii="Times New Roman" w:eastAsia="Times New Roman" w:hAnsi="Times New Roman"/>
      <w:bCs/>
      <w:iCs/>
    </w:rPr>
  </w:style>
  <w:style w:type="paragraph" w:customStyle="1" w:styleId="51">
    <w:name w:val="Заголовок 51"/>
    <w:basedOn w:val="a"/>
    <w:next w:val="a"/>
    <w:link w:val="52"/>
    <w:uiPriority w:val="9"/>
    <w:qFormat/>
    <w:pPr>
      <w:keepNext/>
      <w:keepLines/>
      <w:numPr>
        <w:ilvl w:val="4"/>
        <w:numId w:val="2"/>
      </w:numPr>
      <w:spacing w:before="200" w:after="0"/>
      <w:jc w:val="both"/>
      <w:outlineLvl w:val="4"/>
    </w:pPr>
    <w:rPr>
      <w:rFonts w:ascii="Times New Roman" w:eastAsia="Times New Roman" w:hAnsi="Times New Roman"/>
    </w:rPr>
  </w:style>
  <w:style w:type="paragraph" w:customStyle="1" w:styleId="61">
    <w:name w:val="Заголовок 61"/>
    <w:basedOn w:val="a"/>
    <w:next w:val="a"/>
    <w:link w:val="62"/>
    <w:uiPriority w:val="9"/>
    <w:qFormat/>
    <w:pPr>
      <w:keepNext/>
      <w:keepLines/>
      <w:numPr>
        <w:ilvl w:val="5"/>
        <w:numId w:val="2"/>
      </w:numPr>
      <w:spacing w:before="200" w:after="0"/>
      <w:jc w:val="both"/>
      <w:outlineLvl w:val="5"/>
    </w:pPr>
    <w:rPr>
      <w:rFonts w:ascii="Times New Roman" w:eastAsia="Times New Roman" w:hAnsi="Times New Roman"/>
      <w:i/>
      <w:iCs/>
      <w:color w:val="243F60"/>
    </w:rPr>
  </w:style>
  <w:style w:type="paragraph" w:customStyle="1" w:styleId="71">
    <w:name w:val="Заголовок 71"/>
    <w:basedOn w:val="a"/>
    <w:next w:val="a"/>
    <w:link w:val="72"/>
    <w:uiPriority w:val="9"/>
    <w:qFormat/>
    <w:pPr>
      <w:keepNext/>
      <w:keepLines/>
      <w:numPr>
        <w:ilvl w:val="6"/>
        <w:numId w:val="2"/>
      </w:numPr>
      <w:spacing w:before="200" w:after="0"/>
      <w:jc w:val="both"/>
      <w:outlineLvl w:val="6"/>
    </w:pPr>
    <w:rPr>
      <w:rFonts w:ascii="Times New Roman" w:eastAsia="Times New Roman" w:hAnsi="Times New Roman"/>
      <w:i/>
      <w:iCs/>
      <w:color w:val="404040"/>
    </w:rPr>
  </w:style>
  <w:style w:type="paragraph" w:customStyle="1" w:styleId="81">
    <w:name w:val="Заголовок 81"/>
    <w:basedOn w:val="a"/>
    <w:next w:val="a"/>
    <w:link w:val="82"/>
    <w:uiPriority w:val="9"/>
    <w:qFormat/>
    <w:pPr>
      <w:keepNext/>
      <w:keepLines/>
      <w:numPr>
        <w:ilvl w:val="7"/>
        <w:numId w:val="2"/>
      </w:numPr>
      <w:spacing w:before="200" w:after="0"/>
      <w:jc w:val="both"/>
      <w:outlineLvl w:val="7"/>
    </w:pPr>
    <w:rPr>
      <w:rFonts w:ascii="Times New Roman" w:eastAsia="Times New Roman" w:hAnsi="Times New Roman"/>
      <w:color w:val="4F81BD"/>
      <w:szCs w:val="20"/>
    </w:rPr>
  </w:style>
  <w:style w:type="paragraph" w:customStyle="1" w:styleId="91">
    <w:name w:val="Заголовок 91"/>
    <w:basedOn w:val="a"/>
    <w:next w:val="a"/>
    <w:link w:val="92"/>
    <w:uiPriority w:val="9"/>
    <w:qFormat/>
    <w:pPr>
      <w:keepNext/>
      <w:keepLines/>
      <w:numPr>
        <w:ilvl w:val="8"/>
        <w:numId w:val="2"/>
      </w:numPr>
      <w:spacing w:before="200" w:after="0"/>
      <w:jc w:val="both"/>
      <w:outlineLvl w:val="8"/>
    </w:pPr>
    <w:rPr>
      <w:rFonts w:ascii="Times New Roman" w:eastAsia="Times New Roman" w:hAnsi="Times New Roman"/>
      <w:i/>
      <w:iCs/>
      <w:color w:val="404040"/>
      <w:szCs w:val="20"/>
    </w:rPr>
  </w:style>
  <w:style w:type="character" w:customStyle="1" w:styleId="15">
    <w:name w:val="Заголовок 1 Знак"/>
    <w:basedOn w:val="a0"/>
    <w:link w:val="11"/>
    <w:uiPriority w:val="9"/>
    <w:rPr>
      <w:rFonts w:ascii="Times New Roman" w:eastAsia="Times New Roman" w:hAnsi="Times New Roman" w:cs="Times New Roman"/>
    </w:rPr>
  </w:style>
  <w:style w:type="character" w:customStyle="1" w:styleId="24">
    <w:name w:val="Заголовок 2 Знак"/>
    <w:basedOn w:val="a0"/>
    <w:link w:val="21"/>
    <w:uiPriority w:val="9"/>
    <w:rPr>
      <w:rFonts w:ascii="Times New Roman" w:eastAsia="Times New Roman" w:hAnsi="Times New Roman" w:cs="Times New Roman"/>
      <w:bCs/>
      <w:szCs w:val="26"/>
    </w:rPr>
  </w:style>
  <w:style w:type="character" w:customStyle="1" w:styleId="32">
    <w:name w:val="Заголовок 3 Знак"/>
    <w:basedOn w:val="a0"/>
    <w:link w:val="31"/>
    <w:uiPriority w:val="9"/>
    <w:qFormat/>
    <w:rPr>
      <w:rFonts w:ascii="Times New Roman" w:eastAsia="Times New Roman" w:hAnsi="Times New Roman" w:cs="Times New Roman"/>
      <w:bCs/>
    </w:rPr>
  </w:style>
  <w:style w:type="character" w:customStyle="1" w:styleId="42">
    <w:name w:val="Заголовок 4 Знак"/>
    <w:basedOn w:val="a0"/>
    <w:link w:val="41"/>
    <w:uiPriority w:val="9"/>
    <w:qFormat/>
    <w:rPr>
      <w:rFonts w:ascii="Times New Roman" w:eastAsia="Times New Roman" w:hAnsi="Times New Roman" w:cs="Times New Roman"/>
      <w:bCs/>
      <w:iCs/>
    </w:rPr>
  </w:style>
  <w:style w:type="character" w:customStyle="1" w:styleId="52">
    <w:name w:val="Заголовок 5 Знак"/>
    <w:basedOn w:val="a0"/>
    <w:link w:val="51"/>
    <w:uiPriority w:val="9"/>
    <w:qFormat/>
    <w:rPr>
      <w:rFonts w:ascii="Times New Roman" w:eastAsia="Times New Roman" w:hAnsi="Times New Roman" w:cs="Times New Roman"/>
    </w:rPr>
  </w:style>
  <w:style w:type="character" w:customStyle="1" w:styleId="62">
    <w:name w:val="Заголовок 6 Знак"/>
    <w:basedOn w:val="a0"/>
    <w:link w:val="61"/>
    <w:uiPriority w:val="9"/>
    <w:rPr>
      <w:rFonts w:ascii="Times New Roman" w:eastAsia="Times New Roman" w:hAnsi="Times New Roman" w:cs="Times New Roman"/>
      <w:i/>
      <w:iCs/>
      <w:color w:val="243F60"/>
    </w:rPr>
  </w:style>
  <w:style w:type="character" w:customStyle="1" w:styleId="72">
    <w:name w:val="Заголовок 7 Знак"/>
    <w:basedOn w:val="a0"/>
    <w:link w:val="71"/>
    <w:uiPriority w:val="9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82">
    <w:name w:val="Заголовок 8 Знак"/>
    <w:basedOn w:val="a0"/>
    <w:link w:val="81"/>
    <w:uiPriority w:val="9"/>
    <w:rPr>
      <w:rFonts w:ascii="Times New Roman" w:eastAsia="Times New Roman" w:hAnsi="Times New Roman" w:cs="Times New Roman"/>
      <w:color w:val="4F81BD"/>
      <w:szCs w:val="20"/>
    </w:rPr>
  </w:style>
  <w:style w:type="character" w:customStyle="1" w:styleId="92">
    <w:name w:val="Заголовок 9 Знак"/>
    <w:basedOn w:val="a0"/>
    <w:link w:val="91"/>
    <w:uiPriority w:val="9"/>
    <w:rPr>
      <w:rFonts w:ascii="Times New Roman" w:eastAsia="Times New Roman" w:hAnsi="Times New Roman" w:cs="Times New Roman"/>
      <w:i/>
      <w:iCs/>
      <w:color w:val="404040"/>
      <w:szCs w:val="20"/>
    </w:rPr>
  </w:style>
  <w:style w:type="paragraph" w:styleId="af3">
    <w:name w:val="Body Text Indent"/>
    <w:basedOn w:val="a"/>
    <w:link w:val="af4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qFormat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6">
    <w:name w:val="Верхний колонтитул1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16"/>
    <w:uiPriority w:val="99"/>
    <w:rPr>
      <w:rFonts w:ascii="Calibri" w:eastAsia="Calibri" w:hAnsi="Calibri" w:cs="Times New Roman"/>
      <w:sz w:val="20"/>
      <w:szCs w:val="20"/>
    </w:rPr>
  </w:style>
  <w:style w:type="paragraph" w:styleId="af6">
    <w:name w:val="footnote text"/>
    <w:basedOn w:val="a"/>
    <w:link w:val="af7"/>
    <w:uiPriority w:val="99"/>
    <w:unhideWhenUsed/>
    <w:pPr>
      <w:spacing w:after="0" w:line="240" w:lineRule="auto"/>
      <w:jc w:val="both"/>
    </w:pPr>
    <w:rPr>
      <w:rFonts w:ascii="Times New Roman" w:eastAsia="Times New Roman" w:hAnsi="Times New Roman"/>
    </w:rPr>
  </w:style>
  <w:style w:type="character" w:customStyle="1" w:styleId="af7">
    <w:name w:val="Текст сноски Знак"/>
    <w:basedOn w:val="a0"/>
    <w:link w:val="af6"/>
    <w:uiPriority w:val="99"/>
    <w:rPr>
      <w:rFonts w:ascii="Times New Roman" w:eastAsia="Times New Roman" w:hAnsi="Times New Roman" w:cs="Times New Roman"/>
    </w:rPr>
  </w:style>
  <w:style w:type="character" w:styleId="af8">
    <w:name w:val="footnote reference"/>
    <w:uiPriority w:val="99"/>
    <w:unhideWhenUsed/>
    <w:qFormat/>
    <w:rPr>
      <w:rFonts w:ascii="Times New Roman" w:hAnsi="Times New Roman"/>
      <w:b/>
      <w:color w:val="FF0000"/>
      <w:sz w:val="28"/>
      <w:vertAlign w:val="superscript"/>
    </w:rPr>
  </w:style>
  <w:style w:type="character" w:customStyle="1" w:styleId="25">
    <w:name w:val="Основной текст (2)_"/>
    <w:link w:val="26"/>
    <w:qFormat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qFormat/>
    <w:pPr>
      <w:widowControl w:val="0"/>
      <w:shd w:val="clear" w:color="auto" w:fill="FFFFFF"/>
      <w:spacing w:before="1140" w:after="0" w:line="317" w:lineRule="exact"/>
      <w:ind w:hanging="1680"/>
      <w:jc w:val="center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33">
    <w:name w:val="Основной текст 3 Знак"/>
    <w:basedOn w:val="a0"/>
    <w:link w:val="34"/>
    <w:uiPriority w:val="99"/>
    <w:semiHidden/>
    <w:rPr>
      <w:rFonts w:ascii="Calibri" w:eastAsia="Calibri" w:hAnsi="Calibri" w:cs="Times New Roman"/>
      <w:sz w:val="16"/>
      <w:szCs w:val="16"/>
    </w:rPr>
  </w:style>
  <w:style w:type="paragraph" w:styleId="34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fb">
    <w:name w:val="Текст ТД Знак"/>
    <w:link w:val="afc"/>
    <w:qFormat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c">
    <w:name w:val="Текст ТД"/>
    <w:basedOn w:val="a"/>
    <w:link w:val="afb"/>
    <w:pPr>
      <w:spacing w:after="0" w:line="324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character" w:styleId="afd">
    <w:name w:val="Placeholder Text"/>
    <w:basedOn w:val="a0"/>
    <w:uiPriority w:val="99"/>
    <w:semiHidden/>
    <w:rPr>
      <w:color w:val="808080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Pr>
      <w:rFonts w:ascii="Calibri" w:eastAsia="Calibri" w:hAnsi="Calibri" w:cs="Times New Roman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afe">
    <w:name w:val="Strong"/>
    <w:uiPriority w:val="22"/>
    <w:qFormat/>
    <w:rPr>
      <w:rFonts w:ascii="Times New Roman" w:hAnsi="Times New Roman"/>
      <w:b/>
      <w:sz w:val="28"/>
      <w:szCs w:val="28"/>
    </w:rPr>
  </w:style>
  <w:style w:type="paragraph" w:styleId="aff">
    <w:name w:val="List Paragraph"/>
    <w:basedOn w:val="a"/>
    <w:link w:val="aff0"/>
    <w:uiPriority w:val="34"/>
    <w:qFormat/>
    <w:pPr>
      <w:ind w:left="720"/>
      <w:contextualSpacing/>
    </w:pPr>
  </w:style>
  <w:style w:type="character" w:customStyle="1" w:styleId="aff0">
    <w:name w:val="Абзац списка Знак"/>
    <w:link w:val="aff"/>
    <w:uiPriority w:val="34"/>
    <w:qFormat/>
    <w:rPr>
      <w:rFonts w:ascii="Calibri" w:eastAsia="Calibri" w:hAnsi="Calibri" w:cs="Times New Roman"/>
    </w:rPr>
  </w:style>
  <w:style w:type="character" w:styleId="aff1">
    <w:name w:val="Hyperlink"/>
    <w:uiPriority w:val="99"/>
    <w:rPr>
      <w:color w:val="0000FF"/>
      <w:u w:val="single"/>
    </w:rPr>
  </w:style>
  <w:style w:type="paragraph" w:customStyle="1" w:styleId="western">
    <w:name w:val="western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Основной текст Знак"/>
    <w:basedOn w:val="a0"/>
    <w:link w:val="aff3"/>
    <w:uiPriority w:val="99"/>
    <w:semiHidden/>
    <w:rPr>
      <w:rFonts w:ascii="Calibri" w:eastAsia="Calibri" w:hAnsi="Calibri" w:cs="Times New Roman"/>
    </w:rPr>
  </w:style>
  <w:style w:type="paragraph" w:styleId="aff3">
    <w:name w:val="Body Text"/>
    <w:basedOn w:val="a"/>
    <w:link w:val="aff2"/>
    <w:uiPriority w:val="99"/>
    <w:semiHidden/>
    <w:unhideWhenUsed/>
    <w:pPr>
      <w:spacing w:after="120"/>
    </w:pPr>
  </w:style>
  <w:style w:type="paragraph" w:customStyle="1" w:styleId="Iiiaeuiue">
    <w:name w:val="Ii?iaeuiu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annotation reference"/>
    <w:basedOn w:val="a0"/>
    <w:uiPriority w:val="99"/>
    <w:unhideWhenUsed/>
    <w:qFormat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ootnoteCharacters">
    <w:name w:val="Footnote Characters"/>
    <w:uiPriority w:val="99"/>
    <w:unhideWhenUsed/>
    <w:qFormat/>
    <w:rPr>
      <w:rFonts w:ascii="Times New Roman" w:hAnsi="Times New Roman"/>
      <w:b/>
      <w:color w:val="FF0000"/>
      <w:sz w:val="28"/>
      <w:vertAlign w:val="superscript"/>
    </w:rPr>
  </w:style>
  <w:style w:type="character" w:customStyle="1" w:styleId="FootnoteAnchor">
    <w:name w:val="Footnote Anchor"/>
    <w:rPr>
      <w:rFonts w:ascii="Times New Roman" w:hAnsi="Times New Roman"/>
      <w:b/>
      <w:color w:val="FF0000"/>
      <w:sz w:val="28"/>
      <w:vertAlign w:val="superscript"/>
    </w:rPr>
  </w:style>
  <w:style w:type="paragraph" w:customStyle="1" w:styleId="17">
    <w:name w:val="Нижний колонтитул1"/>
    <w:basedOn w:val="a"/>
    <w:link w:val="af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9">
    <w:name w:val="Нижний колонтитул Знак"/>
    <w:basedOn w:val="a0"/>
    <w:link w:val="17"/>
    <w:uiPriority w:val="99"/>
    <w:rPr>
      <w:rFonts w:ascii="Calibri" w:eastAsia="Calibri" w:hAnsi="Calibri" w:cs="Times New Roman"/>
    </w:rPr>
  </w:style>
  <w:style w:type="table" w:customStyle="1" w:styleId="18">
    <w:name w:val="Сетка таблицы1"/>
    <w:basedOn w:val="a1"/>
    <w:next w:val="af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b">
    <w:name w:val="ОБЫЧНЫЙ ГОСТ"/>
    <w:basedOn w:val="a"/>
    <w:qFormat/>
    <w:pPr>
      <w:spacing w:after="24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9">
    <w:name w:val="Строгий1"/>
    <w:uiPriority w:val="22"/>
    <w:qFormat/>
    <w:rPr>
      <w:b/>
      <w:bCs/>
    </w:rPr>
  </w:style>
  <w:style w:type="character" w:customStyle="1" w:styleId="411">
    <w:name w:val="Заголовок 4 Знак1"/>
    <w:basedOn w:val="a0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1">
    <w:name w:val="Заголовок 5 Знак1"/>
    <w:basedOn w:val="a0"/>
    <w:uiPriority w:val="9"/>
    <w:semiHidden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ffc">
    <w:name w:val="НИРС ТАБЛИЦА Знак"/>
    <w:qFormat/>
    <w:rPr>
      <w:rFonts w:ascii="Times New Roman" w:eastAsia="Times New Roman" w:hAnsi="Times New Roman" w:cs="Times New Roman"/>
      <w:sz w:val="28"/>
      <w:szCs w:val="22"/>
    </w:rPr>
  </w:style>
  <w:style w:type="character" w:customStyle="1" w:styleId="27">
    <w:name w:val="Текст примечания Знак2"/>
    <w:basedOn w:val="a0"/>
    <w:uiPriority w:val="99"/>
    <w:qFormat/>
    <w:rPr>
      <w:rFonts w:ascii="Calibri" w:eastAsia="Calibri" w:hAnsi="Calibri" w:cs="Calibri"/>
      <w:sz w:val="20"/>
      <w:szCs w:val="20"/>
      <w:lang w:eastAsia="zh-CN"/>
    </w:rPr>
  </w:style>
  <w:style w:type="character" w:customStyle="1" w:styleId="affd">
    <w:name w:val="А_Основной текст Знак"/>
    <w:link w:val="affe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ff">
    <w:name w:val="НИРС ТЕКСТ"/>
    <w:basedOn w:val="a"/>
    <w:qFormat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lang w:eastAsia="zh-CN"/>
    </w:rPr>
  </w:style>
  <w:style w:type="paragraph" w:customStyle="1" w:styleId="afff0">
    <w:name w:val="*Основной"/>
    <w:basedOn w:val="a"/>
    <w:qFormat/>
    <w:pPr>
      <w:suppressLineNumbers/>
      <w:spacing w:after="0" w:line="240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  <w:lang w:eastAsia="zh-CN"/>
    </w:rPr>
  </w:style>
  <w:style w:type="paragraph" w:customStyle="1" w:styleId="affe">
    <w:name w:val="А_Основной текст"/>
    <w:basedOn w:val="a"/>
    <w:link w:val="affd"/>
    <w:qFormat/>
    <w:pPr>
      <w:widowControl w:val="0"/>
      <w:spacing w:before="113" w:after="113" w:line="240" w:lineRule="auto"/>
      <w:ind w:firstLine="709"/>
      <w:jc w:val="both"/>
    </w:pPr>
    <w:rPr>
      <w:rFonts w:ascii="Times New Roman" w:eastAsia="Times New Roman" w:hAnsi="Times New Roman"/>
      <w:color w:val="000000"/>
      <w:sz w:val="28"/>
      <w:szCs w:val="28"/>
    </w:rPr>
  </w:style>
  <w:style w:type="paragraph" w:customStyle="1" w:styleId="afff1">
    <w:name w:val="_Обычный без красной строки"/>
    <w:basedOn w:val="a"/>
    <w:qFormat/>
    <w:pPr>
      <w:spacing w:before="120" w:after="120" w:line="240" w:lineRule="auto"/>
      <w:ind w:firstLine="709"/>
      <w:jc w:val="both"/>
    </w:pPr>
    <w:rPr>
      <w:rFonts w:ascii="Times New Roman" w:hAnsi="Times New Roman"/>
      <w:b/>
      <w:sz w:val="28"/>
      <w:szCs w:val="28"/>
      <w:lang w:eastAsia="ru-RU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a">
    <w:name w:val="header"/>
    <w:basedOn w:val="a"/>
    <w:link w:val="1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footer"/>
    <w:basedOn w:val="a"/>
    <w:link w:val="1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d">
    <w:name w:val="caption"/>
    <w:basedOn w:val="a"/>
    <w:next w:val="a"/>
    <w:link w:val="ac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1a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7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fff2">
    <w:name w:val="Revision"/>
    <w:hidden/>
    <w:uiPriority w:val="99"/>
    <w:semiHidden/>
    <w:rsid w:val="00A53D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79C64-9AED-4C3F-B54F-A0E90828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aomelchenko@polymedia.ru</dc:creator>
  <cp:keywords/>
  <dc:description/>
  <cp:lastModifiedBy>Андрей</cp:lastModifiedBy>
  <cp:revision>2</cp:revision>
  <dcterms:created xsi:type="dcterms:W3CDTF">2026-10-05T08:32:00Z</dcterms:created>
  <dcterms:modified xsi:type="dcterms:W3CDTF">2026-10-05T08:32:00Z</dcterms:modified>
  <cp:category>__</cp:category>
</cp:coreProperties>
</file>