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9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69"/>
        <w:jc w:val="righ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69"/>
        <w:jc w:val="center"/>
        <w:widowControl w:val="off"/>
        <w:rPr>
          <w:b/>
          <w:caps/>
          <w:lang w:val="en-US" w:eastAsia="en-US"/>
        </w:rPr>
      </w:pPr>
      <w:r>
        <w:rPr>
          <w:b/>
          <w:caps/>
          <w:lang w:val="en-US" w:eastAsia="en-US"/>
        </w:rPr>
        <w:t xml:space="preserve">Обоснование начальной (максимальной)</w:t>
      </w:r>
      <w:r>
        <w:rPr>
          <w:b/>
          <w:caps/>
          <w:lang w:val="en-US" w:eastAsia="en-US"/>
        </w:rPr>
      </w:r>
    </w:p>
    <w:p>
      <w:pPr>
        <w:pStyle w:val="669"/>
        <w:jc w:val="center"/>
        <w:widowControl w:val="off"/>
        <w:rPr>
          <w:b/>
          <w:caps/>
          <w:lang w:eastAsia="en-US"/>
        </w:rPr>
      </w:pPr>
      <w:r>
        <w:rPr>
          <w:b/>
          <w:caps/>
          <w:lang w:val="en-US" w:eastAsia="en-US"/>
        </w:rPr>
        <w:t xml:space="preserve">цены контракта</w:t>
      </w:r>
      <w:r>
        <w:rPr>
          <w:b/>
          <w:caps/>
          <w:lang w:eastAsia="en-US"/>
        </w:rPr>
      </w:r>
      <w:r>
        <w:rPr>
          <w:b/>
          <w:caps/>
          <w:lang w:eastAsia="en-US"/>
        </w:rPr>
      </w:r>
    </w:p>
    <w:p>
      <w:pPr>
        <w:pStyle w:val="669"/>
        <w:jc w:val="center"/>
        <w:widowControl w:val="off"/>
        <w:rPr>
          <w:b/>
          <w:caps/>
          <w:lang w:eastAsia="en-US"/>
        </w:rPr>
      </w:pPr>
      <w:r>
        <w:rPr>
          <w:b/>
          <w:caps/>
          <w:lang w:eastAsia="en-US"/>
        </w:rPr>
      </w:r>
      <w:r>
        <w:rPr>
          <w:b/>
          <w:caps/>
          <w:lang w:eastAsia="en-US"/>
        </w:rPr>
      </w:r>
    </w:p>
    <w:p>
      <w:pPr>
        <w:pStyle w:val="669"/>
        <w:jc w:val="both"/>
      </w:pPr>
      <w:r>
        <w:tab/>
      </w:r>
      <w:r>
        <w:t xml:space="preserve">Расчет НМЦК </w:t>
      </w:r>
      <w:r>
        <w:t xml:space="preserve">осуществлен </w:t>
      </w:r>
      <w:r>
        <w:t xml:space="preserve">методом сопоставимых рыночных цен (анализа рынка), являющимся приоритетным для определения и обоснования НМЦК</w:t>
      </w:r>
      <w:r>
        <w:t xml:space="preserve">. </w:t>
      </w:r>
      <w:r>
        <w:t xml:space="preserve">Начальная (максимальная) цена контракта сформирована в соответствии с Ме</w:t>
      </w:r>
      <w:r>
        <w:t xml:space="preserve">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r/>
    </w:p>
    <w:p>
      <w:pPr>
        <w:pStyle w:val="669"/>
      </w:pPr>
      <w:r>
        <w:t xml:space="preserve">В целях получения ценовой информации в отношении объекта закупки для определения начальной (максимальной) цены контракта </w:t>
      </w:r>
      <w:r>
        <w:t xml:space="preserve">заказчиком н</w:t>
      </w:r>
      <w:r>
        <w:t xml:space="preserve">аправлены запросы о пре</w:t>
      </w:r>
      <w:r>
        <w:t xml:space="preserve">достав</w:t>
      </w:r>
      <w:r>
        <w:t xml:space="preserve">лении ценовой информации 5 (пяти</w:t>
      </w:r>
      <w:r>
        <w:t xml:space="preserve">) исполнителям</w:t>
      </w:r>
      <w:r>
        <w:t xml:space="preserve">, обладающим опытом </w:t>
      </w:r>
      <w:r>
        <w:t xml:space="preserve">выполнения соответствующих работ</w:t>
      </w:r>
      <w:r>
        <w:t xml:space="preserve">, информация о которых имеется в своб</w:t>
      </w:r>
      <w:r>
        <w:t xml:space="preserve">одном доступе. З</w:t>
      </w:r>
      <w:r>
        <w:t xml:space="preserve">аказчиком получены ответы от </w:t>
      </w:r>
      <w:r>
        <w:t xml:space="preserve">3 (</w:t>
      </w:r>
      <w:r>
        <w:t xml:space="preserve">трех</w:t>
      </w:r>
      <w:r>
        <w:t xml:space="preserve">) исполнителей</w:t>
      </w:r>
      <w:r>
        <w:t xml:space="preserve"> с ценовой информацией, на основании которых осуществлен расчет начальной (максимальной) цены контракта.</w:t>
      </w:r>
      <w:r/>
    </w:p>
    <w:p>
      <w:pPr>
        <w:pStyle w:val="669"/>
        <w:ind w:firstLine="567"/>
        <w:jc w:val="center"/>
        <w:spacing w:before="12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Таб</w:t>
      </w:r>
      <w:r>
        <w:rPr>
          <w:i/>
          <w:sz w:val="22"/>
          <w:szCs w:val="22"/>
        </w:rPr>
        <w:t xml:space="preserve">лица 1. Информация о ценах работ</w:t>
      </w:r>
      <w:r>
        <w:rPr>
          <w:i/>
          <w:sz w:val="22"/>
          <w:szCs w:val="22"/>
        </w:rPr>
        <w:t xml:space="preserve">, содержащаяся в коммерческих предложениях исполнителе</w:t>
      </w:r>
      <w:r>
        <w:rPr>
          <w:i/>
          <w:sz w:val="22"/>
          <w:szCs w:val="22"/>
        </w:rPr>
        <w:t xml:space="preserve">й, осуществляющих выполнение работ</w:t>
      </w:r>
      <w:r>
        <w:rPr>
          <w:i/>
          <w:sz w:val="22"/>
          <w:szCs w:val="22"/>
        </w:rPr>
        <w:t xml:space="preserve">, планируемых заказчиком к закупке</w:t>
      </w:r>
      <w:r>
        <w:rPr>
          <w:i/>
          <w:sz w:val="22"/>
          <w:szCs w:val="22"/>
        </w:rPr>
      </w:r>
    </w:p>
    <w:tbl>
      <w:tblPr>
        <w:tblW w:w="1536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60"/>
        <w:gridCol w:w="4302"/>
        <w:gridCol w:w="2268"/>
        <w:gridCol w:w="2268"/>
        <w:gridCol w:w="2268"/>
        <w:gridCol w:w="1701"/>
        <w:gridCol w:w="18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2"/>
        </w:trPr>
        <w:tc>
          <w:tcPr>
            <w:tcW w:w="660" w:type="dxa"/>
            <w:vAlign w:val="center"/>
            <w:vMerge w:val="restart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W w:w="4302" w:type="dxa"/>
            <w:vAlign w:val="center"/>
            <w:vMerge w:val="restart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работ</w:t>
            </w:r>
            <w:r>
              <w:rPr>
                <w:sz w:val="22"/>
                <w:szCs w:val="22"/>
              </w:rPr>
              <w:t xml:space="preserve">, планируемых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заказчиком к закупке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W w:w="6804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</w:t>
            </w:r>
            <w:r>
              <w:rPr>
                <w:sz w:val="22"/>
                <w:szCs w:val="22"/>
              </w:rPr>
              <w:t xml:space="preserve">рмация о ценах за </w:t>
            </w:r>
            <w:r>
              <w:rPr>
                <w:sz w:val="22"/>
                <w:szCs w:val="22"/>
              </w:rPr>
              <w:t xml:space="preserve">единицу</w:t>
            </w:r>
            <w:r>
              <w:rPr>
                <w:sz w:val="22"/>
                <w:szCs w:val="22"/>
              </w:rPr>
              <w:t xml:space="preserve"> работы</w:t>
            </w:r>
            <w:r>
              <w:rPr>
                <w:sz w:val="22"/>
                <w:szCs w:val="22"/>
              </w:rPr>
              <w:t xml:space="preserve">, полученная по запросу заказчика у исполнителей</w:t>
            </w: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вариации**, %</w:t>
            </w:r>
            <w:r>
              <w:rPr>
                <w:sz w:val="22"/>
                <w:szCs w:val="22"/>
              </w:rPr>
            </w:r>
          </w:p>
        </w:tc>
        <w:tc>
          <w:tcPr>
            <w:tcW w:w="1895" w:type="dxa"/>
            <w:vAlign w:val="center"/>
            <w:vMerge w:val="restart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арифметическая</w:t>
            </w:r>
            <w:r>
              <w:rPr>
                <w:sz w:val="22"/>
                <w:szCs w:val="22"/>
              </w:rPr>
              <w:t xml:space="preserve"> величина цены за </w:t>
            </w:r>
            <w:r>
              <w:rPr>
                <w:sz w:val="22"/>
                <w:szCs w:val="22"/>
              </w:rPr>
              <w:t xml:space="preserve">единицу </w:t>
            </w:r>
            <w:r>
              <w:rPr>
                <w:sz w:val="22"/>
                <w:szCs w:val="22"/>
              </w:rPr>
              <w:t xml:space="preserve">работы</w:t>
            </w:r>
            <w:r>
              <w:rPr>
                <w:sz w:val="22"/>
                <w:szCs w:val="22"/>
              </w:rPr>
              <w:t xml:space="preserve">***,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9"/>
        </w:trPr>
        <w:tc>
          <w:tcPr>
            <w:tcW w:w="660" w:type="dxa"/>
            <w:vAlign w:val="top"/>
            <w:vMerge w:val="continue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302" w:type="dxa"/>
            <w:vAlign w:val="top"/>
            <w:vMerge w:val="continue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1*,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2*,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3*,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vAlign w:val="top"/>
            <w:vMerge w:val="continue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95" w:type="dxa"/>
            <w:vAlign w:val="top"/>
            <w:vMerge w:val="continue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5"/>
        </w:trPr>
        <w:tc>
          <w:tcPr>
            <w:tcW w:w="660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W w:w="4302" w:type="dxa"/>
            <w:vAlign w:val="center"/>
            <w:textDirection w:val="lrTb"/>
            <w:noWrap w:val="false"/>
          </w:tcPr>
          <w:tbl>
            <w:tblPr>
              <w:tblW w:w="0" w:type="auto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0" w:space="0"/>
                <w:insideV w:val="none" w:color="000000" w:sz="0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086"/>
            </w:tblGrid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899"/>
              </w:trPr>
              <w:tc>
                <w:tcPr>
                  <w:tcW w:w="4086" w:type="dxa"/>
                  <w:vAlign w:val="top"/>
                  <w:textDirection w:val="lrTb"/>
                  <w:noWrap w:val="false"/>
                </w:tcPr>
                <w:p>
                  <w:pPr>
                    <w:pStyle w:val="669"/>
                  </w:pPr>
                  <w:r>
                    <w:t xml:space="preserve"> </w:t>
                  </w:r>
                  <w:r>
                    <w:t xml:space="preserve">выполнение работ по сопровождению автоматизированной информационной системы «Электронный социальный регистр населения Республики Мордовия»</w:t>
                  </w:r>
                  <w:r/>
                </w:p>
              </w:tc>
            </w:tr>
          </w:tbl>
          <w:p>
            <w:pPr>
              <w:pStyle w:val="66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t xml:space="preserve">380 000,00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400 000,00</w:t>
            </w: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420 000,00</w:t>
            </w: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</w:r>
          </w:p>
        </w:tc>
        <w:tc>
          <w:tcPr>
            <w:tcW w:w="1895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t xml:space="preserve">400</w:t>
            </w:r>
            <w:r>
              <w:t xml:space="preserve"> 000,00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669"/>
        <w:jc w:val="both"/>
        <w:tabs>
          <w:tab w:val="left" w:pos="770" w:leader="none"/>
        </w:tabs>
      </w:pPr>
      <w:r/>
      <w:r/>
    </w:p>
    <w:p>
      <w:pPr>
        <w:pStyle w:val="669"/>
        <w:jc w:val="both"/>
      </w:pPr>
      <w:r>
        <w:tab/>
      </w:r>
      <w:r>
        <w:t xml:space="preserve">Порядок расчета средней цены: (</w:t>
      </w:r>
      <w:r>
        <w:t xml:space="preserve">38</w:t>
      </w:r>
      <w:r>
        <w:t xml:space="preserve">0</w:t>
      </w:r>
      <w:r>
        <w:t xml:space="preserve"> 000</w:t>
      </w:r>
      <w:r>
        <w:t xml:space="preserve">,00</w:t>
      </w:r>
      <w:r>
        <w:t xml:space="preserve">+</w:t>
      </w:r>
      <w:r>
        <w:t xml:space="preserve">40</w:t>
      </w:r>
      <w:r>
        <w:t xml:space="preserve">0</w:t>
      </w:r>
      <w:r>
        <w:t xml:space="preserve"> </w:t>
      </w:r>
      <w:r>
        <w:t xml:space="preserve">00</w:t>
      </w:r>
      <w:r>
        <w:t xml:space="preserve">0,00</w:t>
      </w:r>
      <w:r>
        <w:t xml:space="preserve">+</w:t>
      </w:r>
      <w:r>
        <w:t xml:space="preserve">42</w:t>
      </w:r>
      <w:r>
        <w:t xml:space="preserve">0</w:t>
      </w:r>
      <w:r>
        <w:t xml:space="preserve"> 000</w:t>
      </w:r>
      <w:r>
        <w:t xml:space="preserve">,00</w:t>
      </w:r>
      <w:r>
        <w:t xml:space="preserve">)</w:t>
      </w:r>
      <w:r>
        <w:t xml:space="preserve">/3</w:t>
      </w:r>
      <w:r>
        <w:t xml:space="preserve">=</w:t>
      </w:r>
      <w:r>
        <w:t xml:space="preserve"> </w:t>
      </w:r>
      <w:r>
        <w:t xml:space="preserve">400</w:t>
      </w:r>
      <w:r>
        <w:t xml:space="preserve"> 000,00</w:t>
      </w:r>
      <w:r>
        <w:t xml:space="preserve">                                                   </w:t>
      </w:r>
      <w:r/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Характеристики работ</w:t>
      </w:r>
      <w:r>
        <w:rPr>
          <w:sz w:val="22"/>
          <w:szCs w:val="22"/>
        </w:rPr>
        <w:t xml:space="preserve"> содержатся в </w:t>
      </w:r>
      <w:r>
        <w:rPr>
          <w:sz w:val="22"/>
          <w:szCs w:val="22"/>
        </w:rPr>
        <w:t xml:space="preserve">Описании объекта закупки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 Реквизиты коммерческих предложений: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Исполнитель</w:t>
      </w:r>
      <w:r>
        <w:rPr>
          <w:sz w:val="22"/>
          <w:szCs w:val="22"/>
        </w:rPr>
        <w:t xml:space="preserve"> 1: 252</w:t>
      </w:r>
      <w:r>
        <w:rPr>
          <w:sz w:val="22"/>
          <w:szCs w:val="22"/>
        </w:rPr>
        <w:t xml:space="preserve"> от 14</w:t>
      </w:r>
      <w:r>
        <w:rPr>
          <w:sz w:val="22"/>
          <w:szCs w:val="22"/>
        </w:rPr>
        <w:t xml:space="preserve">.09.2026</w:t>
      </w:r>
      <w:r>
        <w:rPr>
          <w:sz w:val="22"/>
          <w:szCs w:val="22"/>
        </w:rPr>
        <w:t xml:space="preserve"> г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Исполнитель 1: № 79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14</w:t>
      </w:r>
      <w:r>
        <w:rPr>
          <w:sz w:val="22"/>
          <w:szCs w:val="22"/>
        </w:rPr>
        <w:t xml:space="preserve">.09.2026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Исполнитель 1: </w:t>
      </w:r>
      <w:r>
        <w:rPr>
          <w:sz w:val="22"/>
          <w:szCs w:val="22"/>
        </w:rPr>
        <w:t xml:space="preserve">№ КП/1-26-189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14</w:t>
      </w:r>
      <w:r>
        <w:rPr>
          <w:sz w:val="22"/>
          <w:szCs w:val="22"/>
        </w:rPr>
        <w:t xml:space="preserve">.09.2026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** Коэффициент вариации рассчитывается по</w:t>
      </w:r>
      <w:r>
        <w:rPr>
          <w:sz w:val="22"/>
          <w:szCs w:val="22"/>
        </w:rPr>
        <w:t xml:space="preserve"> формуле: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67359" cy="32929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67359" cy="329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.17pt;height:25.9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Среднее </w:t>
      </w:r>
      <w:r>
        <w:rPr>
          <w:sz w:val="22"/>
          <w:szCs w:val="22"/>
        </w:rPr>
        <w:t xml:space="preserve">квадратичное отклонение определяется по формуле:  </w:t>
      </w: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76020" cy="425298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276020" cy="425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00.47pt;height:33.49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t xml:space="preserve">Среднее квадратичное отклонение </w:t>
      </w:r>
      <w:r>
        <w:t xml:space="preserve">=</w:t>
      </w:r>
      <w:r>
        <w:t xml:space="preserve"> 20</w:t>
      </w:r>
      <w:r>
        <w:t xml:space="preserve">000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Приказу № 567 совокупность значений, используемых в расчете, </w:t>
      </w:r>
      <w:r>
        <w:rPr>
          <w:sz w:val="22"/>
          <w:szCs w:val="22"/>
        </w:rPr>
        <w:t xml:space="preserve">считается </w:t>
      </w:r>
      <w:r>
        <w:rPr>
          <w:sz w:val="22"/>
          <w:szCs w:val="22"/>
        </w:rPr>
        <w:t xml:space="preserve">однородной, если коэффициент вариации </w:t>
      </w:r>
      <w:r>
        <w:rPr>
          <w:sz w:val="22"/>
          <w:szCs w:val="22"/>
        </w:rPr>
        <w:t xml:space="preserve">не </w:t>
      </w:r>
      <w:r>
        <w:rPr>
          <w:sz w:val="22"/>
          <w:szCs w:val="22"/>
        </w:rPr>
        <w:t xml:space="preserve">превышает 33%.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*** Средняя арифметическая</w:t>
      </w:r>
      <w:r>
        <w:rPr>
          <w:sz w:val="22"/>
          <w:szCs w:val="22"/>
        </w:rPr>
        <w:t xml:space="preserve"> величина цены за единицу работы</w:t>
      </w:r>
      <w:r>
        <w:rPr>
          <w:sz w:val="22"/>
          <w:szCs w:val="22"/>
        </w:rPr>
        <w:t xml:space="preserve"> по каждой позиции рассчитывается в следующем порядке: </w:t>
      </w:r>
      <w:r>
        <w:rPr>
          <w:position w:val="-24"/>
          <w:sz w:val="22"/>
          <w:szCs w:val="22"/>
        </w:rPr>
        <w:object w:dxaOrig="600" w:dyaOrig="9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" o:spid="_x0000_s2" type="#_x0000_t75" style="width:30.00pt;height:48.00pt;mso-wrap-distance-left:0.00pt;mso-wrap-distance-top:0.00pt;mso-wrap-distance-right:0.00pt;mso-wrap-distance-bottom:0.00pt;" filled="f" stroked="f">
            <v:path textboxrect="0,0,0,0"/>
            <v:imagedata r:id="rId13" o:title=""/>
          </v:shape>
          <o:OLEObject DrawAspect="Content" r:id="rId14" ObjectID="_1525042" ProgID="Equation.3" ShapeID="_x0000_i2" Type="Embed"/>
        </w:object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Условные обозначения, используемые в расчетах:</w:t>
      </w:r>
      <w:r>
        <w:rPr>
          <w:sz w:val="22"/>
          <w:szCs w:val="22"/>
          <w:u w:val="single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6685" cy="215862"/>
                <wp:effectExtent l="0" t="0" r="0" b="0"/>
                <wp:docPr id="4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6685" cy="215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1.55pt;height:17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sz w:val="22"/>
          <w:szCs w:val="22"/>
        </w:rPr>
        <w:t xml:space="preserve"> - цена за единицу работы</w:t>
      </w:r>
      <w:r>
        <w:rPr>
          <w:sz w:val="22"/>
          <w:szCs w:val="22"/>
        </w:rPr>
        <w:t xml:space="preserve">, указанная в источнике с номером i;</w:t>
      </w:r>
      <w:r>
        <w:rPr>
          <w:sz w:val="22"/>
          <w:szCs w:val="22"/>
        </w:rPr>
      </w:r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&lt;ц&gt; - средняя арифметическая величина цены за единицу</w:t>
      </w:r>
      <w:r>
        <w:rPr>
          <w:sz w:val="22"/>
          <w:szCs w:val="22"/>
        </w:rPr>
        <w:t xml:space="preserve"> работы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</w:p>
    <w:p>
      <w:pPr>
        <w:pStyle w:val="669"/>
        <w:ind w:firstLine="567"/>
        <w:jc w:val="both"/>
      </w:pPr>
      <w:r>
        <w:t xml:space="preserve">n - количество значений, используемых в расчете.</w:t>
      </w:r>
      <w:r/>
    </w:p>
    <w:p>
      <w:pPr>
        <w:pStyle w:val="669"/>
        <w:ind w:firstLine="567"/>
        <w:jc w:val="both"/>
      </w:pPr>
      <w:r/>
      <w:r/>
    </w:p>
    <w:p>
      <w:pPr>
        <w:pStyle w:val="669"/>
        <w:ind w:firstLine="567"/>
        <w:jc w:val="both"/>
        <w:rPr>
          <w:sz w:val="22"/>
          <w:szCs w:val="22"/>
        </w:rPr>
      </w:pPr>
      <w:r>
        <w:rPr>
          <w:b/>
        </w:rPr>
        <w:t xml:space="preserve">Расчет НМЦК.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both"/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НМЦК рассчитывается исходя из общего </w:t>
      </w:r>
      <w:r>
        <w:rPr>
          <w:sz w:val="22"/>
          <w:szCs w:val="22"/>
        </w:rPr>
        <w:t xml:space="preserve">объема работ требуемых</w:t>
      </w:r>
      <w:r>
        <w:rPr>
          <w:sz w:val="22"/>
          <w:szCs w:val="22"/>
        </w:rPr>
        <w:t xml:space="preserve"> заказчику</w:t>
      </w:r>
      <w:r>
        <w:rPr>
          <w:sz w:val="22"/>
          <w:szCs w:val="22"/>
        </w:rPr>
        <w:t xml:space="preserve">, цен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 единицу работы</w:t>
      </w:r>
      <w:r>
        <w:rPr>
          <w:sz w:val="22"/>
          <w:szCs w:val="22"/>
        </w:rPr>
        <w:t xml:space="preserve">, определенных по результатам анализа информации, </w:t>
      </w:r>
      <w:r>
        <w:rPr>
          <w:sz w:val="22"/>
          <w:szCs w:val="22"/>
        </w:rPr>
        <w:t xml:space="preserve">полученной по запросу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заказчика у </w:t>
      </w:r>
      <w:r>
        <w:rPr>
          <w:sz w:val="22"/>
          <w:szCs w:val="22"/>
        </w:rPr>
        <w:t xml:space="preserve">исполнителей</w:t>
      </w:r>
      <w:r>
        <w:rPr>
          <w:sz w:val="22"/>
          <w:szCs w:val="22"/>
        </w:rPr>
        <w:t xml:space="preserve">, осуществляющих </w:t>
      </w:r>
      <w:r>
        <w:rPr>
          <w:sz w:val="22"/>
          <w:szCs w:val="22"/>
        </w:rPr>
        <w:t xml:space="preserve">выполнение работ</w:t>
      </w:r>
      <w:r>
        <w:rPr>
          <w:sz w:val="22"/>
          <w:szCs w:val="22"/>
        </w:rPr>
        <w:t xml:space="preserve">, планируемых заказчиком к закупке</w:t>
      </w:r>
      <w:r>
        <w:rPr>
          <w:sz w:val="22"/>
          <w:szCs w:val="22"/>
        </w:rPr>
        <w:t xml:space="preserve">, в следующем порядке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9"/>
        <w:ind w:firstLine="567"/>
        <w:jc w:val="center"/>
        <w:spacing w:before="120"/>
        <w:rPr>
          <w:sz w:val="22"/>
          <w:szCs w:val="22"/>
        </w:rPr>
      </w:pPr>
      <w:r>
        <w:rPr>
          <w:i/>
          <w:sz w:val="22"/>
          <w:szCs w:val="22"/>
        </w:rPr>
        <w:t xml:space="preserve">Таблица 2. Расчет НМЦК.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48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48"/>
        <w:gridCol w:w="6440"/>
        <w:gridCol w:w="2835"/>
        <w:gridCol w:w="1559"/>
        <w:gridCol w:w="1418"/>
        <w:gridCol w:w="19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8"/>
        </w:trPr>
        <w:tc>
          <w:tcPr>
            <w:tcW w:w="64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W w:w="6440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работ</w:t>
            </w:r>
            <w:r>
              <w:rPr>
                <w:sz w:val="22"/>
                <w:szCs w:val="22"/>
              </w:rPr>
              <w:t xml:space="preserve">, планируемых заказчиком к закупке</w:t>
            </w:r>
            <w:r>
              <w:rPr>
                <w:sz w:val="22"/>
                <w:szCs w:val="22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арифметическая</w:t>
            </w:r>
            <w:r>
              <w:rPr>
                <w:sz w:val="22"/>
                <w:szCs w:val="22"/>
              </w:rPr>
              <w:t xml:space="preserve"> величина цены за единицу работы</w:t>
            </w:r>
            <w:r>
              <w:rPr>
                <w:sz w:val="22"/>
                <w:szCs w:val="22"/>
              </w:rPr>
              <w:t xml:space="preserve">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 измерения</w:t>
            </w: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работ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20" w:type="dxa"/>
            <w:vAlign w:val="top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работ</w:t>
            </w:r>
            <w:r>
              <w:rPr>
                <w:sz w:val="22"/>
                <w:szCs w:val="22"/>
              </w:rPr>
              <w:t xml:space="preserve">, руб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4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W w:w="6440" w:type="dxa"/>
            <w:vAlign w:val="center"/>
            <w:textDirection w:val="lrTb"/>
            <w:noWrap w:val="false"/>
          </w:tcPr>
          <w:p>
            <w:pPr>
              <w:pStyle w:val="669"/>
              <w:jc w:val="both"/>
              <w:rPr>
                <w:sz w:val="22"/>
                <w:szCs w:val="22"/>
              </w:rPr>
            </w:pPr>
            <w:r>
              <w:t xml:space="preserve">выполнение работ по сопровождению автоматизированной информационной системы «Электронный социальный регистр населения Республики Мордовия»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000,00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920" w:type="dxa"/>
            <w:vAlign w:val="center"/>
            <w:textDirection w:val="lrTb"/>
            <w:noWrap w:val="false"/>
          </w:tcPr>
          <w:p>
            <w:pPr>
              <w:pStyle w:val="66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4 800</w:t>
            </w:r>
            <w:r>
              <w:rPr>
                <w:b/>
                <w:sz w:val="22"/>
                <w:szCs w:val="22"/>
              </w:rPr>
              <w:t xml:space="preserve"> 000</w:t>
            </w:r>
            <w:r>
              <w:rPr>
                <w:b/>
                <w:sz w:val="22"/>
                <w:szCs w:val="22"/>
              </w:rPr>
              <w:t xml:space="preserve">,00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</w:tbl>
    <w:sectPr>
      <w:footnotePr/>
      <w:endnotePr/>
      <w:type w:val="nextPage"/>
      <w:pgSz w:w="16838" w:h="11906" w:orient="landscape"/>
      <w:pgMar w:top="851" w:right="567" w:bottom="567" w:left="71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Verdana">
    <w:panose1 w:val="020B060403050404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9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02" w:hanging="363"/>
        <w:tabs>
          <w:tab w:val="num" w:pos="90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00" w:hanging="360"/>
        <w:tabs>
          <w:tab w:val="num" w:pos="9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"/>
      <w:lvlJc w:val="left"/>
      <w:pPr>
        <w:ind w:left="1980" w:hanging="360"/>
        <w:tabs>
          <w:tab w:val="num" w:pos="198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3"/>
        <w:tabs>
          <w:tab w:val="num" w:pos="720" w:leader="none"/>
        </w:tabs>
      </w:pPr>
      <w:rPr>
        <w:b/>
      </w:rPr>
    </w:lvl>
    <w:lvl w:ilvl="1">
      <w:start w:val="1"/>
      <w:numFmt w:val="bullet"/>
      <w:isLgl w:val="false"/>
      <w:suff w:val="tab"/>
      <w:lvlText w:val="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9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num" w:pos="54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  <w:tabs>
          <w:tab w:val="num" w:pos="61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  <w:tabs>
          <w:tab w:val="num" w:pos="684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  <w:tabs>
          <w:tab w:val="num" w:pos="756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750"/>
        <w:tabs>
          <w:tab w:val="num" w:pos="1110" w:leader="none"/>
        </w:tabs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214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286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358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430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502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574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646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7188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firstLine="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8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3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/>
      </w:r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  <w:i w:val="0"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b w:val="0"/>
        <w:i w:val="0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color w:val="000000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pStyle w:val="670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pStyle w:val="693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ascii="Times New Roman" w:hAnsi="Times New Roman"/>
        <w:b w:val="0"/>
        <w:i w:val="0"/>
        <w:sz w:val="28"/>
        <w:szCs w:val="28"/>
      </w:rPr>
    </w:lvl>
    <w:lvl w:ilvl="2">
      <w:start w:val="1"/>
      <w:numFmt w:val="decimal"/>
      <w:pStyle w:val="672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decimal"/>
      <w:pStyle w:val="673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674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675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676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677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678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num w:numId="1">
    <w:abstractNumId w:val="17"/>
  </w:num>
  <w:num w:numId="2">
    <w:abstractNumId w:val="18"/>
  </w:num>
  <w:num w:numId="3">
    <w:abstractNumId w:val="13"/>
  </w:num>
  <w:num w:numId="4">
    <w:abstractNumId w:val="22"/>
  </w:num>
  <w:num w:numId="5">
    <w:abstractNumId w:val="11"/>
  </w:num>
  <w:num w:numId="6">
    <w:abstractNumId w:val="4"/>
  </w:num>
  <w:num w:numId="7">
    <w:abstractNumId w:val="15"/>
  </w:num>
  <w:num w:numId="8">
    <w:abstractNumId w:val="24"/>
  </w:num>
  <w:num w:numId="9">
    <w:abstractNumId w:val="5"/>
  </w:num>
  <w:num w:numId="10">
    <w:abstractNumId w:val="2"/>
  </w:num>
  <w:num w:numId="11">
    <w:abstractNumId w:val="14"/>
  </w:num>
  <w:num w:numId="12">
    <w:abstractNumId w:val="9"/>
  </w:num>
  <w:num w:numId="13">
    <w:abstractNumId w:val="10"/>
  </w:num>
  <w:num w:numId="14">
    <w:abstractNumId w:val="6"/>
  </w:num>
  <w:num w:numId="15">
    <w:abstractNumId w:val="1"/>
  </w:num>
  <w:num w:numId="16">
    <w:abstractNumId w:val="12"/>
  </w:num>
  <w:num w:numId="17">
    <w:abstractNumId w:val="7"/>
  </w:num>
  <w:num w:numId="18">
    <w:abstractNumId w:val="3"/>
  </w:num>
  <w:num w:numId="19">
    <w:abstractNumId w:val="25"/>
  </w:num>
  <w:num w:numId="20">
    <w:abstractNumId w:val="20"/>
  </w:num>
  <w:num w:numId="21">
    <w:abstractNumId w:val="8"/>
  </w:num>
  <w:num w:numId="22">
    <w:abstractNumId w:val="0"/>
  </w:num>
  <w:num w:numId="23">
    <w:abstractNumId w:val="23"/>
  </w:num>
  <w:num w:numId="24">
    <w:abstractNumId w:val="21"/>
  </w:num>
  <w:num w:numId="25">
    <w:abstractNumId w:val="16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9"/>
    <w:next w:val="66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9"/>
    <w:next w:val="66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9"/>
    <w:next w:val="66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9"/>
    <w:next w:val="66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9"/>
    <w:next w:val="66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9"/>
    <w:next w:val="66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9"/>
    <w:next w:val="66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9"/>
    <w:next w:val="66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9"/>
    <w:next w:val="66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6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9"/>
    <w:next w:val="66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69"/>
    <w:next w:val="66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69"/>
    <w:next w:val="66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9"/>
    <w:next w:val="66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6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6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69"/>
    <w:next w:val="66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6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6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69"/>
    <w:next w:val="66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9"/>
    <w:next w:val="66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9"/>
    <w:next w:val="66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9"/>
    <w:next w:val="66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9"/>
    <w:next w:val="66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9"/>
    <w:next w:val="66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9"/>
    <w:next w:val="66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9"/>
    <w:next w:val="66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9"/>
    <w:next w:val="66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9"/>
    <w:next w:val="669"/>
    <w:uiPriority w:val="99"/>
    <w:unhideWhenUsed/>
    <w:pPr>
      <w:spacing w:after="0" w:afterAutospacing="0"/>
    </w:pPr>
  </w:style>
  <w:style w:type="paragraph" w:styleId="669" w:default="1">
    <w:name w:val="Normal"/>
    <w:next w:val="669"/>
    <w:link w:val="669"/>
    <w:qFormat/>
    <w:rPr>
      <w:sz w:val="24"/>
      <w:szCs w:val="24"/>
      <w:lang w:val="ru-RU" w:eastAsia="ru-RU" w:bidi="ar-SA"/>
    </w:rPr>
  </w:style>
  <w:style w:type="paragraph" w:styleId="670">
    <w:name w:val="Заголовок 1"/>
    <w:basedOn w:val="669"/>
    <w:next w:val="669"/>
    <w:link w:val="669"/>
    <w:qFormat/>
    <w:pPr>
      <w:numPr>
        <w:ilvl w:val="0"/>
        <w:numId w:val="19"/>
      </w:num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71">
    <w:name w:val="Заголовок 2"/>
    <w:basedOn w:val="669"/>
    <w:next w:val="669"/>
    <w:link w:val="696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72">
    <w:name w:val="Заголовок 3"/>
    <w:basedOn w:val="669"/>
    <w:next w:val="672"/>
    <w:link w:val="669"/>
    <w:qFormat/>
    <w:pPr>
      <w:numPr>
        <w:ilvl w:val="2"/>
        <w:numId w:val="19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673">
    <w:name w:val="Заголовок 4"/>
    <w:basedOn w:val="669"/>
    <w:next w:val="669"/>
    <w:link w:val="669"/>
    <w:qFormat/>
    <w:pPr>
      <w:numPr>
        <w:ilvl w:val="3"/>
        <w:numId w:val="19"/>
      </w:numPr>
      <w:keepNext/>
      <w:spacing w:before="240" w:after="60"/>
      <w:outlineLvl w:val="3"/>
    </w:pPr>
    <w:rPr>
      <w:b/>
      <w:bCs/>
      <w:sz w:val="28"/>
      <w:szCs w:val="28"/>
    </w:rPr>
  </w:style>
  <w:style w:type="paragraph" w:styleId="674">
    <w:name w:val="Заголовок 5"/>
    <w:basedOn w:val="669"/>
    <w:next w:val="669"/>
    <w:link w:val="669"/>
    <w:qFormat/>
    <w:pPr>
      <w:numPr>
        <w:ilvl w:val="4"/>
        <w:numId w:val="1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75">
    <w:name w:val="Заголовок 6"/>
    <w:basedOn w:val="669"/>
    <w:next w:val="669"/>
    <w:link w:val="669"/>
    <w:qFormat/>
    <w:pPr>
      <w:numPr>
        <w:ilvl w:val="5"/>
        <w:numId w:val="19"/>
      </w:numPr>
      <w:spacing w:before="240" w:after="60"/>
      <w:outlineLvl w:val="5"/>
    </w:pPr>
    <w:rPr>
      <w:b/>
      <w:bCs/>
      <w:sz w:val="22"/>
      <w:szCs w:val="22"/>
    </w:rPr>
  </w:style>
  <w:style w:type="paragraph" w:styleId="676">
    <w:name w:val="Заголовок 7"/>
    <w:basedOn w:val="669"/>
    <w:next w:val="669"/>
    <w:link w:val="669"/>
    <w:qFormat/>
    <w:pPr>
      <w:numPr>
        <w:ilvl w:val="6"/>
        <w:numId w:val="19"/>
      </w:numPr>
      <w:spacing w:before="240" w:after="60"/>
      <w:outlineLvl w:val="6"/>
    </w:pPr>
  </w:style>
  <w:style w:type="paragraph" w:styleId="677">
    <w:name w:val="Заголовок 8"/>
    <w:basedOn w:val="669"/>
    <w:next w:val="669"/>
    <w:link w:val="669"/>
    <w:qFormat/>
    <w:pPr>
      <w:numPr>
        <w:ilvl w:val="7"/>
        <w:numId w:val="19"/>
      </w:numPr>
      <w:spacing w:before="240" w:after="60"/>
      <w:outlineLvl w:val="7"/>
    </w:pPr>
    <w:rPr>
      <w:i/>
      <w:iCs/>
    </w:rPr>
  </w:style>
  <w:style w:type="paragraph" w:styleId="678">
    <w:name w:val="Заголовок 9"/>
    <w:basedOn w:val="669"/>
    <w:next w:val="669"/>
    <w:link w:val="669"/>
    <w:qFormat/>
    <w:pPr>
      <w:numPr>
        <w:ilvl w:val="8"/>
        <w:numId w:val="1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679">
    <w:name w:val="Основной шрифт абзаца"/>
    <w:next w:val="679"/>
    <w:link w:val="669"/>
    <w:uiPriority w:val="1"/>
    <w:unhideWhenUsed/>
  </w:style>
  <w:style w:type="table" w:styleId="680">
    <w:name w:val="Обычная таблица"/>
    <w:next w:val="680"/>
    <w:link w:val="669"/>
    <w:uiPriority w:val="99"/>
    <w:semiHidden/>
    <w:unhideWhenUsed/>
    <w:qFormat/>
    <w:tblPr/>
  </w:style>
  <w:style w:type="numbering" w:styleId="681">
    <w:name w:val="Нет списка"/>
    <w:next w:val="681"/>
    <w:link w:val="669"/>
    <w:uiPriority w:val="99"/>
    <w:semiHidden/>
    <w:unhideWhenUsed/>
  </w:style>
  <w:style w:type="paragraph" w:styleId="682">
    <w:name w:val="Знак Знак Знак1 Знак"/>
    <w:basedOn w:val="669"/>
    <w:next w:val="682"/>
    <w:link w:val="66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683">
    <w:name w:val="Сетка таблицы"/>
    <w:basedOn w:val="680"/>
    <w:next w:val="683"/>
    <w:link w:val="669"/>
    <w:uiPriority w:val="39"/>
    <w:tblPr/>
  </w:style>
  <w:style w:type="paragraph" w:styleId="684">
    <w:name w:val="Основной текст с отступом 2"/>
    <w:basedOn w:val="669"/>
    <w:next w:val="684"/>
    <w:link w:val="669"/>
    <w:pPr>
      <w:ind w:left="283"/>
      <w:spacing w:after="120" w:line="480" w:lineRule="auto"/>
    </w:pPr>
  </w:style>
  <w:style w:type="paragraph" w:styleId="685">
    <w:name w:val="Основной текст с отступом"/>
    <w:basedOn w:val="669"/>
    <w:next w:val="685"/>
    <w:link w:val="669"/>
    <w:pPr>
      <w:ind w:left="283"/>
      <w:spacing w:after="120"/>
    </w:pPr>
  </w:style>
  <w:style w:type="paragraph" w:styleId="686">
    <w:name w:val="Абзац списка"/>
    <w:basedOn w:val="669"/>
    <w:next w:val="686"/>
    <w:link w:val="669"/>
    <w:uiPriority w:val="34"/>
    <w:qFormat/>
    <w:pPr>
      <w:ind w:left="708" w:firstLine="709"/>
      <w:jc w:val="both"/>
    </w:pPr>
    <w:rPr>
      <w:szCs w:val="20"/>
    </w:rPr>
  </w:style>
  <w:style w:type="paragraph" w:styleId="687">
    <w:name w:val="Текст выноски"/>
    <w:basedOn w:val="669"/>
    <w:next w:val="687"/>
    <w:link w:val="669"/>
    <w:semiHidden/>
    <w:rPr>
      <w:rFonts w:ascii="Tahoma" w:hAnsi="Tahoma" w:cs="Tahoma"/>
      <w:sz w:val="16"/>
      <w:szCs w:val="16"/>
    </w:rPr>
  </w:style>
  <w:style w:type="paragraph" w:styleId="688">
    <w:name w:val="Основной текст 2"/>
    <w:basedOn w:val="669"/>
    <w:next w:val="688"/>
    <w:link w:val="689"/>
    <w:pPr>
      <w:jc w:val="both"/>
      <w:spacing w:after="120" w:line="480" w:lineRule="auto"/>
    </w:pPr>
    <w:rPr>
      <w:lang w:val="en-US" w:eastAsia="en-US"/>
    </w:rPr>
  </w:style>
  <w:style w:type="character" w:styleId="689">
    <w:name w:val="Основной текст 2 Знак"/>
    <w:next w:val="689"/>
    <w:link w:val="688"/>
    <w:rPr>
      <w:sz w:val="24"/>
      <w:szCs w:val="24"/>
    </w:rPr>
  </w:style>
  <w:style w:type="paragraph" w:styleId="690">
    <w:name w:val="Название"/>
    <w:basedOn w:val="669"/>
    <w:next w:val="690"/>
    <w:link w:val="691"/>
    <w:qFormat/>
    <w:pPr>
      <w:jc w:val="center"/>
    </w:pPr>
    <w:rPr>
      <w:sz w:val="28"/>
      <w:szCs w:val="20"/>
      <w:lang w:val="en-US" w:eastAsia="en-US"/>
    </w:rPr>
  </w:style>
  <w:style w:type="character" w:styleId="691">
    <w:name w:val="Название Знак"/>
    <w:next w:val="691"/>
    <w:link w:val="690"/>
    <w:rPr>
      <w:sz w:val="28"/>
    </w:rPr>
  </w:style>
  <w:style w:type="character" w:styleId="692">
    <w:name w:val="Гиперссылка"/>
    <w:next w:val="692"/>
    <w:link w:val="669"/>
    <w:rPr>
      <w:color w:val="0000ff"/>
      <w:u w:val="single"/>
    </w:rPr>
  </w:style>
  <w:style w:type="paragraph" w:styleId="693">
    <w:name w:val="Нумерованный список"/>
    <w:basedOn w:val="669"/>
    <w:next w:val="693"/>
    <w:link w:val="669"/>
    <w:pPr>
      <w:numPr>
        <w:ilvl w:val="1"/>
        <w:numId w:val="19"/>
      </w:numPr>
    </w:pPr>
  </w:style>
  <w:style w:type="paragraph" w:styleId="694">
    <w:name w:val="Char Char5"/>
    <w:basedOn w:val="669"/>
    <w:next w:val="694"/>
    <w:link w:val="66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695">
    <w:name w:val="Стиль3 Знак Знак"/>
    <w:basedOn w:val="684"/>
    <w:next w:val="695"/>
    <w:link w:val="669"/>
    <w:pPr>
      <w:ind w:left="2160" w:hanging="360"/>
      <w:jc w:val="both"/>
      <w:spacing w:after="0" w:line="240" w:lineRule="auto"/>
      <w:widowControl w:val="off"/>
      <w:tabs>
        <w:tab w:val="num" w:pos="2160" w:leader="none"/>
      </w:tabs>
    </w:pPr>
    <w:rPr>
      <w:szCs w:val="20"/>
      <w:lang w:val="en-US" w:eastAsia="en-US"/>
    </w:rPr>
  </w:style>
  <w:style w:type="character" w:styleId="696">
    <w:name w:val="Заголовок 2 Знак"/>
    <w:next w:val="696"/>
    <w:link w:val="671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697">
    <w:name w:val="Прижатый влево"/>
    <w:basedOn w:val="669"/>
    <w:next w:val="669"/>
    <w:link w:val="669"/>
    <w:uiPriority w:val="99"/>
    <w:rPr>
      <w:rFonts w:ascii="Arial" w:hAnsi="Arial" w:cs="Arial"/>
    </w:rPr>
  </w:style>
  <w:style w:type="paragraph" w:styleId="698">
    <w:name w:val="Верхний колонтитул"/>
    <w:basedOn w:val="669"/>
    <w:next w:val="698"/>
    <w:link w:val="6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99">
    <w:name w:val="Верхний колонтитул Знак"/>
    <w:next w:val="699"/>
    <w:link w:val="698"/>
    <w:rPr>
      <w:sz w:val="24"/>
      <w:szCs w:val="24"/>
    </w:rPr>
  </w:style>
  <w:style w:type="paragraph" w:styleId="700">
    <w:name w:val="Нижний колонтитул"/>
    <w:basedOn w:val="669"/>
    <w:next w:val="700"/>
    <w:link w:val="701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01">
    <w:name w:val="Нижний колонтитул Знак"/>
    <w:next w:val="701"/>
    <w:link w:val="700"/>
    <w:rPr>
      <w:sz w:val="24"/>
      <w:szCs w:val="24"/>
    </w:rPr>
  </w:style>
  <w:style w:type="paragraph" w:styleId="702">
    <w:name w:val="Default"/>
    <w:next w:val="702"/>
    <w:link w:val="669"/>
    <w:rPr>
      <w:rFonts w:ascii="Calibri" w:hAnsi="Calibri" w:cs="Calibri"/>
      <w:color w:val="000000"/>
      <w:sz w:val="24"/>
      <w:szCs w:val="24"/>
      <w:lang w:val="ru-RU" w:eastAsia="ru-RU" w:bidi="ar-SA"/>
    </w:rPr>
  </w:style>
  <w:style w:type="paragraph" w:styleId="703">
    <w:name w:val="Обычный (веб)"/>
    <w:basedOn w:val="669"/>
    <w:next w:val="703"/>
    <w:link w:val="669"/>
    <w:pPr>
      <w:spacing w:before="100" w:beforeAutospacing="1" w:after="100" w:afterAutospacing="1"/>
    </w:pPr>
  </w:style>
  <w:style w:type="character" w:styleId="1390" w:default="1">
    <w:name w:val="Default Paragraph Font"/>
    <w:uiPriority w:val="1"/>
    <w:semiHidden/>
    <w:unhideWhenUsed/>
  </w:style>
  <w:style w:type="numbering" w:styleId="1391" w:default="1">
    <w:name w:val="No List"/>
    <w:uiPriority w:val="99"/>
    <w:semiHidden/>
    <w:unhideWhenUsed/>
  </w:style>
  <w:style w:type="table" w:styleId="139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emf"/><Relationship Id="rId10" Type="http://schemas.openxmlformats.org/officeDocument/2006/relationships/image" Target="media/media1.svg"/><Relationship Id="rId11" Type="http://schemas.openxmlformats.org/officeDocument/2006/relationships/image" Target="media/image2.emf"/><Relationship Id="rId12" Type="http://schemas.openxmlformats.org/officeDocument/2006/relationships/image" Target="media/media2.svg"/><Relationship Id="rId13" Type="http://schemas.openxmlformats.org/officeDocument/2006/relationships/image" Target="media/image3.wmf"/><Relationship Id="rId14" Type="http://schemas.openxmlformats.org/officeDocument/2006/relationships/oleObject" Target="embeddings/oleObject3.bin"/><Relationship Id="rId15" Type="http://schemas.openxmlformats.org/officeDocument/2006/relationships/image" Target="media/image4.emf"/><Relationship Id="rId16" Type="http://schemas.openxmlformats.org/officeDocument/2006/relationships/image" Target="media/media4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OPS</dc:creator>
  <cp:lastModifiedBy>eliseevaoa_loc</cp:lastModifiedBy>
  <cp:revision>4</cp:revision>
  <dcterms:created xsi:type="dcterms:W3CDTF">2025-10-29T09:24:00Z</dcterms:created>
  <dcterms:modified xsi:type="dcterms:W3CDTF">2026-09-21T12:51:11Z</dcterms:modified>
  <cp:version>786432</cp:version>
</cp:coreProperties>
</file>