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5"/>
        <w:jc w:val="center"/>
        <w:rPr>
          <w:b/>
          <w:bCs/>
          <w:color w:val="000000"/>
          <w:sz w:val="24"/>
          <w:szCs w:val="24"/>
          <w:highlight w:val="white"/>
        </w:rPr>
      </w:pPr>
      <w:r>
        <w:rPr>
          <w:b/>
          <w:bCs/>
          <w:color w:val="000000"/>
          <w:sz w:val="24"/>
          <w:szCs w:val="24"/>
          <w:highlight w:val="white"/>
        </w:rPr>
        <w:t xml:space="preserve">ПРОЕКТ</w:t>
      </w: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</w:p>
    <w:p>
      <w:pPr>
        <w:pStyle w:val="895"/>
        <w:jc w:val="center"/>
        <w:rPr>
          <w:b/>
          <w:bCs/>
          <w:color w:val="000000"/>
          <w:sz w:val="24"/>
          <w:szCs w:val="24"/>
          <w:highlight w:val="white"/>
        </w:rPr>
      </w:pPr>
      <w:r>
        <w:rPr>
          <w:b/>
          <w:bCs/>
          <w:color w:val="000000"/>
          <w:sz w:val="24"/>
          <w:szCs w:val="24"/>
          <w:highlight w:val="white"/>
        </w:rPr>
        <w:t xml:space="preserve">ГОСУДАРСТВЕННОГО КОНТРАКТА № </w:t>
      </w: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</w:p>
    <w:p>
      <w:pPr>
        <w:pStyle w:val="895"/>
        <w:jc w:val="left"/>
        <w:rPr>
          <w:b/>
          <w:color w:val="000000"/>
          <w:sz w:val="24"/>
          <w:szCs w:val="24"/>
          <w:highlight w:val="white"/>
        </w:rPr>
      </w:pPr>
      <w:r>
        <w:rPr>
          <w:b/>
          <w:color w:val="000000"/>
          <w:sz w:val="24"/>
          <w:szCs w:val="24"/>
          <w:highlight w:val="white"/>
        </w:rPr>
      </w:r>
      <w:r>
        <w:rPr>
          <w:b/>
          <w:color w:val="000000"/>
          <w:sz w:val="24"/>
          <w:szCs w:val="24"/>
          <w:highlight w:val="white"/>
        </w:rPr>
      </w:r>
      <w:r>
        <w:rPr>
          <w:b/>
          <w:color w:val="000000"/>
          <w:sz w:val="24"/>
          <w:szCs w:val="24"/>
          <w:highlight w:val="white"/>
        </w:rPr>
      </w:r>
    </w:p>
    <w:p>
      <w:pPr>
        <w:pStyle w:val="895"/>
        <w:jc w:val="center"/>
        <w:rPr>
          <w:b/>
          <w:color w:val="000000"/>
          <w:sz w:val="24"/>
          <w:szCs w:val="24"/>
          <w:highlight w:val="white"/>
        </w:rPr>
      </w:pPr>
      <w:r>
        <w:rPr>
          <w:b/>
          <w:color w:val="000000"/>
          <w:sz w:val="24"/>
          <w:szCs w:val="24"/>
          <w:highlight w:val="white"/>
        </w:rPr>
      </w:r>
      <w:r>
        <w:rPr>
          <w:b/>
          <w:color w:val="000000"/>
          <w:sz w:val="24"/>
          <w:szCs w:val="24"/>
          <w:highlight w:val="white"/>
        </w:rPr>
      </w:r>
      <w:r>
        <w:rPr>
          <w:b/>
          <w:color w:val="000000"/>
          <w:sz w:val="24"/>
          <w:szCs w:val="24"/>
          <w:highlight w:val="white"/>
        </w:rPr>
      </w:r>
    </w:p>
    <w:p>
      <w:pPr>
        <w:pStyle w:val="895"/>
        <w:ind w:firstLine="720"/>
        <w:jc w:val="both"/>
        <w:rPr>
          <w:color w:val="000000"/>
          <w:highlight w:val="white"/>
        </w:rPr>
      </w:pPr>
      <w:r>
        <w:rPr>
          <w:b/>
          <w:color w:val="000000"/>
          <w:sz w:val="23"/>
          <w:szCs w:val="23"/>
          <w:highlight w:val="white"/>
        </w:rPr>
        <w:tab/>
        <w:tab/>
        <w:tab/>
        <w:tab/>
        <w:tab/>
        <w:tab/>
        <w:tab/>
        <w:t xml:space="preserve">    </w:t>
        <w:tab/>
        <w:t xml:space="preserve">  </w:t>
      </w:r>
      <w:r>
        <w:rPr>
          <w:color w:val="000000"/>
          <w:sz w:val="23"/>
          <w:szCs w:val="23"/>
          <w:highlight w:val="white"/>
        </w:rPr>
        <w:tab/>
      </w:r>
      <w:r>
        <w:rPr>
          <w:color w:val="000000"/>
          <w:sz w:val="23"/>
          <w:szCs w:val="23"/>
          <w:highlight w:val="white"/>
        </w:rPr>
        <w:t xml:space="preserve">      </w:t>
      </w:r>
      <w:r>
        <w:rPr>
          <w:color w:val="000000"/>
          <w:sz w:val="23"/>
          <w:szCs w:val="23"/>
          <w:highlight w:val="white"/>
        </w:rPr>
        <w:t xml:space="preserve"> </w:t>
      </w:r>
      <w:r>
        <w:rPr>
          <w:color w:val="000000"/>
          <w:sz w:val="24"/>
          <w:szCs w:val="24"/>
          <w:highlight w:val="white"/>
        </w:rPr>
        <w:t xml:space="preserve">«__» __________</w:t>
      </w:r>
      <w:r>
        <w:rPr>
          <w:color w:val="000000"/>
          <w:sz w:val="24"/>
          <w:szCs w:val="24"/>
          <w:highlight w:val="white"/>
        </w:rPr>
        <w:t xml:space="preserve"> 202</w:t>
      </w:r>
      <w:r>
        <w:rPr>
          <w:color w:val="000000"/>
          <w:sz w:val="24"/>
          <w:szCs w:val="24"/>
          <w:highlight w:val="white"/>
        </w:rPr>
        <w:t xml:space="preserve">6</w:t>
      </w:r>
      <w:r>
        <w:rPr>
          <w:color w:val="000000"/>
          <w:sz w:val="24"/>
          <w:szCs w:val="24"/>
          <w:highlight w:val="white"/>
        </w:rPr>
        <w:t xml:space="preserve">г.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895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20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Министерство социальной защиты</w:t>
      </w:r>
      <w:r>
        <w:rPr>
          <w:b/>
          <w:sz w:val="24"/>
          <w:szCs w:val="24"/>
          <w:highlight w:val="white"/>
        </w:rPr>
        <w:t xml:space="preserve">, труда и занятости</w:t>
      </w:r>
      <w:r>
        <w:rPr>
          <w:b/>
          <w:sz w:val="24"/>
          <w:szCs w:val="24"/>
          <w:highlight w:val="white"/>
        </w:rPr>
        <w:t xml:space="preserve"> населения</w:t>
      </w:r>
      <w:r>
        <w:rPr>
          <w:b/>
          <w:sz w:val="24"/>
          <w:szCs w:val="24"/>
          <w:highlight w:val="white"/>
        </w:rPr>
        <w:t xml:space="preserve"> Республики Мордовия</w:t>
      </w:r>
      <w:r>
        <w:rPr>
          <w:sz w:val="24"/>
          <w:szCs w:val="24"/>
          <w:highlight w:val="white"/>
        </w:rPr>
        <w:t xml:space="preserve">, именуемое в дальнейшем </w:t>
      </w:r>
      <w:r>
        <w:rPr>
          <w:sz w:val="24"/>
          <w:szCs w:val="24"/>
          <w:highlight w:val="white"/>
        </w:rPr>
        <w:t xml:space="preserve">Государственный з</w:t>
      </w:r>
      <w:r>
        <w:rPr>
          <w:sz w:val="24"/>
          <w:szCs w:val="24"/>
          <w:highlight w:val="white"/>
        </w:rPr>
        <w:t xml:space="preserve">аказчик</w:t>
      </w:r>
      <w:r>
        <w:rPr>
          <w:sz w:val="24"/>
          <w:szCs w:val="24"/>
          <w:highlight w:val="white"/>
        </w:rPr>
        <w:t xml:space="preserve">, </w:t>
      </w:r>
      <w:r>
        <w:rPr>
          <w:sz w:val="24"/>
          <w:szCs w:val="24"/>
          <w:highlight w:val="white"/>
        </w:rPr>
        <w:t xml:space="preserve">в лице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заместителя министра Еремкина Игоря Николаевича де</w:t>
      </w:r>
      <w:r>
        <w:rPr>
          <w:sz w:val="24"/>
          <w:szCs w:val="24"/>
          <w:highlight w:val="white"/>
        </w:rPr>
        <w:t xml:space="preserve">йствующего на основании распоряжения Главы Республики Мордовия от 12 сентября 2023 года № 905-РГ и в соответствии с приказом Министерства социальной защиты, труда и занятости населения Республики Мордовия от 21 декабря 2017 года № ОД-374, с одной стороны и</w:t>
      </w:r>
      <w:r>
        <w:rPr>
          <w:sz w:val="24"/>
          <w:szCs w:val="24"/>
          <w:highlight w:val="white"/>
        </w:rPr>
        <w:t xml:space="preserve"> _______________________________________________</w:t>
      </w:r>
      <w:r>
        <w:rPr>
          <w:sz w:val="24"/>
          <w:szCs w:val="24"/>
          <w:highlight w:val="white"/>
        </w:rPr>
        <w:t xml:space="preserve">, именуемое в дальнейшем Исполнитель в лице</w:t>
      </w:r>
      <w:r>
        <w:rPr>
          <w:sz w:val="24"/>
          <w:szCs w:val="24"/>
          <w:highlight w:val="white"/>
        </w:rPr>
        <w:t xml:space="preserve"> ______________________________</w:t>
      </w:r>
      <w:r>
        <w:rPr>
          <w:sz w:val="24"/>
          <w:szCs w:val="24"/>
          <w:highlight w:val="white"/>
        </w:rPr>
        <w:t xml:space="preserve">, действующего на основании _____________</w:t>
      </w:r>
      <w:r>
        <w:rPr>
          <w:sz w:val="24"/>
          <w:szCs w:val="24"/>
          <w:highlight w:val="white"/>
        </w:rPr>
        <w:t xml:space="preserve">, с другой с</w:t>
      </w:r>
      <w:r>
        <w:rPr>
          <w:sz w:val="24"/>
          <w:szCs w:val="24"/>
          <w:highlight w:val="white"/>
        </w:rPr>
        <w:t xml:space="preserve">тороны, именуемые в дальнейшем Стороны</w:t>
      </w:r>
      <w:r>
        <w:rPr>
          <w:sz w:val="24"/>
          <w:szCs w:val="24"/>
          <w:highlight w:val="white"/>
        </w:rPr>
        <w:t xml:space="preserve">, </w:t>
      </w:r>
      <w:r>
        <w:rPr>
          <w:sz w:val="24"/>
          <w:szCs w:val="24"/>
          <w:highlight w:val="white"/>
        </w:rPr>
        <w:t xml:space="preserve">в соответствии с Гражданским кодексом Российской Федерации, </w:t>
      </w:r>
      <w:r>
        <w:rPr>
          <w:sz w:val="24"/>
          <w:szCs w:val="24"/>
          <w:highlight w:val="white"/>
        </w:rPr>
        <w:t xml:space="preserve">Федеральным законом от 5 апреля 2013 года </w:t>
      </w:r>
      <w:r>
        <w:rPr>
          <w:sz w:val="24"/>
          <w:szCs w:val="24"/>
          <w:highlight w:val="white"/>
        </w:rPr>
        <w:t xml:space="preserve">№ </w:t>
      </w:r>
      <w:r>
        <w:rPr>
          <w:sz w:val="24"/>
          <w:szCs w:val="24"/>
          <w:highlight w:val="white"/>
        </w:rPr>
        <w:t xml:space="preserve">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4"/>
          <w:szCs w:val="24"/>
          <w:highlight w:val="white"/>
        </w:rPr>
        <w:t xml:space="preserve"> (далее – закон о Контрактной системе)</w:t>
      </w:r>
      <w:r>
        <w:rPr>
          <w:sz w:val="24"/>
          <w:szCs w:val="24"/>
          <w:highlight w:val="white"/>
        </w:rPr>
        <w:t xml:space="preserve">, заключили </w:t>
      </w:r>
      <w:r>
        <w:rPr>
          <w:sz w:val="24"/>
          <w:szCs w:val="24"/>
          <w:highlight w:val="white"/>
        </w:rPr>
        <w:t xml:space="preserve">Государственный контракт</w:t>
      </w:r>
      <w:r>
        <w:rPr>
          <w:sz w:val="24"/>
          <w:szCs w:val="24"/>
          <w:highlight w:val="white"/>
        </w:rPr>
        <w:t xml:space="preserve"> в целях обеспечения государственных нужд о нижеследующем: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9"/>
        <w:jc w:val="both"/>
        <w:shd w:val="clear" w:color="auto" w:fill="ffffff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908"/>
        <w:ind w:right="0" w:firstLine="0"/>
        <w:jc w:val="center"/>
        <w:widowControl/>
        <w:rPr>
          <w:rFonts w:ascii="Times New Roman" w:hAnsi="Times New Roman" w:cs="Times New Roman"/>
          <w:bCs/>
          <w:sz w:val="24"/>
          <w:szCs w:val="24"/>
          <w:highlight w:val="white"/>
        </w:rPr>
        <w:outlineLvl w:val="0"/>
      </w:pPr>
      <w:r>
        <w:rPr>
          <w:highlight w:val="white"/>
        </w:rPr>
      </w:r>
      <w:bookmarkStart w:id="0" w:name="_Toc189279623"/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1. П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редмет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Государственного контракта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</w:r>
    </w:p>
    <w:p>
      <w:pPr>
        <w:pStyle w:val="895"/>
        <w:ind w:firstLine="50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1.1. Предметом настоящего Государственного контракта является </w:t>
      </w:r>
      <w:r>
        <w:rPr>
          <w:b/>
          <w:i/>
          <w:sz w:val="24"/>
          <w:szCs w:val="24"/>
          <w:highlight w:val="white"/>
        </w:rPr>
        <w:t xml:space="preserve">выполнение работ по сопровождению автоматизированной информационной системы «Электронный социальный регистр населения Республики Мордовия»</w:t>
      </w:r>
      <w:r>
        <w:rPr>
          <w:sz w:val="24"/>
          <w:szCs w:val="24"/>
          <w:highlight w:val="white"/>
        </w:rPr>
        <w:t xml:space="preserve"> (далее также – «Система»)</w:t>
      </w:r>
      <w:r>
        <w:rPr>
          <w:color w:val="000000"/>
          <w:sz w:val="24"/>
          <w:szCs w:val="24"/>
          <w:highlight w:val="white"/>
        </w:rPr>
        <w:t xml:space="preserve">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firstLine="500"/>
        <w:jc w:val="both"/>
        <w:rPr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1.2</w:t>
      </w:r>
      <w:r>
        <w:rPr>
          <w:color w:val="000000"/>
          <w:sz w:val="24"/>
          <w:szCs w:val="24"/>
          <w:highlight w:val="white"/>
        </w:rPr>
        <w:t xml:space="preserve">. </w:t>
      </w:r>
      <w:r>
        <w:rPr>
          <w:color w:val="000000"/>
          <w:sz w:val="24"/>
          <w:szCs w:val="24"/>
          <w:highlight w:val="white"/>
        </w:rPr>
        <w:t xml:space="preserve">И</w:t>
      </w:r>
      <w:r>
        <w:rPr>
          <w:sz w:val="24"/>
          <w:szCs w:val="24"/>
          <w:highlight w:val="white"/>
        </w:rPr>
        <w:t xml:space="preserve">сполнитель по заданию Государственного  Заказчика обязуется в установленный Контрактом срок выполнить работы</w:t>
      </w:r>
      <w:bookmarkStart w:id="1" w:name="sub_10111"/>
      <w:r>
        <w:rPr>
          <w:sz w:val="24"/>
          <w:szCs w:val="24"/>
          <w:highlight w:val="white"/>
        </w:rPr>
        <w:t xml:space="preserve"> по развитию</w:t>
      </w:r>
      <w:r>
        <w:rPr>
          <w:sz w:val="24"/>
          <w:szCs w:val="24"/>
          <w:highlight w:val="white"/>
        </w:rPr>
        <w:t xml:space="preserve"> государственной автоматизированной информационной системы «Электронный социальный регистр населения Республики Мордовия» (далее – «Работы»), а Государственный заказчик обязуется принять выполненные работы и оплатить их.</w:t>
      </w:r>
      <w:bookmarkStart w:id="2" w:name="sub_1012"/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5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1.</w:t>
      </w:r>
      <w:r>
        <w:rPr>
          <w:sz w:val="24"/>
          <w:szCs w:val="24"/>
          <w:highlight w:val="white"/>
        </w:rPr>
        <w:t xml:space="preserve">3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  <w:t xml:space="preserve"> Работы выполняются И</w:t>
      </w:r>
      <w:r>
        <w:rPr>
          <w:sz w:val="24"/>
          <w:szCs w:val="24"/>
          <w:highlight w:val="white"/>
        </w:rPr>
        <w:t xml:space="preserve">сполнителем в соответствии с национальными ст</w:t>
      </w:r>
      <w:r>
        <w:rPr>
          <w:sz w:val="24"/>
          <w:szCs w:val="24"/>
          <w:highlight w:val="white"/>
        </w:rPr>
        <w:t xml:space="preserve">андартами и государственными стандартами в части требований к проектированию, стадиям создания, видам, комплектности и обозначению документов, видам испытаний при создании и (или) развитии государственных (муниципальных) информационных систем и (или) иных </w:t>
      </w:r>
      <w:r>
        <w:rPr>
          <w:color w:val="000000"/>
          <w:sz w:val="24"/>
          <w:szCs w:val="24"/>
          <w:highlight w:val="white"/>
        </w:rPr>
        <w:t xml:space="preserve">информационных систем, а также в соответствии с качественными, количественными и иными характеристиками работ, определенными в описании объекта закупки, согласно требованиям </w:t>
      </w:r>
      <w:r>
        <w:rPr>
          <w:color w:val="000000"/>
          <w:sz w:val="24"/>
          <w:szCs w:val="24"/>
          <w:highlight w:val="white"/>
        </w:rPr>
        <w:fldChar w:fldCharType="begin"/>
      </w:r>
      <w:r>
        <w:rPr>
          <w:color w:val="000000"/>
          <w:sz w:val="24"/>
          <w:szCs w:val="24"/>
          <w:highlight w:val="white"/>
        </w:rPr>
        <w:instrText xml:space="preserve">HYPERLINK "http://internet.garant.ru/document/redirect/70353464/0"</w:instrText>
      </w:r>
      <w:r>
        <w:rPr>
          <w:color w:val="000000"/>
          <w:sz w:val="24"/>
          <w:szCs w:val="24"/>
          <w:highlight w:val="white"/>
        </w:rPr>
        <w:fldChar w:fldCharType="separate"/>
      </w:r>
      <w:r>
        <w:rPr>
          <w:rStyle w:val="937"/>
          <w:color w:val="000000"/>
          <w:sz w:val="24"/>
          <w:szCs w:val="24"/>
          <w:highlight w:val="white"/>
        </w:rPr>
        <w:t xml:space="preserve">Федерального закона</w:t>
      </w:r>
      <w:r>
        <w:rPr>
          <w:color w:val="000000"/>
          <w:sz w:val="24"/>
          <w:szCs w:val="24"/>
          <w:highlight w:val="white"/>
        </w:rPr>
        <w:fldChar w:fldCharType="end"/>
      </w:r>
      <w:r>
        <w:rPr>
          <w:color w:val="000000"/>
          <w:sz w:val="24"/>
          <w:szCs w:val="24"/>
          <w:highlight w:val="white"/>
        </w:rPr>
        <w:t xml:space="preserve"> от 5 апреля 2013 г. N 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 14, ст. 1652; 2020, N 31, ст. 5008), </w:t>
      </w:r>
      <w:r>
        <w:rPr>
          <w:color w:val="000000"/>
          <w:sz w:val="24"/>
          <w:szCs w:val="24"/>
          <w:highlight w:val="white"/>
        </w:rPr>
        <w:fldChar w:fldCharType="begin"/>
      </w:r>
      <w:r>
        <w:rPr>
          <w:color w:val="000000"/>
          <w:sz w:val="24"/>
          <w:szCs w:val="24"/>
          <w:highlight w:val="white"/>
        </w:rPr>
        <w:instrText xml:space="preserve">HYPERLINK "http://internet.garant.ru/document/redirect/12148555/0"</w:instrText>
      </w:r>
      <w:r>
        <w:rPr>
          <w:color w:val="000000"/>
          <w:sz w:val="24"/>
          <w:szCs w:val="24"/>
          <w:highlight w:val="white"/>
        </w:rPr>
        <w:fldChar w:fldCharType="separate"/>
      </w:r>
      <w:r>
        <w:rPr>
          <w:rStyle w:val="937"/>
          <w:color w:val="000000"/>
          <w:sz w:val="24"/>
          <w:szCs w:val="24"/>
          <w:highlight w:val="white"/>
        </w:rPr>
        <w:t xml:space="preserve">Федерального закона</w:t>
      </w:r>
      <w:r>
        <w:rPr>
          <w:color w:val="000000"/>
          <w:sz w:val="24"/>
          <w:szCs w:val="24"/>
          <w:highlight w:val="white"/>
        </w:rPr>
        <w:fldChar w:fldCharType="end"/>
      </w:r>
      <w:r>
        <w:rPr>
          <w:color w:val="000000"/>
          <w:sz w:val="24"/>
          <w:szCs w:val="24"/>
          <w:highlight w:val="white"/>
        </w:rPr>
        <w:t xml:space="preserve"> "Об информации, информационных технологиях и о защите информации",</w:t>
      </w:r>
      <w:r>
        <w:rPr>
          <w:sz w:val="24"/>
          <w:szCs w:val="24"/>
          <w:highlight w:val="white"/>
        </w:rPr>
        <w:t xml:space="preserve"> а также иных нормативных правовых актов в сфере контрактной системы, информационных технологий, защиты информации, правовой защиты интересов государства в области интеллектуальной собственности, регулирующих соответствующие отношения</w:t>
      </w:r>
      <w:r>
        <w:rPr>
          <w:sz w:val="24"/>
          <w:szCs w:val="24"/>
          <w:highlight w:val="white"/>
        </w:rPr>
        <w:t xml:space="preserve"> и непосредственно указанных в Описании объекта закупки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(Приложение №1 к Государственному контракту)</w:t>
      </w:r>
      <w:r>
        <w:rPr>
          <w:sz w:val="24"/>
          <w:szCs w:val="24"/>
          <w:highlight w:val="white"/>
        </w:rPr>
        <w:t xml:space="preserve">, являющемся его неотъемлемой частью (далее </w:t>
      </w:r>
      <w:r>
        <w:rPr>
          <w:sz w:val="24"/>
          <w:szCs w:val="24"/>
          <w:highlight w:val="white"/>
        </w:rPr>
        <w:t xml:space="preserve">–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Описание объекта за</w:t>
      </w:r>
      <w:r>
        <w:rPr>
          <w:sz w:val="24"/>
          <w:szCs w:val="24"/>
          <w:highlight w:val="white"/>
        </w:rPr>
        <w:t xml:space="preserve">к</w:t>
      </w:r>
      <w:r>
        <w:rPr>
          <w:sz w:val="24"/>
          <w:szCs w:val="24"/>
          <w:highlight w:val="white"/>
        </w:rPr>
        <w:t xml:space="preserve">упки</w:t>
      </w:r>
      <w:r>
        <w:rPr>
          <w:sz w:val="24"/>
          <w:szCs w:val="24"/>
          <w:highlight w:val="white"/>
        </w:rPr>
        <w:t xml:space="preserve">).</w:t>
      </w:r>
      <w:bookmarkEnd w:id="1"/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11"/>
        <w:ind w:firstLine="500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highlight w:val="white"/>
        </w:rPr>
      </w:r>
      <w:bookmarkEnd w:id="2"/>
      <w:r>
        <w:rPr>
          <w:rFonts w:ascii="Times New Roman" w:hAnsi="Times New Roman" w:cs="Times New Roman"/>
          <w:sz w:val="24"/>
          <w:szCs w:val="24"/>
          <w:highlight w:val="white"/>
        </w:rPr>
        <w:t xml:space="preserve">1.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4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white"/>
          <w:shd w:val="clear" w:color="auto" w:fill="ffffff"/>
        </w:rPr>
        <w:t xml:space="preserve">Идентификационный код закупки (ИКЗ): 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262132619621613260100100230016201244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</w:p>
    <w:p>
      <w:pPr>
        <w:pStyle w:val="910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91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08"/>
        <w:ind w:right="0" w:firstLine="0"/>
        <w:jc w:val="center"/>
        <w:widowControl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2. 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Стоимость работ и порядок расчетов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</w:p>
    <w:p>
      <w:pPr>
        <w:pStyle w:val="917"/>
        <w:ind w:firstLine="500"/>
        <w:jc w:val="both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2.1. Цена Государственного контракта составляет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________________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(______________________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)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___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копеек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НДС/Без НДС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7"/>
        <w:ind w:firstLine="500"/>
        <w:jc w:val="both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2.2. Источник финансирования: Республиканский бюджет Республики Мордовия.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7"/>
        <w:ind w:firstLine="500"/>
        <w:jc w:val="both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2.3.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Форма оплаты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: безналичный расчет. Сроки и порядок оплаты: Государственный заказчик производит расчеты с Исполнителем по Государственному контракту за выполненные Работы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еже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месяч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но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по факту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выполнения</w:t>
      </w:r>
      <w:r>
        <w:rPr>
          <w:rFonts w:ascii="Times New Roman" w:hAnsi="Times New Roman" w:cs="Times New Roman"/>
          <w:spacing w:val="2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i/>
          <w:spacing w:val="2"/>
          <w:sz w:val="24"/>
          <w:szCs w:val="24"/>
          <w:highlight w:val="white"/>
        </w:rPr>
        <w:t xml:space="preserve">в течение 7 (семи) рабочих дней</w:t>
      </w:r>
      <w:r>
        <w:rPr>
          <w:rFonts w:ascii="Times New Roman" w:hAnsi="Times New Roman" w:cs="Times New Roman"/>
          <w:spacing w:val="2"/>
          <w:sz w:val="24"/>
          <w:szCs w:val="24"/>
          <w:highlight w:val="white"/>
        </w:rPr>
        <w:t xml:space="preserve">  со дня подписания Государственным заказчиком документа о приемке, сформированного в единой информационной системе в сфере закупок (далее — ЕИС).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7"/>
        <w:ind w:firstLine="500"/>
        <w:jc w:val="both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2.4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 Датой оплаты считается дата списан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ия денежных средств с лицевого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счета Государственного заказчика.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95"/>
        <w:ind w:firstLine="50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2.</w:t>
      </w:r>
      <w:r>
        <w:rPr>
          <w:color w:val="000000"/>
          <w:sz w:val="24"/>
          <w:szCs w:val="24"/>
          <w:highlight w:val="white"/>
        </w:rPr>
        <w:t xml:space="preserve">5</w:t>
      </w:r>
      <w:r>
        <w:rPr>
          <w:color w:val="000000"/>
          <w:sz w:val="24"/>
          <w:szCs w:val="24"/>
          <w:highlight w:val="white"/>
        </w:rPr>
        <w:t xml:space="preserve">. </w:t>
      </w:r>
      <w:r>
        <w:rPr>
          <w:color w:val="000000"/>
          <w:sz w:val="24"/>
          <w:szCs w:val="24"/>
          <w:highlight w:val="white"/>
        </w:rPr>
        <w:t xml:space="preserve">Цена устанавливается в российских рублях и включает в себя </w:t>
      </w:r>
      <w:r>
        <w:rPr>
          <w:color w:val="000000"/>
          <w:sz w:val="24"/>
          <w:szCs w:val="24"/>
          <w:highlight w:val="white"/>
        </w:rPr>
        <w:t xml:space="preserve"> все расходы, связанные с оказанием данного вида </w:t>
      </w:r>
      <w:r>
        <w:rPr>
          <w:color w:val="000000"/>
          <w:sz w:val="24"/>
          <w:szCs w:val="24"/>
          <w:highlight w:val="white"/>
        </w:rPr>
        <w:t xml:space="preserve">работ</w:t>
      </w:r>
      <w:r>
        <w:rPr>
          <w:color w:val="000000"/>
          <w:sz w:val="24"/>
          <w:szCs w:val="24"/>
          <w:highlight w:val="white"/>
        </w:rPr>
        <w:t xml:space="preserve">, а также налоги, сборы, страхование </w:t>
      </w:r>
      <w:r>
        <w:rPr>
          <w:color w:val="000000"/>
          <w:sz w:val="24"/>
          <w:szCs w:val="24"/>
          <w:highlight w:val="white"/>
        </w:rPr>
        <w:t xml:space="preserve"> и другие обязательные платежи.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firstLine="708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2.6</w:t>
      </w:r>
      <w:r>
        <w:rPr>
          <w:color w:val="000000"/>
          <w:sz w:val="24"/>
          <w:szCs w:val="24"/>
          <w:highlight w:val="white"/>
        </w:rPr>
        <w:t xml:space="preserve">. В случае изменения расчетного счета Исполнитель обязан в однодневный срок в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письменной форме сообщить об этом </w:t>
      </w:r>
      <w:r>
        <w:rPr>
          <w:color w:val="000000"/>
          <w:sz w:val="24"/>
          <w:szCs w:val="24"/>
          <w:highlight w:val="white"/>
        </w:rPr>
        <w:t xml:space="preserve">Государственному заказчику, указав новые реквизиты расчетного счета. В противном случае все риски, связанные с перечислением Государственным заказчиком денежных средств на указанный в настоящем Государственном контракте счет Исполнителя, несет Исполнитель.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firstLine="708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2.7. Сумма, подлежащая уплате Государственным заказчиком юридическому лицу или физическо</w:t>
      </w:r>
      <w:r>
        <w:rPr>
          <w:sz w:val="24"/>
          <w:szCs w:val="24"/>
          <w:highlight w:val="white"/>
        </w:rPr>
        <w:t xml:space="preserve">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контракта, уменьшается, если в соответствии с </w:t>
      </w:r>
      <w:r>
        <w:rPr>
          <w:sz w:val="24"/>
          <w:szCs w:val="24"/>
          <w:highlight w:val="white"/>
        </w:rPr>
        <w:fldChar w:fldCharType="begin"/>
      </w:r>
      <w:r>
        <w:rPr>
          <w:sz w:val="24"/>
          <w:szCs w:val="24"/>
          <w:highlight w:val="white"/>
        </w:rPr>
        <w:instrText xml:space="preserve">HYPERLINK "garantF1://10800200.1"</w:instrText>
      </w:r>
      <w:r>
        <w:rPr>
          <w:sz w:val="24"/>
          <w:szCs w:val="24"/>
          <w:highlight w:val="white"/>
        </w:rPr>
        <w:fldChar w:fldCharType="separate"/>
      </w:r>
      <w:r>
        <w:rPr>
          <w:sz w:val="24"/>
          <w:szCs w:val="24"/>
          <w:highlight w:val="white"/>
        </w:rPr>
        <w:t xml:space="preserve">законодательством</w:t>
      </w:r>
      <w:r>
        <w:rPr>
          <w:sz w:val="24"/>
          <w:szCs w:val="24"/>
          <w:highlight w:val="white"/>
        </w:rPr>
        <w:fldChar w:fldCharType="end"/>
      </w:r>
      <w:r>
        <w:rPr>
          <w:sz w:val="24"/>
          <w:szCs w:val="24"/>
          <w:highlight w:val="white"/>
        </w:rPr>
        <w:t xml:space="preserve">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color w:val="000000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2.8. Цена настоящего Государственного к</w:t>
      </w:r>
      <w:r>
        <w:rPr>
          <w:sz w:val="24"/>
          <w:szCs w:val="24"/>
          <w:highlight w:val="white"/>
          <w:shd w:val="clear" w:color="auto" w:fill="ffffff"/>
        </w:rPr>
        <w:t xml:space="preserve">онтракта является твердой и определяется на весь срок исполнения настоящего Государственного контракта.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firstLine="600"/>
        <w:jc w:val="center"/>
        <w:rPr>
          <w:b/>
          <w:bCs/>
          <w:color w:val="000000"/>
          <w:sz w:val="24"/>
          <w:szCs w:val="24"/>
          <w:highlight w:val="white"/>
        </w:rPr>
      </w:pPr>
      <w:r>
        <w:rPr>
          <w:b/>
          <w:bCs/>
          <w:color w:val="000000"/>
          <w:sz w:val="24"/>
          <w:szCs w:val="24"/>
          <w:highlight w:val="white"/>
        </w:rPr>
        <w:t xml:space="preserve">3. </w:t>
      </w:r>
      <w:r>
        <w:rPr>
          <w:b/>
          <w:bCs/>
          <w:color w:val="000000"/>
          <w:sz w:val="24"/>
          <w:szCs w:val="24"/>
          <w:highlight w:val="white"/>
        </w:rPr>
        <w:t xml:space="preserve">Условия и с</w:t>
      </w:r>
      <w:r>
        <w:rPr>
          <w:b/>
          <w:bCs/>
          <w:color w:val="000000"/>
          <w:sz w:val="24"/>
          <w:szCs w:val="24"/>
          <w:highlight w:val="white"/>
        </w:rPr>
        <w:t xml:space="preserve">роки выполнения</w:t>
      </w:r>
      <w:r>
        <w:rPr>
          <w:b/>
          <w:bCs/>
          <w:color w:val="000000"/>
          <w:sz w:val="24"/>
          <w:szCs w:val="24"/>
          <w:highlight w:val="white"/>
        </w:rPr>
        <w:t xml:space="preserve"> работ</w:t>
      </w:r>
      <w:r>
        <w:rPr>
          <w:b/>
          <w:bCs/>
          <w:color w:val="000000"/>
          <w:sz w:val="24"/>
          <w:szCs w:val="24"/>
          <w:highlight w:val="white"/>
        </w:rPr>
        <w:t xml:space="preserve">, качество </w:t>
      </w:r>
      <w:r>
        <w:rPr>
          <w:b/>
          <w:bCs/>
          <w:color w:val="000000"/>
          <w:sz w:val="24"/>
          <w:szCs w:val="24"/>
          <w:highlight w:val="white"/>
        </w:rPr>
        <w:t xml:space="preserve">работ</w:t>
      </w:r>
      <w:r>
        <w:rPr>
          <w:b/>
          <w:bCs/>
          <w:color w:val="000000"/>
          <w:sz w:val="24"/>
          <w:szCs w:val="24"/>
          <w:highlight w:val="white"/>
        </w:rPr>
        <w:t xml:space="preserve">, гарантии</w:t>
      </w: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</w:p>
    <w:p>
      <w:pPr>
        <w:pStyle w:val="895"/>
        <w:ind w:firstLine="600"/>
        <w:jc w:val="center"/>
        <w:rPr>
          <w:b/>
          <w:bCs/>
          <w:color w:val="000000"/>
          <w:sz w:val="24"/>
          <w:szCs w:val="24"/>
          <w:highlight w:val="white"/>
        </w:rPr>
      </w:pP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</w:p>
    <w:p>
      <w:pPr>
        <w:pStyle w:val="896"/>
        <w:ind w:firstLine="600"/>
        <w:jc w:val="both"/>
        <w:spacing w:before="0" w:after="0"/>
        <w:shd w:val="clear" w:color="auto" w:fill="ffffff"/>
        <w:rPr>
          <w:b w:val="0"/>
          <w:sz w:val="24"/>
          <w:szCs w:val="24"/>
          <w:highlight w:val="white"/>
        </w:rPr>
      </w:pPr>
      <w:r>
        <w:rPr>
          <w:b w:val="0"/>
          <w:sz w:val="24"/>
          <w:szCs w:val="24"/>
          <w:highlight w:val="white"/>
        </w:rPr>
        <w:t xml:space="preserve">3.1. </w:t>
      </w:r>
      <w:r>
        <w:rPr>
          <w:rStyle w:val="903"/>
          <w:b/>
          <w:sz w:val="24"/>
          <w:szCs w:val="24"/>
          <w:highlight w:val="white"/>
        </w:rPr>
        <w:t xml:space="preserve">Исполнитель </w:t>
      </w:r>
      <w:r>
        <w:rPr>
          <w:b w:val="0"/>
          <w:sz w:val="24"/>
          <w:szCs w:val="24"/>
          <w:highlight w:val="white"/>
        </w:rPr>
        <w:t xml:space="preserve">выпо</w:t>
      </w:r>
      <w:r>
        <w:rPr>
          <w:b w:val="0"/>
          <w:sz w:val="24"/>
          <w:szCs w:val="24"/>
          <w:highlight w:val="white"/>
        </w:rPr>
        <w:t xml:space="preserve">лняет Р</w:t>
      </w:r>
      <w:r>
        <w:rPr>
          <w:b w:val="0"/>
          <w:sz w:val="24"/>
          <w:szCs w:val="24"/>
          <w:highlight w:val="white"/>
        </w:rPr>
        <w:t xml:space="preserve">аботы</w:t>
      </w:r>
      <w:r>
        <w:rPr>
          <w:b w:val="0"/>
          <w:spacing w:val="2"/>
          <w:sz w:val="24"/>
          <w:szCs w:val="24"/>
          <w:highlight w:val="white"/>
        </w:rPr>
        <w:t xml:space="preserve">, предусмотренные пунктом 1.1. настоящего Государственного контракта, надлежащим образом, </w:t>
      </w:r>
      <w:r>
        <w:rPr>
          <w:b w:val="0"/>
          <w:sz w:val="24"/>
          <w:szCs w:val="24"/>
          <w:highlight w:val="white"/>
        </w:rPr>
        <w:t xml:space="preserve">в полном соответствии с требованиями </w:t>
      </w:r>
      <w:r>
        <w:rPr>
          <w:b w:val="0"/>
          <w:sz w:val="24"/>
          <w:szCs w:val="24"/>
          <w:highlight w:val="white"/>
        </w:rPr>
        <w:t xml:space="preserve">Описания объекта закупки</w:t>
      </w:r>
      <w:r>
        <w:rPr>
          <w:b w:val="0"/>
          <w:sz w:val="24"/>
          <w:szCs w:val="24"/>
          <w:highlight w:val="white"/>
        </w:rPr>
        <w:t xml:space="preserve"> (Приложение № 1 к Государственному контракту).</w:t>
      </w:r>
      <w:r>
        <w:rPr>
          <w:b w:val="0"/>
          <w:sz w:val="24"/>
          <w:szCs w:val="24"/>
          <w:highlight w:val="white"/>
        </w:rPr>
      </w:r>
      <w:r>
        <w:rPr>
          <w:b w:val="0"/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bCs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3.2. </w:t>
      </w:r>
      <w:r>
        <w:rPr>
          <w:color w:val="000000"/>
          <w:sz w:val="24"/>
          <w:szCs w:val="24"/>
          <w:highlight w:val="white"/>
        </w:rPr>
        <w:t xml:space="preserve">Выполнение Р</w:t>
      </w:r>
      <w:r>
        <w:rPr>
          <w:color w:val="000000"/>
          <w:sz w:val="24"/>
          <w:szCs w:val="24"/>
          <w:highlight w:val="white"/>
        </w:rPr>
        <w:t xml:space="preserve">абот </w:t>
      </w:r>
      <w:r>
        <w:rPr>
          <w:color w:val="000000"/>
          <w:sz w:val="24"/>
          <w:szCs w:val="24"/>
          <w:highlight w:val="white"/>
        </w:rPr>
        <w:t xml:space="preserve">по настоящему Государствен</w:t>
      </w:r>
      <w:r>
        <w:rPr>
          <w:color w:val="000000"/>
          <w:sz w:val="24"/>
          <w:szCs w:val="24"/>
          <w:highlight w:val="white"/>
        </w:rPr>
        <w:t xml:space="preserve">ному контракту осуществляется</w:t>
      </w:r>
      <w:r>
        <w:rPr>
          <w:color w:val="000000"/>
          <w:sz w:val="24"/>
          <w:szCs w:val="24"/>
          <w:highlight w:val="white"/>
        </w:rPr>
        <w:t xml:space="preserve">: </w:t>
      </w:r>
      <w:r>
        <w:rPr>
          <w:b/>
          <w:color w:val="000000"/>
          <w:sz w:val="24"/>
          <w:szCs w:val="24"/>
          <w:highlight w:val="white"/>
        </w:rPr>
        <w:t xml:space="preserve"> </w:t>
      </w:r>
      <w:r>
        <w:rPr>
          <w:b/>
          <w:bCs/>
          <w:sz w:val="24"/>
          <w:szCs w:val="24"/>
          <w:highlight w:val="white"/>
        </w:rPr>
        <w:t xml:space="preserve">с </w:t>
      </w:r>
      <w:r>
        <w:rPr>
          <w:b/>
          <w:bCs/>
          <w:sz w:val="24"/>
          <w:szCs w:val="24"/>
          <w:highlight w:val="white"/>
        </w:rPr>
        <w:t xml:space="preserve">января 202</w:t>
      </w:r>
      <w:r>
        <w:rPr>
          <w:b/>
          <w:bCs/>
          <w:sz w:val="24"/>
          <w:szCs w:val="24"/>
          <w:highlight w:val="white"/>
        </w:rPr>
        <w:t xml:space="preserve">7</w:t>
      </w:r>
      <w:r>
        <w:rPr>
          <w:b/>
          <w:bCs/>
          <w:sz w:val="24"/>
          <w:szCs w:val="24"/>
          <w:highlight w:val="white"/>
        </w:rPr>
        <w:t xml:space="preserve"> года по </w:t>
      </w:r>
      <w:r>
        <w:rPr>
          <w:b/>
          <w:bCs/>
          <w:sz w:val="24"/>
          <w:szCs w:val="24"/>
          <w:highlight w:val="white"/>
        </w:rPr>
        <w:t xml:space="preserve">декабрь</w:t>
      </w:r>
      <w:r>
        <w:rPr>
          <w:b/>
          <w:bCs/>
          <w:sz w:val="24"/>
          <w:szCs w:val="24"/>
          <w:highlight w:val="white"/>
        </w:rPr>
        <w:t xml:space="preserve"> 202</w:t>
      </w:r>
      <w:r>
        <w:rPr>
          <w:b/>
          <w:bCs/>
          <w:sz w:val="24"/>
          <w:szCs w:val="24"/>
          <w:highlight w:val="white"/>
        </w:rPr>
        <w:t xml:space="preserve">7</w:t>
      </w:r>
      <w:r>
        <w:rPr>
          <w:b/>
          <w:bCs/>
          <w:sz w:val="24"/>
          <w:szCs w:val="24"/>
          <w:highlight w:val="white"/>
        </w:rPr>
        <w:t xml:space="preserve"> года</w:t>
      </w:r>
      <w:r>
        <w:rPr>
          <w:b/>
          <w:bCs/>
          <w:sz w:val="24"/>
          <w:szCs w:val="24"/>
          <w:highlight w:val="white"/>
        </w:rPr>
        <w:t xml:space="preserve">.</w:t>
      </w:r>
      <w:r>
        <w:rPr>
          <w:bCs/>
          <w:sz w:val="24"/>
          <w:szCs w:val="24"/>
          <w:highlight w:val="white"/>
        </w:rPr>
        <w:t xml:space="preserve"> Единица изм</w:t>
      </w:r>
      <w:r>
        <w:rPr>
          <w:bCs/>
          <w:sz w:val="24"/>
          <w:szCs w:val="24"/>
          <w:highlight w:val="white"/>
        </w:rPr>
        <w:t xml:space="preserve">ерения – </w:t>
      </w:r>
      <w:r>
        <w:rPr>
          <w:b/>
          <w:bCs/>
          <w:sz w:val="24"/>
          <w:szCs w:val="24"/>
          <w:highlight w:val="white"/>
        </w:rPr>
        <w:t xml:space="preserve">месяц</w:t>
      </w:r>
      <w:r>
        <w:rPr>
          <w:bCs/>
          <w:sz w:val="24"/>
          <w:szCs w:val="24"/>
          <w:highlight w:val="white"/>
        </w:rPr>
        <w:t xml:space="preserve">, количество  - </w:t>
      </w:r>
      <w:r>
        <w:rPr>
          <w:b/>
          <w:bCs/>
          <w:sz w:val="24"/>
          <w:szCs w:val="24"/>
          <w:highlight w:val="white"/>
        </w:rPr>
        <w:t xml:space="preserve">12</w:t>
      </w:r>
      <w:r>
        <w:rPr>
          <w:b/>
          <w:bCs/>
          <w:sz w:val="24"/>
          <w:szCs w:val="24"/>
          <w:highlight w:val="white"/>
        </w:rPr>
        <w:t xml:space="preserve">,</w:t>
      </w:r>
      <w:r>
        <w:rPr>
          <w:bCs/>
          <w:sz w:val="24"/>
          <w:szCs w:val="24"/>
          <w:highlight w:val="white"/>
        </w:rPr>
        <w:t xml:space="preserve"> цена за единицу – ___________</w:t>
      </w:r>
      <w:r>
        <w:rPr>
          <w:b/>
          <w:bCs/>
          <w:sz w:val="24"/>
          <w:szCs w:val="24"/>
          <w:highlight w:val="white"/>
        </w:rPr>
        <w:t xml:space="preserve"> рублей</w:t>
      </w:r>
      <w:r>
        <w:rPr>
          <w:bCs/>
          <w:sz w:val="24"/>
          <w:szCs w:val="24"/>
          <w:highlight w:val="white"/>
        </w:rPr>
        <w:t xml:space="preserve">.</w:t>
      </w:r>
      <w:r>
        <w:rPr>
          <w:bCs/>
          <w:sz w:val="24"/>
          <w:szCs w:val="24"/>
          <w:highlight w:val="white"/>
        </w:rPr>
        <w:t xml:space="preserve"> </w:t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3.</w:t>
      </w:r>
      <w:r>
        <w:rPr>
          <w:color w:val="000000"/>
          <w:sz w:val="24"/>
          <w:szCs w:val="24"/>
          <w:highlight w:val="white"/>
        </w:rPr>
        <w:t xml:space="preserve">3</w:t>
      </w:r>
      <w:r>
        <w:rPr>
          <w:color w:val="000000"/>
          <w:sz w:val="24"/>
          <w:szCs w:val="24"/>
          <w:highlight w:val="white"/>
        </w:rPr>
        <w:t xml:space="preserve">. </w:t>
      </w:r>
      <w:r>
        <w:rPr>
          <w:sz w:val="24"/>
          <w:szCs w:val="24"/>
          <w:highlight w:val="white"/>
        </w:rPr>
        <w:t xml:space="preserve">Мест</w:t>
      </w:r>
      <w:r>
        <w:rPr>
          <w:sz w:val="24"/>
          <w:szCs w:val="24"/>
          <w:highlight w:val="white"/>
        </w:rPr>
        <w:t xml:space="preserve">о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выполнения Работ: </w:t>
      </w:r>
      <w:r>
        <w:rPr>
          <w:sz w:val="24"/>
          <w:szCs w:val="24"/>
          <w:highlight w:val="white"/>
        </w:rPr>
        <w:t xml:space="preserve">по месту размещения территориально распределенных баз данных автоматизированной информационной системы «Электронный социальный регистр </w:t>
      </w:r>
      <w:r>
        <w:rPr>
          <w:color w:val="000000"/>
          <w:sz w:val="24"/>
          <w:szCs w:val="24"/>
          <w:highlight w:val="white"/>
        </w:rPr>
        <w:t xml:space="preserve">населения Республики Мордовия»</w:t>
      </w:r>
      <w:r>
        <w:rPr>
          <w:bCs/>
          <w:color w:val="000000"/>
          <w:sz w:val="24"/>
          <w:szCs w:val="24"/>
          <w:highlight w:val="white"/>
        </w:rPr>
        <w:t xml:space="preserve"> (приложение №3 к </w:t>
      </w:r>
      <w:r>
        <w:rPr>
          <w:bCs/>
          <w:color w:val="000000"/>
          <w:sz w:val="24"/>
          <w:szCs w:val="24"/>
          <w:highlight w:val="white"/>
        </w:rPr>
        <w:t xml:space="preserve">Описанию объекта закупки</w:t>
      </w:r>
      <w:r>
        <w:rPr>
          <w:bCs/>
          <w:color w:val="000000"/>
          <w:sz w:val="24"/>
          <w:szCs w:val="24"/>
          <w:highlight w:val="white"/>
        </w:rPr>
        <w:t xml:space="preserve">)</w:t>
      </w:r>
      <w:r>
        <w:rPr>
          <w:bCs/>
          <w:color w:val="000000"/>
          <w:sz w:val="24"/>
          <w:szCs w:val="24"/>
          <w:highlight w:val="white"/>
        </w:rPr>
        <w:t xml:space="preserve">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firstLine="709"/>
        <w:jc w:val="both"/>
        <w:rPr>
          <w:bCs/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 </w:t>
      </w:r>
      <w:r>
        <w:rPr>
          <w:color w:val="000000"/>
          <w:sz w:val="24"/>
          <w:szCs w:val="24"/>
          <w:highlight w:val="white"/>
        </w:rPr>
        <w:t xml:space="preserve">3.4</w:t>
      </w:r>
      <w:r>
        <w:rPr>
          <w:color w:val="000000"/>
          <w:sz w:val="24"/>
          <w:szCs w:val="24"/>
          <w:highlight w:val="white"/>
        </w:rPr>
        <w:t xml:space="preserve">. </w:t>
      </w:r>
      <w:r>
        <w:rPr>
          <w:bCs/>
          <w:color w:val="000000"/>
          <w:sz w:val="24"/>
          <w:szCs w:val="24"/>
          <w:highlight w:val="white"/>
        </w:rPr>
        <w:t xml:space="preserve">Выполнение работ осуществляется </w:t>
      </w:r>
      <w:r>
        <w:rPr>
          <w:bCs/>
          <w:color w:val="000000"/>
          <w:sz w:val="24"/>
          <w:szCs w:val="24"/>
          <w:highlight w:val="white"/>
        </w:rPr>
        <w:t xml:space="preserve">по заданиям на выполнение работ по сопровождению, сформированным Государственным заказчиком</w:t>
      </w:r>
      <w:r>
        <w:rPr>
          <w:bCs/>
          <w:color w:val="000000"/>
          <w:sz w:val="24"/>
          <w:szCs w:val="24"/>
          <w:highlight w:val="white"/>
        </w:rPr>
        <w:t xml:space="preserve">.</w:t>
      </w:r>
      <w:r>
        <w:rPr>
          <w:bCs/>
          <w:color w:val="000000"/>
          <w:sz w:val="24"/>
          <w:szCs w:val="24"/>
          <w:highlight w:val="white"/>
        </w:rPr>
      </w:r>
      <w:r>
        <w:rPr>
          <w:bCs/>
          <w:color w:val="000000"/>
          <w:sz w:val="24"/>
          <w:szCs w:val="24"/>
          <w:highlight w:val="white"/>
        </w:rPr>
      </w:r>
    </w:p>
    <w:p>
      <w:pPr>
        <w:pStyle w:val="895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ab/>
      </w:r>
      <w:r>
        <w:rPr>
          <w:color w:val="000000"/>
          <w:sz w:val="24"/>
          <w:szCs w:val="24"/>
          <w:highlight w:val="white"/>
        </w:rPr>
        <w:t xml:space="preserve"> </w:t>
      </w:r>
      <w:r>
        <w:rPr>
          <w:color w:val="000000"/>
          <w:sz w:val="24"/>
          <w:szCs w:val="24"/>
          <w:highlight w:val="white"/>
        </w:rPr>
        <w:t xml:space="preserve">3.</w:t>
      </w:r>
      <w:r>
        <w:rPr>
          <w:color w:val="000000"/>
          <w:sz w:val="24"/>
          <w:szCs w:val="24"/>
          <w:highlight w:val="white"/>
        </w:rPr>
        <w:t xml:space="preserve">5</w:t>
      </w:r>
      <w:r>
        <w:rPr>
          <w:color w:val="000000"/>
          <w:sz w:val="24"/>
          <w:szCs w:val="24"/>
          <w:highlight w:val="white"/>
        </w:rPr>
        <w:t xml:space="preserve">.</w:t>
      </w:r>
      <w:r>
        <w:rPr>
          <w:color w:val="000000"/>
          <w:sz w:val="24"/>
          <w:szCs w:val="24"/>
          <w:highlight w:val="white"/>
        </w:rPr>
        <w:t xml:space="preserve"> </w:t>
      </w:r>
      <w:r>
        <w:rPr>
          <w:color w:val="000000"/>
          <w:sz w:val="24"/>
          <w:szCs w:val="24"/>
          <w:highlight w:val="white"/>
        </w:rPr>
        <w:t xml:space="preserve">Требования к гарантии качества Работ: Исполнитель </w:t>
      </w:r>
      <w:r>
        <w:rPr>
          <w:color w:val="000000"/>
          <w:sz w:val="24"/>
          <w:szCs w:val="24"/>
          <w:highlight w:val="white"/>
        </w:rPr>
        <w:t xml:space="preserve">гарантирует, что оказываемые Работы соответствуют обязательным нормам и правилам, регулирующим данную деятельность (ГОСТ, ТУ), иным требованиям законодательства Российской Федерации, а также требованиям, установленным настоящим Государственным контрактом. 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firstLine="851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3.</w:t>
      </w:r>
      <w:r>
        <w:rPr>
          <w:sz w:val="24"/>
          <w:szCs w:val="24"/>
          <w:highlight w:val="white"/>
        </w:rPr>
        <w:t xml:space="preserve">6</w:t>
      </w:r>
      <w:r>
        <w:rPr>
          <w:sz w:val="24"/>
          <w:szCs w:val="24"/>
          <w:highlight w:val="white"/>
        </w:rPr>
        <w:t xml:space="preserve">. </w:t>
      </w:r>
      <w:r>
        <w:rPr>
          <w:sz w:val="24"/>
          <w:szCs w:val="24"/>
          <w:highlight w:val="white"/>
        </w:rPr>
        <w:t xml:space="preserve">Требования к гарантийному сроку Работ: не менее 12 (двенадцати) месяцев с даты подписания Сторонами документа о приемке оказанных работ.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851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3.</w:t>
      </w:r>
      <w:r>
        <w:rPr>
          <w:sz w:val="24"/>
          <w:szCs w:val="24"/>
          <w:highlight w:val="white"/>
        </w:rPr>
        <w:t xml:space="preserve">7</w:t>
      </w:r>
      <w:r>
        <w:rPr>
          <w:sz w:val="24"/>
          <w:szCs w:val="24"/>
          <w:highlight w:val="white"/>
        </w:rPr>
        <w:t xml:space="preserve">. </w:t>
      </w:r>
      <w:r>
        <w:rPr>
          <w:sz w:val="24"/>
          <w:szCs w:val="24"/>
          <w:highlight w:val="white"/>
        </w:rPr>
        <w:t xml:space="preserve">Требования  к  объему  предоставления гарантий качества Работ</w:t>
      </w:r>
      <w:r>
        <w:rPr>
          <w:sz w:val="24"/>
          <w:szCs w:val="24"/>
          <w:highlight w:val="white"/>
        </w:rPr>
        <w:t xml:space="preserve">:</w:t>
      </w:r>
      <w:r>
        <w:rPr>
          <w:sz w:val="24"/>
          <w:szCs w:val="24"/>
          <w:highlight w:val="white"/>
        </w:rPr>
        <w:t xml:space="preserve"> 100%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на </w:t>
      </w:r>
      <w:r>
        <w:rPr>
          <w:sz w:val="24"/>
          <w:szCs w:val="24"/>
          <w:highlight w:val="white"/>
        </w:rPr>
        <w:t xml:space="preserve">весь объем Работ</w:t>
      </w:r>
      <w:r>
        <w:rPr>
          <w:spacing w:val="-3"/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bCs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   Под гарантией понимается</w:t>
      </w:r>
      <w:r>
        <w:rPr>
          <w:bCs/>
          <w:sz w:val="24"/>
          <w:szCs w:val="24"/>
          <w:highlight w:val="white"/>
        </w:rPr>
        <w:t xml:space="preserve">:</w:t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895"/>
        <w:numPr>
          <w:ilvl w:val="0"/>
          <w:numId w:val="3"/>
        </w:numPr>
        <w:ind w:left="0" w:firstLine="709"/>
        <w:jc w:val="both"/>
        <w:widowControl/>
        <w:tabs>
          <w:tab w:val="num" w:pos="709" w:leader="none"/>
          <w:tab w:val="clear" w:pos="1069" w:leader="none"/>
        </w:tabs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  <w:t xml:space="preserve">консультирование по вопросам работы АИС ЭСРН РМ;</w:t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895"/>
        <w:numPr>
          <w:ilvl w:val="0"/>
          <w:numId w:val="3"/>
        </w:numPr>
        <w:ind w:left="0" w:firstLine="709"/>
        <w:jc w:val="both"/>
        <w:widowControl/>
        <w:tabs>
          <w:tab w:val="num" w:pos="709" w:leader="none"/>
          <w:tab w:val="clear" w:pos="1069" w:leader="none"/>
        </w:tabs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  <w:t xml:space="preserve">бесплатное исправление обнаруженных в ходе эксплуатации ошибок;</w:t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895"/>
        <w:numPr>
          <w:ilvl w:val="0"/>
          <w:numId w:val="3"/>
        </w:numPr>
        <w:ind w:left="0" w:firstLine="709"/>
        <w:jc w:val="both"/>
        <w:widowControl/>
        <w:tabs>
          <w:tab w:val="num" w:pos="709" w:leader="none"/>
          <w:tab w:val="clear" w:pos="1069" w:leader="none"/>
        </w:tabs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  <w:t xml:space="preserve">в случае выполнению работ Исполнителем по внесению изменений в АИС ЭСРН РМ в течение гарантийного срока, Исполнитель обязан привести документацию в соответствие с внесенными изменениями в течение 10 рабочих дней.</w:t>
      </w:r>
      <w:r>
        <w:rPr>
          <w:sz w:val="24"/>
          <w:szCs w:val="24"/>
          <w:highlight w:val="white"/>
        </w:rPr>
        <w:tab/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bCs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3.8. </w:t>
      </w:r>
      <w:r>
        <w:rPr>
          <w:bCs/>
          <w:sz w:val="24"/>
          <w:szCs w:val="24"/>
          <w:highlight w:val="white"/>
        </w:rPr>
        <w:t xml:space="preserve">Исполнитель в рамках гарантийного обязательства устраняет недоработки, которые были допущены по его вине.</w:t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912"/>
        <w:ind w:left="0" w:firstLine="0"/>
        <w:jc w:val="center"/>
        <w:spacing w:before="0" w:line="240" w:lineRule="auto"/>
        <w:rPr>
          <w:b/>
          <w:bCs/>
          <w:color w:val="000000"/>
          <w:sz w:val="24"/>
          <w:szCs w:val="24"/>
          <w:highlight w:val="white"/>
        </w:rPr>
      </w:pPr>
      <w:r>
        <w:rPr>
          <w:b/>
          <w:bCs/>
          <w:color w:val="000000"/>
          <w:sz w:val="24"/>
          <w:szCs w:val="24"/>
          <w:highlight w:val="white"/>
        </w:rPr>
        <w:t xml:space="preserve">4. </w:t>
      </w:r>
      <w:r>
        <w:rPr>
          <w:b/>
          <w:bCs/>
          <w:color w:val="000000"/>
          <w:sz w:val="24"/>
          <w:szCs w:val="24"/>
          <w:highlight w:val="white"/>
        </w:rPr>
        <w:t xml:space="preserve">Порядок приемки </w:t>
      </w:r>
      <w:r>
        <w:rPr>
          <w:b/>
          <w:bCs/>
          <w:color w:val="000000"/>
          <w:sz w:val="24"/>
          <w:szCs w:val="24"/>
          <w:highlight w:val="white"/>
        </w:rPr>
        <w:t xml:space="preserve">работ</w:t>
      </w: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</w:p>
    <w:p>
      <w:pPr>
        <w:pStyle w:val="1039"/>
        <w:ind w:firstLine="567"/>
        <w:jc w:val="both"/>
        <w:spacing w:after="0" w:line="240" w:lineRule="auto"/>
        <w:rPr>
          <w:rFonts w:ascii="Times New Roman" w:hAnsi="Times New Roman" w:cs="Times New Roman"/>
          <w:color w:val="000000"/>
          <w:spacing w:val="2"/>
          <w:sz w:val="24"/>
          <w:szCs w:val="24"/>
          <w:highlight w:val="white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highlight w:val="white"/>
        </w:rPr>
        <w:t xml:space="preserve">4.1.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highlight w:val="white"/>
        </w:rPr>
        <w:t xml:space="preserve">Акты о приемке выполненных работ формируются и подписываются в порядке, установленном п.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highlight w:val="white"/>
        </w:rPr>
        <w:t xml:space="preserve">4.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highlight w:val="white"/>
        </w:rPr>
        <w:t xml:space="preserve">9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highlight w:val="white"/>
        </w:rPr>
        <w:t xml:space="preserve"> настоящего контракта.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highlight w:val="white"/>
        </w:rPr>
      </w:r>
    </w:p>
    <w:p>
      <w:pPr>
        <w:pStyle w:val="1039"/>
        <w:ind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  <w:highlight w:val="white"/>
        </w:rPr>
        <w:t xml:space="preserve">4.2.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highlight w:val="white"/>
        </w:rPr>
        <w:t xml:space="preserve">При формировании и размещении Акта о приемке выполненных работ или мотивированного отказа от приемки в ЕИС, обмене таким электронным документом ме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highlight w:val="white"/>
        </w:rPr>
        <w:t xml:space="preserve">жду Исполнителем и Государственным заказчиком в единой информационной системе применяются единые форматы электронных документов и открытые форматы для обмена данными, которые разрабатываются и размещаются на официальном сайте единой информационной системы.</w:t>
      </w:r>
      <w:bookmarkStart w:id="3" w:name="sub_1052"/>
      <w:r>
        <w:rPr>
          <w:highlight w:val="white"/>
        </w:rPr>
      </w:r>
      <w:bookmarkEnd w:id="3"/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bCs/>
          <w:color w:val="000000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4.3. Оценка перечня и качества выполненных работ производится на основании отчета Исполнителя о выполненных работах предоставляемого Государственному заказчику </w:t>
      </w:r>
      <w:r>
        <w:rPr>
          <w:bCs/>
          <w:sz w:val="24"/>
          <w:szCs w:val="24"/>
          <w:highlight w:val="white"/>
        </w:rPr>
        <w:t xml:space="preserve">ежемесячно, путем отправки Заказчику отчета, содержащего указание перечня выполненных работ, количества затраченных часов, представителей Исполнителя, привлекавшихся к </w:t>
      </w:r>
      <w:r>
        <w:rPr>
          <w:bCs/>
          <w:color w:val="000000"/>
          <w:sz w:val="24"/>
          <w:szCs w:val="24"/>
          <w:highlight w:val="white"/>
        </w:rPr>
        <w:t xml:space="preserve">выполнению работ, результата выполнения работ.</w:t>
      </w:r>
      <w:r>
        <w:rPr>
          <w:bCs/>
          <w:color w:val="000000"/>
          <w:sz w:val="24"/>
          <w:szCs w:val="24"/>
          <w:highlight w:val="white"/>
        </w:rPr>
      </w:r>
      <w:r>
        <w:rPr>
          <w:bCs/>
          <w:color w:val="000000"/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4.4. Отчет предоставляется Государственному заказчику ежемесячно, не позднее 5 (пятого) числа месяца, следующего за отчетным.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4.5. В течение 5 (пяти) рабочих дней со дня поступления от Исполнителя отчета, Государственный Заказчик</w:t>
      </w:r>
      <w:r>
        <w:rPr>
          <w:color w:val="000000"/>
          <w:sz w:val="24"/>
          <w:szCs w:val="24"/>
          <w:highlight w:val="white"/>
        </w:rPr>
        <w:t xml:space="preserve"> (приемочная комиссия Государственного заказчика)</w:t>
      </w:r>
      <w:r>
        <w:rPr>
          <w:color w:val="000000"/>
          <w:sz w:val="24"/>
          <w:szCs w:val="24"/>
          <w:highlight w:val="white"/>
        </w:rPr>
        <w:t xml:space="preserve"> осуществляет проверку и согласование отчета выполненных работ и проводит экспертизу.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4.6. </w:t>
      </w:r>
      <w:r>
        <w:rPr>
          <w:color w:val="000000"/>
          <w:sz w:val="24"/>
          <w:szCs w:val="24"/>
          <w:highlight w:val="white"/>
        </w:rPr>
        <w:t xml:space="preserve">При отсутствии замечаний к качеству и объему выполненных работ Государственный заказчик подписывает отчет</w:t>
      </w:r>
      <w:r>
        <w:rPr>
          <w:color w:val="000000"/>
          <w:sz w:val="24"/>
          <w:szCs w:val="24"/>
          <w:highlight w:val="white"/>
        </w:rPr>
        <w:t xml:space="preserve"> и в течение 2 (двух) рабочих дней направляет Исполнителю согласованный отчет. При наличии замечаний Государственный заказчик направляет Исполнителю  письменный мотивированный отказ от принятия выполненных работ.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 4.</w:t>
      </w:r>
      <w:r>
        <w:rPr>
          <w:color w:val="000000"/>
          <w:sz w:val="24"/>
          <w:szCs w:val="24"/>
          <w:highlight w:val="white"/>
        </w:rPr>
        <w:t xml:space="preserve">7</w:t>
      </w:r>
      <w:r>
        <w:rPr>
          <w:color w:val="000000"/>
          <w:sz w:val="24"/>
          <w:szCs w:val="24"/>
          <w:highlight w:val="white"/>
        </w:rPr>
        <w:t xml:space="preserve">. В мотивированном отказе Государственный заказчик указывает обоснованные замечания по выполненным работам и срок устранения Исполнителем таких нарушений, обязательный</w:t>
      </w:r>
      <w:r>
        <w:rPr>
          <w:color w:val="000000"/>
          <w:sz w:val="24"/>
          <w:szCs w:val="24"/>
          <w:highlight w:val="white"/>
        </w:rPr>
        <w:t xml:space="preserve"> для Исполнителя. Срок устранения Исполнителем нарушений не может быть более 5 (пяти) рабочих дней с момента получения Исполнителем мотивированного отказа. Исправляя нарушения, Исполнитель может убрать работы из отчета или доделать их до требуемого уровня.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4.8</w:t>
      </w:r>
      <w:r>
        <w:rPr>
          <w:color w:val="000000"/>
          <w:sz w:val="24"/>
          <w:szCs w:val="24"/>
          <w:highlight w:val="white"/>
        </w:rPr>
        <w:t xml:space="preserve">. После получения мотивированного отказа Исполнитель устраняет указанные в нем нарушения и повторно предъявляет Государственному заказчику отчет о выполненных работах по данному отчетному периоду с приложением отчета об устранении нарушений.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1039"/>
        <w:ind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4.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9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.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Исполнитель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течение 2 рабочих дней со дня согласования Государственным заказчиком Отчета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формирует с использованием единой информационной системы, подписывает усиленной </w:t>
      </w:r>
      <w:r>
        <w:rPr>
          <w:rFonts w:ascii="Times New Roman" w:hAnsi="Times New Roman" w:cs="Times New Roman"/>
          <w:sz w:val="24"/>
          <w:szCs w:val="24"/>
          <w:highlight w:val="white"/>
        </w:rPr>
        <w:fldChar w:fldCharType="begin"/>
      </w:r>
      <w:r>
        <w:rPr>
          <w:rFonts w:ascii="Times New Roman" w:hAnsi="Times New Roman" w:cs="Times New Roman"/>
          <w:sz w:val="24"/>
          <w:szCs w:val="24"/>
          <w:highlight w:val="white"/>
        </w:rPr>
        <w:instrText xml:space="preserve"> HYPERLINK  \l "sub_51211"</w:instrText>
      </w:r>
      <w:r>
        <w:rPr>
          <w:rFonts w:ascii="Times New Roman" w:hAnsi="Times New Roman" w:cs="Times New Roman"/>
          <w:sz w:val="24"/>
          <w:szCs w:val="24"/>
          <w:highlight w:val="white"/>
        </w:rPr>
        <w:fldChar w:fldCharType="separate"/>
      </w:r>
      <w:r>
        <w:rPr>
          <w:rStyle w:val="979"/>
          <w:rFonts w:ascii="Times New Roman" w:hAnsi="Times New Roman" w:cs="Times New Roman"/>
          <w:color w:val="000000"/>
          <w:spacing w:val="2"/>
          <w:sz w:val="24"/>
          <w:szCs w:val="24"/>
          <w:highlight w:val="white"/>
          <w:u w:val="none"/>
        </w:rPr>
        <w:t xml:space="preserve">электронной подписью</w:t>
      </w:r>
      <w:r>
        <w:rPr>
          <w:rFonts w:ascii="Times New Roman" w:hAnsi="Times New Roman" w:cs="Times New Roman"/>
          <w:sz w:val="24"/>
          <w:szCs w:val="24"/>
          <w:highlight w:val="white"/>
        </w:rPr>
        <w:fldChar w:fldCharType="end"/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лица, имеющего право действовать от имени Подрядчика, и размещает в ЕИС </w:t>
      </w:r>
      <w:r>
        <w:rPr>
          <w:rFonts w:ascii="Times New Roman" w:hAnsi="Times New Roman" w:cs="Times New Roman"/>
          <w:sz w:val="24"/>
          <w:szCs w:val="24"/>
          <w:highlight w:val="white"/>
        </w:rPr>
        <w:fldChar w:fldCharType="begin"/>
      </w:r>
      <w:r>
        <w:rPr>
          <w:rFonts w:ascii="Times New Roman" w:hAnsi="Times New Roman" w:cs="Times New Roman"/>
          <w:sz w:val="24"/>
          <w:szCs w:val="24"/>
          <w:highlight w:val="white"/>
        </w:rPr>
        <w:instrText xml:space="preserve"> HYPERLINK "garantf1://12084522.21"</w:instrText>
      </w:r>
      <w:r>
        <w:rPr>
          <w:rFonts w:ascii="Times New Roman" w:hAnsi="Times New Roman" w:cs="Times New Roman"/>
          <w:sz w:val="24"/>
          <w:szCs w:val="24"/>
          <w:highlight w:val="white"/>
        </w:rPr>
        <w:fldChar w:fldCharType="separate"/>
      </w:r>
      <w:r>
        <w:rPr>
          <w:rStyle w:val="979"/>
          <w:rFonts w:ascii="Times New Roman" w:hAnsi="Times New Roman" w:cs="Times New Roman"/>
          <w:color w:val="000000"/>
          <w:spacing w:val="2"/>
          <w:sz w:val="24"/>
          <w:szCs w:val="24"/>
          <w:highlight w:val="white"/>
          <w:u w:val="none"/>
        </w:rPr>
        <w:t xml:space="preserve">акт</w:t>
      </w:r>
      <w:r>
        <w:rPr>
          <w:rFonts w:ascii="Times New Roman" w:hAnsi="Times New Roman" w:cs="Times New Roman"/>
          <w:sz w:val="24"/>
          <w:szCs w:val="24"/>
          <w:highlight w:val="white"/>
        </w:rPr>
        <w:fldChar w:fldCharType="end"/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о приемке выполненных работ, который должен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содержать: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Наименование и место</w:t>
      </w:r>
      <w:r>
        <w:rPr>
          <w:sz w:val="24"/>
          <w:szCs w:val="24"/>
          <w:highlight w:val="white"/>
        </w:rPr>
        <w:t xml:space="preserve">нахождение Государственного заказчика, наименование объекта закупки, место выполнения Работ, информацию об Исполнителе, единицу измерения, наименование Работ, информацию об объеме выполненных Работ, стоимость исполненных обязательств Исполнителем, предусмо</w:t>
      </w:r>
      <w:r>
        <w:rPr>
          <w:sz w:val="24"/>
          <w:szCs w:val="24"/>
          <w:highlight w:val="white"/>
        </w:rPr>
        <w:t xml:space="preserve">тренных Государственным контрактом. Датой поступления Государственному заказчику документа о приемке, подписанного Исполнителем, считается дата размещения такого документа в ЕИС в соответствии с часовой зоной, в которой расположен Государственный заказчик.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4.10</w:t>
      </w:r>
      <w:r>
        <w:rPr>
          <w:sz w:val="24"/>
          <w:szCs w:val="24"/>
          <w:highlight w:val="white"/>
        </w:rPr>
        <w:t xml:space="preserve">. Государственный заказчик не позднее 5 рабочих дней, следующих за днем поступления документа о приемке, осуществляет одно из следующих действий: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- при отсутствии у Государственного заказчика претензий по выполненным Работам Государственный заказчик подписывает усиленной электронной подписью лица, имеющего право действовать от имени Государственного заказчика, и размещает в ЕИС документ о приемке;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- формирует с использованием ЕИС, подписывает усиленной электронной подписью лица, имеющего право действовать от имени Государственного заказчика, и размещает в ЕИС мотивированный отказ от подписания документа о приемке с указанием причин такого отказа.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4.1</w:t>
      </w:r>
      <w:r>
        <w:rPr>
          <w:sz w:val="24"/>
          <w:szCs w:val="24"/>
          <w:highlight w:val="white"/>
        </w:rPr>
        <w:t xml:space="preserve">1</w:t>
      </w:r>
      <w:r>
        <w:rPr>
          <w:sz w:val="24"/>
          <w:szCs w:val="24"/>
          <w:highlight w:val="white"/>
        </w:rPr>
        <w:t xml:space="preserve">. В случае получения мотивированного отказа от подписания документа о приемке Исполнитель вправе устранить причины, указанные в таком мотивированном отказе, и направить Государственному заказчику документ о приемке.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4.12</w:t>
      </w:r>
      <w:r>
        <w:rPr>
          <w:sz w:val="24"/>
          <w:szCs w:val="24"/>
          <w:highlight w:val="white"/>
        </w:rPr>
        <w:t xml:space="preserve">. Структурированный документ о приемке считается подписанным с момента п</w:t>
      </w:r>
      <w:r>
        <w:rPr>
          <w:sz w:val="24"/>
          <w:szCs w:val="24"/>
          <w:highlight w:val="white"/>
        </w:rPr>
        <w:t xml:space="preserve">одписания его Государственным заказчиком и Исполнителем усиленной электронной подписью в соответствии с Федеральным законом 06.04.2011 № 63-ФЗ «Об электронной подписи» лиц, имеющих право действовать от имени Государственного заказчика и Исполнителя, в ЕИС.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15"/>
        <w:ind w:left="0" w:right="0" w:firstLine="703"/>
        <w:jc w:val="both"/>
        <w:spacing w:before="0" w:after="0"/>
        <w:rPr>
          <w:highlight w:val="white"/>
        </w:rPr>
      </w:pPr>
      <w:r>
        <w:rPr>
          <w:color w:val="000000"/>
          <w:highlight w:val="white"/>
        </w:rPr>
        <w:t xml:space="preserve">4.1</w:t>
      </w:r>
      <w:r>
        <w:rPr>
          <w:color w:val="000000"/>
          <w:highlight w:val="white"/>
        </w:rPr>
        <w:t xml:space="preserve">3</w:t>
      </w:r>
      <w:r>
        <w:rPr>
          <w:color w:val="000000"/>
          <w:highlight w:val="white"/>
        </w:rPr>
        <w:t xml:space="preserve">. Исполнитель обеспечивает соответствие информации, указанной в</w:t>
      </w:r>
      <w:r>
        <w:rPr>
          <w:highlight w:val="white"/>
        </w:rPr>
        <w:t xml:space="preserve"> УПД</w:t>
      </w:r>
      <w:r>
        <w:rPr>
          <w:color w:val="000000"/>
          <w:highlight w:val="white"/>
        </w:rPr>
        <w:t xml:space="preserve"> на бумажном носителе, информации, размещенной в </w:t>
      </w:r>
      <w:r>
        <w:rPr>
          <w:rFonts w:eastAsia="serif"/>
          <w:highlight w:val="white"/>
          <w:shd w:val="clear" w:color="auto" w:fill="ffffff"/>
        </w:rPr>
        <w:t xml:space="preserve">единой информационной системе</w:t>
      </w:r>
      <w:r>
        <w:rPr>
          <w:color w:val="000000"/>
          <w:highlight w:val="white"/>
        </w:rPr>
        <w:t xml:space="preserve"> в документе о приемке.</w:t>
      </w:r>
      <w:r>
        <w:rPr>
          <w:highlight w:val="white"/>
        </w:rPr>
      </w:r>
      <w:r>
        <w:rPr>
          <w:highlight w:val="white"/>
        </w:rPr>
      </w:r>
    </w:p>
    <w:p>
      <w:pPr>
        <w:pStyle w:val="915"/>
        <w:ind w:left="0" w:right="0" w:firstLine="660"/>
        <w:jc w:val="both"/>
        <w:spacing w:before="0" w:after="0"/>
        <w:rPr>
          <w:rFonts w:eastAsia="serif"/>
          <w:highlight w:val="white"/>
          <w:shd w:val="clear" w:color="auto" w:fill="ffffff"/>
        </w:rPr>
      </w:pPr>
      <w:r>
        <w:rPr>
          <w:rFonts w:eastAsia="serif"/>
          <w:highlight w:val="white"/>
          <w:shd w:val="clear" w:color="auto" w:fill="ffffff"/>
        </w:rPr>
        <w:t xml:space="preserve">4.1</w:t>
      </w:r>
      <w:r>
        <w:rPr>
          <w:rFonts w:eastAsia="serif"/>
          <w:highlight w:val="white"/>
          <w:shd w:val="clear" w:color="auto" w:fill="ffffff"/>
        </w:rPr>
        <w:t xml:space="preserve">4</w:t>
      </w:r>
      <w:r>
        <w:rPr>
          <w:rFonts w:eastAsia="serif"/>
          <w:highlight w:val="white"/>
          <w:shd w:val="clear" w:color="auto" w:fill="ffffff"/>
        </w:rPr>
        <w:t xml:space="preserve">. Датой приемки выполненных работ считается дата размещения в единой информационной системе документа о приемке, подписанного Государственным заказчиком.</w:t>
      </w:r>
      <w:r>
        <w:rPr>
          <w:rFonts w:eastAsia="serif"/>
          <w:highlight w:val="white"/>
          <w:shd w:val="clear" w:color="auto" w:fill="ffffff"/>
        </w:rPr>
      </w:r>
      <w:r>
        <w:rPr>
          <w:rFonts w:eastAsia="serif"/>
          <w:highlight w:val="white"/>
          <w:shd w:val="clear" w:color="auto" w:fill="ffffff"/>
        </w:rPr>
      </w:r>
    </w:p>
    <w:p>
      <w:pPr>
        <w:pStyle w:val="915"/>
        <w:ind w:left="0" w:right="0" w:firstLine="660"/>
        <w:jc w:val="both"/>
        <w:spacing w:before="0" w:after="0"/>
        <w:rPr>
          <w:rFonts w:eastAsia="serif"/>
          <w:highlight w:val="white"/>
          <w:shd w:val="clear" w:color="auto" w:fill="ffffff"/>
        </w:rPr>
      </w:pPr>
      <w:r>
        <w:rPr>
          <w:highlight w:val="white"/>
          <w:lang w:eastAsia="ar-SA"/>
        </w:rPr>
        <w:t xml:space="preserve">4.1</w:t>
      </w:r>
      <w:r>
        <w:rPr>
          <w:highlight w:val="white"/>
          <w:lang w:eastAsia="ar-SA"/>
        </w:rPr>
        <w:t xml:space="preserve">5</w:t>
      </w:r>
      <w:r>
        <w:rPr>
          <w:highlight w:val="white"/>
          <w:lang w:eastAsia="ar-SA"/>
        </w:rPr>
        <w:t xml:space="preserve">. При отказе Исполнителя от выполнения Работ,</w:t>
      </w:r>
      <w:r>
        <w:rPr>
          <w:highlight w:val="white"/>
        </w:rPr>
        <w:t xml:space="preserve"> Государственным</w:t>
      </w:r>
      <w:r>
        <w:rPr>
          <w:highlight w:val="white"/>
          <w:lang w:eastAsia="ar-SA"/>
        </w:rPr>
        <w:t xml:space="preserve"> заказчиком составляется акт об отказе Исполнителя выполнить условия Контракта. Данный акт является основанием для применения к Исполнителю мер ответственности, предусмотренных </w:t>
      </w:r>
      <w:r>
        <w:rPr>
          <w:highlight w:val="white"/>
        </w:rPr>
        <w:t xml:space="preserve">Государственным к</w:t>
      </w:r>
      <w:r>
        <w:rPr>
          <w:highlight w:val="white"/>
          <w:lang w:eastAsia="ar-SA"/>
        </w:rPr>
        <w:t xml:space="preserve">онтрактом.</w:t>
      </w:r>
      <w:r>
        <w:rPr>
          <w:rFonts w:eastAsia="serif"/>
          <w:highlight w:val="white"/>
          <w:shd w:val="clear" w:color="auto" w:fill="ffffff"/>
        </w:rPr>
      </w:r>
      <w:r>
        <w:rPr>
          <w:rFonts w:eastAsia="serif"/>
          <w:highlight w:val="white"/>
          <w:shd w:val="clear" w:color="auto" w:fill="ffffff"/>
        </w:rPr>
      </w:r>
    </w:p>
    <w:p>
      <w:pPr>
        <w:pStyle w:val="895"/>
        <w:ind w:firstLine="6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</w:t>
      </w:r>
      <w:r>
        <w:rPr>
          <w:bCs/>
          <w:sz w:val="24"/>
          <w:szCs w:val="24"/>
          <w:highlight w:val="white"/>
        </w:rPr>
        <w:t xml:space="preserve">4.</w:t>
      </w:r>
      <w:r>
        <w:rPr>
          <w:bCs/>
          <w:sz w:val="24"/>
          <w:szCs w:val="24"/>
          <w:highlight w:val="white"/>
        </w:rPr>
        <w:t xml:space="preserve">16</w:t>
      </w:r>
      <w:r>
        <w:rPr>
          <w:bCs/>
          <w:sz w:val="24"/>
          <w:szCs w:val="24"/>
          <w:highlight w:val="white"/>
        </w:rPr>
        <w:t xml:space="preserve">. Работы считаются выполненными после сообщения Исполнителем </w:t>
      </w:r>
      <w:r>
        <w:rPr>
          <w:bCs/>
          <w:sz w:val="24"/>
          <w:szCs w:val="24"/>
          <w:highlight w:val="white"/>
        </w:rPr>
        <w:t xml:space="preserve">об исполнения задания на выполнение работ по сопровождению, получения положительного результата тестирования Заказчиком и подписанием сторонами Отчета о выполненных работах </w:t>
      </w:r>
      <w:r>
        <w:rPr>
          <w:bCs/>
          <w:sz w:val="24"/>
          <w:szCs w:val="24"/>
          <w:highlight w:val="white"/>
        </w:rPr>
        <w:t xml:space="preserve">на бумажном носителе </w:t>
      </w:r>
      <w:r>
        <w:rPr>
          <w:bCs/>
          <w:sz w:val="24"/>
          <w:szCs w:val="24"/>
          <w:highlight w:val="white"/>
        </w:rPr>
        <w:t xml:space="preserve">и </w:t>
      </w:r>
      <w:r>
        <w:rPr>
          <w:bCs/>
          <w:sz w:val="24"/>
          <w:szCs w:val="24"/>
          <w:highlight w:val="white"/>
        </w:rPr>
        <w:t xml:space="preserve">документа о приемке</w:t>
      </w:r>
      <w:r>
        <w:rPr>
          <w:bCs/>
          <w:sz w:val="24"/>
          <w:szCs w:val="24"/>
          <w:highlight w:val="white"/>
        </w:rPr>
        <w:t xml:space="preserve">,</w:t>
      </w:r>
      <w:r>
        <w:rPr>
          <w:bCs/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подписанн</w:t>
      </w:r>
      <w:r>
        <w:rPr>
          <w:sz w:val="24"/>
          <w:szCs w:val="24"/>
          <w:highlight w:val="white"/>
        </w:rPr>
        <w:t xml:space="preserve">ого</w:t>
      </w:r>
      <w:r>
        <w:rPr>
          <w:sz w:val="24"/>
          <w:szCs w:val="24"/>
          <w:highlight w:val="white"/>
        </w:rPr>
        <w:t xml:space="preserve"> Государственным заказчиком и Исполнителем усиленной электронной подписью в соответствии с Федеральным законом 06.04.2011 № 63-ФЗ «Об электронной подписи» лиц, имеющих право действовать от имени Государственного заказчика и Исполнителя, в ЕИС.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  </w:t>
      </w:r>
      <w:r>
        <w:rPr>
          <w:color w:val="000000"/>
          <w:sz w:val="24"/>
          <w:szCs w:val="24"/>
          <w:highlight w:val="white"/>
        </w:rPr>
        <w:t xml:space="preserve">4.</w:t>
      </w:r>
      <w:r>
        <w:rPr>
          <w:color w:val="000000"/>
          <w:sz w:val="24"/>
          <w:szCs w:val="24"/>
          <w:highlight w:val="white"/>
        </w:rPr>
        <w:t xml:space="preserve">17</w:t>
      </w:r>
      <w:r>
        <w:rPr>
          <w:color w:val="000000"/>
          <w:sz w:val="24"/>
          <w:szCs w:val="24"/>
          <w:highlight w:val="white"/>
        </w:rPr>
        <w:t xml:space="preserve">. </w:t>
      </w:r>
      <w:r>
        <w:rPr>
          <w:bCs/>
          <w:color w:val="000000"/>
          <w:sz w:val="24"/>
          <w:szCs w:val="24"/>
          <w:highlight w:val="white"/>
        </w:rPr>
        <w:t xml:space="preserve">Изменения, вносимые Исполнителем </w:t>
      </w:r>
      <w:r>
        <w:rPr>
          <w:bCs/>
          <w:color w:val="000000"/>
          <w:sz w:val="24"/>
          <w:szCs w:val="24"/>
          <w:highlight w:val="white"/>
        </w:rPr>
        <w:t xml:space="preserve">в ходе сопровождения АИС ЭСРН РМ, оформляются пакетами обновлений и передаваться Заказчику на электронных носителях ежемесячно вместе с Отчетом о выполненных работах. Передаваемые пакеты изменений сопровождаются подробным описанием произведенных изменений.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bCs/>
          <w:color w:val="000000"/>
          <w:sz w:val="24"/>
          <w:szCs w:val="24"/>
          <w:highlight w:val="white"/>
        </w:rPr>
      </w:pPr>
      <w:r>
        <w:rPr>
          <w:bCs/>
          <w:color w:val="000000"/>
          <w:sz w:val="24"/>
          <w:szCs w:val="24"/>
          <w:highlight w:val="white"/>
        </w:rPr>
        <w:t xml:space="preserve">Документация оформляется в соответствии с ГОСТ 34.201-89 «Информационная</w:t>
      </w:r>
      <w:r>
        <w:rPr>
          <w:bCs/>
          <w:color w:val="000000"/>
          <w:sz w:val="24"/>
          <w:szCs w:val="24"/>
          <w:highlight w:val="white"/>
        </w:rPr>
        <w:t xml:space="preserve"> технология. Комплекс стандартов на автоматизированные системы. Виды, комплектность и обозначение документов при создании автоматизированных систем», ГОСТ 2.105-95 «ЕСКД. Общие требования к текстовым документам» и ГОСТ 2.106-96 «ЕСКД. Текстовые документы».</w:t>
      </w:r>
      <w:r>
        <w:rPr>
          <w:bCs/>
          <w:color w:val="000000"/>
          <w:sz w:val="24"/>
          <w:szCs w:val="24"/>
          <w:highlight w:val="white"/>
        </w:rPr>
      </w:r>
      <w:r>
        <w:rPr>
          <w:bCs/>
          <w:color w:val="000000"/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bCs/>
          <w:color w:val="000000"/>
          <w:sz w:val="24"/>
          <w:szCs w:val="24"/>
          <w:highlight w:val="white"/>
        </w:rPr>
      </w:pPr>
      <w:r>
        <w:rPr>
          <w:bCs/>
          <w:color w:val="000000"/>
          <w:sz w:val="24"/>
          <w:szCs w:val="24"/>
          <w:highlight w:val="white"/>
        </w:rPr>
        <w:t xml:space="preserve">Документация предоставляется Заказчику на бумажных и электронных носителях.</w:t>
      </w:r>
      <w:r>
        <w:rPr>
          <w:bCs/>
          <w:color w:val="000000"/>
          <w:sz w:val="24"/>
          <w:szCs w:val="24"/>
          <w:highlight w:val="white"/>
        </w:rPr>
      </w:r>
      <w:r>
        <w:rPr>
          <w:bCs/>
          <w:color w:val="000000"/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bCs/>
          <w:color w:val="000000"/>
          <w:sz w:val="24"/>
          <w:szCs w:val="24"/>
          <w:highlight w:val="white"/>
        </w:rPr>
      </w:pPr>
      <w:r>
        <w:rPr>
          <w:bCs/>
          <w:color w:val="000000"/>
          <w:sz w:val="24"/>
          <w:szCs w:val="24"/>
          <w:highlight w:val="white"/>
        </w:rPr>
        <w:t xml:space="preserve">Бумажная копия комплекта документации передается в 2-х экземплярах.</w:t>
      </w:r>
      <w:r>
        <w:rPr>
          <w:bCs/>
          <w:color w:val="000000"/>
          <w:sz w:val="24"/>
          <w:szCs w:val="24"/>
          <w:highlight w:val="white"/>
        </w:rPr>
      </w:r>
      <w:r>
        <w:rPr>
          <w:bCs/>
          <w:color w:val="000000"/>
          <w:sz w:val="24"/>
          <w:szCs w:val="24"/>
          <w:highlight w:val="white"/>
        </w:rPr>
      </w:r>
    </w:p>
    <w:p>
      <w:pPr>
        <w:pStyle w:val="895"/>
        <w:ind w:firstLine="600"/>
        <w:jc w:val="both"/>
        <w:rPr>
          <w:color w:val="000000"/>
          <w:sz w:val="24"/>
          <w:szCs w:val="24"/>
          <w:highlight w:val="white"/>
        </w:rPr>
      </w:pPr>
      <w:r>
        <w:rPr>
          <w:bCs/>
          <w:color w:val="000000"/>
          <w:sz w:val="24"/>
          <w:szCs w:val="24"/>
          <w:highlight w:val="white"/>
        </w:rPr>
        <w:t xml:space="preserve">Электронная копия комплекта документации, исходные коды</w:t>
      </w:r>
      <w:r>
        <w:rPr>
          <w:bCs/>
          <w:color w:val="000000"/>
          <w:sz w:val="24"/>
          <w:szCs w:val="24"/>
          <w:highlight w:val="white"/>
        </w:rPr>
        <w:t xml:space="preserve">, пакеты обновлений передаются на CD-R (DVDR) диске в 2-х экземплярах. Диск должен быть защищен от записи, иметь этикетку с указанием изготовителя, даты изготовления, название комплекта. В корневом каталоге диска должен находиться текстовый файл содержания</w:t>
      </w:r>
      <w:r>
        <w:rPr>
          <w:color w:val="000000"/>
          <w:sz w:val="24"/>
          <w:szCs w:val="24"/>
          <w:highlight w:val="white"/>
        </w:rPr>
        <w:t xml:space="preserve">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highlight w:val="white"/>
        </w:rPr>
      </w:r>
      <w:bookmarkStart w:id="4" w:name="sub_1021"/>
      <w:r>
        <w:rPr>
          <w:sz w:val="24"/>
          <w:szCs w:val="24"/>
          <w:highlight w:val="white"/>
        </w:rPr>
        <w:t xml:space="preserve">4.18</w:t>
      </w:r>
      <w:r>
        <w:rPr>
          <w:sz w:val="24"/>
          <w:szCs w:val="24"/>
          <w:highlight w:val="white"/>
        </w:rPr>
        <w:t xml:space="preserve">. Передача исходных кодов, разработанных в ходе выполнения работ программ для электронных вычислительных машин (далее - программа для ЭВМ) и дистрибутив</w:t>
      </w:r>
      <w:r>
        <w:rPr>
          <w:sz w:val="24"/>
          <w:szCs w:val="24"/>
          <w:highlight w:val="white"/>
        </w:rPr>
        <w:t xml:space="preserve">ов должна сопровождаться передачей всех необходимых для сборки и запуска программы для ЭВМ библиотек зависимостей, инструкций и программных сценариев (скриптов) для проведения компиляции, создания дистрибутива и установки (развертывания) программы для ЭВМ.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highlight w:val="white"/>
        </w:rPr>
      </w:r>
      <w:bookmarkEnd w:id="4"/>
      <w:r>
        <w:rPr>
          <w:highlight w:val="white"/>
        </w:rPr>
      </w:r>
      <w:bookmarkStart w:id="5" w:name="sub_1022"/>
      <w:r>
        <w:rPr>
          <w:sz w:val="24"/>
          <w:szCs w:val="24"/>
          <w:highlight w:val="white"/>
        </w:rPr>
        <w:t xml:space="preserve">4.19</w:t>
      </w:r>
      <w:r>
        <w:rPr>
          <w:sz w:val="24"/>
          <w:szCs w:val="24"/>
          <w:highlight w:val="white"/>
        </w:rPr>
        <w:t xml:space="preserve">. Для проведения компиляции, создания дистрибутива и установки (развертывания) программы для ЭВМ должны и</w:t>
      </w:r>
      <w:r>
        <w:rPr>
          <w:sz w:val="24"/>
          <w:szCs w:val="24"/>
          <w:highlight w:val="white"/>
        </w:rPr>
        <w:t xml:space="preserve">спользоваться свободно распространяемые компиляторы, интерпретаторы и иное программное обеспечение, необходимое для указанных целей, дистрибутивы которых должны быть переданы вместе с исходными кодами разработанных в ходе выполнения работ программ для ЭВМ.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highlight w:val="white"/>
        </w:rPr>
      </w:r>
      <w:bookmarkEnd w:id="5"/>
      <w:r>
        <w:rPr>
          <w:highlight w:val="white"/>
        </w:rPr>
      </w:r>
      <w:bookmarkStart w:id="6" w:name="sub_1023"/>
      <w:r>
        <w:rPr>
          <w:sz w:val="24"/>
          <w:szCs w:val="24"/>
          <w:highlight w:val="white"/>
        </w:rPr>
        <w:t xml:space="preserve">4.20</w:t>
      </w:r>
      <w:r>
        <w:rPr>
          <w:sz w:val="24"/>
          <w:szCs w:val="24"/>
          <w:highlight w:val="white"/>
        </w:rPr>
        <w:t xml:space="preserve">. В случае использования для проведения компиляции, создания дистрибутива и установки (развертывания) программы для ЭВМ компиляторов, интерпретаторов и иного программного обесп</w:t>
      </w:r>
      <w:r>
        <w:rPr>
          <w:sz w:val="24"/>
          <w:szCs w:val="24"/>
          <w:highlight w:val="white"/>
        </w:rPr>
        <w:t xml:space="preserve">ечения, права на использование, копирование и модификацию которых принадлежат третьим лицам, подрядчик (исполнитель) за свой счет передает заказчику дистрибутивы и права на использование таких компиляторов, интерпретаторов и иного программного обеспечения.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highlight w:val="white"/>
        </w:rPr>
      </w:r>
      <w:bookmarkEnd w:id="6"/>
      <w:r>
        <w:rPr>
          <w:highlight w:val="white"/>
        </w:rPr>
      </w:r>
      <w:bookmarkStart w:id="7" w:name="sub_1024"/>
      <w:r>
        <w:rPr>
          <w:sz w:val="24"/>
          <w:szCs w:val="24"/>
          <w:highlight w:val="white"/>
        </w:rPr>
        <w:t xml:space="preserve">4.21</w:t>
      </w:r>
      <w:r>
        <w:rPr>
          <w:sz w:val="24"/>
          <w:szCs w:val="24"/>
          <w:highlight w:val="white"/>
        </w:rPr>
        <w:t xml:space="preserve">. Подрядчик (исполнитель) в процессе сдачи-приемки работ по Контракту должен провести демонстрацию процесса компиляции, создания дистрибутива и установки (развертывания) разработанных программ для ЭВМ с использованием средств, указанных в</w:t>
      </w:r>
      <w:r>
        <w:rPr>
          <w:sz w:val="24"/>
          <w:szCs w:val="24"/>
          <w:highlight w:val="white"/>
        </w:rPr>
        <w:t xml:space="preserve"> пункте 4.19</w:t>
      </w:r>
      <w:r>
        <w:rPr>
          <w:sz w:val="24"/>
          <w:szCs w:val="24"/>
          <w:highlight w:val="white"/>
        </w:rPr>
        <w:t xml:space="preserve">, а также в соответствии с инструкциями, приведенными в рабочей документации на Систему.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highlight w:val="white"/>
        </w:rPr>
      </w:r>
      <w:bookmarkEnd w:id="7"/>
      <w:r>
        <w:rPr>
          <w:highlight w:val="white"/>
        </w:rPr>
      </w:r>
      <w:bookmarkStart w:id="8" w:name="sub_1025"/>
      <w:r>
        <w:rPr>
          <w:sz w:val="24"/>
          <w:szCs w:val="24"/>
          <w:highlight w:val="white"/>
        </w:rPr>
        <w:t xml:space="preserve">4.22</w:t>
      </w:r>
      <w:r>
        <w:rPr>
          <w:sz w:val="24"/>
          <w:szCs w:val="24"/>
          <w:highlight w:val="white"/>
        </w:rPr>
        <w:t xml:space="preserve">. Документация на Систему и ее части (техническая и рабочая) должна содержать исчерпывающее описание принятых проектных решений в объеме, достаточном для ее дальнейшего развития и эксплуатации.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highlight w:val="white"/>
        </w:rPr>
      </w:r>
      <w:bookmarkEnd w:id="8"/>
      <w:r>
        <w:rPr>
          <w:highlight w:val="white"/>
        </w:rPr>
      </w:r>
      <w:bookmarkStart w:id="9" w:name="sub_1026"/>
      <w:r>
        <w:rPr>
          <w:sz w:val="24"/>
          <w:szCs w:val="24"/>
          <w:highlight w:val="white"/>
        </w:rPr>
        <w:t xml:space="preserve">4.23</w:t>
      </w:r>
      <w:r>
        <w:rPr>
          <w:sz w:val="24"/>
          <w:szCs w:val="24"/>
          <w:highlight w:val="white"/>
        </w:rPr>
        <w:t xml:space="preserve">. Техническая и рабочая документация должна содержать описание разработанных результатов работ, в том числе программ для ЭВМ, прикладных программных интерфейсов, алгоритмов и протоколов информационного взаимоде</w:t>
      </w:r>
      <w:r>
        <w:rPr>
          <w:sz w:val="24"/>
          <w:szCs w:val="24"/>
          <w:highlight w:val="white"/>
        </w:rPr>
        <w:t xml:space="preserve">йствия, технических требований, спецификаций и форматов обмена данными для взаимодействия с другими информационными системами, в объеме, достаточном для их установки, настройки, эксплуатации и развития в дальнейшем без привлечения подрядчика (исполнителя).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highlight w:val="white"/>
        </w:rPr>
      </w:r>
      <w:bookmarkEnd w:id="9"/>
      <w:r>
        <w:rPr>
          <w:highlight w:val="white"/>
        </w:rPr>
      </w:r>
      <w:bookmarkStart w:id="10" w:name="sub_1027"/>
      <w:r>
        <w:rPr>
          <w:sz w:val="24"/>
          <w:szCs w:val="24"/>
          <w:highlight w:val="white"/>
        </w:rPr>
        <w:t xml:space="preserve">4.24</w:t>
      </w:r>
      <w:r>
        <w:rPr>
          <w:sz w:val="24"/>
          <w:szCs w:val="24"/>
          <w:highlight w:val="white"/>
        </w:rPr>
        <w:t xml:space="preserve">. Передача заказчику ком</w:t>
      </w:r>
      <w:r>
        <w:rPr>
          <w:sz w:val="24"/>
          <w:szCs w:val="24"/>
          <w:highlight w:val="white"/>
        </w:rPr>
        <w:t xml:space="preserve">плекта документов, материалов и сведений, предусмотренных нормативными правовыми актами Российской Федерации в сфере информационных технологий, защиты информации, правовой защиты интересов государства в области интеллектуальной собственности, включая докум</w:t>
      </w:r>
      <w:r>
        <w:rPr>
          <w:sz w:val="24"/>
          <w:szCs w:val="24"/>
          <w:highlight w:val="white"/>
        </w:rPr>
        <w:t xml:space="preserve">енты, подтверждающие отказ авторов (разработчиков) от исключительных прав на передаваемые объекты интеллектуальной собственности в пользу исполнителя, с проектами заявок на государственную регистрацию в установленном порядке прав заказчика на результаты ин</w:t>
      </w:r>
      <w:r>
        <w:rPr>
          <w:sz w:val="24"/>
          <w:szCs w:val="24"/>
          <w:highlight w:val="white"/>
        </w:rPr>
        <w:t xml:space="preserve">теллектуальной деятельности, в том числе, но не исключая: изобретения, полезные модели, промышленные образцы, программы для электронных вычислительных машин, базы данных, топологии интегральных микросхем, а также исключительные права на результаты работ, в</w:t>
      </w:r>
      <w:r>
        <w:rPr>
          <w:sz w:val="24"/>
          <w:szCs w:val="24"/>
          <w:highlight w:val="white"/>
        </w:rPr>
        <w:t xml:space="preserve">ключая объекты авторских прав и потенциально патентоспособные технические решения, секреты производства (ноу-хау), созданные в рамках Контракта, осуществляется подрядчиком (исполнителем) в составе отчетной документации, предусмотренной условиями Контракта.</w:t>
      </w:r>
      <w:bookmarkEnd w:id="10"/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031"/>
        <w:ind w:firstLine="600"/>
        <w:tabs>
          <w:tab w:val="left" w:pos="500" w:leader="none"/>
          <w:tab w:val="left" w:pos="1100" w:leader="none"/>
        </w:tabs>
        <w:rPr>
          <w:highlight w:val="white"/>
        </w:rPr>
      </w:pPr>
      <w:r>
        <w:rPr>
          <w:highlight w:val="white"/>
        </w:rPr>
      </w:r>
      <w:bookmarkStart w:id="11" w:name="_Toc189279624"/>
      <w:r>
        <w:rPr>
          <w:highlight w:val="white"/>
        </w:rPr>
        <w:t xml:space="preserve">4.25</w:t>
      </w:r>
      <w:r>
        <w:rPr>
          <w:highlight w:val="white"/>
        </w:rPr>
        <w:t xml:space="preserve">. </w:t>
      </w:r>
      <w:r>
        <w:rPr>
          <w:highlight w:val="white"/>
        </w:rPr>
        <w:t xml:space="preserve"> </w:t>
      </w:r>
      <w:r>
        <w:rPr>
          <w:highlight w:val="white"/>
        </w:rPr>
        <w:t xml:space="preserve">Г</w:t>
      </w:r>
      <w:r>
        <w:rPr>
          <w:highlight w:val="white"/>
        </w:rPr>
        <w:t xml:space="preserve">осударственный з</w:t>
      </w:r>
      <w:r>
        <w:rPr>
          <w:highlight w:val="white"/>
        </w:rPr>
        <w:t xml:space="preserve">аказчик обязан провести экспертизу, для пров</w:t>
      </w:r>
      <w:r>
        <w:rPr>
          <w:highlight w:val="white"/>
        </w:rPr>
        <w:t xml:space="preserve">ерки предоставленных Исполнителем</w:t>
      </w:r>
      <w:r>
        <w:rPr>
          <w:highlight w:val="white"/>
        </w:rPr>
        <w:t xml:space="preserve"> результатов,</w:t>
      </w:r>
      <w:r>
        <w:rPr>
          <w:highlight w:val="white"/>
        </w:rPr>
        <w:t xml:space="preserve"> предусмотренных </w:t>
      </w:r>
      <w:r>
        <w:rPr>
          <w:rFonts w:eastAsia="Calibri"/>
          <w:highlight w:val="white"/>
        </w:rPr>
        <w:t xml:space="preserve">Государственным контрактом, в части их с</w:t>
      </w:r>
      <w:r>
        <w:rPr>
          <w:rFonts w:eastAsia="Calibri"/>
          <w:highlight w:val="white"/>
        </w:rPr>
        <w:t xml:space="preserve">оответствия его условиям. Экспертиза результатов, предусмотренных Государственным контрактом, может проводиться Заказчиком своими силами или к ее проведению могут привлекаться эксперты, экспертные организации на основании заключенных контрактов (договоров)</w:t>
      </w:r>
      <w:r>
        <w:rPr>
          <w:rStyle w:val="903"/>
          <w:highlight w:val="white"/>
        </w:rPr>
        <w:t xml:space="preserve">. Экспертиза</w:t>
      </w:r>
      <w:r>
        <w:rPr>
          <w:rStyle w:val="903"/>
          <w:highlight w:val="white"/>
        </w:rPr>
        <w:t xml:space="preserve"> проводится Заказчиком непосредственно при приемке </w:t>
      </w:r>
      <w:r>
        <w:rPr>
          <w:rStyle w:val="903"/>
          <w:highlight w:val="white"/>
        </w:rPr>
        <w:t xml:space="preserve">Работ и ее</w:t>
      </w:r>
      <w:r>
        <w:rPr>
          <w:rStyle w:val="903"/>
          <w:highlight w:val="white"/>
        </w:rPr>
        <w:t xml:space="preserve"> проверке на соответствие</w:t>
      </w:r>
      <w:r>
        <w:rPr>
          <w:highlight w:val="white"/>
        </w:rPr>
        <w:t xml:space="preserve"> качеству, определенному условиям настоящего Контракта.  Заключением по результатам экспертизы Заказчика является документ о приемке (акт приемки), </w:t>
      </w:r>
      <w:r>
        <w:rPr>
          <w:highlight w:val="white"/>
        </w:rPr>
        <w:t xml:space="preserve">подписанный</w:t>
      </w:r>
      <w:r>
        <w:rPr>
          <w:highlight w:val="white"/>
        </w:rPr>
        <w:t xml:space="preserve"> Государственным заказчиком усиленной электронной подписью в соответствии с Федеральным законом 06.04.2011 № 63-ФЗ «Об электронной подписи» лицом, </w:t>
      </w:r>
      <w:r>
        <w:rPr>
          <w:highlight w:val="white"/>
        </w:rPr>
        <w:t xml:space="preserve">имеющим</w:t>
      </w:r>
      <w:r>
        <w:rPr>
          <w:highlight w:val="white"/>
        </w:rPr>
        <w:t xml:space="preserve"> право действовать от имени Государственного заказчика, в ЕИС.</w:t>
      </w:r>
      <w:r>
        <w:rPr>
          <w:highlight w:val="white"/>
        </w:rPr>
      </w:r>
      <w:r>
        <w:rPr>
          <w:highlight w:val="white"/>
        </w:rPr>
      </w:r>
    </w:p>
    <w:p>
      <w:pPr>
        <w:pStyle w:val="917"/>
        <w:ind w:firstLine="500"/>
        <w:widowControl/>
        <w:rPr>
          <w:rFonts w:ascii="Times New Roman" w:hAnsi="Times New Roman" w:cs="Times New Roman"/>
          <w:b/>
          <w:bCs/>
          <w:sz w:val="24"/>
          <w:szCs w:val="24"/>
          <w:highlight w:val="white"/>
        </w:rPr>
        <w:outlineLvl w:val="0"/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</w:p>
    <w:p>
      <w:pPr>
        <w:pStyle w:val="917"/>
        <w:ind w:firstLine="500"/>
        <w:jc w:val="center"/>
        <w:widowControl/>
        <w:rPr>
          <w:rFonts w:ascii="Times New Roman" w:hAnsi="Times New Roman" w:cs="Times New Roman"/>
          <w:b/>
          <w:bCs/>
          <w:sz w:val="24"/>
          <w:szCs w:val="24"/>
          <w:highlight w:val="white"/>
        </w:rPr>
        <w:outlineLvl w:val="0"/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5. </w:t>
      </w:r>
      <w:bookmarkEnd w:id="11"/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Права и обязанности Сторон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</w:p>
    <w:p>
      <w:pPr>
        <w:pStyle w:val="917"/>
        <w:ind w:firstLine="500"/>
        <w:jc w:val="center"/>
        <w:widowControl/>
        <w:rPr>
          <w:rFonts w:ascii="Times New Roman" w:hAnsi="Times New Roman" w:cs="Times New Roman"/>
          <w:bCs/>
          <w:sz w:val="24"/>
          <w:szCs w:val="24"/>
          <w:highlight w:val="white"/>
        </w:rPr>
        <w:outlineLvl w:val="0"/>
      </w:pPr>
      <w:r>
        <w:rPr>
          <w:rFonts w:ascii="Times New Roman" w:hAnsi="Times New Roman" w:cs="Times New Roman"/>
          <w:bCs/>
          <w:sz w:val="24"/>
          <w:szCs w:val="24"/>
          <w:highlight w:val="white"/>
        </w:rPr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</w:r>
    </w:p>
    <w:p>
      <w:pPr>
        <w:pStyle w:val="910"/>
        <w:ind w:firstLine="500"/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  <w:t xml:space="preserve">5.1. Исполнитель обязан:</w:t>
      </w:r>
      <w:r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</w:r>
      <w:r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</w:r>
    </w:p>
    <w:p>
      <w:pPr>
        <w:pStyle w:val="895"/>
        <w:ind w:firstLine="5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5.1.1.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Своевременно и надлежащим образом исполнять обязательства в соответствии с условиями настоящего государственного контракта и представить Государственному заказчику сопроводительные документы, относящиеся к Работам.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5.1.2. Представить по запросу Государственного заказчика в сроки, указанные в таком запросе, любую относящуюся к предмету Контракта документацию и информацию, информацию о ходе исполнения обязательств по Контракту.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5.1.3. Незамедлительно уведомить Государственного заказчика об обнаружении любых обстоятельств, которые могут оказать негативное влияние или создать невозможность выполнения Работ в установленный Контрактом срок.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5.1.4. Обеспечиват</w:t>
      </w:r>
      <w:r>
        <w:rPr>
          <w:sz w:val="24"/>
          <w:szCs w:val="24"/>
          <w:highlight w:val="white"/>
        </w:rPr>
        <w:t xml:space="preserve">ь соответствие результатов Работ</w:t>
      </w:r>
      <w:r>
        <w:rPr>
          <w:sz w:val="24"/>
          <w:szCs w:val="24"/>
          <w:highlight w:val="white"/>
        </w:rPr>
        <w:t xml:space="preserve">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стандартам, техническим регламентам и т.п.), установленным законодательством Российской Федерации.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5.1.5. Обеспечить устранение недостатков, выявленных при приемке Государственным заказчиком выполненных Работ за свой счет.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5.1.6. Предоставить обеспечение исполнения контракта в случаях, установленных </w:t>
      </w:r>
      <w:r>
        <w:rPr>
          <w:sz w:val="24"/>
          <w:szCs w:val="24"/>
          <w:highlight w:val="white"/>
        </w:rPr>
        <w:fldChar w:fldCharType="begin"/>
      </w:r>
      <w:r>
        <w:rPr>
          <w:sz w:val="24"/>
          <w:szCs w:val="24"/>
          <w:highlight w:val="white"/>
        </w:rPr>
        <w:instrText xml:space="preserve">HYPERLINK "garantF1://70253464.0"</w:instrText>
      </w:r>
      <w:r>
        <w:rPr>
          <w:sz w:val="24"/>
          <w:szCs w:val="24"/>
          <w:highlight w:val="white"/>
        </w:rPr>
        <w:fldChar w:fldCharType="separate"/>
      </w:r>
      <w:r>
        <w:rPr>
          <w:sz w:val="24"/>
          <w:szCs w:val="24"/>
          <w:highlight w:val="white"/>
        </w:rPr>
        <w:t xml:space="preserve">Законом</w:t>
      </w:r>
      <w:r>
        <w:rPr>
          <w:sz w:val="24"/>
          <w:szCs w:val="24"/>
          <w:highlight w:val="white"/>
        </w:rPr>
        <w:fldChar w:fldCharType="end"/>
      </w:r>
      <w:r>
        <w:rPr>
          <w:sz w:val="24"/>
          <w:szCs w:val="24"/>
          <w:highlight w:val="white"/>
        </w:rPr>
        <w:t xml:space="preserve"> о контрактной системе и Контрактом.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highlight w:val="white"/>
        </w:rPr>
      </w:r>
      <w:bookmarkStart w:id="12" w:name="sub_1031"/>
      <w:r>
        <w:rPr>
          <w:sz w:val="24"/>
          <w:szCs w:val="24"/>
          <w:highlight w:val="white"/>
        </w:rPr>
        <w:t xml:space="preserve">5.1.7</w:t>
      </w:r>
      <w:r>
        <w:rPr>
          <w:sz w:val="24"/>
          <w:szCs w:val="24"/>
          <w:highlight w:val="white"/>
        </w:rPr>
        <w:t xml:space="preserve">. Без увел</w:t>
      </w:r>
      <w:r>
        <w:rPr>
          <w:sz w:val="24"/>
          <w:szCs w:val="24"/>
          <w:highlight w:val="white"/>
        </w:rPr>
        <w:t xml:space="preserve">ичения цены Контракта передать Государственному з</w:t>
      </w:r>
      <w:r>
        <w:rPr>
          <w:sz w:val="24"/>
          <w:szCs w:val="24"/>
          <w:highlight w:val="white"/>
        </w:rPr>
        <w:t xml:space="preserve">аказчику исключительное право на разработанн</w:t>
      </w:r>
      <w:r>
        <w:rPr>
          <w:sz w:val="24"/>
          <w:szCs w:val="24"/>
          <w:highlight w:val="white"/>
        </w:rPr>
        <w:t xml:space="preserve">ые в ходе выполнения работ по Контракту результаты в полном объеме, включая исходные коды программ для ЭВМ, библиотеки зависимостей, базы данных, а также проектную, техническую, рабочую, сопроводительную и методическую документацию к Системе или ее частям.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highlight w:val="white"/>
        </w:rPr>
      </w:r>
      <w:bookmarkEnd w:id="12"/>
      <w:r>
        <w:rPr>
          <w:highlight w:val="white"/>
        </w:rPr>
      </w:r>
      <w:bookmarkStart w:id="13" w:name="sub_1034"/>
      <w:r>
        <w:rPr>
          <w:sz w:val="24"/>
          <w:szCs w:val="24"/>
          <w:highlight w:val="white"/>
        </w:rPr>
        <w:t xml:space="preserve">5.1.8</w:t>
      </w:r>
      <w:r>
        <w:rPr>
          <w:sz w:val="24"/>
          <w:szCs w:val="24"/>
          <w:highlight w:val="white"/>
        </w:rPr>
        <w:t xml:space="preserve">. Обеспечить передачу заказчику полученных по Контракту результатов работ, не нарушающих исключительных прав других лиц и не являющихся предметом залога, ареста или иного обременения.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highlight w:val="white"/>
        </w:rPr>
      </w:r>
      <w:bookmarkEnd w:id="13"/>
      <w:r>
        <w:rPr>
          <w:highlight w:val="white"/>
        </w:rPr>
      </w:r>
      <w:bookmarkStart w:id="14" w:name="sub_1035"/>
      <w:r>
        <w:rPr>
          <w:sz w:val="24"/>
          <w:szCs w:val="24"/>
          <w:highlight w:val="white"/>
        </w:rPr>
        <w:t xml:space="preserve">5.1.9</w:t>
      </w:r>
      <w:r>
        <w:rPr>
          <w:sz w:val="24"/>
          <w:szCs w:val="24"/>
          <w:highlight w:val="white"/>
        </w:rPr>
        <w:t xml:space="preserve">. В случае использования при в</w:t>
      </w:r>
      <w:r>
        <w:rPr>
          <w:sz w:val="24"/>
          <w:szCs w:val="24"/>
          <w:highlight w:val="white"/>
        </w:rPr>
        <w:t xml:space="preserve">ыполнении работ по Контракту программ для электронных вычислительных машин (программных комплексов или компонентов), разработанных третьими лицами, условия, на которых передаются права на их использование (исполнение), должны обеспечить отсутствие ограниче</w:t>
      </w:r>
      <w:r>
        <w:rPr>
          <w:sz w:val="24"/>
          <w:szCs w:val="24"/>
          <w:highlight w:val="white"/>
        </w:rPr>
        <w:t xml:space="preserve">ний, препятствующих использованию результатов работ по их назначению. При этом права, полученные заказчиком, должны позволять ему передавать, дорабатывать, развивать результаты работ, созданные в процессе исполнения Контракта, а в случае явного указания в </w:t>
      </w:r>
      <w:r>
        <w:rPr>
          <w:sz w:val="24"/>
          <w:szCs w:val="24"/>
          <w:highlight w:val="white"/>
        </w:rPr>
        <w:t xml:space="preserve">Описании объекта закупки</w:t>
      </w:r>
      <w:r>
        <w:rPr>
          <w:sz w:val="24"/>
          <w:szCs w:val="24"/>
          <w:highlight w:val="white"/>
        </w:rPr>
        <w:t xml:space="preserve">, явл</w:t>
      </w:r>
      <w:r>
        <w:rPr>
          <w:sz w:val="24"/>
          <w:szCs w:val="24"/>
          <w:highlight w:val="white"/>
        </w:rPr>
        <w:t xml:space="preserve">яющемся неотъемлемой частью Контракта, осуществлять переработку программ для электронных вычислительных машин (программных комплексов или компонентов), разработанных ранее третьими лицами в соответствии с требованиями законодательства Российской Федерации.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highlight w:val="white"/>
        </w:rPr>
      </w:r>
      <w:bookmarkEnd w:id="14"/>
      <w:r>
        <w:rPr>
          <w:highlight w:val="white"/>
        </w:rPr>
      </w:r>
      <w:bookmarkStart w:id="15" w:name="sub_1036"/>
      <w:r>
        <w:rPr>
          <w:sz w:val="24"/>
          <w:szCs w:val="24"/>
          <w:highlight w:val="white"/>
        </w:rPr>
        <w:t xml:space="preserve">5.1.10</w:t>
      </w:r>
      <w:r>
        <w:rPr>
          <w:sz w:val="24"/>
          <w:szCs w:val="24"/>
          <w:highlight w:val="white"/>
        </w:rPr>
        <w:t xml:space="preserve">. Обеспечить отсутствие нарушений исключительных, авторских и смежных прав третьих лиц при реализации технических, программных, организационных и иных решений, предусмотренных </w:t>
      </w:r>
      <w:r>
        <w:rPr>
          <w:sz w:val="24"/>
          <w:szCs w:val="24"/>
          <w:highlight w:val="white"/>
        </w:rPr>
        <w:t xml:space="preserve">Описанием объекта закупки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highlight w:val="white"/>
        </w:rPr>
      </w:r>
      <w:bookmarkEnd w:id="15"/>
      <w:r>
        <w:rPr>
          <w:highlight w:val="white"/>
        </w:rPr>
      </w:r>
      <w:bookmarkStart w:id="16" w:name="sub_1037"/>
      <w:r>
        <w:rPr>
          <w:sz w:val="24"/>
          <w:szCs w:val="24"/>
          <w:highlight w:val="white"/>
        </w:rPr>
        <w:t xml:space="preserve">5.1.11</w:t>
      </w:r>
      <w:r>
        <w:rPr>
          <w:sz w:val="24"/>
          <w:szCs w:val="24"/>
          <w:highlight w:val="white"/>
        </w:rPr>
        <w:t xml:space="preserve">. Обеспечить выполнение требований к порядку создания (развития) государственных (муниципальных) и (или) иных информационных систем, предусмотренных </w:t>
      </w:r>
      <w:r>
        <w:rPr>
          <w:sz w:val="24"/>
          <w:szCs w:val="24"/>
          <w:highlight w:val="white"/>
        </w:rPr>
        <w:fldChar w:fldCharType="begin"/>
      </w:r>
      <w:r>
        <w:rPr>
          <w:sz w:val="24"/>
          <w:szCs w:val="24"/>
          <w:highlight w:val="white"/>
        </w:rPr>
        <w:instrText xml:space="preserve">HYPERLINK "http://internet.garant.ru/document/redirect/12148555/1313"</w:instrText>
      </w:r>
      <w:r>
        <w:rPr>
          <w:sz w:val="24"/>
          <w:szCs w:val="24"/>
          <w:highlight w:val="white"/>
        </w:rPr>
        <w:fldChar w:fldCharType="separate"/>
      </w:r>
      <w:r>
        <w:rPr>
          <w:rStyle w:val="937"/>
          <w:sz w:val="24"/>
          <w:szCs w:val="24"/>
          <w:highlight w:val="white"/>
        </w:rPr>
        <w:t xml:space="preserve">пунктом 3 части 1 статьи 13</w:t>
      </w:r>
      <w:r>
        <w:rPr>
          <w:sz w:val="24"/>
          <w:szCs w:val="24"/>
          <w:highlight w:val="white"/>
        </w:rPr>
        <w:fldChar w:fldCharType="end"/>
      </w:r>
      <w:r>
        <w:rPr>
          <w:sz w:val="24"/>
          <w:szCs w:val="24"/>
          <w:highlight w:val="white"/>
        </w:rPr>
        <w:t xml:space="preserve"> Федерального закона "Об информации, информационных технологиях и о защите информации", устанавливаемых к таким информационным системам указанным Федеральным законом и иными нормативными правовыми актами Российской Федерации.</w:t>
      </w:r>
      <w:bookmarkEnd w:id="16"/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5.1.12</w:t>
      </w:r>
      <w:r>
        <w:rPr>
          <w:sz w:val="24"/>
          <w:szCs w:val="24"/>
          <w:highlight w:val="white"/>
        </w:rPr>
        <w:t xml:space="preserve">. Исполнять иные обязанности, предусмотренные законодательством Российской Федерации и контрактом.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10"/>
        <w:ind w:firstLine="709"/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  <w:t xml:space="preserve">5.2. Исполнитель имеет право:</w:t>
      </w:r>
      <w:r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</w:r>
      <w:r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</w:r>
    </w:p>
    <w:p>
      <w:pPr>
        <w:pStyle w:val="910"/>
        <w:ind w:firstLine="70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5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.2.1.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апрашивать у Государственного заказчика сведения и документы, необходимые для надлежащего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выполнения Р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абот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0"/>
        <w:ind w:firstLine="70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5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.2.2.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ребовать от Государственного заказчика произвести приемку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выполненных Р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абот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в порядке и в сроки, предусмотренные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разделом 4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Государственн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ого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0"/>
        <w:ind w:firstLine="70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5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.2.3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 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ребовать от Государственного заказчика полную и своевременную оплату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выполненных Р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абот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согласно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раздела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2 Государственного контракта;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95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5.2.4. Привлекать к исполнению контракта третьих лиц, принимая на себя ответственность за результат их действий перед Заказчиком.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10"/>
        <w:ind w:firstLine="709"/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  <w:t xml:space="preserve">5.3. Государственный заказчик обязан:</w:t>
      </w:r>
      <w:r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</w:r>
      <w:r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</w:r>
    </w:p>
    <w:p>
      <w:pPr>
        <w:pStyle w:val="910"/>
        <w:ind w:firstLine="70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5.3.1.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Обеспечить своевременную приемку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выполненных Р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абот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в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порядке, предусмотренном настоящим Государственным контрактом;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0"/>
        <w:ind w:firstLine="70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5.3.2. Произвести оплату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выполненных Р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абот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порядке и в сроки, предусмотренные разделом 2 Государственного контракта;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0"/>
        <w:ind w:firstLine="70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5.3.3. Принять решение об одностороннем отказе от исполнения контракта, если в ходе исполнения Государственного 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онтракта установлено,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И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сполнителя;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0"/>
        <w:ind w:firstLine="70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5.3.4.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Исполнителя о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решения, а также Государственному заказчику компенсированы затраты на проведение экспертизы. Данное прави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ло не применяется в случае повторного нарушения Исполнителем условий Государственного контракта, которые в соответствии с гражданским законодательством являются основанием для одностороннего отказа Государственного заказчика от исполнения Государственного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контракта;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0"/>
        <w:ind w:firstLine="70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5.3.5. Для проверки предоставленных Исполнителем результатов, предусмотренных Гос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у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дарственным контрактом, в части их соответствия условиям Государственного контракта Государственный заказчик обязан пров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ести экспертизу. Экспертиза результатов, предусмотренных Государственным контрактом, может проводиться Государственным заказчиком своими силами или к ее проведению могут привлекаться эксперты, экспертные организации на основании Государственных контрактов.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95"/>
        <w:jc w:val="both"/>
        <w:rPr>
          <w:sz w:val="24"/>
          <w:szCs w:val="24"/>
          <w:highlight w:val="white"/>
        </w:rPr>
      </w:pPr>
      <w:r>
        <w:rPr>
          <w:rFonts w:eastAsia="MS Mincho"/>
          <w:sz w:val="24"/>
          <w:szCs w:val="24"/>
          <w:highlight w:val="white"/>
        </w:rPr>
        <w:t xml:space="preserve">         5.3.6. Осуществлять </w:t>
      </w:r>
      <w:r>
        <w:rPr>
          <w:sz w:val="24"/>
          <w:szCs w:val="24"/>
          <w:highlight w:val="white"/>
        </w:rPr>
        <w:t xml:space="preserve">контроль за исполнением Исполнителем условий Контракта в соответствии с законодательством Российской Федерации.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10"/>
        <w:ind w:firstLine="70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0"/>
        <w:ind w:firstLine="709"/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  <w:t xml:space="preserve">5.4. Государственный заказчик </w:t>
      </w:r>
      <w:r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  <w:t xml:space="preserve">имеет </w:t>
      </w:r>
      <w:r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  <w:t xml:space="preserve">прав</w:t>
      </w:r>
      <w:r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  <w:t xml:space="preserve">о</w:t>
      </w:r>
      <w:r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  <w:t xml:space="preserve">:</w:t>
      </w:r>
      <w:r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</w:r>
      <w:r>
        <w:rPr>
          <w:rFonts w:ascii="Times New Roman" w:hAnsi="Times New Roman" w:cs="Times New Roman"/>
          <w:i/>
          <w:sz w:val="24"/>
          <w:szCs w:val="24"/>
          <w:highlight w:val="white"/>
          <w:u w:val="single"/>
        </w:rPr>
      </w:r>
    </w:p>
    <w:p>
      <w:pPr>
        <w:pStyle w:val="910"/>
        <w:ind w:firstLine="70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5.4.1. 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ребовать от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Исполнителя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полное и своевременное исполнение обязательст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по Государственному контракту,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 также требовать своевременного устранения выявленных недостатков;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95"/>
        <w:ind w:firstLine="5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5.4.2. О</w:t>
      </w:r>
      <w:r>
        <w:rPr>
          <w:sz w:val="24"/>
          <w:szCs w:val="24"/>
          <w:highlight w:val="white"/>
        </w:rPr>
        <w:t xml:space="preserve">тказаться от приемки и оплаты </w:t>
      </w:r>
      <w:r>
        <w:rPr>
          <w:sz w:val="24"/>
          <w:szCs w:val="24"/>
          <w:highlight w:val="white"/>
        </w:rPr>
        <w:t xml:space="preserve">Р</w:t>
      </w:r>
      <w:r>
        <w:rPr>
          <w:sz w:val="24"/>
          <w:szCs w:val="24"/>
          <w:highlight w:val="white"/>
        </w:rPr>
        <w:t xml:space="preserve">абот</w:t>
      </w:r>
      <w:r>
        <w:rPr>
          <w:sz w:val="24"/>
          <w:szCs w:val="24"/>
          <w:highlight w:val="white"/>
        </w:rPr>
        <w:t xml:space="preserve">, не соответствующе</w:t>
      </w:r>
      <w:r>
        <w:rPr>
          <w:sz w:val="24"/>
          <w:szCs w:val="24"/>
          <w:highlight w:val="white"/>
        </w:rPr>
        <w:t xml:space="preserve">й</w:t>
      </w:r>
      <w:r>
        <w:rPr>
          <w:sz w:val="24"/>
          <w:szCs w:val="24"/>
          <w:highlight w:val="white"/>
        </w:rPr>
        <w:t xml:space="preserve"> усло</w:t>
      </w:r>
      <w:r>
        <w:rPr>
          <w:sz w:val="24"/>
          <w:szCs w:val="24"/>
          <w:highlight w:val="white"/>
        </w:rPr>
        <w:t xml:space="preserve">виям Государственного контракта, </w:t>
      </w:r>
      <w:r>
        <w:rPr>
          <w:sz w:val="24"/>
          <w:szCs w:val="24"/>
          <w:highlight w:val="white"/>
        </w:rPr>
        <w:t xml:space="preserve">в том числе в случае обнаружения неустранимых недостатков.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5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5.4.3. Требовать от Исполнителя представления надлежащим образом оформленных документов, предусмотренных Контрактом.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5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5.4.4</w:t>
      </w:r>
      <w:r>
        <w:rPr>
          <w:sz w:val="24"/>
          <w:szCs w:val="24"/>
          <w:highlight w:val="white"/>
        </w:rPr>
        <w:t xml:space="preserve">. Запрашивать у Исполнителя любую относящуюся к предмету контракта документацию и информацию, информацию о ходе исполнения обязательств по Контракту.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10"/>
        <w:ind w:firstLine="50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5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.4.5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 Принять решение об одностороннем отказе от исполнения Государственного контракта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 гражданским законодательством;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0"/>
        <w:ind w:firstLine="50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5.4.6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 Провести экспертизу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выполненных Р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абот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с привлечением экспертов, экспертных организаций до принятия решения об одностороннем отказе от исполнения Государственного контракта.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95"/>
        <w:jc w:val="center"/>
        <w:rPr>
          <w:b/>
          <w:bCs/>
          <w:color w:val="000000"/>
          <w:sz w:val="24"/>
          <w:szCs w:val="24"/>
          <w:highlight w:val="white"/>
        </w:rPr>
      </w:pPr>
      <w:r>
        <w:rPr>
          <w:b/>
          <w:bCs/>
          <w:color w:val="000000"/>
          <w:sz w:val="24"/>
          <w:szCs w:val="24"/>
          <w:highlight w:val="white"/>
        </w:rPr>
        <w:t xml:space="preserve">6. Ответственность сторон</w:t>
      </w:r>
      <w:r>
        <w:rPr>
          <w:b/>
          <w:bCs/>
          <w:color w:val="000000"/>
          <w:sz w:val="24"/>
          <w:szCs w:val="24"/>
          <w:highlight w:val="white"/>
        </w:rPr>
        <w:t xml:space="preserve">  </w:t>
      </w: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</w:p>
    <w:p>
      <w:pPr>
        <w:pStyle w:val="895"/>
        <w:ind w:firstLine="5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6.1. За невыполнение или ненадлежащее выполнение обязательств по настоящему Государственному контракту Стороны несут ответственность в соответствии с действующим законодательством Российской Федерации и условиями настоящего Государственного контракта.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5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6</w:t>
      </w:r>
      <w:r>
        <w:rPr>
          <w:sz w:val="24"/>
          <w:szCs w:val="24"/>
          <w:highlight w:val="white"/>
        </w:rPr>
        <w:t xml:space="preserve">.2. Невыполнение Исполнителем  условий Государственного контракта является основанием д</w:t>
      </w:r>
      <w:r>
        <w:rPr>
          <w:sz w:val="24"/>
          <w:szCs w:val="24"/>
          <w:highlight w:val="white"/>
        </w:rPr>
        <w:t xml:space="preserve">ля обращения Государственного заказчика в суд с требованием о расторжении настоящего Государственного контракта или расторжения Государственного контракта в связи с односторонним отказом Государственного заказчика от исполнения Государственного контракта.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5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6</w:t>
      </w:r>
      <w:r>
        <w:rPr>
          <w:sz w:val="24"/>
          <w:szCs w:val="24"/>
          <w:highlight w:val="white"/>
        </w:rPr>
        <w:t xml:space="preserve">.3. В случае полного (частичного) невыполнения условий настоящего Государственного  контракта одной из Сторон эта Сторона обязана возместить другой Стороне причиненные убытки.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5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6</w:t>
      </w:r>
      <w:r>
        <w:rPr>
          <w:sz w:val="24"/>
          <w:szCs w:val="24"/>
          <w:highlight w:val="white"/>
        </w:rPr>
        <w:t xml:space="preserve">.4. В случае просрочки исполнения Исполнителем обязательств (в том числе гарантийного обязательства), предусмотренных Госуда</w:t>
      </w:r>
      <w:r>
        <w:rPr>
          <w:sz w:val="24"/>
          <w:szCs w:val="24"/>
          <w:highlight w:val="white"/>
        </w:rPr>
        <w:t xml:space="preserve">рственным  контрактом, а также в иных случаях неисполнения или ненадлежащего исполнения Исполнителем обязательств, предусмотренных Государственным  контрактом, Государственный заказчик направляет Исполнителю  требование об уплате неустоек (штрафов, пеней).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5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6</w:t>
      </w:r>
      <w:r>
        <w:rPr>
          <w:sz w:val="24"/>
          <w:szCs w:val="24"/>
          <w:highlight w:val="white"/>
        </w:rPr>
        <w:t xml:space="preserve">.4.1. </w:t>
      </w:r>
      <w:r>
        <w:rPr>
          <w:sz w:val="24"/>
          <w:szCs w:val="24"/>
          <w:highlight w:val="white"/>
        </w:rPr>
        <w:t xml:space="preserve">Пеня начисляется за каждый день просрочки исполнения Исполнителем обязательства, предусмотренного Государственным контрактом, начиная со дня, следующего после дня исте</w:t>
      </w:r>
      <w:r>
        <w:rPr>
          <w:sz w:val="24"/>
          <w:szCs w:val="24"/>
          <w:highlight w:val="white"/>
        </w:rPr>
        <w:t xml:space="preserve">чения установленного Государственным контрактом срока исполнения обязательства, и устанавливается Государственным контрактом в размере одной трехсотой действующей на дату уплаты пени ключевой ставки Центрального банка Российской Федерации от цены Государст</w:t>
      </w:r>
      <w:r>
        <w:rPr>
          <w:sz w:val="24"/>
          <w:szCs w:val="24"/>
          <w:highlight w:val="white"/>
        </w:rPr>
        <w:t xml:space="preserve">венного контракта (отдельного этапа исполнения контракта), уменьшенной на сумму, пропорциональную объему обязательств, предусмотренных Государственным контрактом (соответствующим отдельным этапом исполнения контракта) и фактически исполненных Исполнителем.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017"/>
        <w:ind w:firstLine="567"/>
        <w:jc w:val="both"/>
        <w:spacing w:before="0" w:beforeAutospacing="0" w:after="0" w:afterAutospacing="0"/>
        <w:rPr>
          <w:highlight w:val="white"/>
        </w:rPr>
      </w:pPr>
      <w:r>
        <w:rPr>
          <w:highlight w:val="white"/>
        </w:rPr>
        <w:t xml:space="preserve">6</w:t>
      </w:r>
      <w:r>
        <w:rPr>
          <w:highlight w:val="white"/>
        </w:rPr>
        <w:t xml:space="preserve">.4.2. За каждый факт неисполнения или ненадлежащего исполнения Исполнителем обязательств, предусмотренных Государственным контрактом, заключенным по результатам определения Исполнителя в соответствии с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fldChar w:fldCharType="begin"/>
      </w:r>
      <w:r>
        <w:rPr>
          <w:color w:val="000000"/>
          <w:highlight w:val="white"/>
        </w:rPr>
        <w:instrText xml:space="preserve">HYPERLINK "http://mobileonline.garant.ru/" \l "/document/70353464/entry/30101"</w:instrText>
      </w:r>
      <w:r>
        <w:rPr>
          <w:color w:val="000000"/>
          <w:highlight w:val="white"/>
        </w:rPr>
        <w:fldChar w:fldCharType="separate"/>
      </w:r>
      <w:r>
        <w:rPr>
          <w:rStyle w:val="979"/>
          <w:color w:val="000000"/>
          <w:highlight w:val="white"/>
          <w:u w:val="none"/>
        </w:rPr>
        <w:t xml:space="preserve">пунктом 1 части 1 статьи 30</w:t>
      </w:r>
      <w:r>
        <w:rPr>
          <w:color w:val="000000"/>
          <w:highlight w:val="white"/>
        </w:rPr>
        <w:fldChar w:fldCharType="end"/>
      </w:r>
      <w:r>
        <w:rPr>
          <w:highlight w:val="white"/>
        </w:rPr>
        <w:t xml:space="preserve"> </w:t>
      </w:r>
      <w:r>
        <w:rPr>
          <w:color w:val="000000"/>
          <w:highlight w:val="white"/>
        </w:rPr>
        <w:t xml:space="preserve">закона о Контрактной системе</w:t>
      </w:r>
      <w:r>
        <w:rPr>
          <w:highlight w:val="white"/>
        </w:rPr>
        <w:t xml:space="preserve">, за ис</w:t>
      </w:r>
      <w:r>
        <w:rPr>
          <w:highlight w:val="white"/>
        </w:rPr>
        <w:t xml:space="preserve">ключением просрочки исполнения обязательств (в том числе гарантийного обязательства), предусмотренных Государственным контрактом, размер штрафа устанавливается в размере 1 процента цены контракта (этапа), но не более 5 тыс. рублей и не менее 1 тыс. рублей.</w:t>
      </w:r>
      <w:r>
        <w:rPr>
          <w:highlight w:val="white"/>
        </w:rPr>
      </w:r>
      <w:r>
        <w:rPr>
          <w:highlight w:val="white"/>
        </w:rPr>
      </w:r>
    </w:p>
    <w:p>
      <w:pPr>
        <w:pStyle w:val="1017"/>
        <w:ind w:firstLine="567"/>
        <w:jc w:val="both"/>
        <w:spacing w:before="0" w:beforeAutospacing="0" w:after="0" w:afterAutospacing="0"/>
        <w:rPr>
          <w:highlight w:val="white"/>
        </w:rPr>
      </w:pPr>
      <w:r>
        <w:rPr>
          <w:highlight w:val="white"/>
        </w:rPr>
        <w:t xml:space="preserve">6</w:t>
      </w:r>
      <w:r>
        <w:rPr>
          <w:highlight w:val="white"/>
        </w:rPr>
        <w:t xml:space="preserve">.4.3.  За каждый факт неисполнения или ненадлежащего исполнения Исполнителем  обязательств, предусмотренных Государственным контрактом, заключенным с победителем закупки (или с иным участником закупки в случаях, установленных </w:t>
      </w:r>
      <w:r>
        <w:rPr>
          <w:color w:val="000000"/>
          <w:highlight w:val="white"/>
        </w:rPr>
        <w:t xml:space="preserve">законом о Контрактной системе</w:t>
      </w:r>
      <w:r>
        <w:rPr>
          <w:highlight w:val="white"/>
        </w:rPr>
        <w:t xml:space="preserve">), предложившим на</w:t>
      </w:r>
      <w:r>
        <w:rPr>
          <w:highlight w:val="white"/>
        </w:rPr>
        <w:t xml:space="preserve">иболее высокую цену за право заключения контракта, за исключением просрочки исполнения обязательств (в том числе гарантийного обязательства), предусмотренных  Государственным контрактом,  размер штрафа рассчитывается и устанавливается в следующем порядке: </w:t>
      </w:r>
      <w:r>
        <w:rPr>
          <w:highlight w:val="white"/>
        </w:rPr>
      </w:r>
      <w:r>
        <w:rPr>
          <w:highlight w:val="white"/>
        </w:rPr>
      </w:r>
    </w:p>
    <w:p>
      <w:pPr>
        <w:pStyle w:val="1038"/>
        <w:rPr>
          <w:szCs w:val="24"/>
          <w:highlight w:val="white"/>
        </w:rPr>
      </w:pPr>
      <w:r>
        <w:rPr>
          <w:szCs w:val="24"/>
          <w:highlight w:val="white"/>
        </w:rPr>
        <w:t xml:space="preserve">         а) в случае, если цена Контракта </w:t>
      </w:r>
      <w:r>
        <w:rPr>
          <w:i/>
          <w:szCs w:val="24"/>
          <w:highlight w:val="white"/>
        </w:rPr>
        <w:t xml:space="preserve">не превышает</w:t>
      </w:r>
      <w:r>
        <w:rPr>
          <w:szCs w:val="24"/>
          <w:highlight w:val="white"/>
        </w:rPr>
        <w:t xml:space="preserve"> начальную (максимальную) цену Государственного контракта:</w:t>
      </w:r>
      <w:r>
        <w:rPr>
          <w:szCs w:val="24"/>
          <w:highlight w:val="white"/>
        </w:rPr>
      </w:r>
      <w:r>
        <w:rPr>
          <w:szCs w:val="24"/>
          <w:highlight w:val="white"/>
        </w:rPr>
      </w:r>
    </w:p>
    <w:p>
      <w:pPr>
        <w:pStyle w:val="1038"/>
        <w:rPr>
          <w:szCs w:val="24"/>
          <w:highlight w:val="white"/>
        </w:rPr>
      </w:pPr>
      <w:r>
        <w:rPr>
          <w:szCs w:val="24"/>
          <w:highlight w:val="white"/>
        </w:rPr>
        <w:t xml:space="preserve">- </w:t>
      </w:r>
      <w:r>
        <w:rPr>
          <w:szCs w:val="24"/>
          <w:highlight w:val="white"/>
        </w:rPr>
        <w:t xml:space="preserve">10 процентов начальной (максимальной) цены контракта, если цена контракта не превышает 3 млн. рублей;</w:t>
      </w:r>
      <w:r>
        <w:rPr>
          <w:szCs w:val="24"/>
          <w:highlight w:val="white"/>
        </w:rPr>
      </w:r>
      <w:r>
        <w:rPr>
          <w:szCs w:val="24"/>
          <w:highlight w:val="white"/>
        </w:rPr>
      </w:r>
    </w:p>
    <w:p>
      <w:pPr>
        <w:pStyle w:val="1038"/>
        <w:rPr>
          <w:szCs w:val="24"/>
          <w:highlight w:val="white"/>
        </w:rPr>
      </w:pPr>
      <w:r>
        <w:rPr>
          <w:szCs w:val="24"/>
          <w:highlight w:val="white"/>
        </w:rPr>
        <w:t xml:space="preserve">- </w:t>
      </w:r>
      <w:r>
        <w:rPr>
          <w:szCs w:val="24"/>
          <w:highlight w:val="white"/>
        </w:rPr>
        <w:t xml:space="preserve">5 процентов начальной (максимальной) цены контракта, если цена контракта составляет от 3 млн. рублей до 50 млн. рублей (включительно);</w:t>
      </w:r>
      <w:r>
        <w:rPr>
          <w:szCs w:val="24"/>
          <w:highlight w:val="white"/>
        </w:rPr>
      </w:r>
      <w:r>
        <w:rPr>
          <w:szCs w:val="24"/>
          <w:highlight w:val="white"/>
        </w:rPr>
      </w:r>
    </w:p>
    <w:p>
      <w:pPr>
        <w:pStyle w:val="1038"/>
        <w:rPr>
          <w:szCs w:val="24"/>
          <w:highlight w:val="white"/>
        </w:rPr>
      </w:pPr>
      <w:r>
        <w:rPr>
          <w:szCs w:val="24"/>
          <w:highlight w:val="white"/>
        </w:rPr>
        <w:t xml:space="preserve">- </w:t>
      </w:r>
      <w:r>
        <w:rPr>
          <w:szCs w:val="24"/>
          <w:highlight w:val="white"/>
        </w:rPr>
        <w:t xml:space="preserve">1 процент начальной (максимальной) цены контракта, если цена контракта составляет от 50 млн. рублей до 100 млн. рублей (включительно);</w:t>
      </w:r>
      <w:r>
        <w:rPr>
          <w:szCs w:val="24"/>
          <w:highlight w:val="white"/>
        </w:rPr>
      </w:r>
      <w:r>
        <w:rPr>
          <w:szCs w:val="24"/>
          <w:highlight w:val="white"/>
        </w:rPr>
      </w:r>
    </w:p>
    <w:p>
      <w:pPr>
        <w:pStyle w:val="1038"/>
        <w:rPr>
          <w:szCs w:val="24"/>
          <w:highlight w:val="white"/>
        </w:rPr>
      </w:pPr>
      <w:r>
        <w:rPr>
          <w:szCs w:val="24"/>
          <w:highlight w:val="white"/>
        </w:rPr>
        <w:t xml:space="preserve">         б) в случае, если цена контракта </w:t>
      </w:r>
      <w:r>
        <w:rPr>
          <w:i/>
          <w:szCs w:val="24"/>
          <w:highlight w:val="white"/>
        </w:rPr>
        <w:t xml:space="preserve">превышает</w:t>
      </w:r>
      <w:r>
        <w:rPr>
          <w:szCs w:val="24"/>
          <w:highlight w:val="white"/>
        </w:rPr>
        <w:t xml:space="preserve"> начальную (максимальную) цену контракта:</w:t>
      </w:r>
      <w:r>
        <w:rPr>
          <w:szCs w:val="24"/>
          <w:highlight w:val="white"/>
        </w:rPr>
      </w:r>
      <w:r>
        <w:rPr>
          <w:szCs w:val="24"/>
          <w:highlight w:val="white"/>
        </w:rPr>
      </w:r>
    </w:p>
    <w:p>
      <w:pPr>
        <w:pStyle w:val="1038"/>
        <w:ind w:firstLine="400"/>
        <w:rPr>
          <w:szCs w:val="24"/>
          <w:highlight w:val="white"/>
        </w:rPr>
      </w:pPr>
      <w:r>
        <w:rPr>
          <w:szCs w:val="24"/>
          <w:highlight w:val="white"/>
        </w:rPr>
        <w:t xml:space="preserve">- </w:t>
      </w:r>
      <w:r>
        <w:rPr>
          <w:szCs w:val="24"/>
          <w:highlight w:val="white"/>
        </w:rPr>
        <w:t xml:space="preserve">10 процентов цены контракта, если цена контракта не превышает 3 млн. рублей;</w:t>
      </w:r>
      <w:r>
        <w:rPr>
          <w:szCs w:val="24"/>
          <w:highlight w:val="white"/>
        </w:rPr>
      </w:r>
      <w:r>
        <w:rPr>
          <w:szCs w:val="24"/>
          <w:highlight w:val="white"/>
        </w:rPr>
      </w:r>
    </w:p>
    <w:p>
      <w:pPr>
        <w:pStyle w:val="1038"/>
        <w:ind w:firstLine="400"/>
        <w:rPr>
          <w:szCs w:val="24"/>
          <w:highlight w:val="white"/>
        </w:rPr>
      </w:pPr>
      <w:r>
        <w:rPr>
          <w:szCs w:val="24"/>
          <w:highlight w:val="white"/>
        </w:rPr>
        <w:t xml:space="preserve">- </w:t>
      </w:r>
      <w:r>
        <w:rPr>
          <w:szCs w:val="24"/>
          <w:highlight w:val="white"/>
        </w:rPr>
        <w:t xml:space="preserve">5 процентов цены контракта, если цена контракта составляет от 3 млн. рублей до 50 млн. рублей (включительно);</w:t>
      </w:r>
      <w:r>
        <w:rPr>
          <w:szCs w:val="24"/>
          <w:highlight w:val="white"/>
        </w:rPr>
      </w:r>
      <w:r>
        <w:rPr>
          <w:szCs w:val="24"/>
          <w:highlight w:val="white"/>
        </w:rPr>
      </w:r>
    </w:p>
    <w:p>
      <w:pPr>
        <w:pStyle w:val="1038"/>
        <w:ind w:firstLine="400"/>
        <w:rPr>
          <w:szCs w:val="24"/>
          <w:highlight w:val="white"/>
        </w:rPr>
      </w:pPr>
      <w:r>
        <w:rPr>
          <w:szCs w:val="24"/>
          <w:highlight w:val="white"/>
        </w:rPr>
        <w:t xml:space="preserve">- </w:t>
      </w:r>
      <w:r>
        <w:rPr>
          <w:szCs w:val="24"/>
          <w:highlight w:val="white"/>
        </w:rPr>
        <w:t xml:space="preserve">1 процент цены контракта, если цена контракта составляет от 50 млн. рублей до 100 млн. рублей (включительно).</w:t>
      </w:r>
      <w:r>
        <w:rPr>
          <w:szCs w:val="24"/>
          <w:highlight w:val="white"/>
        </w:rPr>
      </w:r>
      <w:r>
        <w:rPr>
          <w:szCs w:val="24"/>
          <w:highlight w:val="white"/>
        </w:rPr>
      </w:r>
    </w:p>
    <w:p>
      <w:pPr>
        <w:pStyle w:val="1038"/>
        <w:ind w:firstLine="400"/>
        <w:rPr>
          <w:szCs w:val="24"/>
          <w:highlight w:val="white"/>
        </w:rPr>
      </w:pPr>
      <w:r>
        <w:rPr>
          <w:szCs w:val="24"/>
          <w:highlight w:val="white"/>
        </w:rPr>
        <w:t xml:space="preserve">6</w:t>
      </w:r>
      <w:r>
        <w:rPr>
          <w:szCs w:val="24"/>
          <w:highlight w:val="white"/>
        </w:rPr>
        <w:t xml:space="preserve">.4.4. За каждый факт неисполнен</w:t>
      </w:r>
      <w:r>
        <w:rPr>
          <w:szCs w:val="24"/>
          <w:highlight w:val="white"/>
        </w:rPr>
        <w:t xml:space="preserve">ия или ненадлежащего исполнения Исполнителем обязательств, предусмотренного Государственным контрактом, которое не имеет стоимостного выражения, размер штрафа устанавливается (при наличии в Государственном контракте таких обязательств) в следующем порядке:</w:t>
      </w:r>
      <w:r>
        <w:rPr>
          <w:szCs w:val="24"/>
          <w:highlight w:val="white"/>
        </w:rPr>
      </w:r>
      <w:r>
        <w:rPr>
          <w:szCs w:val="24"/>
          <w:highlight w:val="white"/>
        </w:rPr>
      </w:r>
    </w:p>
    <w:p>
      <w:pPr>
        <w:pStyle w:val="1038"/>
        <w:ind w:firstLine="400"/>
        <w:rPr>
          <w:highlight w:val="white"/>
        </w:rPr>
      </w:pPr>
      <w:r>
        <w:rPr>
          <w:highlight w:val="white"/>
        </w:rPr>
        <w:t xml:space="preserve">а) 1000 рублей, если цена контр</w:t>
      </w:r>
      <w:r>
        <w:rPr>
          <w:highlight w:val="white"/>
        </w:rPr>
        <w:t xml:space="preserve">акта не превышает 3 млн. рублей;</w:t>
      </w:r>
      <w:r>
        <w:rPr>
          <w:highlight w:val="white"/>
        </w:rPr>
      </w:r>
      <w:r>
        <w:rPr>
          <w:highlight w:val="white"/>
        </w:rPr>
      </w:r>
    </w:p>
    <w:p>
      <w:pPr>
        <w:pStyle w:val="1038"/>
        <w:ind w:firstLine="400"/>
        <w:rPr>
          <w:szCs w:val="24"/>
          <w:highlight w:val="white"/>
        </w:rPr>
      </w:pPr>
      <w:r>
        <w:rPr>
          <w:highlight w:val="white"/>
        </w:rPr>
        <w:t xml:space="preserve">б) 5000 рублей, если цена контракта составляет от 3 млн. рублей до 50 млн. рублей (включительно).</w:t>
      </w:r>
      <w:r>
        <w:rPr>
          <w:szCs w:val="24"/>
          <w:highlight w:val="white"/>
        </w:rPr>
      </w:r>
      <w:r>
        <w:rPr>
          <w:szCs w:val="24"/>
          <w:highlight w:val="white"/>
        </w:rPr>
      </w:r>
    </w:p>
    <w:p>
      <w:pPr>
        <w:pStyle w:val="1038"/>
        <w:ind w:firstLine="400"/>
        <w:rPr>
          <w:szCs w:val="24"/>
          <w:highlight w:val="white"/>
        </w:rPr>
      </w:pPr>
      <w:r>
        <w:rPr>
          <w:szCs w:val="24"/>
          <w:highlight w:val="white"/>
        </w:rPr>
        <w:t xml:space="preserve">К обязательствам, которые не имеют стоимостного выражения относятся обязанности Исполнителя указанные в п.5.1.2 и п. 5.1.3. настоящего Государственного контракта.</w:t>
      </w:r>
      <w:r>
        <w:rPr>
          <w:szCs w:val="24"/>
          <w:highlight w:val="white"/>
        </w:rPr>
      </w:r>
      <w:r>
        <w:rPr>
          <w:szCs w:val="24"/>
          <w:highlight w:val="white"/>
        </w:rPr>
      </w:r>
    </w:p>
    <w:p>
      <w:pPr>
        <w:pStyle w:val="1038"/>
        <w:ind w:firstLine="400"/>
        <w:rPr>
          <w:szCs w:val="24"/>
          <w:highlight w:val="white"/>
        </w:rPr>
      </w:pPr>
      <w:r>
        <w:rPr>
          <w:szCs w:val="24"/>
          <w:highlight w:val="white"/>
        </w:rPr>
        <w:t xml:space="preserve">6</w:t>
      </w:r>
      <w:r>
        <w:rPr>
          <w:szCs w:val="24"/>
          <w:highlight w:val="white"/>
        </w:rPr>
        <w:t xml:space="preserve">.5.  В случае просрочки исполнения Государственным заказчиком обязательств, предусмотренных Государственным контрактом, а также в иных случаях неисполнения или ненадлежащего исполнения Государственным заказчиком обязательств, предусмотренн</w:t>
      </w:r>
      <w:r>
        <w:rPr>
          <w:szCs w:val="24"/>
          <w:highlight w:val="white"/>
        </w:rPr>
        <w:t xml:space="preserve">ых Государственным контрактом, Исполнитель вправе потребовать уплаты неустоек (штрафов, пеней). Пеня начисляется за каждый день просрочки исполнения обязательства, предусмотренного Государственным контрактом, начиная со дня, следующего после дня истечения </w:t>
      </w:r>
      <w:r>
        <w:rPr>
          <w:szCs w:val="24"/>
          <w:highlight w:val="white"/>
        </w:rPr>
        <w:t xml:space="preserve">установленного Государственным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</w:t>
      </w:r>
      <w:r>
        <w:rPr>
          <w:szCs w:val="24"/>
          <w:highlight w:val="white"/>
        </w:rPr>
      </w:r>
      <w:r>
        <w:rPr>
          <w:szCs w:val="24"/>
          <w:highlight w:val="white"/>
        </w:rPr>
      </w:r>
    </w:p>
    <w:p>
      <w:pPr>
        <w:pStyle w:val="895"/>
        <w:ind w:firstLine="4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6</w:t>
      </w:r>
      <w:r>
        <w:rPr>
          <w:sz w:val="24"/>
          <w:szCs w:val="24"/>
          <w:highlight w:val="white"/>
        </w:rPr>
        <w:t xml:space="preserve">.5.1. З</w:t>
      </w:r>
      <w:r>
        <w:rPr>
          <w:sz w:val="24"/>
          <w:szCs w:val="24"/>
          <w:highlight w:val="white"/>
        </w:rPr>
        <w:t xml:space="preserve">а каждый факт неисполнения Государственным заказчиком обязательств, предусмотренных Государственным контрактом, за исключением просрочки исполнения обязательств, предусмотренных Государственным контрактом, размер штрафа устанавливается в следующем порядке: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20"/>
        <w:jc w:val="both"/>
        <w:widowControl/>
        <w:rPr>
          <w:color w:val="000000"/>
          <w:sz w:val="24"/>
          <w:szCs w:val="24"/>
          <w:highlight w:val="white"/>
        </w:rPr>
      </w:pPr>
      <w:r>
        <w:rPr>
          <w:highlight w:val="white"/>
        </w:rPr>
      </w:r>
      <w:bookmarkStart w:id="17" w:name="sub_100901"/>
      <w:r>
        <w:rPr>
          <w:color w:val="000000"/>
          <w:sz w:val="24"/>
          <w:szCs w:val="24"/>
          <w:highlight w:val="white"/>
        </w:rPr>
        <w:t xml:space="preserve">а) 1000 рублей, если цена контракта не превышает 3 млн. рублей (включительно);</w:t>
      </w:r>
      <w:bookmarkEnd w:id="17"/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firstLine="720"/>
        <w:jc w:val="both"/>
        <w:widowControl/>
        <w:rPr>
          <w:color w:val="000000"/>
          <w:sz w:val="24"/>
          <w:szCs w:val="24"/>
          <w:highlight w:val="white"/>
        </w:rPr>
      </w:pPr>
      <w:r>
        <w:rPr>
          <w:highlight w:val="white"/>
        </w:rPr>
      </w:r>
      <w:bookmarkStart w:id="18" w:name="sub_100902"/>
      <w:r>
        <w:rPr>
          <w:color w:val="000000"/>
          <w:sz w:val="24"/>
          <w:szCs w:val="24"/>
          <w:highlight w:val="white"/>
        </w:rPr>
        <w:t xml:space="preserve">б) 5000 рублей, если цена контракта составляет от 3 млн. рублей до 50 млн. рублей (включительно);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firstLine="400"/>
        <w:jc w:val="both"/>
        <w:rPr>
          <w:sz w:val="24"/>
          <w:szCs w:val="24"/>
          <w:highlight w:val="white"/>
        </w:rPr>
      </w:pPr>
      <w:r>
        <w:rPr>
          <w:highlight w:val="white"/>
        </w:rPr>
      </w:r>
      <w:bookmarkEnd w:id="18"/>
      <w:r>
        <w:rPr>
          <w:sz w:val="24"/>
          <w:szCs w:val="24"/>
          <w:highlight w:val="white"/>
        </w:rPr>
        <w:t xml:space="preserve">6</w:t>
      </w:r>
      <w:r>
        <w:rPr>
          <w:sz w:val="24"/>
          <w:szCs w:val="24"/>
          <w:highlight w:val="white"/>
        </w:rPr>
        <w:t xml:space="preserve">.6 Сторона освобождается от уплаты неустойки (штрафа, пени), если докажет, что неисполнение или ненадлежащее исполнение обязательства, предусмотренного Государственным контрактом, произошло вследствие непреодолимой силы или по вине другой Стороны.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4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6</w:t>
      </w:r>
      <w:r>
        <w:rPr>
          <w:sz w:val="24"/>
          <w:szCs w:val="24"/>
          <w:highlight w:val="white"/>
        </w:rPr>
        <w:t xml:space="preserve">.7. Применение штрафных санкций не освобождает Стороны от исполнения обязательств по настоящему Государственному контракту.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40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6</w:t>
      </w:r>
      <w:r>
        <w:rPr>
          <w:color w:val="000000"/>
          <w:sz w:val="24"/>
          <w:szCs w:val="24"/>
          <w:highlight w:val="white"/>
        </w:rPr>
        <w:t xml:space="preserve">.8. </w:t>
      </w:r>
      <w:r>
        <w:rPr>
          <w:color w:val="000000"/>
          <w:sz w:val="24"/>
          <w:szCs w:val="24"/>
          <w:highlight w:val="white"/>
        </w:rPr>
        <w:t xml:space="preserve">Общая сумма начисленных штрафов за неисполнение или ненадлежащее исполнение исполнителем обязательств, предусмотренных Государственным контрактом, не может превышать цену контракта</w:t>
      </w:r>
      <w:r>
        <w:rPr>
          <w:color w:val="000000"/>
          <w:sz w:val="24"/>
          <w:szCs w:val="24"/>
          <w:highlight w:val="white"/>
        </w:rPr>
        <w:t xml:space="preserve">.</w:t>
      </w:r>
      <w:r>
        <w:rPr>
          <w:color w:val="000000"/>
          <w:sz w:val="24"/>
          <w:szCs w:val="24"/>
          <w:highlight w:val="white"/>
        </w:rPr>
        <w:t xml:space="preserve"> Общая сумма начисленных штрафов за ненадлежащее исполнение заказчиком обязательств, предусмотренных Государственным контрактом, не может превышать цену Государственного контракта.</w:t>
      </w:r>
      <w:r>
        <w:rPr>
          <w:color w:val="000000"/>
          <w:sz w:val="24"/>
          <w:szCs w:val="24"/>
          <w:highlight w:val="white"/>
        </w:rPr>
        <w:t xml:space="preserve"> 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firstLine="400"/>
        <w:jc w:val="both"/>
        <w:rPr>
          <w:color w:val="000000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6</w:t>
      </w:r>
      <w:r>
        <w:rPr>
          <w:sz w:val="24"/>
          <w:szCs w:val="24"/>
          <w:highlight w:val="white"/>
        </w:rPr>
        <w:t xml:space="preserve">.9. В случае расторжения Государственного контракта в связи с односторонним отказом Стороны от исполнения Государственн</w:t>
      </w:r>
      <w:r>
        <w:rPr>
          <w:sz w:val="24"/>
          <w:szCs w:val="24"/>
          <w:highlight w:val="white"/>
        </w:rPr>
        <w:t xml:space="preserve">ого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Государственного контракта.</w:t>
        <w:tab/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left="-284" w:right="-143" w:firstLine="400"/>
        <w:jc w:val="both"/>
        <w:tabs>
          <w:tab w:val="left" w:pos="10243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 </w:t>
      </w:r>
      <w:r>
        <w:rPr>
          <w:sz w:val="24"/>
          <w:szCs w:val="24"/>
          <w:highlight w:val="white"/>
        </w:rPr>
        <w:t xml:space="preserve">6.10. Условия пунктов 6.4.-6</w:t>
      </w:r>
      <w:r>
        <w:rPr>
          <w:sz w:val="24"/>
          <w:szCs w:val="24"/>
          <w:highlight w:val="white"/>
        </w:rPr>
        <w:t xml:space="preserve">.7. настоящего Государственного контракта применяются в случае направления Сторонами соответствующего письменного требования.</w:t>
        <w:tab/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left="-284" w:right="-143" w:firstLine="400"/>
        <w:jc w:val="both"/>
        <w:tabs>
          <w:tab w:val="left" w:pos="10243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 </w:t>
      </w:r>
      <w:r>
        <w:rPr>
          <w:sz w:val="24"/>
          <w:szCs w:val="24"/>
          <w:highlight w:val="white"/>
        </w:rPr>
        <w:t xml:space="preserve">6</w:t>
      </w:r>
      <w:r>
        <w:rPr>
          <w:sz w:val="24"/>
          <w:szCs w:val="24"/>
          <w:highlight w:val="white"/>
        </w:rPr>
        <w:t xml:space="preserve">.11. Сторона освобождается от уплаты штрафа, пени,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  <w:tab/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left="-284" w:right="-143" w:firstLine="400"/>
        <w:jc w:val="both"/>
        <w:tabs>
          <w:tab w:val="left" w:pos="10243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 </w:t>
      </w:r>
      <w:r>
        <w:rPr>
          <w:sz w:val="24"/>
          <w:szCs w:val="24"/>
          <w:highlight w:val="white"/>
        </w:rPr>
        <w:t xml:space="preserve">6</w:t>
      </w:r>
      <w:r>
        <w:rPr>
          <w:sz w:val="24"/>
          <w:szCs w:val="24"/>
          <w:highlight w:val="white"/>
        </w:rPr>
        <w:t xml:space="preserve">.12. В случае причинения действиями (бездействием) Исполнителем  ущерба имуществу третьих лиц, всю полноту ответственности, включая обязательства по возмещению материального ущерба или морального вреда, несет Исполнитель.</w:t>
        <w:tab/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left="-284" w:right="-143" w:firstLine="400"/>
        <w:jc w:val="both"/>
        <w:tabs>
          <w:tab w:val="left" w:pos="10243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 </w:t>
      </w:r>
      <w:r>
        <w:rPr>
          <w:sz w:val="24"/>
          <w:szCs w:val="24"/>
          <w:highlight w:val="white"/>
        </w:rPr>
        <w:t xml:space="preserve">6</w:t>
      </w:r>
      <w:r>
        <w:rPr>
          <w:sz w:val="24"/>
          <w:szCs w:val="24"/>
          <w:highlight w:val="white"/>
        </w:rPr>
        <w:t xml:space="preserve">.13</w:t>
      </w:r>
      <w:r>
        <w:rPr>
          <w:sz w:val="24"/>
          <w:szCs w:val="24"/>
          <w:highlight w:val="white"/>
        </w:rPr>
        <w:t xml:space="preserve">. Все споры между Сторонами разрешаются в претензионном порядке. Претензия составляется в письменной форме и должна содержать следующие сведени</w:t>
      </w:r>
      <w:r>
        <w:rPr>
          <w:sz w:val="24"/>
          <w:szCs w:val="24"/>
          <w:highlight w:val="white"/>
        </w:rPr>
        <w:t xml:space="preserve">я: требования заявителя, сумму претензии и обоснованный ее расчет, если претензия подлежит денежной оценке; обстоятельства, на которых основываются требования, и доказательства, подтверждающие их; перечень прилагаемых к претензии документов. Претензия долж</w:t>
      </w:r>
      <w:r>
        <w:rPr>
          <w:sz w:val="24"/>
          <w:szCs w:val="24"/>
          <w:highlight w:val="white"/>
        </w:rPr>
        <w:t xml:space="preserve">на быть рассмотрена в течение 10</w:t>
      </w:r>
      <w:r>
        <w:rPr>
          <w:sz w:val="24"/>
          <w:szCs w:val="24"/>
          <w:highlight w:val="white"/>
        </w:rPr>
        <w:t xml:space="preserve"> дней со дня ее получения.</w:t>
        <w:tab/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left="200"/>
        <w:jc w:val="both"/>
        <w:tabs>
          <w:tab w:val="left" w:pos="300" w:leader="none"/>
        </w:tabs>
        <w:rPr>
          <w:b/>
          <w:bCs/>
          <w:color w:val="000000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 xml:space="preserve">6</w:t>
      </w:r>
      <w:r>
        <w:rPr>
          <w:sz w:val="24"/>
          <w:szCs w:val="24"/>
          <w:highlight w:val="white"/>
        </w:rPr>
        <w:t xml:space="preserve">.14</w:t>
      </w:r>
      <w:r>
        <w:rPr>
          <w:sz w:val="24"/>
          <w:szCs w:val="24"/>
          <w:highlight w:val="white"/>
        </w:rPr>
        <w:t xml:space="preserve">. Споры, не разрешенные в претензионном порядке, передаются на рассмотрение в Арбитражный суд Республики Мордовия.</w:t>
      </w: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</w:p>
    <w:p>
      <w:pPr>
        <w:pStyle w:val="910"/>
        <w:ind w:firstLine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95"/>
        <w:jc w:val="center"/>
        <w:rPr>
          <w:bCs/>
          <w:color w:val="000000"/>
          <w:sz w:val="24"/>
          <w:szCs w:val="24"/>
          <w:highlight w:val="white"/>
        </w:rPr>
      </w:pPr>
      <w:r>
        <w:rPr>
          <w:b/>
          <w:bCs/>
          <w:color w:val="000000"/>
          <w:sz w:val="24"/>
          <w:szCs w:val="24"/>
          <w:highlight w:val="white"/>
        </w:rPr>
        <w:t xml:space="preserve">7. Обеспечение исполнения Государственного контракта</w:t>
      </w:r>
      <w:r>
        <w:rPr>
          <w:bCs/>
          <w:color w:val="000000"/>
          <w:sz w:val="24"/>
          <w:szCs w:val="24"/>
          <w:highlight w:val="white"/>
        </w:rPr>
        <w:t xml:space="preserve"> </w:t>
      </w:r>
      <w:r>
        <w:rPr>
          <w:bCs/>
          <w:color w:val="000000"/>
          <w:sz w:val="24"/>
          <w:szCs w:val="24"/>
          <w:highlight w:val="white"/>
        </w:rPr>
      </w:r>
      <w:r>
        <w:rPr>
          <w:bCs/>
          <w:color w:val="000000"/>
          <w:sz w:val="24"/>
          <w:szCs w:val="24"/>
          <w:highlight w:val="white"/>
        </w:rPr>
      </w:r>
    </w:p>
    <w:p>
      <w:pPr>
        <w:pStyle w:val="895"/>
        <w:jc w:val="center"/>
        <w:rPr>
          <w:bCs/>
          <w:color w:val="000000"/>
          <w:sz w:val="24"/>
          <w:szCs w:val="24"/>
          <w:highlight w:val="white"/>
        </w:rPr>
      </w:pPr>
      <w:r>
        <w:rPr>
          <w:bCs/>
          <w:color w:val="000000"/>
          <w:sz w:val="24"/>
          <w:szCs w:val="24"/>
          <w:highlight w:val="white"/>
        </w:rPr>
      </w:r>
      <w:r>
        <w:rPr>
          <w:bCs/>
          <w:color w:val="000000"/>
          <w:sz w:val="24"/>
          <w:szCs w:val="24"/>
          <w:highlight w:val="white"/>
        </w:rPr>
      </w:r>
      <w:r>
        <w:rPr>
          <w:bCs/>
          <w:color w:val="000000"/>
          <w:sz w:val="24"/>
          <w:szCs w:val="24"/>
          <w:highlight w:val="white"/>
        </w:rPr>
      </w:r>
    </w:p>
    <w:p>
      <w:pPr>
        <w:pStyle w:val="1013"/>
        <w:ind w:left="-198" w:firstLine="200"/>
        <w:spacing w:before="0" w:after="0"/>
        <w:rPr>
          <w:rFonts w:ascii="Times New Roman" w:hAnsi="Times New Roman" w:cs="Times New Roman"/>
          <w:b/>
          <w:i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7.1.  Размер обеспечения исполнения Государственного контракта устанавливается в размере </w:t>
      </w:r>
      <w:r>
        <w:rPr>
          <w:rFonts w:ascii="Times New Roman" w:hAnsi="Times New Roman" w:cs="Times New Roman"/>
          <w:highlight w:val="white"/>
        </w:rPr>
        <w:t xml:space="preserve">1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</w:rPr>
        <w:t xml:space="preserve">% от цены Государственного контракта, что составляет</w:t>
      </w:r>
      <w:r>
        <w:rPr>
          <w:rFonts w:ascii="Times New Roman" w:hAnsi="Times New Roman" w:cs="Times New Roman"/>
          <w:highlight w:val="white"/>
        </w:rPr>
        <w:t xml:space="preserve"> ________</w:t>
      </w:r>
      <w:r>
        <w:rPr>
          <w:rFonts w:ascii="Times New Roman" w:hAnsi="Times New Roman" w:cs="Times New Roman"/>
          <w:i/>
          <w:highlight w:val="white"/>
        </w:rPr>
        <w:t xml:space="preserve"> (_____________</w:t>
      </w:r>
      <w:r>
        <w:rPr>
          <w:rFonts w:ascii="Times New Roman" w:hAnsi="Times New Roman" w:cs="Times New Roman"/>
          <w:b/>
          <w:i/>
          <w:highlight w:val="white"/>
        </w:rPr>
        <w:t xml:space="preserve">) рублей 00 копеек.</w:t>
      </w:r>
      <w:r>
        <w:rPr>
          <w:rFonts w:ascii="Times New Roman" w:hAnsi="Times New Roman" w:cs="Times New Roman"/>
          <w:b/>
          <w:i/>
          <w:highlight w:val="white"/>
        </w:rPr>
      </w:r>
      <w:r>
        <w:rPr>
          <w:rFonts w:ascii="Times New Roman" w:hAnsi="Times New Roman" w:cs="Times New Roman"/>
          <w:b/>
          <w:i/>
          <w:highlight w:val="white"/>
        </w:rPr>
      </w:r>
    </w:p>
    <w:p>
      <w:pPr>
        <w:pStyle w:val="1013"/>
        <w:ind w:left="-198" w:firstLine="500"/>
        <w:spacing w:before="0" w:after="0"/>
        <w:rPr>
          <w:rFonts w:ascii="Times New Roman" w:hAnsi="Times New Roman" w:cs="Times New Roman"/>
          <w:highlight w:val="white"/>
        </w:rPr>
      </w:pPr>
      <w:r>
        <w:rPr>
          <w:highlight w:val="white"/>
        </w:rPr>
      </w:r>
      <w:bookmarkStart w:id="19" w:name="_Toc189279626"/>
      <w:r>
        <w:rPr>
          <w:rFonts w:ascii="Times New Roman" w:hAnsi="Times New Roman" w:cs="Times New Roman"/>
          <w:highlight w:val="white"/>
        </w:rPr>
        <w:t xml:space="preserve">7.2</w:t>
      </w:r>
      <w:r>
        <w:rPr>
          <w:rFonts w:ascii="Times New Roman" w:hAnsi="Times New Roman" w:cs="Times New Roman"/>
          <w:highlight w:val="white"/>
        </w:rPr>
        <w:t xml:space="preserve">. В целях обеспечения исполнения обязательств по настоящему  Государственному контракту, Исполнитель предоставляет Государственному заказчику в течение срока, установленного для подписания настоящего Государственного контракта</w:t>
      </w:r>
      <w:r>
        <w:rPr>
          <w:rFonts w:ascii="Times New Roman" w:hAnsi="Times New Roman" w:cs="Times New Roman"/>
          <w:highlight w:val="white"/>
        </w:rPr>
        <w:t xml:space="preserve"> безотзывную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</w:rPr>
        <w:t xml:space="preserve">независимую </w:t>
      </w:r>
      <w:r>
        <w:rPr>
          <w:rFonts w:ascii="Times New Roman" w:hAnsi="Times New Roman" w:cs="Times New Roman"/>
          <w:highlight w:val="white"/>
        </w:rPr>
        <w:t xml:space="preserve">гарантию, соответствующую </w:t>
      </w:r>
      <w:r>
        <w:rPr>
          <w:rFonts w:ascii="Times New Roman" w:hAnsi="Times New Roman" w:cs="Times New Roman"/>
          <w:highlight w:val="white"/>
        </w:rPr>
        <w:t xml:space="preserve">требованиям статьи 45 </w:t>
      </w:r>
      <w:r>
        <w:rPr>
          <w:rFonts w:ascii="Times New Roman" w:hAnsi="Times New Roman" w:cs="Times New Roman"/>
          <w:color w:val="000000"/>
          <w:highlight w:val="white"/>
        </w:rPr>
        <w:t xml:space="preserve">закона о Контрактной системе</w:t>
      </w:r>
      <w:r>
        <w:rPr>
          <w:rFonts w:ascii="Times New Roman" w:hAnsi="Times New Roman" w:cs="Times New Roman"/>
          <w:highlight w:val="white"/>
        </w:rPr>
        <w:t xml:space="preserve">, или внесением денежных средств на указанный Государственным заказчиком счет, на котором в соответствии с законодательством Российской Федерации учитываются операции со средствами, поступающими Г</w:t>
      </w:r>
      <w:r>
        <w:rPr>
          <w:rFonts w:ascii="Times New Roman" w:hAnsi="Times New Roman" w:cs="Times New Roman"/>
          <w:highlight w:val="white"/>
        </w:rPr>
        <w:t xml:space="preserve">осударственному заказчику: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895"/>
        <w:ind w:firstLine="4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Банковские реквизиты для перечисления обеспечения контракта: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10"/>
        <w:ind w:firstLine="0"/>
        <w:rPr>
          <w:rFonts w:ascii="Times New Roman" w:hAnsi="Times New Roman"/>
          <w:i/>
          <w:sz w:val="24"/>
          <w:szCs w:val="24"/>
          <w:highlight w:val="white"/>
        </w:rPr>
      </w:pPr>
      <w:r>
        <w:rPr>
          <w:rFonts w:ascii="Times New Roman" w:hAnsi="Times New Roman"/>
          <w:i/>
          <w:sz w:val="24"/>
          <w:szCs w:val="24"/>
          <w:highlight w:val="white"/>
        </w:rPr>
        <w:t xml:space="preserve">казначейский счет: </w:t>
      </w:r>
      <w:r>
        <w:rPr>
          <w:rFonts w:ascii="Times New Roman" w:hAnsi="Times New Roman"/>
          <w:i/>
          <w:sz w:val="24"/>
          <w:szCs w:val="24"/>
          <w:highlight w:val="white"/>
        </w:rPr>
        <w:t xml:space="preserve">03222643890000000900</w:t>
      </w:r>
      <w:r>
        <w:rPr>
          <w:rFonts w:ascii="Times New Roman" w:hAnsi="Times New Roman"/>
          <w:i/>
          <w:sz w:val="24"/>
          <w:szCs w:val="24"/>
          <w:highlight w:val="white"/>
        </w:rPr>
      </w:r>
      <w:r>
        <w:rPr>
          <w:rFonts w:ascii="Times New Roman" w:hAnsi="Times New Roman"/>
          <w:i/>
          <w:sz w:val="24"/>
          <w:szCs w:val="24"/>
          <w:highlight w:val="white"/>
        </w:rPr>
      </w:r>
    </w:p>
    <w:p>
      <w:pPr>
        <w:pStyle w:val="910"/>
        <w:ind w:firstLine="0"/>
        <w:rPr>
          <w:rFonts w:ascii="Times New Roman" w:hAnsi="Times New Roman"/>
          <w:i/>
          <w:sz w:val="24"/>
          <w:szCs w:val="24"/>
          <w:highlight w:val="white"/>
        </w:rPr>
      </w:pPr>
      <w:r>
        <w:rPr>
          <w:rFonts w:ascii="Times New Roman" w:hAnsi="Times New Roman"/>
          <w:i/>
          <w:sz w:val="24"/>
          <w:szCs w:val="24"/>
          <w:highlight w:val="white"/>
        </w:rPr>
        <w:t xml:space="preserve">лицевой счет: </w:t>
      </w:r>
      <w:r>
        <w:rPr>
          <w:rFonts w:ascii="Times New Roman" w:hAnsi="Times New Roman"/>
          <w:i/>
          <w:sz w:val="24"/>
          <w:szCs w:val="24"/>
          <w:highlight w:val="white"/>
        </w:rPr>
        <w:t xml:space="preserve">05092000360</w:t>
      </w:r>
      <w:r>
        <w:rPr>
          <w:rFonts w:ascii="Times New Roman" w:hAnsi="Times New Roman"/>
          <w:i/>
          <w:sz w:val="24"/>
          <w:szCs w:val="24"/>
          <w:highlight w:val="white"/>
        </w:rPr>
      </w:r>
      <w:r>
        <w:rPr>
          <w:rFonts w:ascii="Times New Roman" w:hAnsi="Times New Roman"/>
          <w:i/>
          <w:sz w:val="24"/>
          <w:szCs w:val="24"/>
          <w:highlight w:val="white"/>
        </w:rPr>
      </w:r>
    </w:p>
    <w:p>
      <w:pPr>
        <w:pStyle w:val="910"/>
        <w:ind w:firstLine="0"/>
        <w:rPr>
          <w:rFonts w:ascii="Times New Roman" w:hAnsi="Times New Roman"/>
          <w:i/>
          <w:sz w:val="24"/>
          <w:szCs w:val="24"/>
          <w:highlight w:val="white"/>
        </w:rPr>
      </w:pPr>
      <w:r>
        <w:rPr>
          <w:rFonts w:ascii="Times New Roman" w:hAnsi="Times New Roman"/>
          <w:i/>
          <w:sz w:val="24"/>
          <w:szCs w:val="24"/>
          <w:highlight w:val="white"/>
        </w:rPr>
        <w:t xml:space="preserve">БИК: </w:t>
      </w:r>
      <w:r>
        <w:rPr>
          <w:rFonts w:ascii="Times New Roman" w:hAnsi="Times New Roman"/>
          <w:i/>
          <w:sz w:val="24"/>
          <w:szCs w:val="24"/>
          <w:highlight w:val="white"/>
        </w:rPr>
        <w:t xml:space="preserve">042202114</w:t>
      </w:r>
      <w:r>
        <w:rPr>
          <w:rFonts w:ascii="Times New Roman" w:hAnsi="Times New Roman"/>
          <w:i/>
          <w:sz w:val="24"/>
          <w:szCs w:val="24"/>
          <w:highlight w:val="white"/>
        </w:rPr>
      </w:r>
      <w:r>
        <w:rPr>
          <w:rFonts w:ascii="Times New Roman" w:hAnsi="Times New Roman"/>
          <w:i/>
          <w:sz w:val="24"/>
          <w:szCs w:val="24"/>
          <w:highlight w:val="white"/>
        </w:rPr>
      </w:r>
    </w:p>
    <w:p>
      <w:pPr>
        <w:pStyle w:val="910"/>
        <w:ind w:firstLine="0"/>
        <w:rPr>
          <w:rFonts w:ascii="Times New Roman" w:hAnsi="Times New Roman"/>
          <w:i/>
          <w:sz w:val="24"/>
          <w:szCs w:val="24"/>
          <w:highlight w:val="white"/>
        </w:rPr>
      </w:pPr>
      <w:r>
        <w:rPr>
          <w:rFonts w:ascii="Times New Roman" w:hAnsi="Times New Roman"/>
          <w:i/>
          <w:sz w:val="24"/>
          <w:szCs w:val="24"/>
          <w:highlight w:val="white"/>
        </w:rPr>
        <w:t xml:space="preserve">Наименование: </w:t>
      </w:r>
      <w:r>
        <w:rPr>
          <w:rFonts w:ascii="Times New Roman" w:hAnsi="Times New Roman"/>
          <w:i/>
          <w:sz w:val="24"/>
          <w:szCs w:val="24"/>
          <w:highlight w:val="white"/>
        </w:rPr>
        <w:t xml:space="preserve">ОКЦ №1 Волго-Вятского ГУ Банка России</w:t>
      </w:r>
      <w:r>
        <w:rPr>
          <w:rFonts w:ascii="Times New Roman" w:hAnsi="Times New Roman"/>
          <w:i/>
          <w:sz w:val="24"/>
          <w:szCs w:val="24"/>
          <w:highlight w:val="white"/>
        </w:rPr>
        <w:t xml:space="preserve">//УФК по Республике Мордовия, г. Саранск</w:t>
      </w:r>
      <w:r>
        <w:rPr>
          <w:rFonts w:ascii="Times New Roman" w:hAnsi="Times New Roman"/>
          <w:i/>
          <w:sz w:val="24"/>
          <w:szCs w:val="24"/>
          <w:highlight w:val="white"/>
        </w:rPr>
      </w:r>
      <w:r>
        <w:rPr>
          <w:rFonts w:ascii="Times New Roman" w:hAnsi="Times New Roman"/>
          <w:i/>
          <w:sz w:val="24"/>
          <w:szCs w:val="24"/>
          <w:highlight w:val="white"/>
        </w:rPr>
      </w:r>
    </w:p>
    <w:p>
      <w:pPr>
        <w:pStyle w:val="910"/>
        <w:ind w:firstLine="0"/>
        <w:rPr>
          <w:rFonts w:ascii="Times New Roman" w:hAnsi="Times New Roman"/>
          <w:i/>
          <w:sz w:val="24"/>
          <w:szCs w:val="24"/>
          <w:highlight w:val="white"/>
        </w:rPr>
      </w:pPr>
      <w:r>
        <w:rPr>
          <w:rFonts w:ascii="Times New Roman" w:hAnsi="Times New Roman"/>
          <w:i/>
          <w:sz w:val="24"/>
          <w:szCs w:val="24"/>
          <w:highlight w:val="white"/>
        </w:rPr>
        <w:t xml:space="preserve">ИНН: </w:t>
      </w:r>
      <w:r>
        <w:rPr>
          <w:rFonts w:ascii="Times New Roman" w:hAnsi="Times New Roman"/>
          <w:i/>
          <w:sz w:val="24"/>
          <w:szCs w:val="24"/>
          <w:highlight w:val="white"/>
        </w:rPr>
        <w:t xml:space="preserve">1326196216</w:t>
      </w:r>
      <w:r>
        <w:rPr>
          <w:rFonts w:ascii="Times New Roman" w:hAnsi="Times New Roman"/>
          <w:i/>
          <w:sz w:val="24"/>
          <w:szCs w:val="24"/>
          <w:highlight w:val="white"/>
        </w:rPr>
      </w:r>
      <w:r>
        <w:rPr>
          <w:rFonts w:ascii="Times New Roman" w:hAnsi="Times New Roman"/>
          <w:i/>
          <w:sz w:val="24"/>
          <w:szCs w:val="24"/>
          <w:highlight w:val="white"/>
        </w:rPr>
      </w:r>
    </w:p>
    <w:p>
      <w:pPr>
        <w:pStyle w:val="910"/>
        <w:ind w:firstLine="0"/>
        <w:rPr>
          <w:rFonts w:ascii="Times New Roman" w:hAnsi="Times New Roman"/>
          <w:i/>
          <w:sz w:val="24"/>
          <w:szCs w:val="24"/>
          <w:highlight w:val="white"/>
        </w:rPr>
      </w:pPr>
      <w:r>
        <w:rPr>
          <w:rFonts w:ascii="Times New Roman" w:hAnsi="Times New Roman"/>
          <w:i/>
          <w:sz w:val="24"/>
          <w:szCs w:val="24"/>
          <w:highlight w:val="white"/>
        </w:rPr>
        <w:t xml:space="preserve">КПП: </w:t>
      </w:r>
      <w:r>
        <w:rPr>
          <w:rFonts w:ascii="Times New Roman" w:hAnsi="Times New Roman"/>
          <w:i/>
          <w:sz w:val="24"/>
          <w:szCs w:val="24"/>
          <w:highlight w:val="white"/>
        </w:rPr>
        <w:t xml:space="preserve">132601001</w:t>
      </w:r>
      <w:r>
        <w:rPr>
          <w:rFonts w:ascii="Times New Roman" w:hAnsi="Times New Roman"/>
          <w:i/>
          <w:sz w:val="24"/>
          <w:szCs w:val="24"/>
          <w:highlight w:val="white"/>
        </w:rPr>
      </w:r>
      <w:r>
        <w:rPr>
          <w:rFonts w:ascii="Times New Roman" w:hAnsi="Times New Roman"/>
          <w:i/>
          <w:sz w:val="24"/>
          <w:szCs w:val="24"/>
          <w:highlight w:val="white"/>
        </w:rPr>
      </w:r>
    </w:p>
    <w:p>
      <w:pPr>
        <w:pStyle w:val="910"/>
        <w:ind w:firstLine="0"/>
        <w:rPr>
          <w:rFonts w:ascii="Times New Roman" w:hAnsi="Times New Roman"/>
          <w:i/>
          <w:sz w:val="24"/>
          <w:szCs w:val="24"/>
          <w:highlight w:val="white"/>
        </w:rPr>
      </w:pPr>
      <w:r>
        <w:rPr>
          <w:rFonts w:ascii="Times New Roman" w:hAnsi="Times New Roman"/>
          <w:i/>
          <w:sz w:val="24"/>
          <w:szCs w:val="24"/>
          <w:highlight w:val="white"/>
        </w:rPr>
        <w:t xml:space="preserve">единый казначейский счет </w:t>
      </w:r>
      <w:r>
        <w:rPr>
          <w:rFonts w:ascii="Times New Roman" w:hAnsi="Times New Roman"/>
          <w:i/>
          <w:sz w:val="24"/>
          <w:szCs w:val="24"/>
          <w:highlight w:val="white"/>
        </w:rPr>
        <w:t xml:space="preserve">401028105453700000114</w:t>
      </w:r>
      <w:r>
        <w:rPr>
          <w:rFonts w:ascii="Times New Roman" w:hAnsi="Times New Roman"/>
          <w:i/>
          <w:sz w:val="24"/>
          <w:szCs w:val="24"/>
          <w:highlight w:val="white"/>
        </w:rPr>
      </w:r>
      <w:r>
        <w:rPr>
          <w:rFonts w:ascii="Times New Roman" w:hAnsi="Times New Roman"/>
          <w:i/>
          <w:sz w:val="24"/>
          <w:szCs w:val="24"/>
          <w:highlight w:val="white"/>
        </w:rPr>
      </w:r>
    </w:p>
    <w:p>
      <w:pPr>
        <w:pStyle w:val="895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В назначении платежа указать код средств «СВР» и предмет контракта.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013"/>
        <w:ind w:left="-198" w:firstLine="500"/>
        <w:spacing w:before="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Способ обеспечения исполнения Государственного контракта определяется Исполнителем самостоятельно.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1013"/>
        <w:ind w:left="-198" w:firstLine="200"/>
        <w:spacing w:before="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7.3. </w:t>
      </w:r>
      <w:r>
        <w:rPr>
          <w:rFonts w:ascii="Times New Roman" w:hAnsi="Times New Roman" w:cs="Times New Roman"/>
          <w:highlight w:val="white"/>
        </w:rPr>
        <w:t xml:space="preserve">Срок действия независим</w:t>
      </w:r>
      <w:r>
        <w:rPr>
          <w:rFonts w:ascii="Times New Roman" w:hAnsi="Times New Roman" w:cs="Times New Roman"/>
          <w:highlight w:val="white"/>
        </w:rPr>
        <w:t xml:space="preserve">ой гарантии определяется Исполнителем самостоятельно.</w:t>
      </w:r>
      <w:r>
        <w:rPr>
          <w:rFonts w:ascii="Times New Roman" w:hAnsi="Times New Roman" w:cs="Times New Roman"/>
          <w:highlight w:val="white"/>
        </w:rPr>
        <w:t xml:space="preserve"> При этом срок действия независим</w:t>
      </w:r>
      <w:r>
        <w:rPr>
          <w:rFonts w:ascii="Times New Roman" w:hAnsi="Times New Roman" w:cs="Times New Roman"/>
          <w:highlight w:val="white"/>
        </w:rPr>
        <w:t xml:space="preserve">ой гарантии должен превышать предусмотренный Государственным контрактом срок исполнения обязательств, которые должн</w:t>
      </w:r>
      <w:r>
        <w:rPr>
          <w:rFonts w:ascii="Times New Roman" w:hAnsi="Times New Roman" w:cs="Times New Roman"/>
          <w:highlight w:val="white"/>
        </w:rPr>
        <w:t xml:space="preserve">ы быть обеспечены такой независим</w:t>
      </w:r>
      <w:r>
        <w:rPr>
          <w:rFonts w:ascii="Times New Roman" w:hAnsi="Times New Roman" w:cs="Times New Roman"/>
          <w:highlight w:val="white"/>
        </w:rPr>
        <w:t xml:space="preserve">ой гарантией, не менее чем на один месяц, в том числе в случае его изменения в соответствии со </w:t>
      </w:r>
      <w:r>
        <w:rPr>
          <w:rFonts w:ascii="Times New Roman" w:hAnsi="Times New Roman" w:cs="Times New Roman"/>
          <w:highlight w:val="white"/>
        </w:rPr>
        <w:fldChar w:fldCharType="begin"/>
      </w:r>
      <w:r>
        <w:rPr>
          <w:rFonts w:ascii="Times New Roman" w:hAnsi="Times New Roman" w:cs="Times New Roman"/>
          <w:highlight w:val="white"/>
        </w:rPr>
        <w:instrText xml:space="preserve">HYPERLINK \l "sub_95"</w:instrText>
      </w:r>
      <w:r>
        <w:rPr>
          <w:rFonts w:ascii="Times New Roman" w:hAnsi="Times New Roman" w:cs="Times New Roman"/>
          <w:highlight w:val="white"/>
        </w:rPr>
        <w:fldChar w:fldCharType="separate"/>
      </w:r>
      <w:r>
        <w:rPr>
          <w:rFonts w:ascii="Times New Roman" w:hAnsi="Times New Roman" w:cs="Times New Roman"/>
          <w:highlight w:val="white"/>
        </w:rPr>
        <w:t xml:space="preserve">статьей 95</w:t>
      </w:r>
      <w:r>
        <w:rPr>
          <w:rFonts w:ascii="Times New Roman" w:hAnsi="Times New Roman" w:cs="Times New Roman"/>
          <w:highlight w:val="white"/>
        </w:rPr>
        <w:fldChar w:fldCharType="end"/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highlight w:val="white"/>
        </w:rPr>
        <w:t xml:space="preserve">закона о Контрактной системе</w:t>
      </w:r>
      <w:r>
        <w:rPr>
          <w:rFonts w:ascii="Times New Roman" w:hAnsi="Times New Roman" w:cs="Times New Roman"/>
          <w:highlight w:val="white"/>
        </w:rPr>
        <w:t xml:space="preserve">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1013"/>
        <w:ind w:firstLine="598"/>
        <w:spacing w:before="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</w:rPr>
        <w:t xml:space="preserve">В независимую гарантию включается условие об обязанности гаранта уплатить заказ</w:t>
      </w:r>
      <w:r>
        <w:rPr>
          <w:rFonts w:ascii="Times New Roman" w:hAnsi="Times New Roman" w:cs="Times New Roman"/>
          <w:highlight w:val="white"/>
        </w:rPr>
        <w:t xml:space="preserve">чику (бенефициару) денежную сумму по независимой гарантии не позднее десяти рабочих дней со дня, следующего за днем получения гарантом требования заказчика (бенефициара), соответствующего условиям такой независимой гарантии, при отсутствии предусмотренных </w:t>
      </w:r>
      <w:r>
        <w:rPr>
          <w:rFonts w:ascii="Times New Roman" w:hAnsi="Times New Roman" w:cs="Times New Roman"/>
          <w:highlight w:val="white"/>
        </w:rPr>
        <w:fldChar w:fldCharType="begin"/>
      </w:r>
      <w:r>
        <w:rPr>
          <w:rFonts w:ascii="Times New Roman" w:hAnsi="Times New Roman" w:cs="Times New Roman"/>
          <w:highlight w:val="white"/>
        </w:rPr>
        <w:instrText xml:space="preserve"> HYPERLINK "https://internet.garant.ru/" \l "/document/10164072/entry/0" </w:instrText>
      </w:r>
      <w:r>
        <w:rPr>
          <w:rFonts w:ascii="Times New Roman" w:hAnsi="Times New Roman" w:cs="Times New Roman"/>
          <w:highlight w:val="white"/>
        </w:rPr>
        <w:fldChar w:fldCharType="separate"/>
      </w:r>
      <w:r>
        <w:rPr>
          <w:rStyle w:val="979"/>
          <w:rFonts w:ascii="Times New Roman" w:hAnsi="Times New Roman" w:cs="Times New Roman"/>
          <w:color w:val="000000"/>
          <w:highlight w:val="white"/>
          <w:u w:val="none"/>
        </w:rPr>
        <w:t xml:space="preserve">Гражданским кодексом</w:t>
      </w:r>
      <w:r>
        <w:rPr>
          <w:rFonts w:ascii="Times New Roman" w:hAnsi="Times New Roman" w:cs="Times New Roman"/>
          <w:highlight w:val="white"/>
        </w:rPr>
        <w:fldChar w:fldCharType="end"/>
      </w:r>
      <w:r>
        <w:rPr>
          <w:rFonts w:ascii="Times New Roman" w:hAnsi="Times New Roman" w:cs="Times New Roman"/>
          <w:highlight w:val="white"/>
        </w:rPr>
        <w:t xml:space="preserve"> Российской Федерации оснований для отказа в удовлетворении этого требования.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1013"/>
        <w:ind w:firstLine="598"/>
        <w:spacing w:before="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В случае отзыва в соответствии с законодательством Российской Федерации у банка, предоставившего </w:t>
      </w:r>
      <w:r>
        <w:rPr>
          <w:rFonts w:ascii="Times New Roman" w:hAnsi="Times New Roman" w:cs="Times New Roman"/>
          <w:highlight w:val="white"/>
        </w:rPr>
        <w:t xml:space="preserve">независимую </w:t>
      </w:r>
      <w:r>
        <w:rPr>
          <w:rFonts w:ascii="Times New Roman" w:hAnsi="Times New Roman" w:cs="Times New Roman"/>
          <w:highlight w:val="white"/>
        </w:rPr>
        <w:t xml:space="preserve">гарантию в качестве обеспечения исполнения контракта, лицензии на осуществление банковских операций Исполнитель обязан предоставить новое обеспечение исполнения Государственн</w:t>
      </w:r>
      <w:r>
        <w:rPr>
          <w:rFonts w:ascii="Times New Roman" w:hAnsi="Times New Roman" w:cs="Times New Roman"/>
          <w:highlight w:val="white"/>
        </w:rPr>
        <w:t xml:space="preserve">ого контракта не позднее одного месяца со дня надлежащего уведомления Государственным заказчиком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</w:t>
      </w:r>
      <w:r>
        <w:rPr>
          <w:rFonts w:ascii="Times New Roman" w:hAnsi="Times New Roman" w:cs="Times New Roman"/>
          <w:highlight w:val="white"/>
        </w:rPr>
        <w:fldChar w:fldCharType="begin"/>
      </w:r>
      <w:r>
        <w:rPr>
          <w:rFonts w:ascii="Times New Roman" w:hAnsi="Times New Roman" w:cs="Times New Roman"/>
          <w:highlight w:val="white"/>
        </w:rPr>
        <w:instrText xml:space="preserve">HYPERLINK "http://mobileonline.garant.ru/" \l "/document/70353464/entry/967"</w:instrText>
      </w:r>
      <w:r>
        <w:rPr>
          <w:rFonts w:ascii="Times New Roman" w:hAnsi="Times New Roman" w:cs="Times New Roman"/>
          <w:highlight w:val="white"/>
        </w:rPr>
        <w:fldChar w:fldCharType="separate"/>
      </w:r>
      <w:r>
        <w:rPr>
          <w:rFonts w:ascii="Times New Roman" w:hAnsi="Times New Roman" w:cs="Times New Roman"/>
          <w:highlight w:val="white"/>
        </w:rPr>
        <w:t xml:space="preserve">частями 7</w:t>
      </w:r>
      <w:r>
        <w:rPr>
          <w:rFonts w:ascii="Times New Roman" w:hAnsi="Times New Roman" w:cs="Times New Roman"/>
          <w:highlight w:val="white"/>
        </w:rPr>
        <w:fldChar w:fldCharType="end"/>
      </w:r>
      <w:r>
        <w:rPr>
          <w:rFonts w:ascii="Times New Roman" w:hAnsi="Times New Roman" w:cs="Times New Roman"/>
          <w:highlight w:val="white"/>
        </w:rPr>
        <w:t xml:space="preserve">, </w:t>
      </w:r>
      <w:r>
        <w:rPr>
          <w:rFonts w:ascii="Times New Roman" w:hAnsi="Times New Roman" w:cs="Times New Roman"/>
          <w:highlight w:val="white"/>
        </w:rPr>
        <w:fldChar w:fldCharType="begin"/>
      </w:r>
      <w:r>
        <w:rPr>
          <w:rFonts w:ascii="Times New Roman" w:hAnsi="Times New Roman" w:cs="Times New Roman"/>
          <w:highlight w:val="white"/>
        </w:rPr>
        <w:instrText xml:space="preserve">HYPERLINK "http://mobileonline.garant.ru/" \l "/document/70353464/entry/9671"</w:instrText>
      </w:r>
      <w:r>
        <w:rPr>
          <w:rFonts w:ascii="Times New Roman" w:hAnsi="Times New Roman" w:cs="Times New Roman"/>
          <w:highlight w:val="white"/>
        </w:rPr>
        <w:fldChar w:fldCharType="separate"/>
      </w:r>
      <w:r>
        <w:rPr>
          <w:rFonts w:ascii="Times New Roman" w:hAnsi="Times New Roman" w:cs="Times New Roman"/>
          <w:highlight w:val="white"/>
        </w:rPr>
        <w:t xml:space="preserve">7.1</w:t>
      </w:r>
      <w:r>
        <w:rPr>
          <w:rFonts w:ascii="Times New Roman" w:hAnsi="Times New Roman" w:cs="Times New Roman"/>
          <w:highlight w:val="white"/>
        </w:rPr>
        <w:fldChar w:fldCharType="end"/>
      </w:r>
      <w:r>
        <w:rPr>
          <w:rFonts w:ascii="Times New Roman" w:hAnsi="Times New Roman" w:cs="Times New Roman"/>
          <w:highlight w:val="white"/>
        </w:rPr>
        <w:t xml:space="preserve">, </w:t>
      </w:r>
      <w:r>
        <w:rPr>
          <w:rFonts w:ascii="Times New Roman" w:hAnsi="Times New Roman" w:cs="Times New Roman"/>
          <w:highlight w:val="white"/>
        </w:rPr>
        <w:fldChar w:fldCharType="begin"/>
      </w:r>
      <w:r>
        <w:rPr>
          <w:rFonts w:ascii="Times New Roman" w:hAnsi="Times New Roman" w:cs="Times New Roman"/>
          <w:highlight w:val="white"/>
        </w:rPr>
        <w:instrText xml:space="preserve">HYPERLINK "http://mobileonline.garant.ru/" \l "/document/70353464/entry/9672"</w:instrText>
      </w:r>
      <w:r>
        <w:rPr>
          <w:rFonts w:ascii="Times New Roman" w:hAnsi="Times New Roman" w:cs="Times New Roman"/>
          <w:highlight w:val="white"/>
        </w:rPr>
        <w:fldChar w:fldCharType="separate"/>
      </w:r>
      <w:r>
        <w:rPr>
          <w:rFonts w:ascii="Times New Roman" w:hAnsi="Times New Roman" w:cs="Times New Roman"/>
          <w:highlight w:val="white"/>
        </w:rPr>
        <w:t xml:space="preserve">7.2</w:t>
      </w:r>
      <w:r>
        <w:rPr>
          <w:rFonts w:ascii="Times New Roman" w:hAnsi="Times New Roman" w:cs="Times New Roman"/>
          <w:highlight w:val="white"/>
        </w:rPr>
        <w:fldChar w:fldCharType="end"/>
      </w:r>
      <w:r>
        <w:rPr>
          <w:rFonts w:ascii="Times New Roman" w:hAnsi="Times New Roman" w:cs="Times New Roman"/>
          <w:highlight w:val="white"/>
        </w:rPr>
        <w:t xml:space="preserve"> и </w:t>
      </w:r>
      <w:r>
        <w:rPr>
          <w:rFonts w:ascii="Times New Roman" w:hAnsi="Times New Roman" w:cs="Times New Roman"/>
          <w:highlight w:val="white"/>
        </w:rPr>
        <w:fldChar w:fldCharType="begin"/>
      </w:r>
      <w:r>
        <w:rPr>
          <w:rFonts w:ascii="Times New Roman" w:hAnsi="Times New Roman" w:cs="Times New Roman"/>
          <w:highlight w:val="white"/>
        </w:rPr>
        <w:instrText xml:space="preserve">HYPERLINK "http://mobileonline.garant.ru/" \l "/document/70353464/entry/9673"</w:instrText>
      </w:r>
      <w:r>
        <w:rPr>
          <w:rFonts w:ascii="Times New Roman" w:hAnsi="Times New Roman" w:cs="Times New Roman"/>
          <w:highlight w:val="white"/>
        </w:rPr>
        <w:fldChar w:fldCharType="separate"/>
      </w:r>
      <w:r>
        <w:rPr>
          <w:rFonts w:ascii="Times New Roman" w:hAnsi="Times New Roman" w:cs="Times New Roman"/>
          <w:highlight w:val="white"/>
        </w:rPr>
        <w:t xml:space="preserve">7.3 статьи 96</w:t>
      </w:r>
      <w:r>
        <w:rPr>
          <w:rFonts w:ascii="Times New Roman" w:hAnsi="Times New Roman" w:cs="Times New Roman"/>
          <w:highlight w:val="white"/>
        </w:rPr>
        <w:fldChar w:fldCharType="end"/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highlight w:val="white"/>
        </w:rPr>
        <w:t xml:space="preserve">закона о Контрактной системе</w:t>
      </w:r>
      <w:r>
        <w:rPr>
          <w:rFonts w:ascii="Times New Roman" w:hAnsi="Times New Roman" w:cs="Times New Roman"/>
          <w:highlight w:val="white"/>
        </w:rPr>
        <w:t xml:space="preserve">. За каждый день просрочки исполнения Исполнителем обязательства, предусмотренного частью 30 статьи 34 </w:t>
      </w:r>
      <w:r>
        <w:rPr>
          <w:rFonts w:ascii="Times New Roman" w:hAnsi="Times New Roman" w:cs="Times New Roman"/>
          <w:color w:val="000000"/>
          <w:highlight w:val="white"/>
        </w:rPr>
        <w:t xml:space="preserve">закона о Контрактной системе</w:t>
      </w:r>
      <w:r>
        <w:rPr>
          <w:rFonts w:ascii="Times New Roman" w:hAnsi="Times New Roman" w:cs="Times New Roman"/>
          <w:highlight w:val="white"/>
        </w:rPr>
        <w:t xml:space="preserve">, начисляется пеня в размере, определенном в порядке, установленном в соответствии с </w:t>
      </w:r>
      <w:r>
        <w:rPr>
          <w:rFonts w:ascii="Times New Roman" w:hAnsi="Times New Roman" w:cs="Times New Roman"/>
          <w:highlight w:val="white"/>
        </w:rPr>
        <w:fldChar w:fldCharType="begin"/>
      </w:r>
      <w:r>
        <w:rPr>
          <w:rFonts w:ascii="Times New Roman" w:hAnsi="Times New Roman" w:cs="Times New Roman"/>
          <w:highlight w:val="white"/>
        </w:rPr>
        <w:instrText xml:space="preserve">HYPERLINK "http://mobileonline.garant.ru/" \l "/document/70353464/entry/347"</w:instrText>
      </w:r>
      <w:r>
        <w:rPr>
          <w:rFonts w:ascii="Times New Roman" w:hAnsi="Times New Roman" w:cs="Times New Roman"/>
          <w:highlight w:val="white"/>
        </w:rPr>
        <w:fldChar w:fldCharType="separate"/>
      </w:r>
      <w:r>
        <w:rPr>
          <w:rFonts w:ascii="Times New Roman" w:hAnsi="Times New Roman" w:cs="Times New Roman"/>
          <w:highlight w:val="white"/>
        </w:rPr>
        <w:t xml:space="preserve">частью 7</w:t>
      </w:r>
      <w:r>
        <w:rPr>
          <w:rFonts w:ascii="Times New Roman" w:hAnsi="Times New Roman" w:cs="Times New Roman"/>
          <w:highlight w:val="white"/>
        </w:rPr>
        <w:fldChar w:fldCharType="end"/>
      </w:r>
      <w:r>
        <w:rPr>
          <w:rFonts w:ascii="Times New Roman" w:hAnsi="Times New Roman" w:cs="Times New Roman"/>
          <w:highlight w:val="white"/>
        </w:rPr>
        <w:t xml:space="preserve">  статьи 34 </w:t>
      </w:r>
      <w:r>
        <w:rPr>
          <w:rFonts w:ascii="Times New Roman" w:hAnsi="Times New Roman" w:cs="Times New Roman"/>
          <w:color w:val="000000"/>
          <w:highlight w:val="white"/>
        </w:rPr>
        <w:t xml:space="preserve">закона о Контрактной системе</w:t>
      </w:r>
      <w:r>
        <w:rPr>
          <w:rFonts w:ascii="Times New Roman" w:hAnsi="Times New Roman" w:cs="Times New Roman"/>
          <w:highlight w:val="white"/>
        </w:rPr>
        <w:t xml:space="preserve">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1013"/>
        <w:ind w:left="-200" w:firstLine="200"/>
        <w:spacing w:before="0" w:after="0"/>
        <w:rPr>
          <w:rStyle w:val="938"/>
          <w:rFonts w:ascii="Times New Roman" w:hAnsi="Times New Roman" w:cs="Times New Roman"/>
          <w:b w:val="0"/>
          <w:highlight w:val="white"/>
        </w:rPr>
      </w:pPr>
      <w:r>
        <w:rPr>
          <w:rStyle w:val="938"/>
          <w:rFonts w:ascii="Times New Roman" w:hAnsi="Times New Roman" w:cs="Times New Roman"/>
          <w:b w:val="0"/>
          <w:highlight w:val="white"/>
        </w:rPr>
        <w:t xml:space="preserve">   </w:t>
      </w:r>
      <w:r>
        <w:rPr>
          <w:rStyle w:val="938"/>
          <w:rFonts w:ascii="Times New Roman" w:hAnsi="Times New Roman" w:cs="Times New Roman"/>
          <w:b w:val="0"/>
          <w:highlight w:val="white"/>
        </w:rPr>
        <w:t xml:space="preserve"> </w:t>
      </w:r>
      <w:r>
        <w:rPr>
          <w:rStyle w:val="938"/>
          <w:rFonts w:ascii="Times New Roman" w:hAnsi="Times New Roman" w:cs="Times New Roman"/>
          <w:b w:val="0"/>
          <w:highlight w:val="white"/>
        </w:rPr>
        <w:t xml:space="preserve"> 7.4. Если участником закупки, с которым заключается настоящий Государственный контракт, является казенное учреждение, предоставление обеспечения исполнения Государственного контракта не требуется (в соответствии с частью 8 статьи 96 </w:t>
      </w:r>
      <w:r>
        <w:rPr>
          <w:rFonts w:ascii="Times New Roman" w:hAnsi="Times New Roman" w:cs="Times New Roman"/>
          <w:color w:val="000000"/>
          <w:highlight w:val="white"/>
        </w:rPr>
        <w:t xml:space="preserve">закона о Контрактной системе</w:t>
      </w:r>
      <w:r>
        <w:rPr>
          <w:rStyle w:val="938"/>
          <w:rFonts w:ascii="Times New Roman" w:hAnsi="Times New Roman" w:cs="Times New Roman"/>
          <w:b w:val="0"/>
          <w:highlight w:val="white"/>
        </w:rPr>
        <w:t xml:space="preserve">).</w:t>
      </w:r>
      <w:r>
        <w:rPr>
          <w:rStyle w:val="938"/>
          <w:rFonts w:ascii="Times New Roman" w:hAnsi="Times New Roman" w:cs="Times New Roman"/>
          <w:b w:val="0"/>
          <w:highlight w:val="white"/>
        </w:rPr>
      </w:r>
      <w:r>
        <w:rPr>
          <w:rStyle w:val="938"/>
          <w:rFonts w:ascii="Times New Roman" w:hAnsi="Times New Roman" w:cs="Times New Roman"/>
          <w:b w:val="0"/>
          <w:highlight w:val="white"/>
        </w:rPr>
      </w:r>
    </w:p>
    <w:p>
      <w:pPr>
        <w:pStyle w:val="1013"/>
        <w:ind w:left="-200" w:firstLine="200"/>
        <w:spacing w:before="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</w:t>
      </w:r>
      <w:r>
        <w:rPr>
          <w:rFonts w:ascii="Times New Roman" w:hAnsi="Times New Roman" w:cs="Times New Roman"/>
          <w:highlight w:val="white"/>
        </w:rPr>
        <w:t xml:space="preserve">7.5. Настоящий Государственный контракт заключен после предоставления Исполнителем Государственному заказчику обеспечения исполнения настоящего Государстве</w:t>
      </w:r>
      <w:r>
        <w:rPr>
          <w:rFonts w:ascii="Times New Roman" w:hAnsi="Times New Roman" w:cs="Times New Roman"/>
          <w:highlight w:val="white"/>
        </w:rPr>
        <w:t xml:space="preserve">нного контракта в форме Независим</w:t>
      </w:r>
      <w:r>
        <w:rPr>
          <w:rFonts w:ascii="Times New Roman" w:hAnsi="Times New Roman" w:cs="Times New Roman"/>
          <w:highlight w:val="white"/>
        </w:rPr>
        <w:t xml:space="preserve">ой гарантии № ______ от _______ /перечисления Исполнителем на счет Государственного заказчика денежных средств в размере____________________).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1013"/>
        <w:ind w:left="-200" w:firstLine="200"/>
        <w:spacing w:before="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</w:t>
      </w:r>
      <w:r>
        <w:rPr>
          <w:rFonts w:ascii="Times New Roman" w:hAnsi="Times New Roman" w:cs="Times New Roman"/>
          <w:highlight w:val="white"/>
        </w:rPr>
        <w:t xml:space="preserve">7.6. Денежные средства, указанные в п. 7.5. настоящего Государственного контракта возвращаются Государственным заказчиком Исполнителю </w:t>
      </w:r>
      <w:r>
        <w:rPr>
          <w:rFonts w:ascii="Times New Roman" w:hAnsi="Times New Roman" w:cs="Times New Roman"/>
          <w:i/>
          <w:highlight w:val="white"/>
        </w:rPr>
        <w:t xml:space="preserve">в течение 15 календарных дней </w:t>
      </w:r>
      <w:r>
        <w:rPr>
          <w:rFonts w:ascii="Times New Roman" w:hAnsi="Times New Roman" w:cs="Times New Roman"/>
          <w:highlight w:val="white"/>
        </w:rPr>
        <w:t xml:space="preserve">со дня подписания Сторонами акта выполненных работ в полном объеме, предусмотренном настоящим Государственным контрактом.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895"/>
        <w:ind w:left="-200" w:firstLine="200"/>
        <w:jc w:val="both"/>
        <w:rPr>
          <w:color w:val="000000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 </w:t>
      </w:r>
      <w:r>
        <w:rPr>
          <w:sz w:val="24"/>
          <w:szCs w:val="24"/>
          <w:highlight w:val="white"/>
        </w:rPr>
        <w:t xml:space="preserve">7.7. </w:t>
      </w:r>
      <w:r>
        <w:rPr>
          <w:color w:val="000000"/>
          <w:sz w:val="24"/>
          <w:szCs w:val="24"/>
          <w:highlight w:val="white"/>
        </w:rPr>
        <w:t xml:space="preserve">В ходе исполнения </w:t>
      </w:r>
      <w:r>
        <w:rPr>
          <w:sz w:val="24"/>
          <w:szCs w:val="24"/>
          <w:highlight w:val="white"/>
        </w:rPr>
        <w:t xml:space="preserve">настоящего Государственного контракта Исполнитель </w:t>
      </w:r>
      <w:r>
        <w:rPr>
          <w:color w:val="000000"/>
          <w:sz w:val="24"/>
          <w:szCs w:val="24"/>
          <w:highlight w:val="white"/>
        </w:rPr>
        <w:t xml:space="preserve">вправе изменить способ обеспеч</w:t>
      </w:r>
      <w:r>
        <w:rPr>
          <w:color w:val="000000"/>
          <w:sz w:val="24"/>
          <w:szCs w:val="24"/>
          <w:highlight w:val="white"/>
        </w:rPr>
        <w:t xml:space="preserve">ения исполнения контракта и (или) предоставить Государственному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</w:t>
      </w:r>
      <w:r>
        <w:rPr>
          <w:color w:val="000000"/>
          <w:sz w:val="24"/>
          <w:szCs w:val="24"/>
          <w:highlight w:val="white"/>
        </w:rPr>
        <w:fldChar w:fldCharType="begin"/>
      </w:r>
      <w:r>
        <w:rPr>
          <w:color w:val="000000"/>
          <w:sz w:val="24"/>
          <w:szCs w:val="24"/>
          <w:highlight w:val="white"/>
        </w:rPr>
        <w:instrText xml:space="preserve">HYPERLINK \l "sub_9672"</w:instrText>
      </w:r>
      <w:r>
        <w:rPr>
          <w:color w:val="000000"/>
          <w:sz w:val="24"/>
          <w:szCs w:val="24"/>
          <w:highlight w:val="white"/>
        </w:rPr>
        <w:fldChar w:fldCharType="separate"/>
      </w:r>
      <w:r>
        <w:rPr>
          <w:color w:val="000000"/>
          <w:sz w:val="24"/>
          <w:szCs w:val="24"/>
          <w:highlight w:val="white"/>
        </w:rPr>
        <w:t xml:space="preserve">частями 7.2</w:t>
      </w:r>
      <w:r>
        <w:rPr>
          <w:color w:val="000000"/>
          <w:sz w:val="24"/>
          <w:szCs w:val="24"/>
          <w:highlight w:val="white"/>
        </w:rPr>
        <w:fldChar w:fldCharType="end"/>
      </w:r>
      <w:r>
        <w:rPr>
          <w:color w:val="000000"/>
          <w:sz w:val="24"/>
          <w:szCs w:val="24"/>
          <w:highlight w:val="white"/>
        </w:rPr>
        <w:t xml:space="preserve"> и </w:t>
      </w:r>
      <w:r>
        <w:rPr>
          <w:color w:val="000000"/>
          <w:sz w:val="24"/>
          <w:szCs w:val="24"/>
          <w:highlight w:val="white"/>
        </w:rPr>
        <w:fldChar w:fldCharType="begin"/>
      </w:r>
      <w:r>
        <w:rPr>
          <w:color w:val="000000"/>
          <w:sz w:val="24"/>
          <w:szCs w:val="24"/>
          <w:highlight w:val="white"/>
        </w:rPr>
        <w:instrText xml:space="preserve">HYPERLINK \l "sub_9673"</w:instrText>
      </w:r>
      <w:r>
        <w:rPr>
          <w:color w:val="000000"/>
          <w:sz w:val="24"/>
          <w:szCs w:val="24"/>
          <w:highlight w:val="white"/>
        </w:rPr>
        <w:fldChar w:fldCharType="separate"/>
      </w:r>
      <w:r>
        <w:rPr>
          <w:color w:val="000000"/>
          <w:sz w:val="24"/>
          <w:szCs w:val="24"/>
          <w:highlight w:val="white"/>
        </w:rPr>
        <w:t xml:space="preserve">7.3</w:t>
      </w:r>
      <w:r>
        <w:rPr>
          <w:color w:val="000000"/>
          <w:sz w:val="24"/>
          <w:szCs w:val="24"/>
          <w:highlight w:val="white"/>
        </w:rPr>
        <w:fldChar w:fldCharType="end"/>
      </w:r>
      <w:r>
        <w:rPr>
          <w:color w:val="000000"/>
          <w:sz w:val="24"/>
          <w:szCs w:val="24"/>
          <w:highlight w:val="white"/>
        </w:rPr>
        <w:t xml:space="preserve">  статьи 96 закона о Контрактной системе. 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left="-200" w:firstLine="200"/>
        <w:jc w:val="both"/>
        <w:tabs>
          <w:tab w:val="left" w:pos="300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ab/>
      </w:r>
      <w:r>
        <w:rPr>
          <w:sz w:val="24"/>
          <w:szCs w:val="24"/>
          <w:highlight w:val="white"/>
        </w:rPr>
        <w:t xml:space="preserve">7.8. Участник закупки, с которым заключается контракт по результатам определения Исполнителя  в соответствии с </w:t>
      </w:r>
      <w:r>
        <w:rPr>
          <w:sz w:val="24"/>
          <w:szCs w:val="24"/>
          <w:highlight w:val="white"/>
        </w:rPr>
        <w:fldChar w:fldCharType="begin"/>
      </w:r>
      <w:r>
        <w:rPr>
          <w:sz w:val="24"/>
          <w:szCs w:val="24"/>
          <w:highlight w:val="white"/>
        </w:rPr>
        <w:instrText xml:space="preserve">HYPERLINK \l "sub_30101"</w:instrText>
      </w:r>
      <w:r>
        <w:rPr>
          <w:sz w:val="24"/>
          <w:szCs w:val="24"/>
          <w:highlight w:val="white"/>
        </w:rPr>
        <w:fldChar w:fldCharType="separate"/>
      </w:r>
      <w:r>
        <w:rPr>
          <w:sz w:val="24"/>
          <w:szCs w:val="24"/>
          <w:highlight w:val="white"/>
        </w:rPr>
        <w:t xml:space="preserve">пунктом 1 части 1 статьи 30</w:t>
      </w:r>
      <w:r>
        <w:rPr>
          <w:sz w:val="24"/>
          <w:szCs w:val="24"/>
          <w:highlight w:val="white"/>
        </w:rPr>
        <w:fldChar w:fldCharType="end"/>
      </w:r>
      <w:r>
        <w:rPr>
          <w:sz w:val="24"/>
          <w:szCs w:val="24"/>
          <w:highlight w:val="white"/>
        </w:rPr>
        <w:t xml:space="preserve"> закона о Контрактной системе, освобождается от предоставления обеспечения исполнения контракта, в том числе с учетом положений </w:t>
      </w:r>
      <w:r>
        <w:rPr>
          <w:sz w:val="24"/>
          <w:szCs w:val="24"/>
          <w:highlight w:val="white"/>
        </w:rPr>
        <w:fldChar w:fldCharType="begin"/>
      </w:r>
      <w:r>
        <w:rPr>
          <w:sz w:val="24"/>
          <w:szCs w:val="24"/>
          <w:highlight w:val="white"/>
        </w:rPr>
        <w:instrText xml:space="preserve">HYPERLINK \l "sub_37"</w:instrText>
      </w:r>
      <w:r>
        <w:rPr>
          <w:sz w:val="24"/>
          <w:szCs w:val="24"/>
          <w:highlight w:val="white"/>
        </w:rPr>
        <w:fldChar w:fldCharType="separate"/>
      </w:r>
      <w:r>
        <w:rPr>
          <w:sz w:val="24"/>
          <w:szCs w:val="24"/>
          <w:highlight w:val="white"/>
        </w:rPr>
        <w:t xml:space="preserve">статьи 37</w:t>
      </w:r>
      <w:r>
        <w:rPr>
          <w:sz w:val="24"/>
          <w:szCs w:val="24"/>
          <w:highlight w:val="white"/>
        </w:rPr>
        <w:fldChar w:fldCharType="end"/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закона о Контрактной системе,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</w:t>
      </w:r>
      <w:r>
        <w:rPr>
          <w:sz w:val="24"/>
          <w:szCs w:val="24"/>
          <w:highlight w:val="white"/>
        </w:rPr>
        <w:t xml:space="preserve">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Государственного контракта в случаях, установленных законом о Контрактно</w:t>
      </w:r>
      <w:r>
        <w:rPr>
          <w:sz w:val="24"/>
          <w:szCs w:val="24"/>
          <w:highlight w:val="white"/>
        </w:rPr>
        <w:t xml:space="preserve">й системе для предоставления обеспечения исполнения Государственного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 и документации о закупке.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left="-200" w:firstLine="200"/>
        <w:jc w:val="center"/>
        <w:rPr>
          <w:b/>
          <w:bCs/>
          <w:color w:val="000000"/>
          <w:sz w:val="24"/>
          <w:szCs w:val="24"/>
          <w:highlight w:val="white"/>
        </w:rPr>
      </w:pP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</w:p>
    <w:p>
      <w:pPr>
        <w:pStyle w:val="895"/>
        <w:ind w:left="-200" w:firstLine="900"/>
        <w:jc w:val="center"/>
        <w:rPr>
          <w:b/>
          <w:bCs/>
          <w:color w:val="000000"/>
          <w:sz w:val="24"/>
          <w:szCs w:val="24"/>
          <w:highlight w:val="white"/>
        </w:rPr>
      </w:pPr>
      <w:r>
        <w:rPr>
          <w:b/>
          <w:bCs/>
          <w:color w:val="000000"/>
          <w:sz w:val="24"/>
          <w:szCs w:val="24"/>
          <w:highlight w:val="white"/>
        </w:rPr>
        <w:t xml:space="preserve">8. </w:t>
      </w:r>
      <w:bookmarkEnd w:id="19"/>
      <w:r>
        <w:rPr>
          <w:b/>
          <w:bCs/>
          <w:color w:val="000000"/>
          <w:sz w:val="24"/>
          <w:szCs w:val="24"/>
          <w:highlight w:val="white"/>
        </w:rPr>
        <w:t xml:space="preserve">Форс – мажорные обстоятельства</w:t>
      </w: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</w:p>
    <w:p>
      <w:pPr>
        <w:pStyle w:val="895"/>
        <w:ind w:left="-200" w:firstLine="900"/>
        <w:jc w:val="center"/>
        <w:rPr>
          <w:b/>
          <w:bCs/>
          <w:color w:val="000000"/>
          <w:sz w:val="24"/>
          <w:szCs w:val="24"/>
          <w:highlight w:val="white"/>
        </w:rPr>
      </w:pP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</w:p>
    <w:p>
      <w:pPr>
        <w:pStyle w:val="895"/>
        <w:ind w:left="-200" w:firstLine="500"/>
        <w:jc w:val="both"/>
        <w:shd w:val="clear" w:color="auto" w:fill="ffffff"/>
        <w:rPr>
          <w:sz w:val="24"/>
          <w:szCs w:val="24"/>
          <w:highlight w:val="white"/>
        </w:rPr>
        <w:outlineLvl w:val="0"/>
      </w:pPr>
      <w:r>
        <w:rPr>
          <w:sz w:val="24"/>
          <w:szCs w:val="24"/>
          <w:highlight w:val="white"/>
        </w:rPr>
        <w:t xml:space="preserve">8.1.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Стороны освобождаются от ответственности за частичное или полное неисполнение обязательств по настоящему Государственному контракту, если неис</w:t>
      </w:r>
      <w:r>
        <w:rPr>
          <w:sz w:val="24"/>
          <w:szCs w:val="24"/>
          <w:highlight w:val="white"/>
        </w:rPr>
        <w:t xml:space="preserve">полнение Сторонами обязательств вызвано непреодолимой силой, то есть чрезвычайными и непредотвратимыми обстоятельствами (стихийные бедствия, землетрясения, наводнения, пожары, мятежи, гражданские беспорядки, забастовки персонала, война и военные действия).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left="-200" w:firstLine="500"/>
        <w:jc w:val="both"/>
        <w:shd w:val="clear" w:color="auto" w:fill="ffffff"/>
        <w:rPr>
          <w:sz w:val="24"/>
          <w:szCs w:val="24"/>
          <w:highlight w:val="white"/>
        </w:rPr>
        <w:outlineLvl w:val="0"/>
      </w:pPr>
      <w:r>
        <w:rPr>
          <w:sz w:val="24"/>
          <w:szCs w:val="24"/>
          <w:highlight w:val="white"/>
        </w:rPr>
        <w:t xml:space="preserve">8.2.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Сторона, которая не в состоянии выполнить свои обязательства по настоящему Государственному контракту в силу вышеуказанных обстоятельств, незамедлительно письменно информирует другую Сторону о наступлении данных обстоятельств и прекращении выполне</w:t>
      </w:r>
      <w:r>
        <w:rPr>
          <w:sz w:val="24"/>
          <w:szCs w:val="24"/>
          <w:highlight w:val="white"/>
        </w:rPr>
        <w:t xml:space="preserve">ния указанных обязательств, но в любом случае не позднее 3 (трех) рабочих дней после начала их действия.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</w:t>
      </w:r>
      <w:r>
        <w:rPr>
          <w:sz w:val="24"/>
          <w:szCs w:val="24"/>
          <w:highlight w:val="white"/>
        </w:rPr>
        <w:t xml:space="preserve">астичное или полное неисполнение обязательств по настоящему Государственному контракту по причине указанных обстоятельств. Факт наступления и прекращения обстоятельств непреодолимой силы документально подтверждается компетентными государственными органами.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left="-200" w:firstLine="500"/>
        <w:jc w:val="both"/>
        <w:shd w:val="clear" w:color="auto" w:fill="ffffff"/>
        <w:rPr>
          <w:sz w:val="24"/>
          <w:szCs w:val="24"/>
          <w:highlight w:val="white"/>
        </w:rPr>
        <w:outlineLvl w:val="0"/>
      </w:pPr>
      <w:r>
        <w:rPr>
          <w:sz w:val="24"/>
          <w:szCs w:val="24"/>
          <w:highlight w:val="white"/>
        </w:rPr>
        <w:t xml:space="preserve">8.3.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Если указанные обстоятельства продолжаются более 1 (одного) месяца, то каждая Сторона имеет право на досрочное расторжение настоящего Государственного контракта. В этом случае Стороны производят взаиморасчеты.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left="-200" w:firstLine="900"/>
        <w:jc w:val="both"/>
        <w:shd w:val="clear" w:color="auto" w:fill="ffffff"/>
        <w:rPr>
          <w:b/>
          <w:bCs/>
          <w:color w:val="000000"/>
          <w:sz w:val="24"/>
          <w:szCs w:val="24"/>
          <w:highlight w:val="white"/>
        </w:rPr>
        <w:outlineLvl w:val="0"/>
      </w:pP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</w:p>
    <w:p>
      <w:pPr>
        <w:pStyle w:val="895"/>
        <w:ind w:left="-200" w:firstLine="900"/>
        <w:jc w:val="center"/>
        <w:shd w:val="clear" w:color="auto" w:fill="ffffff"/>
        <w:rPr>
          <w:b/>
          <w:bCs/>
          <w:color w:val="000000"/>
          <w:sz w:val="24"/>
          <w:szCs w:val="24"/>
          <w:highlight w:val="white"/>
        </w:rPr>
        <w:outlineLvl w:val="0"/>
      </w:pPr>
      <w:r>
        <w:rPr>
          <w:b/>
          <w:bCs/>
          <w:color w:val="000000"/>
          <w:sz w:val="24"/>
          <w:szCs w:val="24"/>
          <w:highlight w:val="white"/>
        </w:rPr>
        <w:t xml:space="preserve">9. Разрешение споров между сторонами</w:t>
      </w: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</w:p>
    <w:p>
      <w:pPr>
        <w:pStyle w:val="895"/>
        <w:ind w:left="-200" w:firstLine="900"/>
        <w:jc w:val="center"/>
        <w:shd w:val="clear" w:color="auto" w:fill="ffffff"/>
        <w:rPr>
          <w:b/>
          <w:bCs/>
          <w:color w:val="000000"/>
          <w:sz w:val="24"/>
          <w:szCs w:val="24"/>
          <w:highlight w:val="white"/>
        </w:rPr>
        <w:outlineLvl w:val="0"/>
      </w:pP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</w:p>
    <w:p>
      <w:pPr>
        <w:pStyle w:val="895"/>
        <w:ind w:left="-200" w:firstLine="500"/>
        <w:jc w:val="both"/>
        <w:rPr>
          <w:color w:val="000000"/>
          <w:sz w:val="24"/>
          <w:szCs w:val="24"/>
          <w:highlight w:val="white"/>
        </w:rPr>
      </w:pPr>
      <w:r>
        <w:rPr>
          <w:bCs/>
          <w:color w:val="000000"/>
          <w:sz w:val="24"/>
          <w:szCs w:val="24"/>
          <w:highlight w:val="white"/>
        </w:rPr>
        <w:t xml:space="preserve">9.1. </w:t>
      </w:r>
      <w:r>
        <w:rPr>
          <w:color w:val="000000"/>
          <w:sz w:val="24"/>
          <w:szCs w:val="24"/>
          <w:highlight w:val="white"/>
        </w:rPr>
        <w:t xml:space="preserve">Споры, возникающие в процессе исполнения </w:t>
      </w:r>
      <w:r>
        <w:rPr>
          <w:sz w:val="24"/>
          <w:szCs w:val="24"/>
          <w:highlight w:val="white"/>
        </w:rPr>
        <w:t xml:space="preserve">Государственного контракта</w:t>
      </w:r>
      <w:r>
        <w:rPr>
          <w:color w:val="000000"/>
          <w:sz w:val="24"/>
          <w:szCs w:val="24"/>
          <w:highlight w:val="white"/>
        </w:rPr>
        <w:t xml:space="preserve"> Стороны разрешают путем переговоров</w:t>
      </w:r>
      <w:r>
        <w:rPr>
          <w:color w:val="000000"/>
          <w:sz w:val="24"/>
          <w:szCs w:val="24"/>
          <w:highlight w:val="white"/>
        </w:rPr>
        <w:t xml:space="preserve"> с оформлением соответствующих документов</w:t>
      </w:r>
      <w:r>
        <w:rPr>
          <w:color w:val="000000"/>
          <w:sz w:val="24"/>
          <w:szCs w:val="24"/>
          <w:highlight w:val="white"/>
        </w:rPr>
        <w:t xml:space="preserve">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left="-200" w:firstLine="500"/>
        <w:jc w:val="both"/>
        <w:shd w:val="clear" w:color="auto" w:fill="ffffff"/>
        <w:rPr>
          <w:bCs/>
          <w:color w:val="000000"/>
          <w:sz w:val="24"/>
          <w:szCs w:val="24"/>
          <w:highlight w:val="white"/>
        </w:rPr>
        <w:outlineLvl w:val="0"/>
      </w:pPr>
      <w:r>
        <w:rPr>
          <w:bCs/>
          <w:color w:val="000000"/>
          <w:sz w:val="24"/>
          <w:szCs w:val="24"/>
          <w:highlight w:val="white"/>
        </w:rPr>
        <w:t xml:space="preserve">9.2. Если, по мнению одной из сторон не имеется возможности  разрешить возникший между сторонами спор, то он разрешается Арбитражным судом Республики Мордовия</w:t>
      </w:r>
      <w:r>
        <w:rPr>
          <w:bCs/>
          <w:color w:val="000000"/>
          <w:sz w:val="24"/>
          <w:szCs w:val="24"/>
          <w:highlight w:val="white"/>
        </w:rPr>
        <w:t xml:space="preserve"> в соответствии с действующим законодательством Российской Федерации</w:t>
      </w:r>
      <w:r>
        <w:rPr>
          <w:bCs/>
          <w:color w:val="000000"/>
          <w:sz w:val="24"/>
          <w:szCs w:val="24"/>
          <w:highlight w:val="white"/>
        </w:rPr>
        <w:t xml:space="preserve">.</w:t>
      </w:r>
      <w:r>
        <w:rPr>
          <w:bCs/>
          <w:color w:val="000000"/>
          <w:sz w:val="24"/>
          <w:szCs w:val="24"/>
          <w:highlight w:val="white"/>
        </w:rPr>
      </w:r>
      <w:r>
        <w:rPr>
          <w:bCs/>
          <w:color w:val="000000"/>
          <w:sz w:val="24"/>
          <w:szCs w:val="24"/>
          <w:highlight w:val="white"/>
        </w:rPr>
      </w:r>
    </w:p>
    <w:p>
      <w:pPr>
        <w:pStyle w:val="895"/>
        <w:ind w:left="-200" w:firstLine="500"/>
        <w:shd w:val="clear" w:color="auto" w:fill="ffffff"/>
        <w:rPr>
          <w:b/>
          <w:bCs/>
          <w:color w:val="000000"/>
          <w:sz w:val="24"/>
          <w:szCs w:val="24"/>
          <w:highlight w:val="white"/>
        </w:rPr>
        <w:outlineLvl w:val="0"/>
      </w:pP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</w:p>
    <w:p>
      <w:pPr>
        <w:pStyle w:val="895"/>
        <w:ind w:left="-200" w:firstLine="500"/>
        <w:jc w:val="center"/>
        <w:shd w:val="clear" w:color="auto" w:fill="ffffff"/>
        <w:rPr>
          <w:b/>
          <w:bCs/>
          <w:color w:val="000000"/>
          <w:sz w:val="24"/>
          <w:szCs w:val="24"/>
          <w:highlight w:val="white"/>
        </w:rPr>
        <w:outlineLvl w:val="0"/>
      </w:pPr>
      <w:r>
        <w:rPr>
          <w:b/>
          <w:bCs/>
          <w:color w:val="000000"/>
          <w:sz w:val="24"/>
          <w:szCs w:val="24"/>
          <w:highlight w:val="white"/>
        </w:rPr>
        <w:t xml:space="preserve">10</w:t>
      </w:r>
      <w:r>
        <w:rPr>
          <w:b/>
          <w:bCs/>
          <w:color w:val="000000"/>
          <w:sz w:val="24"/>
          <w:szCs w:val="24"/>
          <w:highlight w:val="white"/>
        </w:rPr>
        <w:t xml:space="preserve">. Расторжение и прекращение Государственного контракта</w:t>
      </w:r>
      <w:r>
        <w:rPr>
          <w:b/>
          <w:bCs/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  <w:highlight w:val="white"/>
        </w:rPr>
      </w:r>
    </w:p>
    <w:p>
      <w:pPr>
        <w:pStyle w:val="895"/>
        <w:ind w:left="-200" w:firstLine="500"/>
        <w:jc w:val="center"/>
        <w:shd w:val="clear" w:color="auto" w:fill="ffffff"/>
        <w:rPr>
          <w:color w:val="000000"/>
          <w:sz w:val="24"/>
          <w:szCs w:val="24"/>
          <w:highlight w:val="white"/>
        </w:rPr>
        <w:outlineLvl w:val="0"/>
      </w:pP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ind w:left="-200" w:firstLine="5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10.1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  <w:t xml:space="preserve"> Расторжение </w:t>
      </w:r>
      <w:r>
        <w:rPr>
          <w:sz w:val="24"/>
          <w:szCs w:val="24"/>
          <w:highlight w:val="white"/>
        </w:rPr>
        <w:t xml:space="preserve">Государственного к</w:t>
      </w:r>
      <w:r>
        <w:rPr>
          <w:sz w:val="24"/>
          <w:szCs w:val="24"/>
          <w:highlight w:val="white"/>
        </w:rPr>
        <w:t xml:space="preserve">онтракта допускается по соглашению Сторон, по решению суда или в связи с односторонним отказом Стороны от исполнения </w:t>
      </w:r>
      <w:r>
        <w:rPr>
          <w:sz w:val="24"/>
          <w:szCs w:val="24"/>
          <w:highlight w:val="white"/>
        </w:rPr>
        <w:t xml:space="preserve">Государственного к</w:t>
      </w:r>
      <w:r>
        <w:rPr>
          <w:sz w:val="24"/>
          <w:szCs w:val="24"/>
          <w:highlight w:val="white"/>
        </w:rPr>
        <w:t xml:space="preserve">онтракта в соответствии с гражданским законодательством Российской Федерации.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left="-200" w:firstLine="5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left="-200" w:firstLine="900"/>
        <w:jc w:val="center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11. Односторонний отказ от исполнения обязательств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pStyle w:val="895"/>
        <w:ind w:firstLine="255"/>
        <w:jc w:val="center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pStyle w:val="895"/>
        <w:ind w:left="-200" w:firstLine="500"/>
        <w:jc w:val="both"/>
        <w:rPr>
          <w:rStyle w:val="939"/>
          <w:highlight w:val="white"/>
        </w:rPr>
      </w:pPr>
      <w:r>
        <w:rPr>
          <w:sz w:val="24"/>
          <w:szCs w:val="24"/>
          <w:highlight w:val="white"/>
        </w:rPr>
        <w:t xml:space="preserve">11.1.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Государственный заказчик вправе провести экспертизу </w:t>
      </w:r>
      <w:r>
        <w:rPr>
          <w:sz w:val="24"/>
          <w:szCs w:val="24"/>
          <w:highlight w:val="white"/>
        </w:rPr>
        <w:t xml:space="preserve">выполненных работ</w:t>
      </w:r>
      <w:r>
        <w:rPr>
          <w:sz w:val="24"/>
          <w:szCs w:val="24"/>
          <w:highlight w:val="white"/>
        </w:rPr>
        <w:t xml:space="preserve"> с привлечением экспертов, экспертных организаций до принятия решения об одностороннем отказе от исполнения настоящего Государственного контракта.</w:t>
      </w:r>
      <w:r>
        <w:rPr>
          <w:rStyle w:val="939"/>
          <w:highlight w:val="white"/>
        </w:rPr>
        <w:t xml:space="preserve"> </w:t>
      </w:r>
      <w:r>
        <w:rPr>
          <w:rStyle w:val="939"/>
          <w:highlight w:val="white"/>
        </w:rPr>
      </w:r>
      <w:r>
        <w:rPr>
          <w:rStyle w:val="939"/>
          <w:highlight w:val="white"/>
        </w:rPr>
      </w:r>
    </w:p>
    <w:p>
      <w:pPr>
        <w:pStyle w:val="895"/>
        <w:ind w:left="-200" w:firstLine="5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11.2. Если Государственным заказчиком проведена экспертиза </w:t>
      </w:r>
      <w:r>
        <w:rPr>
          <w:sz w:val="24"/>
          <w:szCs w:val="24"/>
          <w:highlight w:val="white"/>
        </w:rPr>
        <w:t xml:space="preserve">выполненных работ</w:t>
      </w:r>
      <w:r>
        <w:rPr>
          <w:sz w:val="24"/>
          <w:szCs w:val="24"/>
          <w:highlight w:val="white"/>
        </w:rPr>
        <w:t xml:space="preserve"> с привлечением экспертов, экспертных организаций, решение об одностороннем отказе от исполнения настоящего Государственного контракта может быть принято Государственным заказчиком только при условии, что по результатам экспертизы </w:t>
      </w:r>
      <w:r>
        <w:rPr>
          <w:sz w:val="24"/>
          <w:szCs w:val="24"/>
          <w:highlight w:val="white"/>
        </w:rPr>
        <w:t xml:space="preserve">выполненных работ</w:t>
      </w:r>
      <w:r>
        <w:rPr>
          <w:sz w:val="24"/>
          <w:szCs w:val="24"/>
          <w:highlight w:val="white"/>
        </w:rPr>
        <w:t xml:space="preserve"> в заключение эксперта, экспертной организации будут подтверждены нарушения условий настоящего Государственного контракта, послужившие основанием для одностороннего отказа Государственного заказчика от исполнения настоящего Государственного контракта.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left="-200" w:firstLine="5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11.3. Решение Государственного заказчика об одностороннем отказе от исполнения  настоящего Государственного контракта в течение </w:t>
      </w:r>
      <w:r>
        <w:rPr>
          <w:sz w:val="24"/>
          <w:szCs w:val="24"/>
          <w:highlight w:val="white"/>
        </w:rPr>
        <w:t xml:space="preserve">трех рабочих дней</w:t>
      </w:r>
      <w:r>
        <w:rPr>
          <w:sz w:val="24"/>
          <w:szCs w:val="24"/>
          <w:highlight w:val="white"/>
        </w:rPr>
        <w:t xml:space="preserve">, следующего за датой принятия </w:t>
      </w:r>
      <w:r>
        <w:rPr>
          <w:sz w:val="24"/>
          <w:szCs w:val="24"/>
          <w:highlight w:val="white"/>
        </w:rPr>
        <w:t xml:space="preserve">указанного решения, размещается в единой информационной системе и направляется Исполнителю по почте заказным письмом с уведомлением о вручении по адресу Исполнителя, указанному в настоящем Государственном контракте, а также телеграммой, либо посредством фа</w:t>
      </w:r>
      <w:r>
        <w:rPr>
          <w:sz w:val="24"/>
          <w:szCs w:val="24"/>
          <w:highlight w:val="white"/>
        </w:rPr>
        <w:t xml:space="preserve">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Государственным заказчиком подтверждения о его вручении Исполнителю. Выполнение Государствен</w:t>
      </w:r>
      <w:r>
        <w:rPr>
          <w:sz w:val="24"/>
          <w:szCs w:val="24"/>
          <w:highlight w:val="white"/>
        </w:rPr>
        <w:t xml:space="preserve">ным заказчиком данного требования считается надлежащим уведомлением Исполнителя об одностороннем отказе от исполнения настоящего Государственного контракта. Датой такого надлежащего уведомления признается дата получения Государственным заказчиком подтвержд</w:t>
      </w:r>
      <w:r>
        <w:rPr>
          <w:sz w:val="24"/>
          <w:szCs w:val="24"/>
          <w:highlight w:val="white"/>
        </w:rPr>
        <w:t xml:space="preserve">ения о вручении Исполнителю указанного уведомления либо дата получения Государственным заказчиком информации об отсутствии Исполнителя (по его адресу, указанному в настоящем Государственном контракте). При невозможности получения указанных подтверждения ли</w:t>
      </w:r>
      <w:r>
        <w:rPr>
          <w:sz w:val="24"/>
          <w:szCs w:val="24"/>
          <w:highlight w:val="white"/>
        </w:rPr>
        <w:t xml:space="preserve">бо информации датой такого надлежащего уведомления признается дата по истечении тридцати дней с даты размещения решения Государственного заказчика об одностороннем отказе от исполнения  настоящего Государственного контракта в единой информационной системе.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left="-200" w:firstLine="5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11.4. Решение Государственного заказчика об одностороннем отказе от исполнения  настоящего Государстве</w:t>
      </w:r>
      <w:r>
        <w:rPr>
          <w:sz w:val="24"/>
          <w:szCs w:val="24"/>
          <w:highlight w:val="white"/>
        </w:rPr>
        <w:t xml:space="preserve">нного контракта вступает в силу и настоящий Государственный контракт считается расторгнутым через десять дней с даты надлежащего уведомления Государственным заказчиком Исполнителя об одностороннем отказе от исполнения настоящего Государственного контракта.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left="-200" w:firstLine="5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11.5. Государственный заказчик обязан о</w:t>
      </w:r>
      <w:r>
        <w:rPr>
          <w:sz w:val="24"/>
          <w:szCs w:val="24"/>
          <w:highlight w:val="white"/>
        </w:rPr>
        <w:t xml:space="preserve">тменить не вступившее в силу решение об одностороннем отказе от исполнения настоящего Государственного контракта, если в течение десятидневного срока с даты надлежащего уведомления Исполнителя о принятом решении об одностороннем отказе от исполнения настоя</w:t>
      </w:r>
      <w:r>
        <w:rPr>
          <w:sz w:val="24"/>
          <w:szCs w:val="24"/>
          <w:highlight w:val="white"/>
        </w:rPr>
        <w:t xml:space="preserve">щего Государственного контракта устранено нарушение условий контракта, послужившее основанием для принятия указанного решения, а также Государственному заказчику компенсированы затраты на проведение экспертизы. Данное правило не применяется в случае повтор</w:t>
      </w:r>
      <w:r>
        <w:rPr>
          <w:sz w:val="24"/>
          <w:szCs w:val="24"/>
          <w:highlight w:val="white"/>
        </w:rPr>
        <w:t xml:space="preserve">ного нарушения Исполнителем условий  настоящего Государственного контракта, которые в соответствии с гражданским законодательством являются основанием для одностороннего отказа Государственного заказчика от исполнения настоящего Государственного контракта.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5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11.6. Государственный заказчик обязан принять решение об одностороннем отказе от исполнения настоящего Государственного контракта, если в ходе исполнения  настоящего Государственного контракта ус</w:t>
      </w:r>
      <w:r>
        <w:rPr>
          <w:sz w:val="24"/>
          <w:szCs w:val="24"/>
          <w:highlight w:val="white"/>
        </w:rPr>
        <w:t xml:space="preserve">тановлено,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Исполнителя.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5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11.7. Информация об Исполнителе, с которым настоящий Государственный контракт был расторгнут в связи с односторонним отказом Государственного заказчика от исполнения  настоящего Государственного контракта, включается в установленном </w:t>
      </w:r>
      <w:r>
        <w:rPr>
          <w:sz w:val="24"/>
          <w:szCs w:val="24"/>
          <w:highlight w:val="white"/>
        </w:rPr>
        <w:t xml:space="preserve">законом о Контрактной системе</w:t>
      </w:r>
      <w:r>
        <w:rPr>
          <w:sz w:val="24"/>
          <w:szCs w:val="24"/>
          <w:highlight w:val="white"/>
        </w:rPr>
        <w:t xml:space="preserve"> порядке в реестр недобросовестных поставщиков (исполнителей, подрядчиков).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300"/>
        <w:jc w:val="both"/>
        <w:tabs>
          <w:tab w:val="left" w:pos="800" w:leader="none"/>
        </w:tabs>
        <w:rPr>
          <w:sz w:val="24"/>
          <w:szCs w:val="24"/>
          <w:highlight w:val="white"/>
          <w:shd w:val="clear" w:color="auto" w:fill="ffffff"/>
        </w:rPr>
      </w:pPr>
      <w:r>
        <w:rPr>
          <w:sz w:val="24"/>
          <w:szCs w:val="24"/>
          <w:highlight w:val="white"/>
        </w:rPr>
        <w:t xml:space="preserve">11.8. В случае расторжения Государственного контракта в связи с односторонним отказом Государственного заказчика от исполнения Государственного контракта Государственный заказчик вправе осуществить закупку </w:t>
      </w:r>
      <w:r>
        <w:rPr>
          <w:sz w:val="24"/>
          <w:szCs w:val="24"/>
          <w:highlight w:val="white"/>
        </w:rPr>
        <w:t xml:space="preserve">работ</w:t>
      </w:r>
      <w:r>
        <w:rPr>
          <w:sz w:val="24"/>
          <w:szCs w:val="24"/>
          <w:highlight w:val="white"/>
        </w:rPr>
        <w:t xml:space="preserve">, оказание которых являлись предметом расторгнутого контракта. </w:t>
      </w:r>
      <w:r>
        <w:rPr>
          <w:sz w:val="24"/>
          <w:szCs w:val="24"/>
          <w:highlight w:val="white"/>
          <w:shd w:val="clear" w:color="auto" w:fill="ffffff"/>
        </w:rPr>
        <w:t xml:space="preserve">При этом в случае, если до расторжения Государственного контракта Исполнитель частично исполнил обязательства, предусмотренные Государственным контрактом, при заключении нового Государственного контракта на основании настоящего пункта количество </w:t>
      </w:r>
      <w:r>
        <w:rPr>
          <w:sz w:val="24"/>
          <w:szCs w:val="24"/>
          <w:highlight w:val="white"/>
          <w:shd w:val="clear" w:color="auto" w:fill="ffffff"/>
        </w:rPr>
        <w:t xml:space="preserve">выполненных работ</w:t>
      </w:r>
      <w:r>
        <w:rPr>
          <w:sz w:val="24"/>
          <w:szCs w:val="24"/>
          <w:highlight w:val="white"/>
          <w:shd w:val="clear" w:color="auto" w:fill="ffffff"/>
        </w:rPr>
        <w:t xml:space="preserve"> должно быть уменьшены с учетом количества </w:t>
      </w:r>
      <w:r>
        <w:rPr>
          <w:sz w:val="24"/>
          <w:szCs w:val="24"/>
          <w:highlight w:val="white"/>
          <w:shd w:val="clear" w:color="auto" w:fill="ffffff"/>
        </w:rPr>
        <w:t xml:space="preserve">выполненных работ</w:t>
      </w:r>
      <w:r>
        <w:rPr>
          <w:sz w:val="24"/>
          <w:szCs w:val="24"/>
          <w:highlight w:val="white"/>
          <w:shd w:val="clear" w:color="auto" w:fill="ffffff"/>
        </w:rPr>
        <w:t xml:space="preserve"> по расторгаемому Государственному контракту, а цена Государственного контракта должна быть уменьшена пропорционально количеству </w:t>
      </w:r>
      <w:r>
        <w:rPr>
          <w:sz w:val="24"/>
          <w:szCs w:val="24"/>
          <w:highlight w:val="white"/>
          <w:shd w:val="clear" w:color="auto" w:fill="ffffff"/>
        </w:rPr>
        <w:t xml:space="preserve">выполненных работ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  <w:shd w:val="clear" w:color="auto" w:fill="ffffff"/>
        </w:rPr>
      </w:r>
      <w:r>
        <w:rPr>
          <w:sz w:val="24"/>
          <w:szCs w:val="24"/>
          <w:highlight w:val="white"/>
          <w:shd w:val="clear" w:color="auto" w:fill="ffffff"/>
        </w:rPr>
      </w:r>
    </w:p>
    <w:p>
      <w:pPr>
        <w:pStyle w:val="895"/>
        <w:ind w:firstLine="300"/>
        <w:jc w:val="both"/>
        <w:tabs>
          <w:tab w:val="left" w:pos="800" w:leader="none"/>
        </w:tabs>
        <w:rPr>
          <w:rStyle w:val="939"/>
          <w:highlight w:val="white"/>
        </w:rPr>
      </w:pPr>
      <w:r>
        <w:rPr>
          <w:sz w:val="24"/>
          <w:szCs w:val="24"/>
          <w:highlight w:val="white"/>
        </w:rPr>
        <w:t xml:space="preserve">11.9. Исполнитель вправе принять решение об одностороннем отказе от исполнения Госуда</w:t>
      </w:r>
      <w:r>
        <w:rPr>
          <w:sz w:val="24"/>
          <w:szCs w:val="24"/>
          <w:highlight w:val="white"/>
        </w:rPr>
        <w:t xml:space="preserve">рственного контракта в соответствии с гражданским законодательством, если в настоящем Государственном контракте было предусмотрено право Государственного заказчика принять решение об одностороннем отказе от исполнения настоящего Государственного контракта.</w:t>
      </w:r>
      <w:r>
        <w:rPr>
          <w:rStyle w:val="939"/>
          <w:highlight w:val="white"/>
        </w:rPr>
        <w:t xml:space="preserve"> </w:t>
      </w:r>
      <w:r>
        <w:rPr>
          <w:rStyle w:val="939"/>
          <w:highlight w:val="white"/>
        </w:rPr>
      </w:r>
      <w:r>
        <w:rPr>
          <w:rStyle w:val="939"/>
          <w:highlight w:val="white"/>
        </w:rPr>
      </w:r>
    </w:p>
    <w:p>
      <w:pPr>
        <w:pStyle w:val="895"/>
        <w:ind w:firstLine="300"/>
        <w:jc w:val="both"/>
        <w:tabs>
          <w:tab w:val="left" w:pos="800" w:leader="none"/>
        </w:tabs>
        <w:rPr>
          <w:rStyle w:val="939"/>
          <w:highlight w:val="white"/>
        </w:rPr>
      </w:pPr>
      <w:r>
        <w:rPr>
          <w:sz w:val="24"/>
          <w:szCs w:val="24"/>
          <w:highlight w:val="white"/>
        </w:rPr>
        <w:t xml:space="preserve">11.10. Решение Исполнителя об одностороннем отказе от исполнения настоящего Государственного контракта в течение </w:t>
      </w:r>
      <w:r>
        <w:rPr>
          <w:sz w:val="24"/>
          <w:szCs w:val="24"/>
          <w:highlight w:val="white"/>
        </w:rPr>
        <w:t xml:space="preserve">трех рабочих дней</w:t>
      </w:r>
      <w:r>
        <w:rPr>
          <w:sz w:val="24"/>
          <w:szCs w:val="24"/>
          <w:highlight w:val="white"/>
        </w:rPr>
        <w:t xml:space="preserve">, следующего за датой принятия такого решения, направляется Государственному за</w:t>
      </w:r>
      <w:r>
        <w:rPr>
          <w:sz w:val="24"/>
          <w:szCs w:val="24"/>
          <w:highlight w:val="white"/>
        </w:rPr>
        <w:t xml:space="preserve">казчику по почте заказным письмом с уведомлением о вручении по адресу Государственного заказчика, указанному в настоящем Государственном контракте, а также телеграммой, либо посредством факсимильной связи, либо по адресу электронной почты, либо с использов</w:t>
      </w:r>
      <w:r>
        <w:rPr>
          <w:sz w:val="24"/>
          <w:szCs w:val="24"/>
          <w:highlight w:val="white"/>
        </w:rPr>
        <w:t xml:space="preserve">анием иных средств связи и доставки, обеспечивающих фиксирование такого уведомления и получение Государственным заказчиком подтверждения о его вручении Государственному заказчику. Выполнение Исполнителем данного требования считается надлежащим уведомлением</w:t>
      </w:r>
      <w:r>
        <w:rPr>
          <w:sz w:val="24"/>
          <w:szCs w:val="24"/>
          <w:highlight w:val="white"/>
        </w:rPr>
        <w:t xml:space="preserve"> Государственного заказчика об одностороннем отказе от исполнения настоящего Государственного контракта. Датой такого надлежащего уведомления признается дата получения Исполнителем подтверждения о вручении Государственному заказчику указанного уведомления.</w:t>
      </w:r>
      <w:r>
        <w:rPr>
          <w:rStyle w:val="939"/>
          <w:highlight w:val="white"/>
        </w:rPr>
        <w:t xml:space="preserve"> </w:t>
      </w:r>
      <w:r>
        <w:rPr>
          <w:rStyle w:val="939"/>
          <w:highlight w:val="white"/>
        </w:rPr>
      </w:r>
      <w:r>
        <w:rPr>
          <w:rStyle w:val="939"/>
          <w:highlight w:val="white"/>
        </w:rPr>
      </w:r>
    </w:p>
    <w:p>
      <w:pPr>
        <w:pStyle w:val="895"/>
        <w:ind w:firstLine="300"/>
        <w:jc w:val="both"/>
        <w:tabs>
          <w:tab w:val="left" w:pos="800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11.11. Решение Исполнителя об одностороннем отказе от исполнения  настоящего Г</w:t>
      </w:r>
      <w:r>
        <w:rPr>
          <w:sz w:val="24"/>
          <w:szCs w:val="24"/>
          <w:highlight w:val="white"/>
        </w:rPr>
        <w:t xml:space="preserve">осударственного контракта вступает в силу и настоящий Государственный контракт считается расторгнутым через десять дней с даты надлежащего уведомления Исполнителем Государственного заказчика об одностороннем отказе от исполнения Государственного контракта.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300"/>
        <w:jc w:val="both"/>
        <w:tabs>
          <w:tab w:val="left" w:pos="800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11.12. Исполнитель обязан отменить не вступившее в силу решение об одностороннем отказе от исполнения настоящего Государственного контракта, если в течение десятидневного срока с даты надлежащего </w:t>
      </w:r>
      <w:r>
        <w:rPr>
          <w:sz w:val="24"/>
          <w:szCs w:val="24"/>
          <w:highlight w:val="white"/>
        </w:rPr>
        <w:t xml:space="preserve">уведомления Государственного заказчика о принятом решении об одностороннем отказе от исполнения настоящего Государственного контракта устранены нарушения условий настоящего Государственного контракта, послужившие основанием для принятия указанного решения.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300"/>
        <w:jc w:val="both"/>
        <w:tabs>
          <w:tab w:val="left" w:pos="800" w:leader="none"/>
        </w:tabs>
        <w:rPr>
          <w:b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11.13. При расторжении настоящего Государственного контракта в связи с односторонним отказом стороны настоящего Государственного контракта от исполнения настоящего Государственного контракта другая сторона настоящего Государс</w:t>
      </w:r>
      <w:r>
        <w:rPr>
          <w:sz w:val="24"/>
          <w:szCs w:val="24"/>
          <w:highlight w:val="white"/>
        </w:rPr>
        <w:t xml:space="preserve">твенного контракта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настоящего Государственного контракта.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pStyle w:val="895"/>
        <w:ind w:right="140" w:firstLine="300"/>
        <w:jc w:val="both"/>
        <w:tabs>
          <w:tab w:val="left" w:pos="800" w:leader="none"/>
          <w:tab w:val="left" w:pos="1260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11.14. Информация об изменении настоящего Государственного контракта или о расторжении контракта, за исключением сведений, сост</w:t>
      </w:r>
      <w:r>
        <w:rPr>
          <w:sz w:val="24"/>
          <w:szCs w:val="24"/>
          <w:highlight w:val="white"/>
        </w:rPr>
        <w:t xml:space="preserve">авляющих государственную тайну, размещается Государственным заказчиком в единой информационной системе в течение одного рабочего дня, следующего за датой изменения настоящего Государственного контракта или расторжения настоящего Государственного контракта.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right="140" w:firstLine="900"/>
        <w:jc w:val="both"/>
        <w:tabs>
          <w:tab w:val="left" w:pos="1260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20"/>
        <w:jc w:val="center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12.</w:t>
      </w:r>
      <w:r>
        <w:rPr>
          <w:sz w:val="24"/>
          <w:szCs w:val="24"/>
          <w:highlight w:val="white"/>
        </w:rPr>
        <w:t xml:space="preserve"> </w:t>
      </w:r>
      <w:r>
        <w:rPr>
          <w:b/>
          <w:sz w:val="24"/>
          <w:szCs w:val="24"/>
          <w:highlight w:val="white"/>
        </w:rPr>
        <w:t xml:space="preserve">Конфиденциальность персональных данных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pStyle w:val="895"/>
        <w:ind w:firstLine="720"/>
        <w:jc w:val="center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895"/>
        <w:ind w:firstLine="4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12.1. Стороны обязуются сохранять конфиденциальность информации, полученной при выполнении настоящего Государственного к</w:t>
      </w:r>
      <w:r>
        <w:rPr>
          <w:sz w:val="24"/>
          <w:szCs w:val="24"/>
          <w:highlight w:val="white"/>
        </w:rPr>
        <w:t xml:space="preserve">онтракта. Исполнитель обязуется принять все необходимые меры по обеспечению конфиденциальности полученных результатов, включая охрану документации и материалов, ограничение круга лиц, допущенных к информации, заключение соглашений о конфиденциальности с ли</w:t>
      </w:r>
      <w:r>
        <w:rPr>
          <w:sz w:val="24"/>
          <w:szCs w:val="24"/>
          <w:highlight w:val="white"/>
        </w:rPr>
        <w:t xml:space="preserve">цами, допущенными к конфиденциальной информации. Исполнитель обязуется не передавать прочим лицам конфиденциальную информацию, а также не публиковать и не разглашать иным способом полученные результаты без письменного разрешения Государственного заказчика.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left="200" w:firstLine="520"/>
        <w:jc w:val="both"/>
        <w:rPr>
          <w:sz w:val="23"/>
          <w:szCs w:val="23"/>
          <w:highlight w:val="white"/>
        </w:rPr>
      </w:pPr>
      <w:r>
        <w:rPr>
          <w:sz w:val="23"/>
          <w:szCs w:val="23"/>
          <w:highlight w:val="white"/>
        </w:rPr>
      </w:r>
      <w:r>
        <w:rPr>
          <w:sz w:val="23"/>
          <w:szCs w:val="23"/>
          <w:highlight w:val="white"/>
        </w:rPr>
      </w:r>
      <w:r>
        <w:rPr>
          <w:sz w:val="23"/>
          <w:szCs w:val="23"/>
          <w:highlight w:val="white"/>
        </w:rPr>
      </w:r>
    </w:p>
    <w:p>
      <w:pPr>
        <w:pStyle w:val="895"/>
        <w:ind w:right="140" w:firstLine="720"/>
        <w:jc w:val="center"/>
        <w:tabs>
          <w:tab w:val="left" w:pos="1260" w:leader="none"/>
        </w:tabs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13</w:t>
      </w:r>
      <w:r>
        <w:rPr>
          <w:b/>
          <w:sz w:val="24"/>
          <w:szCs w:val="24"/>
          <w:highlight w:val="white"/>
        </w:rPr>
        <w:t xml:space="preserve">. Заключительные положения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pStyle w:val="895"/>
        <w:ind w:right="140" w:firstLine="720"/>
        <w:jc w:val="center"/>
        <w:tabs>
          <w:tab w:val="left" w:pos="1260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13</w:t>
      </w:r>
      <w:r>
        <w:rPr>
          <w:sz w:val="24"/>
          <w:szCs w:val="24"/>
          <w:highlight w:val="white"/>
        </w:rPr>
        <w:t xml:space="preserve">.1. </w:t>
      </w:r>
      <w:r>
        <w:rPr>
          <w:sz w:val="24"/>
          <w:szCs w:val="24"/>
          <w:highlight w:val="white"/>
        </w:rPr>
        <w:t xml:space="preserve">Государственный к</w:t>
      </w:r>
      <w:r>
        <w:rPr>
          <w:sz w:val="24"/>
          <w:szCs w:val="24"/>
          <w:highlight w:val="white"/>
        </w:rPr>
        <w:t xml:space="preserve">онтракт со</w:t>
      </w:r>
      <w:r>
        <w:rPr>
          <w:sz w:val="24"/>
          <w:szCs w:val="24"/>
          <w:highlight w:val="white"/>
        </w:rPr>
        <w:t xml:space="preserve">с</w:t>
      </w:r>
      <w:r>
        <w:rPr>
          <w:sz w:val="24"/>
          <w:szCs w:val="24"/>
          <w:highlight w:val="white"/>
        </w:rPr>
        <w:t xml:space="preserve">тавлен по результатам</w:t>
      </w:r>
      <w:r>
        <w:rPr>
          <w:sz w:val="24"/>
          <w:szCs w:val="24"/>
          <w:highlight w:val="white"/>
        </w:rPr>
        <w:t xml:space="preserve"> электронного конкурса</w:t>
      </w:r>
      <w:r>
        <w:rPr>
          <w:sz w:val="24"/>
          <w:szCs w:val="24"/>
          <w:highlight w:val="white"/>
        </w:rPr>
        <w:t xml:space="preserve">…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13</w:t>
      </w:r>
      <w:r>
        <w:rPr>
          <w:sz w:val="24"/>
          <w:szCs w:val="24"/>
          <w:highlight w:val="white"/>
        </w:rPr>
        <w:t xml:space="preserve">.2. Во всем, что не предусмотрено </w:t>
      </w:r>
      <w:r>
        <w:rPr>
          <w:sz w:val="24"/>
          <w:szCs w:val="24"/>
          <w:highlight w:val="white"/>
        </w:rPr>
        <w:t xml:space="preserve">Государственным к</w:t>
      </w:r>
      <w:r>
        <w:rPr>
          <w:sz w:val="24"/>
          <w:szCs w:val="24"/>
          <w:highlight w:val="white"/>
        </w:rPr>
        <w:t xml:space="preserve">онтрактом, Стороны руководствуются законодательством Российской Федерации.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13</w:t>
      </w:r>
      <w:r>
        <w:rPr>
          <w:sz w:val="24"/>
          <w:szCs w:val="24"/>
          <w:highlight w:val="white"/>
        </w:rPr>
        <w:t xml:space="preserve">.3. </w:t>
      </w:r>
      <w:r>
        <w:rPr>
          <w:sz w:val="24"/>
          <w:szCs w:val="24"/>
          <w:highlight w:val="white"/>
        </w:rPr>
        <w:t xml:space="preserve">В случае изменения у одной из Сторон адреса места нахождения, почтового адреса, банковских реквизитов, такая Сторона обязана в течение 5 (пяти) рабочих дней с момента внесения вышеуказанных изменений письменно известить об этом другую Сторону.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tabs>
          <w:tab w:val="left" w:pos="700" w:leader="none"/>
          <w:tab w:val="left" w:pos="1100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13</w:t>
      </w:r>
      <w:r>
        <w:rPr>
          <w:sz w:val="24"/>
          <w:szCs w:val="24"/>
          <w:highlight w:val="white"/>
        </w:rPr>
        <w:t xml:space="preserve">.4. </w:t>
      </w:r>
      <w:r>
        <w:rPr>
          <w:sz w:val="24"/>
          <w:szCs w:val="24"/>
          <w:highlight w:val="white"/>
          <w:shd w:val="clear" w:color="auto" w:fill="ffffff"/>
        </w:rPr>
        <w:t xml:space="preserve">Изменение существенных условий Государственного контракта при его исполнении не допускается, за исключением их изменения по соглашению Сторон в следующих случаях: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13</w:t>
      </w:r>
      <w:r>
        <w:rPr>
          <w:sz w:val="24"/>
          <w:szCs w:val="24"/>
          <w:highlight w:val="white"/>
        </w:rPr>
        <w:t xml:space="preserve">.4.1. Произошло снижение цены настоящего Государственного контракта без изменения предусмотренных настоящим Государственным контрактом объема выполняемых Работ, качества выполняемых Работ и иных условий настоящего Государственного контракта.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13</w:t>
      </w:r>
      <w:r>
        <w:rPr>
          <w:sz w:val="24"/>
          <w:szCs w:val="24"/>
          <w:highlight w:val="white"/>
        </w:rPr>
        <w:t xml:space="preserve">.4.2. По предложению Государственного заказчика происходит увеличение либо уменьшение предусмотренных настоящим Государственным контрактом объема выполняемых Работ не более чем на 10 % (Десять) процентов.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При этом по соглашению Сторон допускается изменение с учетом положений бюджетного законодательства Российской Федерации цены настоящего Государственного контракта пропорциональ</w:t>
      </w:r>
      <w:r>
        <w:rPr>
          <w:sz w:val="24"/>
          <w:szCs w:val="24"/>
          <w:highlight w:val="white"/>
        </w:rPr>
        <w:t xml:space="preserve">но дополнительному объему работ</w:t>
      </w:r>
      <w:r>
        <w:rPr>
          <w:sz w:val="24"/>
          <w:szCs w:val="24"/>
          <w:highlight w:val="white"/>
        </w:rPr>
        <w:t xml:space="preserve"> исход</w:t>
      </w:r>
      <w:r>
        <w:rPr>
          <w:sz w:val="24"/>
          <w:szCs w:val="24"/>
          <w:highlight w:val="white"/>
        </w:rPr>
        <w:t xml:space="preserve">я из установленной в настоящем Государственном к</w:t>
      </w:r>
      <w:r>
        <w:rPr>
          <w:sz w:val="24"/>
          <w:szCs w:val="24"/>
          <w:highlight w:val="white"/>
        </w:rPr>
        <w:t xml:space="preserve">онтракте цены единицы товара, работы или услуги, но не более чем на де</w:t>
      </w:r>
      <w:r>
        <w:rPr>
          <w:sz w:val="24"/>
          <w:szCs w:val="24"/>
          <w:highlight w:val="white"/>
        </w:rPr>
        <w:t xml:space="preserve">сять процентов цены настоящего Государственного к</w:t>
      </w:r>
      <w:r>
        <w:rPr>
          <w:sz w:val="24"/>
          <w:szCs w:val="24"/>
          <w:highlight w:val="white"/>
        </w:rPr>
        <w:t xml:space="preserve">онтракта. При уменьш</w:t>
      </w:r>
      <w:r>
        <w:rPr>
          <w:sz w:val="24"/>
          <w:szCs w:val="24"/>
          <w:highlight w:val="white"/>
        </w:rPr>
        <w:t xml:space="preserve">ении предусмотренных настоящим Государственным контрактом объема работ Стороны настоящего Государственного к</w:t>
      </w:r>
      <w:r>
        <w:rPr>
          <w:sz w:val="24"/>
          <w:szCs w:val="24"/>
          <w:highlight w:val="white"/>
        </w:rPr>
        <w:t xml:space="preserve">онтракта обязаны уменьшить цену настоящего </w:t>
      </w:r>
      <w:r>
        <w:rPr>
          <w:sz w:val="24"/>
          <w:szCs w:val="24"/>
          <w:highlight w:val="white"/>
        </w:rPr>
        <w:t xml:space="preserve">Государственного контракта </w:t>
      </w:r>
      <w:r>
        <w:rPr>
          <w:sz w:val="24"/>
          <w:szCs w:val="24"/>
          <w:highlight w:val="white"/>
        </w:rPr>
        <w:t xml:space="preserve">исходя из цены единицы работы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13</w:t>
      </w:r>
      <w:r>
        <w:rPr>
          <w:sz w:val="24"/>
          <w:szCs w:val="24"/>
          <w:highlight w:val="white"/>
        </w:rPr>
        <w:t xml:space="preserve">.4</w:t>
      </w:r>
      <w:r>
        <w:rPr>
          <w:sz w:val="24"/>
          <w:szCs w:val="24"/>
          <w:highlight w:val="white"/>
        </w:rPr>
        <w:t xml:space="preserve">.3. Происходит </w:t>
      </w:r>
      <w:r>
        <w:rPr>
          <w:sz w:val="24"/>
          <w:szCs w:val="24"/>
          <w:highlight w:val="white"/>
        </w:rPr>
        <w:t xml:space="preserve">уменьшение ранее доведенных до Государственного з</w:t>
      </w:r>
      <w:r>
        <w:rPr>
          <w:sz w:val="24"/>
          <w:szCs w:val="24"/>
          <w:highlight w:val="white"/>
        </w:rPr>
        <w:t xml:space="preserve">аказчика, как получателя бюджетных средств лимитов бю</w:t>
      </w:r>
      <w:r>
        <w:rPr>
          <w:sz w:val="24"/>
          <w:szCs w:val="24"/>
          <w:highlight w:val="white"/>
        </w:rPr>
        <w:t xml:space="preserve">джетных обязательств. При этом Государственный з</w:t>
      </w:r>
      <w:r>
        <w:rPr>
          <w:sz w:val="24"/>
          <w:szCs w:val="24"/>
          <w:highlight w:val="white"/>
        </w:rPr>
        <w:t xml:space="preserve">аказчи</w:t>
      </w:r>
      <w:r>
        <w:rPr>
          <w:sz w:val="24"/>
          <w:szCs w:val="24"/>
          <w:highlight w:val="white"/>
        </w:rPr>
        <w:t xml:space="preserve">к в ходе исполнения настоящего Государственного к</w:t>
      </w:r>
      <w:r>
        <w:rPr>
          <w:sz w:val="24"/>
          <w:szCs w:val="24"/>
          <w:highlight w:val="white"/>
        </w:rPr>
        <w:t xml:space="preserve">онтракта обеспечивает согласо</w:t>
      </w:r>
      <w:r>
        <w:rPr>
          <w:sz w:val="24"/>
          <w:szCs w:val="24"/>
          <w:highlight w:val="white"/>
        </w:rPr>
        <w:t xml:space="preserve">вание новых условий настоящего Государственного к</w:t>
      </w:r>
      <w:r>
        <w:rPr>
          <w:sz w:val="24"/>
          <w:szCs w:val="24"/>
          <w:highlight w:val="white"/>
        </w:rPr>
        <w:t xml:space="preserve">онтракта, в том числе цены и (или</w:t>
      </w:r>
      <w:r>
        <w:rPr>
          <w:sz w:val="24"/>
          <w:szCs w:val="24"/>
          <w:highlight w:val="white"/>
        </w:rPr>
        <w:t xml:space="preserve">) сроков исполнения настоящего Государственного контракта и (или) объема работ</w:t>
      </w:r>
      <w:r>
        <w:rPr>
          <w:sz w:val="24"/>
          <w:szCs w:val="24"/>
          <w:highlight w:val="white"/>
        </w:rPr>
        <w:t xml:space="preserve">, предусмотр</w:t>
      </w:r>
      <w:r>
        <w:rPr>
          <w:sz w:val="24"/>
          <w:szCs w:val="24"/>
          <w:highlight w:val="white"/>
        </w:rPr>
        <w:t xml:space="preserve">енных настоящим Государственным к</w:t>
      </w:r>
      <w:r>
        <w:rPr>
          <w:sz w:val="24"/>
          <w:szCs w:val="24"/>
          <w:highlight w:val="white"/>
        </w:rPr>
        <w:t xml:space="preserve">онтрактом.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13</w:t>
      </w:r>
      <w:r>
        <w:rPr>
          <w:sz w:val="24"/>
          <w:szCs w:val="24"/>
          <w:highlight w:val="white"/>
        </w:rPr>
        <w:t xml:space="preserve">.4</w:t>
      </w:r>
      <w:r>
        <w:rPr>
          <w:sz w:val="24"/>
          <w:szCs w:val="24"/>
          <w:highlight w:val="white"/>
        </w:rPr>
        <w:t xml:space="preserve">.4. </w:t>
      </w:r>
      <w:r>
        <w:rPr>
          <w:sz w:val="24"/>
          <w:szCs w:val="24"/>
          <w:highlight w:val="white"/>
          <w:shd w:val="clear" w:color="auto" w:fill="ffffff"/>
        </w:rPr>
        <w:t xml:space="preserve">При исполнении настоящего Государственного контракта по согласованию Государственного з</w:t>
      </w:r>
      <w:r>
        <w:rPr>
          <w:sz w:val="24"/>
          <w:szCs w:val="24"/>
          <w:highlight w:val="white"/>
          <w:shd w:val="clear" w:color="auto" w:fill="ffffff"/>
        </w:rPr>
        <w:t xml:space="preserve">аказчика с Исполни</w:t>
      </w:r>
      <w:r>
        <w:rPr>
          <w:sz w:val="24"/>
          <w:szCs w:val="24"/>
          <w:highlight w:val="white"/>
          <w:shd w:val="clear" w:color="auto" w:fill="ffffff"/>
        </w:rPr>
        <w:t xml:space="preserve">телем допускается выполнение работ</w:t>
      </w:r>
      <w:r>
        <w:rPr>
          <w:sz w:val="24"/>
          <w:szCs w:val="24"/>
          <w:highlight w:val="white"/>
          <w:shd w:val="clear" w:color="auto" w:fill="ffffff"/>
        </w:rPr>
        <w:t xml:space="preserve">, качество, технические и функциональные характеристики  которых являются улучшенными по сравнению с качеством и соответствующими техническими и функциональными характерист</w:t>
      </w:r>
      <w:r>
        <w:rPr>
          <w:sz w:val="24"/>
          <w:szCs w:val="24"/>
          <w:highlight w:val="white"/>
          <w:shd w:val="clear" w:color="auto" w:fill="ffffff"/>
        </w:rPr>
        <w:t xml:space="preserve">иками, указанными в  настоящем Государственном к</w:t>
      </w:r>
      <w:r>
        <w:rPr>
          <w:sz w:val="24"/>
          <w:szCs w:val="24"/>
          <w:highlight w:val="white"/>
          <w:shd w:val="clear" w:color="auto" w:fill="ffffff"/>
        </w:rPr>
        <w:t xml:space="preserve">онтракте. В этом случае соответствующие</w:t>
      </w:r>
      <w:r>
        <w:rPr>
          <w:sz w:val="24"/>
          <w:szCs w:val="24"/>
          <w:highlight w:val="white"/>
          <w:shd w:val="clear" w:color="auto" w:fill="ffffff"/>
        </w:rPr>
        <w:t xml:space="preserve"> изменения должны быть внесены Государственным з</w:t>
      </w:r>
      <w:r>
        <w:rPr>
          <w:sz w:val="24"/>
          <w:szCs w:val="24"/>
          <w:highlight w:val="white"/>
          <w:shd w:val="clear" w:color="auto" w:fill="ffffff"/>
        </w:rPr>
        <w:t xml:space="preserve">аказчиком в </w:t>
      </w:r>
      <w:r>
        <w:rPr>
          <w:sz w:val="24"/>
          <w:szCs w:val="24"/>
          <w:highlight w:val="white"/>
          <w:shd w:val="clear" w:color="auto" w:fill="ffffff"/>
        </w:rPr>
        <w:t xml:space="preserve">реестр контрактов, заключенных Государственным з</w:t>
      </w:r>
      <w:r>
        <w:rPr>
          <w:sz w:val="24"/>
          <w:szCs w:val="24"/>
          <w:highlight w:val="white"/>
          <w:shd w:val="clear" w:color="auto" w:fill="ffffff"/>
        </w:rPr>
        <w:t xml:space="preserve">аказчиком.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13</w:t>
      </w:r>
      <w:r>
        <w:rPr>
          <w:sz w:val="24"/>
          <w:szCs w:val="24"/>
          <w:highlight w:val="white"/>
        </w:rPr>
        <w:t xml:space="preserve">.5</w:t>
      </w:r>
      <w:r>
        <w:rPr>
          <w:sz w:val="24"/>
          <w:szCs w:val="24"/>
          <w:highlight w:val="white"/>
        </w:rPr>
        <w:t xml:space="preserve">. Все изменения и дополнения к на</w:t>
      </w:r>
      <w:r>
        <w:rPr>
          <w:sz w:val="24"/>
          <w:szCs w:val="24"/>
          <w:highlight w:val="white"/>
        </w:rPr>
        <w:t xml:space="preserve">стоящему Государственному к</w:t>
      </w:r>
      <w:r>
        <w:rPr>
          <w:sz w:val="24"/>
          <w:szCs w:val="24"/>
          <w:highlight w:val="white"/>
        </w:rPr>
        <w:t xml:space="preserve">онтракту оформляются дополнительными соглашениями, подписываемыми Сторонами и являютс</w:t>
      </w:r>
      <w:r>
        <w:rPr>
          <w:sz w:val="24"/>
          <w:szCs w:val="24"/>
          <w:highlight w:val="white"/>
        </w:rPr>
        <w:t xml:space="preserve">я неотъемлемой частью Государственного к</w:t>
      </w:r>
      <w:r>
        <w:rPr>
          <w:sz w:val="24"/>
          <w:szCs w:val="24"/>
          <w:highlight w:val="white"/>
        </w:rPr>
        <w:t xml:space="preserve">онтракта.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13</w:t>
      </w:r>
      <w:r>
        <w:rPr>
          <w:sz w:val="24"/>
          <w:szCs w:val="24"/>
          <w:highlight w:val="white"/>
        </w:rPr>
        <w:t xml:space="preserve">.6. </w:t>
      </w:r>
      <w:r>
        <w:rPr>
          <w:sz w:val="24"/>
          <w:szCs w:val="24"/>
          <w:highlight w:val="white"/>
        </w:rPr>
        <w:t xml:space="preserve">При исполнении </w:t>
      </w:r>
      <w:r>
        <w:rPr>
          <w:sz w:val="24"/>
          <w:szCs w:val="24"/>
          <w:highlight w:val="white"/>
        </w:rPr>
        <w:t xml:space="preserve">Государственного к</w:t>
      </w:r>
      <w:r>
        <w:rPr>
          <w:sz w:val="24"/>
          <w:szCs w:val="24"/>
          <w:highlight w:val="white"/>
        </w:rPr>
        <w:t xml:space="preserve">онтракта не допускается перемена </w:t>
      </w:r>
      <w:r>
        <w:rPr>
          <w:sz w:val="24"/>
          <w:szCs w:val="24"/>
          <w:highlight w:val="white"/>
        </w:rPr>
        <w:t xml:space="preserve">Исполнителя</w:t>
      </w:r>
      <w:r>
        <w:rPr>
          <w:sz w:val="24"/>
          <w:szCs w:val="24"/>
          <w:highlight w:val="white"/>
        </w:rPr>
        <w:t xml:space="preserve">, за исключением случаев, если новый </w:t>
      </w:r>
      <w:r>
        <w:rPr>
          <w:sz w:val="24"/>
          <w:szCs w:val="24"/>
          <w:highlight w:val="white"/>
        </w:rPr>
        <w:t xml:space="preserve">Исполнитель</w:t>
      </w:r>
      <w:r>
        <w:rPr>
          <w:sz w:val="24"/>
          <w:szCs w:val="24"/>
          <w:highlight w:val="white"/>
        </w:rPr>
        <w:t xml:space="preserve"> является правопреемником </w:t>
      </w:r>
      <w:r>
        <w:rPr>
          <w:sz w:val="24"/>
          <w:szCs w:val="24"/>
          <w:highlight w:val="white"/>
        </w:rPr>
        <w:t xml:space="preserve">Исполнителя</w:t>
      </w:r>
      <w:r>
        <w:rPr>
          <w:sz w:val="24"/>
          <w:szCs w:val="24"/>
          <w:highlight w:val="white"/>
        </w:rPr>
        <w:t xml:space="preserve"> по </w:t>
      </w:r>
      <w:r>
        <w:rPr>
          <w:sz w:val="24"/>
          <w:szCs w:val="24"/>
          <w:highlight w:val="white"/>
        </w:rPr>
        <w:t xml:space="preserve">Государственному к</w:t>
      </w:r>
      <w:r>
        <w:rPr>
          <w:sz w:val="24"/>
          <w:szCs w:val="24"/>
          <w:highlight w:val="white"/>
        </w:rPr>
        <w:t xml:space="preserve">онтракту вследствие реорганизации юридического лица в форме преобразования, слияния, присоединения.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13. 7. Исключительные права на результаты интеллектуальной деятельности, в том числе, но не исключая: изобретения, полезные модели, промышленные образцы, программы для электронных вычислительных машин, базы данных, топологии интегральных микросхем, а такж</w:t>
      </w:r>
      <w:r>
        <w:rPr>
          <w:sz w:val="24"/>
          <w:szCs w:val="24"/>
          <w:highlight w:val="white"/>
        </w:rPr>
        <w:t xml:space="preserve">е исключительные права на результаты работ, включая объекты авторских прав и потенциально патентоспособные технические решения, секреты производства (ноу-хау), созданные в рамках Контракта, принадлежат в лице Государственного заказчика Республике Мордовия.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13. 8. Право собственности на результаты работ, отчетные документы и материалы, полученные в ходе выполнения работ по Государственному контракту, принадлежат Республике Мордовия и считаются переданными с момента подписания Сторонами </w:t>
      </w:r>
      <w:r>
        <w:rPr>
          <w:spacing w:val="2"/>
          <w:sz w:val="24"/>
          <w:szCs w:val="24"/>
          <w:highlight w:val="white"/>
        </w:rPr>
        <w:t xml:space="preserve">Акта о приемке выполненных работ в ЕИС.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13</w:t>
      </w:r>
      <w:r>
        <w:rPr>
          <w:sz w:val="24"/>
          <w:szCs w:val="24"/>
          <w:highlight w:val="white"/>
        </w:rPr>
        <w:t xml:space="preserve">.9</w:t>
      </w:r>
      <w:r>
        <w:rPr>
          <w:sz w:val="24"/>
          <w:szCs w:val="24"/>
          <w:highlight w:val="white"/>
        </w:rPr>
        <w:t xml:space="preserve">. Стороны обязуются обеспечить конфиденциальность сведений, относящихся к предмету </w:t>
      </w:r>
      <w:r>
        <w:rPr>
          <w:sz w:val="24"/>
          <w:szCs w:val="24"/>
          <w:highlight w:val="white"/>
        </w:rPr>
        <w:t xml:space="preserve">Государственного к</w:t>
      </w:r>
      <w:r>
        <w:rPr>
          <w:sz w:val="24"/>
          <w:szCs w:val="24"/>
          <w:highlight w:val="white"/>
        </w:rPr>
        <w:t xml:space="preserve">онтракта, и ставших им известными в ходе исполнения </w:t>
      </w:r>
      <w:r>
        <w:rPr>
          <w:sz w:val="24"/>
          <w:szCs w:val="24"/>
          <w:highlight w:val="white"/>
        </w:rPr>
        <w:t xml:space="preserve">Государственного к</w:t>
      </w:r>
      <w:r>
        <w:rPr>
          <w:sz w:val="24"/>
          <w:szCs w:val="24"/>
          <w:highlight w:val="white"/>
        </w:rPr>
        <w:t xml:space="preserve">онтракта.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highlight w:val="white"/>
        </w:rPr>
      </w:pPr>
      <w:r>
        <w:rPr>
          <w:sz w:val="24"/>
          <w:szCs w:val="24"/>
          <w:highlight w:val="white"/>
        </w:rPr>
        <w:t xml:space="preserve">  </w:t>
      </w:r>
      <w:r>
        <w:rPr>
          <w:sz w:val="24"/>
          <w:szCs w:val="24"/>
          <w:highlight w:val="white"/>
        </w:rPr>
        <w:t xml:space="preserve">13.</w:t>
      </w:r>
      <w:r>
        <w:rPr>
          <w:sz w:val="24"/>
          <w:szCs w:val="24"/>
          <w:highlight w:val="white"/>
        </w:rPr>
        <w:t xml:space="preserve">10</w:t>
      </w:r>
      <w:r>
        <w:rPr>
          <w:sz w:val="24"/>
          <w:szCs w:val="24"/>
          <w:highlight w:val="white"/>
        </w:rPr>
        <w:t xml:space="preserve">. Настоящий Контракт составлен в 2 (двух) экземплярах, по одному для каждой из сторон. Каждый экземпляр имеет равную юридическую силу.</w:t>
      </w:r>
      <w:r>
        <w:rPr>
          <w:highlight w:val="white"/>
        </w:rPr>
      </w:r>
      <w:r>
        <w:rPr>
          <w:highlight w:val="white"/>
        </w:rPr>
      </w:r>
    </w:p>
    <w:p>
      <w:pPr>
        <w:pStyle w:val="895"/>
        <w:jc w:val="both"/>
        <w:tabs>
          <w:tab w:val="left" w:pos="400" w:leader="none"/>
          <w:tab w:val="left" w:pos="600" w:leader="none"/>
        </w:tabs>
        <w:rPr>
          <w:highlight w:val="white"/>
        </w:rPr>
      </w:pPr>
      <w:r>
        <w:rPr>
          <w:sz w:val="24"/>
          <w:szCs w:val="24"/>
          <w:highlight w:val="white"/>
        </w:rPr>
        <w:t xml:space="preserve">  </w:t>
      </w:r>
      <w:r>
        <w:rPr>
          <w:sz w:val="24"/>
          <w:szCs w:val="24"/>
          <w:highlight w:val="white"/>
        </w:rPr>
        <w:t xml:space="preserve">        </w:t>
      </w:r>
      <w:r>
        <w:rPr>
          <w:sz w:val="24"/>
          <w:szCs w:val="24"/>
          <w:highlight w:val="white"/>
        </w:rPr>
        <w:t xml:space="preserve">     13.</w:t>
      </w:r>
      <w:r>
        <w:rPr>
          <w:sz w:val="24"/>
          <w:szCs w:val="24"/>
          <w:highlight w:val="white"/>
        </w:rPr>
        <w:t xml:space="preserve">11</w:t>
      </w:r>
      <w:r>
        <w:rPr>
          <w:sz w:val="24"/>
          <w:szCs w:val="24"/>
          <w:highlight w:val="white"/>
        </w:rPr>
        <w:t xml:space="preserve">. Следующие приложения являются неотъемлемой частью настоящего Государственного контракта:</w:t>
      </w:r>
      <w:r>
        <w:rPr>
          <w:highlight w:val="white"/>
        </w:rPr>
      </w:r>
      <w:r>
        <w:rPr>
          <w:highlight w:val="white"/>
        </w:rPr>
      </w:r>
    </w:p>
    <w:p>
      <w:pPr>
        <w:pStyle w:val="895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Приложение 1</w:t>
      </w:r>
      <w:r>
        <w:rPr>
          <w:sz w:val="24"/>
          <w:szCs w:val="24"/>
          <w:highlight w:val="white"/>
        </w:rPr>
        <w:t xml:space="preserve">. </w:t>
      </w:r>
      <w:r>
        <w:rPr>
          <w:sz w:val="24"/>
          <w:szCs w:val="24"/>
          <w:highlight w:val="white"/>
        </w:rPr>
        <w:t xml:space="preserve">Описание объекта закупки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both"/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895"/>
        <w:ind w:firstLine="700"/>
        <w:jc w:val="center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t xml:space="preserve">14</w:t>
      </w:r>
      <w:r>
        <w:rPr>
          <w:b/>
          <w:bCs/>
          <w:sz w:val="24"/>
          <w:szCs w:val="24"/>
          <w:highlight w:val="white"/>
        </w:rPr>
        <w:t xml:space="preserve">. Срок действия Государственного контракта</w:t>
      </w: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</w:p>
    <w:p>
      <w:pPr>
        <w:pStyle w:val="895"/>
        <w:ind w:firstLine="700"/>
        <w:jc w:val="center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b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14</w:t>
      </w:r>
      <w:r>
        <w:rPr>
          <w:sz w:val="24"/>
          <w:szCs w:val="24"/>
          <w:highlight w:val="white"/>
        </w:rPr>
        <w:t xml:space="preserve">.1. </w:t>
      </w:r>
      <w:r>
        <w:rPr>
          <w:sz w:val="24"/>
          <w:szCs w:val="24"/>
          <w:highlight w:val="white"/>
        </w:rPr>
        <w:t xml:space="preserve">Срок действия Государственного контракта устанавлив</w:t>
      </w:r>
      <w:r>
        <w:rPr>
          <w:sz w:val="24"/>
          <w:szCs w:val="24"/>
          <w:highlight w:val="white"/>
        </w:rPr>
        <w:t xml:space="preserve">ается </w:t>
      </w:r>
      <w:r>
        <w:rPr>
          <w:b/>
          <w:sz w:val="24"/>
          <w:szCs w:val="24"/>
          <w:highlight w:val="white"/>
        </w:rPr>
        <w:t xml:space="preserve">со дня его подписания и по</w:t>
      </w:r>
      <w:r>
        <w:rPr>
          <w:b/>
          <w:sz w:val="24"/>
          <w:szCs w:val="24"/>
          <w:highlight w:val="white"/>
        </w:rPr>
        <w:t xml:space="preserve"> </w:t>
      </w:r>
      <w:r>
        <w:rPr>
          <w:b/>
          <w:sz w:val="24"/>
          <w:szCs w:val="24"/>
          <w:highlight w:val="white"/>
        </w:rPr>
        <w:t xml:space="preserve">31.</w:t>
      </w:r>
      <w:r>
        <w:rPr>
          <w:b/>
          <w:sz w:val="24"/>
          <w:szCs w:val="24"/>
          <w:highlight w:val="white"/>
        </w:rPr>
        <w:t xml:space="preserve">01.202</w:t>
      </w:r>
      <w:r>
        <w:rPr>
          <w:b/>
          <w:sz w:val="24"/>
          <w:szCs w:val="24"/>
          <w:highlight w:val="white"/>
        </w:rPr>
        <w:t xml:space="preserve">8</w:t>
      </w:r>
      <w:r>
        <w:rPr>
          <w:b/>
          <w:sz w:val="24"/>
          <w:szCs w:val="24"/>
          <w:highlight w:val="white"/>
        </w:rPr>
        <w:t xml:space="preserve"> года, </w:t>
      </w:r>
      <w:r>
        <w:rPr>
          <w:b/>
          <w:sz w:val="24"/>
          <w:szCs w:val="24"/>
          <w:highlight w:val="white"/>
        </w:rPr>
        <w:t xml:space="preserve">срок исполнения Государственного контракта</w:t>
      </w:r>
      <w:r>
        <w:rPr>
          <w:b/>
          <w:sz w:val="24"/>
          <w:szCs w:val="24"/>
          <w:highlight w:val="white"/>
        </w:rPr>
        <w:t xml:space="preserve"> - </w:t>
      </w:r>
      <w:r>
        <w:rPr>
          <w:b/>
          <w:sz w:val="24"/>
          <w:szCs w:val="24"/>
          <w:highlight w:val="white"/>
        </w:rPr>
        <w:t xml:space="preserve">31.01.202</w:t>
      </w:r>
      <w:r>
        <w:rPr>
          <w:b/>
          <w:sz w:val="24"/>
          <w:szCs w:val="24"/>
          <w:highlight w:val="white"/>
        </w:rPr>
        <w:t xml:space="preserve">8</w:t>
      </w:r>
      <w:r>
        <w:rPr>
          <w:b/>
          <w:sz w:val="24"/>
          <w:szCs w:val="24"/>
          <w:highlight w:val="white"/>
        </w:rPr>
        <w:t xml:space="preserve"> г.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pStyle w:val="895"/>
        <w:ind w:firstLine="700"/>
        <w:jc w:val="both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pStyle w:val="895"/>
        <w:shd w:val="clear" w:color="auto" w:fill="ffffff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895"/>
        <w:jc w:val="center"/>
        <w:shd w:val="clear" w:color="auto" w:fill="ffffff"/>
        <w:rPr>
          <w:bCs/>
          <w:color w:val="000000"/>
          <w:sz w:val="24"/>
          <w:szCs w:val="24"/>
          <w:highlight w:val="white"/>
        </w:rPr>
      </w:pPr>
      <w:r>
        <w:rPr>
          <w:b/>
          <w:bCs/>
          <w:color w:val="000000"/>
          <w:sz w:val="24"/>
          <w:szCs w:val="24"/>
          <w:highlight w:val="white"/>
        </w:rPr>
        <w:t xml:space="preserve">15</w:t>
      </w:r>
      <w:r>
        <w:rPr>
          <w:b/>
          <w:bCs/>
          <w:color w:val="000000"/>
          <w:sz w:val="24"/>
          <w:szCs w:val="24"/>
          <w:highlight w:val="white"/>
        </w:rPr>
        <w:t xml:space="preserve">. Юридические адреса, реквизиты и подписи Сторон</w:t>
      </w:r>
      <w:r>
        <w:rPr>
          <w:bCs/>
          <w:color w:val="000000"/>
          <w:sz w:val="24"/>
          <w:szCs w:val="24"/>
          <w:highlight w:val="white"/>
        </w:rPr>
      </w:r>
      <w:r>
        <w:rPr>
          <w:bCs/>
          <w:color w:val="000000"/>
          <w:sz w:val="24"/>
          <w:szCs w:val="24"/>
          <w:highlight w:val="white"/>
        </w:rPr>
      </w:r>
    </w:p>
    <w:p>
      <w:pPr>
        <w:pStyle w:val="895"/>
        <w:jc w:val="right"/>
        <w:rPr>
          <w:b/>
          <w:color w:val="000000"/>
          <w:sz w:val="24"/>
          <w:szCs w:val="24"/>
          <w:highlight w:val="white"/>
        </w:rPr>
      </w:pPr>
      <w:r>
        <w:rPr>
          <w:highlight w:val="white"/>
        </w:rPr>
        <w:t xml:space="preserve"> </w:t>
      </w:r>
      <w:r>
        <w:rPr>
          <w:b/>
          <w:color w:val="000000"/>
          <w:sz w:val="24"/>
          <w:szCs w:val="24"/>
          <w:highlight w:val="white"/>
        </w:rPr>
      </w:r>
      <w:r>
        <w:rPr>
          <w:b/>
          <w:color w:val="000000"/>
          <w:sz w:val="24"/>
          <w:szCs w:val="24"/>
          <w:highlight w:val="white"/>
        </w:rPr>
      </w:r>
    </w:p>
    <w:tbl>
      <w:tblPr>
        <w:tblW w:w="5000" w:type="pct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220"/>
        <w:gridCol w:w="5059"/>
      </w:tblGrid>
      <w:tr>
        <w:tblPrEx/>
        <w:trPr>
          <w:trHeight w:val="34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20" w:type="dxa"/>
            <w:vAlign w:val="top"/>
            <w:textDirection w:val="lrTb"/>
            <w:noWrap w:val="false"/>
          </w:tcPr>
          <w:p>
            <w:pPr>
              <w:pStyle w:val="1031"/>
              <w:jc w:val="center"/>
              <w:rPr>
                <w:b/>
                <w:spacing w:val="4"/>
                <w:highlight w:val="white"/>
              </w:rPr>
            </w:pPr>
            <w:r>
              <w:rPr>
                <w:b/>
                <w:spacing w:val="4"/>
                <w:highlight w:val="white"/>
              </w:rPr>
            </w:r>
            <w:r>
              <w:rPr>
                <w:b/>
                <w:spacing w:val="4"/>
                <w:highlight w:val="white"/>
              </w:rPr>
            </w:r>
            <w:r>
              <w:rPr>
                <w:b/>
                <w:spacing w:val="4"/>
                <w:highlight w:val="white"/>
              </w:rPr>
            </w:r>
          </w:p>
          <w:p>
            <w:pPr>
              <w:pStyle w:val="1031"/>
              <w:jc w:val="center"/>
              <w:rPr>
                <w:b/>
                <w:spacing w:val="4"/>
                <w:highlight w:val="white"/>
              </w:rPr>
            </w:pPr>
            <w:r>
              <w:rPr>
                <w:b/>
                <w:spacing w:val="4"/>
                <w:highlight w:val="white"/>
              </w:rPr>
              <w:t xml:space="preserve">Государственный заказчик:</w:t>
            </w:r>
            <w:r>
              <w:rPr>
                <w:b/>
                <w:spacing w:val="4"/>
                <w:highlight w:val="white"/>
              </w:rPr>
            </w:r>
            <w:r>
              <w:rPr>
                <w:b/>
                <w:spacing w:val="4"/>
                <w:highlight w:val="white"/>
              </w:rPr>
            </w:r>
          </w:p>
          <w:p>
            <w:pPr>
              <w:pStyle w:val="1059"/>
              <w:jc w:val="left"/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  <w:t xml:space="preserve">Министерство социальной защиты, труда и занятости населения Республики Мордовия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</w:r>
          </w:p>
          <w:p>
            <w:pPr>
              <w:pStyle w:val="1059"/>
              <w:jc w:val="left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pStyle w:val="1059"/>
              <w:jc w:val="left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Юр.адрес: 430027, Республика Мордовия,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pStyle w:val="1059"/>
              <w:jc w:val="left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г. Саранск, ул. Титова, 133.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pStyle w:val="1059"/>
              <w:jc w:val="left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Фактич.адрес: 430027, Республика Мордовия,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pStyle w:val="1059"/>
              <w:jc w:val="left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г. Саранск, ул. Титова, 133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pStyle w:val="1059"/>
              <w:jc w:val="left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ИНН 1326196216 КПП 132601001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pStyle w:val="1059"/>
              <w:jc w:val="left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Минфин Республики Мордовия (Минсоцтрудзанятости Республики Мордовия, л/с 03092000361),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pStyle w:val="1059"/>
              <w:jc w:val="left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Казначейский счет № 03221643890000000900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pStyle w:val="1059"/>
              <w:jc w:val="left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ОКЦ №1 Волго-Вятского ГУ Банка России//УФК по Республике Мордовия г. Саранск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pStyle w:val="1059"/>
              <w:jc w:val="left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БИК 042202114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pStyle w:val="1031"/>
              <w:jc w:val="left"/>
              <w:spacing w:line="21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Единый казначейский счет  40102810545370000114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95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  <w:p>
            <w:pPr>
              <w:pStyle w:val="1031"/>
              <w:rPr>
                <w:spacing w:val="4"/>
                <w:highlight w:val="white"/>
              </w:rPr>
            </w:pP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59" w:type="dxa"/>
            <w:vAlign w:val="top"/>
            <w:textDirection w:val="lrTb"/>
            <w:noWrap w:val="false"/>
          </w:tcPr>
          <w:p>
            <w:pPr>
              <w:pStyle w:val="1031"/>
              <w:rPr>
                <w:b/>
                <w:bCs/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ab/>
            </w:r>
            <w:r>
              <w:rPr>
                <w:b/>
                <w:bCs/>
                <w:color w:val="000000"/>
                <w:highlight w:val="white"/>
              </w:rPr>
            </w:r>
            <w:r>
              <w:rPr>
                <w:b/>
                <w:bCs/>
                <w:color w:val="000000"/>
                <w:highlight w:val="white"/>
              </w:rPr>
            </w:r>
          </w:p>
          <w:tbl>
            <w:tblPr>
              <w:tblW w:w="5000" w:type="pct"/>
              <w:tblInd w:w="0" w:type="dxa"/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4843"/>
            </w:tblGrid>
            <w:tr>
              <w:tblPrEx/>
              <w:trPr>
                <w:trHeight w:val="345"/>
              </w:trPr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843" w:type="dxa"/>
                  <w:vAlign w:val="top"/>
                  <w:textDirection w:val="lrTb"/>
                  <w:noWrap w:val="false"/>
                </w:tcPr>
                <w:p>
                  <w:pPr>
                    <w:pStyle w:val="1031"/>
                    <w:rPr>
                      <w:b/>
                      <w:bCs/>
                      <w:color w:val="000000"/>
                      <w:highlight w:val="white"/>
                    </w:rPr>
                  </w:pPr>
                  <w:r>
                    <w:rPr>
                      <w:color w:val="000000"/>
                      <w:highlight w:val="white"/>
                    </w:rPr>
                    <w:tab/>
                  </w:r>
                  <w:r>
                    <w:rPr>
                      <w:b/>
                      <w:bCs/>
                      <w:color w:val="000000"/>
                      <w:highlight w:val="white"/>
                    </w:rPr>
                    <w:t xml:space="preserve">Исполнитель:</w:t>
                  </w:r>
                  <w:r>
                    <w:rPr>
                      <w:b/>
                      <w:bCs/>
                      <w:color w:val="000000"/>
                      <w:highlight w:val="white"/>
                    </w:rPr>
                  </w:r>
                  <w:r>
                    <w:rPr>
                      <w:b/>
                      <w:bCs/>
                      <w:color w:val="000000"/>
                      <w:highlight w:val="white"/>
                    </w:rPr>
                  </w:r>
                </w:p>
                <w:p>
                  <w:pPr>
                    <w:pStyle w:val="1031"/>
                    <w:jc w:val="center"/>
                    <w:rPr>
                      <w:spacing w:val="4"/>
                      <w:highlight w:val="white"/>
                    </w:rPr>
                  </w:pPr>
                  <w:r>
                    <w:rPr>
                      <w:spacing w:val="4"/>
                      <w:highlight w:val="white"/>
                    </w:rPr>
                  </w:r>
                  <w:r>
                    <w:rPr>
                      <w:spacing w:val="4"/>
                      <w:highlight w:val="white"/>
                    </w:rPr>
                  </w:r>
                  <w:r>
                    <w:rPr>
                      <w:spacing w:val="4"/>
                      <w:highlight w:val="white"/>
                    </w:rPr>
                  </w:r>
                </w:p>
              </w:tc>
            </w:tr>
          </w:tbl>
          <w:p>
            <w:pPr>
              <w:pStyle w:val="1031"/>
              <w:jc w:val="center"/>
              <w:rPr>
                <w:spacing w:val="4"/>
                <w:highlight w:val="white"/>
              </w:rPr>
            </w:pP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</w:p>
        </w:tc>
      </w:tr>
    </w:tbl>
    <w:p>
      <w:pPr>
        <w:pStyle w:val="895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tbl>
      <w:tblPr>
        <w:tblW w:w="10314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5353"/>
        <w:gridCol w:w="4961"/>
      </w:tblGrid>
      <w:tr>
        <w:tblPrEx/>
        <w:trPr>
          <w:trHeight w:val="34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53" w:type="dxa"/>
            <w:vAlign w:val="top"/>
            <w:textDirection w:val="lrTb"/>
            <w:noWrap w:val="false"/>
          </w:tcPr>
          <w:p>
            <w:pPr>
              <w:pStyle w:val="1031"/>
              <w:rPr>
                <w:b/>
                <w:spacing w:val="4"/>
                <w:highlight w:val="white"/>
              </w:rPr>
            </w:pPr>
            <w:r>
              <w:rPr>
                <w:b/>
                <w:spacing w:val="4"/>
                <w:highlight w:val="white"/>
              </w:rPr>
              <w:t xml:space="preserve">Государственный заказчик: </w:t>
            </w:r>
            <w:r>
              <w:rPr>
                <w:b/>
                <w:spacing w:val="4"/>
                <w:highlight w:val="white"/>
              </w:rPr>
            </w:r>
            <w:r>
              <w:rPr>
                <w:b/>
                <w:spacing w:val="4"/>
                <w:highlight w:val="white"/>
              </w:rPr>
            </w:r>
          </w:p>
          <w:p>
            <w:pPr>
              <w:pStyle w:val="1031"/>
              <w:rPr>
                <w:b/>
                <w:spacing w:val="4"/>
                <w:highlight w:val="white"/>
              </w:rPr>
            </w:pPr>
            <w:r>
              <w:rPr>
                <w:b/>
                <w:spacing w:val="4"/>
                <w:highlight w:val="white"/>
              </w:rPr>
            </w:r>
            <w:r>
              <w:rPr>
                <w:b/>
                <w:spacing w:val="4"/>
                <w:highlight w:val="white"/>
              </w:rPr>
            </w:r>
            <w:r>
              <w:rPr>
                <w:b/>
                <w:spacing w:val="4"/>
                <w:highlight w:val="white"/>
              </w:rPr>
            </w:r>
          </w:p>
          <w:p>
            <w:pPr>
              <w:pStyle w:val="1031"/>
              <w:spacing w:line="21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Министерство социальной защиты, труда и занятости населения Республики Мордовия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036"/>
              <w:ind w:left="0"/>
              <w:jc w:val="both"/>
              <w:tabs>
                <w:tab w:val="left" w:pos="1369" w:leader="none"/>
              </w:tabs>
              <w:rPr>
                <w:spacing w:val="4"/>
                <w:highlight w:val="white"/>
              </w:rPr>
            </w:pP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</w:p>
          <w:p>
            <w:pPr>
              <w:pStyle w:val="1036"/>
              <w:ind w:left="0"/>
              <w:jc w:val="both"/>
              <w:tabs>
                <w:tab w:val="left" w:pos="1369" w:leader="none"/>
              </w:tabs>
              <w:rPr>
                <w:spacing w:val="4"/>
                <w:highlight w:val="white"/>
              </w:rPr>
            </w:pPr>
            <w:r>
              <w:rPr>
                <w:spacing w:val="4"/>
                <w:highlight w:val="white"/>
              </w:rPr>
              <w:t xml:space="preserve">Электронн</w:t>
            </w:r>
            <w:r>
              <w:rPr>
                <w:spacing w:val="4"/>
                <w:highlight w:val="white"/>
              </w:rPr>
              <w:t xml:space="preserve">ая подпись __________И.Н. Еремкин</w:t>
            </w: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1" w:type="dxa"/>
            <w:vAlign w:val="top"/>
            <w:textDirection w:val="lrTb"/>
            <w:noWrap w:val="false"/>
          </w:tcPr>
          <w:p>
            <w:pPr>
              <w:pStyle w:val="1036"/>
              <w:ind w:left="0"/>
              <w:tabs>
                <w:tab w:val="left" w:pos="1369" w:leader="none"/>
              </w:tabs>
              <w:rPr>
                <w:b/>
                <w:spacing w:val="4"/>
                <w:highlight w:val="white"/>
              </w:rPr>
            </w:pPr>
            <w:r>
              <w:rPr>
                <w:b/>
                <w:spacing w:val="4"/>
                <w:highlight w:val="white"/>
              </w:rPr>
              <w:t xml:space="preserve">        Исполнитель:</w:t>
            </w:r>
            <w:r>
              <w:rPr>
                <w:b/>
                <w:spacing w:val="4"/>
                <w:highlight w:val="white"/>
              </w:rPr>
            </w:r>
            <w:r>
              <w:rPr>
                <w:b/>
                <w:spacing w:val="4"/>
                <w:highlight w:val="white"/>
              </w:rPr>
            </w:r>
          </w:p>
          <w:p>
            <w:pPr>
              <w:pStyle w:val="1031"/>
              <w:rPr>
                <w:spacing w:val="4"/>
                <w:highlight w:val="white"/>
              </w:rPr>
            </w:pP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</w:p>
          <w:p>
            <w:pPr>
              <w:pStyle w:val="1036"/>
              <w:ind w:left="0"/>
              <w:tabs>
                <w:tab w:val="left" w:pos="1369" w:leader="none"/>
              </w:tabs>
              <w:rPr>
                <w:spacing w:val="4"/>
                <w:highlight w:val="white"/>
              </w:rPr>
            </w:pP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</w:p>
        </w:tc>
      </w:tr>
    </w:tbl>
    <w:p>
      <w:pPr>
        <w:pStyle w:val="895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right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right"/>
        <w:rPr>
          <w:highlight w:val="white"/>
        </w:rPr>
      </w:pPr>
      <w:r>
        <w:rPr>
          <w:sz w:val="24"/>
          <w:szCs w:val="24"/>
          <w:highlight w:val="white"/>
        </w:rPr>
        <w:t xml:space="preserve">Приложение 1</w:t>
      </w:r>
      <w:r>
        <w:rPr>
          <w:highlight w:val="white"/>
        </w:rPr>
      </w:r>
      <w:r>
        <w:rPr>
          <w:highlight w:val="white"/>
        </w:rPr>
      </w:r>
    </w:p>
    <w:p>
      <w:pPr>
        <w:pStyle w:val="895"/>
        <w:jc w:val="right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к Государственному к</w:t>
      </w:r>
      <w:r>
        <w:rPr>
          <w:sz w:val="24"/>
          <w:szCs w:val="24"/>
          <w:highlight w:val="white"/>
        </w:rPr>
        <w:t xml:space="preserve">онтракту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95"/>
        <w:jc w:val="right"/>
        <w:rPr>
          <w:highlight w:val="white"/>
        </w:rPr>
      </w:pPr>
      <w:r>
        <w:rPr>
          <w:b/>
          <w:color w:val="000000"/>
          <w:sz w:val="24"/>
          <w:szCs w:val="24"/>
          <w:highlight w:val="white"/>
        </w:rPr>
        <w:t xml:space="preserve">№</w:t>
      </w:r>
      <w:r>
        <w:rPr>
          <w:highlight w:val="white"/>
        </w:rPr>
      </w:r>
      <w:r>
        <w:rPr>
          <w:highlight w:val="white"/>
        </w:rPr>
      </w:r>
    </w:p>
    <w:p>
      <w:pPr>
        <w:pStyle w:val="895"/>
        <w:jc w:val="right"/>
        <w:rPr>
          <w:highlight w:val="white"/>
        </w:rPr>
      </w:pPr>
      <w:r>
        <w:rPr>
          <w:sz w:val="24"/>
          <w:szCs w:val="24"/>
          <w:highlight w:val="white"/>
        </w:rPr>
        <w:t xml:space="preserve">от «__» _________</w:t>
      </w:r>
      <w:r>
        <w:rPr>
          <w:sz w:val="24"/>
          <w:szCs w:val="24"/>
          <w:highlight w:val="white"/>
        </w:rPr>
        <w:t xml:space="preserve"> 2026</w:t>
      </w:r>
      <w:r>
        <w:rPr>
          <w:sz w:val="24"/>
          <w:szCs w:val="24"/>
          <w:highlight w:val="white"/>
        </w:rPr>
        <w:t xml:space="preserve">г. </w:t>
      </w:r>
      <w:r>
        <w:rPr>
          <w:highlight w:val="white"/>
        </w:rPr>
      </w:r>
      <w:r>
        <w:rPr>
          <w:highlight w:val="white"/>
        </w:rPr>
      </w:r>
    </w:p>
    <w:p>
      <w:pPr>
        <w:pStyle w:val="895"/>
        <w:jc w:val="center"/>
        <w:rPr>
          <w:b/>
          <w:caps/>
          <w:sz w:val="24"/>
          <w:szCs w:val="24"/>
          <w:highlight w:val="white"/>
        </w:rPr>
      </w:pPr>
      <w:r>
        <w:rPr>
          <w:b/>
          <w:caps/>
          <w:sz w:val="24"/>
          <w:szCs w:val="24"/>
          <w:highlight w:val="white"/>
        </w:rPr>
      </w:r>
      <w:r>
        <w:rPr>
          <w:b/>
          <w:caps/>
          <w:sz w:val="24"/>
          <w:szCs w:val="24"/>
          <w:highlight w:val="white"/>
        </w:rPr>
      </w:r>
      <w:r>
        <w:rPr>
          <w:b/>
          <w:caps/>
          <w:sz w:val="24"/>
          <w:szCs w:val="24"/>
          <w:highlight w:val="white"/>
        </w:rPr>
      </w:r>
    </w:p>
    <w:p>
      <w:pPr>
        <w:pStyle w:val="895"/>
        <w:jc w:val="center"/>
        <w:spacing w:after="0" w:line="240" w:lineRule="auto"/>
        <w:rPr>
          <w:rFonts w:ascii="Times New Roman" w:hAnsi="Times New Roman"/>
          <w:b/>
          <w:caps/>
          <w:sz w:val="24"/>
          <w:szCs w:val="24"/>
          <w:highlight w:val="white"/>
        </w:rPr>
      </w:pPr>
      <w:r>
        <w:rPr>
          <w:highlight w:val="white"/>
        </w:rPr>
      </w:r>
      <w:bookmarkStart w:id="0" w:name="undefined"/>
      <w:r>
        <w:rPr>
          <w:highlight w:val="white"/>
        </w:rPr>
      </w:r>
      <w:bookmarkStart w:id="0" w:name="undefined"/>
      <w:r>
        <w:rPr>
          <w:rFonts w:ascii="Times New Roman" w:hAnsi="Times New Roman"/>
          <w:b/>
          <w:caps/>
          <w:sz w:val="24"/>
          <w:szCs w:val="24"/>
          <w:highlight w:val="white"/>
        </w:rPr>
        <w:t xml:space="preserve">ОПИСАНИЕ ОБЪЕКТА ЗАКУПКИ</w:t>
      </w:r>
      <w:r>
        <w:rPr>
          <w:rFonts w:ascii="Times New Roman" w:hAnsi="Times New Roman"/>
          <w:b/>
          <w:caps/>
          <w:sz w:val="24"/>
          <w:szCs w:val="24"/>
          <w:highlight w:val="white"/>
        </w:rPr>
      </w:r>
      <w:r>
        <w:rPr>
          <w:rFonts w:ascii="Times New Roman" w:hAnsi="Times New Roman"/>
          <w:b/>
          <w:caps/>
          <w:sz w:val="24"/>
          <w:szCs w:val="24"/>
          <w:highlight w:val="white"/>
        </w:rPr>
      </w:r>
    </w:p>
    <w:p>
      <w:pPr>
        <w:pStyle w:val="895"/>
        <w:jc w:val="center"/>
        <w:spacing w:after="0" w:line="240" w:lineRule="auto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Style w:val="895"/>
        <w:jc w:val="center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18"/>
          <w:szCs w:val="18"/>
          <w:highlight w:val="white"/>
        </w:rPr>
        <w:t xml:space="preserve">н</w:t>
      </w:r>
      <w:r>
        <w:rPr>
          <w:rFonts w:ascii="Times New Roman" w:hAnsi="Times New Roman"/>
          <w:sz w:val="20"/>
          <w:szCs w:val="20"/>
          <w:highlight w:val="white"/>
        </w:rPr>
        <w:t xml:space="preserve">а выполнение работ по сопровождению автоматизированной информационной системы «Электронный социальный регистр населения Республики Мордовия»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Список сокращений и определений</w:t>
      </w:r>
      <w:bookmarkEnd w:id="0"/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p>
      <w:pPr>
        <w:pStyle w:val="895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tbl>
      <w:tblPr>
        <w:tblW w:w="0" w:type="auto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2239"/>
        <w:gridCol w:w="7424"/>
      </w:tblGrid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  <w:t xml:space="preserve">Обозначение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highlight w:val="white"/>
              </w:rPr>
              <w:t xml:space="preserve">Описание</w:t>
            </w:r>
            <w:r>
              <w:rPr>
                <w:rFonts w:ascii="Times New Roman" w:hAnsi="Times New Roman"/>
                <w:b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iCs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АИС ЭСРН РМ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Автоматизированная информационная система «Электронный социальный регистр населения Республики Мордовия»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Министерство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Министерство социальной защиты, труда и занятости населения Республики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ГКУ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Государственное казенное учреждение социальной защиты населения районного уровня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GUID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Статический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уникальный 128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битный идентификатор. Его главная особенность — уникальность, которая позволяет создавать расширяемые сервисы и приложения без опасения конфликтов, вызванных совпадением идентификаторов.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ЛД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Личное дело получателя мер социальной поддержки АИС ЭСРН РМ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МСП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Мера социальной поддержки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ЛК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Льготная категория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ЧТЗ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Частное техническое задание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БД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База данных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СУБД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Система управления базами данных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СПО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Специальное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программное обеспечение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СМЭВ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Система межведомственного электронного взаимодействия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ППР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Подсистема принятия решений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</w:tbl>
    <w:p>
      <w:pPr>
        <w:pStyle w:val="1060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br w:type="page" w:clear="all"/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1 Общие сведения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1.1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Полное и краткое наименование системы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sz w:val="20"/>
          <w:szCs w:val="20"/>
          <w:highlight w:val="white"/>
        </w:rPr>
        <w:t xml:space="preserve">Автоматизированная информационная система «Электронный социальный регистр населения Республики Мордовия».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Сокращенное наименование: АИС ЭСРН РМ.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Условное обозначение: Система.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1.2 Основания для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Работы выполняются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 целях реализации нормативных правовых актов в области социальной защиты и социального обслуживания населения Республики Мордовия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 Перечень нормативных правовых актов указан в Приложении 1.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1.3 Заказчик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и Исполнитель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Cs/>
          <w:sz w:val="20"/>
          <w:szCs w:val="20"/>
          <w:highlight w:val="white"/>
        </w:rPr>
        <w:t xml:space="preserve">Заказчик: </w:t>
      </w:r>
      <w:bookmarkEnd w:id="0"/>
      <w:r>
        <w:rPr>
          <w:rFonts w:ascii="Times New Roman" w:hAnsi="Times New Roman"/>
          <w:bCs/>
          <w:sz w:val="20"/>
          <w:szCs w:val="20"/>
          <w:highlight w:val="white"/>
        </w:rPr>
        <w:t xml:space="preserve">Министерство социальной защиты, труда и занятости населения Республики Мордовия.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Исполнитель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определяется в результате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конкурентных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процедур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1.4 Плановые сроки начала и окончания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Cs/>
          <w:sz w:val="20"/>
          <w:szCs w:val="20"/>
          <w:highlight w:val="white"/>
        </w:rPr>
        <w:t xml:space="preserve">Сроки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: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1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января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202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7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г.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31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декабря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202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7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г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Срок действия Контракта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: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 даты подписания до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31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января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202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8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г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1.5 Источник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финансирования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и порядок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оплаты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Источник финансирования - республиканский бюджет Республики Мордовия.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Cs/>
          <w:sz w:val="20"/>
          <w:szCs w:val="20"/>
          <w:highlight w:val="white"/>
        </w:rPr>
        <w:t xml:space="preserve">Порядок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оплаты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определя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ся условиями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Контракта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заключённого между Заказчиком и Исполнителем.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End w:id="0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End w:id="0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1.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6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Перечень государственных услуг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Перечень государственных услуг, предоставляемых посредством АИС ЭСРН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 подлежащих сопровождению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представлен в приложении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2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1.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7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Порядок оформления и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передачи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Заказчику результатов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Результаты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передаются Заказчику в порядке, определенном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Контрактом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Исполнитель передает р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азработанное специальное программное обеспечение Системы Заказчику вместе с исходными кодами в соответствии с </w:t>
      </w:r>
      <w:r>
        <w:rPr>
          <w:sz w:val="20"/>
          <w:szCs w:val="20"/>
          <w:highlight w:val="white"/>
        </w:rPr>
        <w:fldChar w:fldCharType="begin"/>
      </w:r>
      <w:r>
        <w:rPr>
          <w:sz w:val="20"/>
          <w:szCs w:val="20"/>
          <w:highlight w:val="white"/>
        </w:rPr>
        <w:instrText xml:space="preserve">HYPERLINK "http://www.rugost.com/index.php?option=com_content&amp;view=article&amp;id=57:19401-78&amp;catid=19:19&amp;Itemid=50"</w:instrText>
      </w:r>
      <w:r>
        <w:rPr>
          <w:sz w:val="20"/>
          <w:szCs w:val="20"/>
          <w:highlight w:val="white"/>
        </w:rPr>
        <w:fldChar w:fldCharType="separate"/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ГОСТ 19.401-78</w:t>
      </w:r>
      <w:r>
        <w:rPr>
          <w:sz w:val="20"/>
          <w:szCs w:val="20"/>
          <w:highlight w:val="white"/>
        </w:rPr>
        <w:fldChar w:fldCharType="end"/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 рамках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Исполнителем передается Заказчику техническая и эксплуатационная документация, разработанная в соответствии с п.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8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настоящ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его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Технического задания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20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1.8. Место выполнение работ: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по месту размещения территориально распределенных баз данных автоматизированной информационной системы «Электронный социальный регистр населения Республики Мордовия»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(приложение 3).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ind w:firstLine="720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1060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2 Цели и задачи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2.1 Цели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Основной целью является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выполнение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по сопровождению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систем управления базами данных и по модернизации программного обеспечения АИС ЭСРН РМ в части автоматизации процессов предоставления государственных и социальных услуг в связи с изменением федерального и регионального законодательства в социальной сфере.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2.2 Задачи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В рамках </w:t>
      </w:r>
      <w:r>
        <w:rPr>
          <w:rFonts w:ascii="Times New Roman" w:hAnsi="Times New Roman"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sz w:val="20"/>
          <w:szCs w:val="20"/>
          <w:highlight w:val="white"/>
        </w:rPr>
        <w:t xml:space="preserve"> решаются следующие задачи: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0"/>
        </w:numPr>
        <w:ind w:left="0" w:firstLine="709"/>
        <w:jc w:val="both"/>
        <w:spacing w:after="0" w:line="240" w:lineRule="auto"/>
        <w:tabs>
          <w:tab w:val="num" w:pos="-142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модернизация подсистем, функционала, структуры БД, справочников, выходных форм АИС ЭСРН РМ;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0"/>
        </w:numPr>
        <w:ind w:left="0" w:firstLine="709"/>
        <w:jc w:val="both"/>
        <w:spacing w:after="0" w:line="240" w:lineRule="auto"/>
        <w:tabs>
          <w:tab w:val="num" w:pos="-142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сопровождение технологии предоставления государственных и социальных услуг насе</w:t>
      </w:r>
      <w:r>
        <w:rPr>
          <w:rFonts w:ascii="Times New Roman" w:hAnsi="Times New Roman"/>
          <w:sz w:val="20"/>
          <w:szCs w:val="20"/>
          <w:highlight w:val="white"/>
        </w:rPr>
        <w:t xml:space="preserve">лению Республики Мордовия в связи с изменением законодательства в сфере социальной защиты и социального обслуживания населения. Реализация на единой технологической платформе АИС ЭСРН РМ предоставления новых и действующих государственных и социальных услуг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в соответствии с вновь разработанными (вступившими в действие) нормами законодательства;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0"/>
        </w:numPr>
        <w:ind w:left="0" w:firstLine="709"/>
        <w:jc w:val="both"/>
        <w:spacing w:after="0" w:line="240" w:lineRule="auto"/>
        <w:tabs>
          <w:tab w:val="num" w:pos="-142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сопровождение </w:t>
      </w:r>
      <w:r>
        <w:rPr>
          <w:rFonts w:ascii="Times New Roman" w:hAnsi="Times New Roman"/>
          <w:sz w:val="20"/>
          <w:szCs w:val="20"/>
          <w:highlight w:val="white"/>
        </w:rPr>
        <w:t xml:space="preserve">АИС ЭСРН РМ</w:t>
      </w:r>
      <w:r>
        <w:rPr>
          <w:rFonts w:ascii="Times New Roman" w:hAnsi="Times New Roman"/>
          <w:sz w:val="20"/>
          <w:szCs w:val="20"/>
          <w:highlight w:val="white"/>
        </w:rPr>
        <w:t xml:space="preserve">, в части СУБД;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0"/>
        </w:numPr>
        <w:ind w:left="0" w:firstLine="709"/>
        <w:jc w:val="both"/>
        <w:spacing w:after="0" w:line="240" w:lineRule="auto"/>
        <w:tabs>
          <w:tab w:val="num" w:pos="-142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сопровождение </w:t>
      </w:r>
      <w:r>
        <w:rPr>
          <w:rFonts w:ascii="Times New Roman" w:hAnsi="Times New Roman"/>
          <w:sz w:val="20"/>
          <w:szCs w:val="20"/>
          <w:highlight w:val="white"/>
        </w:rPr>
        <w:t xml:space="preserve">АИС ЭСРН РМ</w:t>
      </w:r>
      <w:r>
        <w:rPr>
          <w:rFonts w:ascii="Times New Roman" w:hAnsi="Times New Roman"/>
          <w:sz w:val="20"/>
          <w:szCs w:val="20"/>
          <w:highlight w:val="white"/>
        </w:rPr>
        <w:t xml:space="preserve">, в части уровня приложений.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1060"/>
        <w:spacing w:before="0" w:line="24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1060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3 Характеристика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АИС ЭСРН РМ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3.1 Сведения о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б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АИС ЭСРН РМ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 настоящее время в органах социальной защиты населения Республики Мордовия внедрена территориально-распределенная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АИС ЭСРН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реализованная на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инструментальной платформе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для электронного социального регистра населения «Sitex-ЭСРН»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(реестровый № 2231 в Едином реестре российских программ для электронных вычислительных машин и баз данных).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Используемая система управления базами данных – СУБД Microsoft SQL Server.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Перечень объектов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АИС ЭСРН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представлен в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риложении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3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3.2 Организационно-функциональная структура АИС ЭСРН РМ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Территориально-распределенная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АИС ЭСРН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состоит из следующих сегментов: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23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Центральный ссылочный реестр (контекст 10.0.0.1:8080). Осуществляет выполнение централизованных функций АИС ЭСРН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ведение сводных реестров и отчетов.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Обеспечивает межведомственное электрон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ное взаимодействие, в том числе с использованием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СМЭВ 2.Х и 3.Х. Обеспечивает ведение регистра получателей социальных услуг.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23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Эталонная база данных (контекст 10.0.0.1:8080/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bolvanka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). Служит первичным источником нормативно-справочной информации в АИС ЭСРН РМ.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23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База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Министерства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(контекст 192.168.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33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1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4:8080). Обеспечивает выполнение функций и оказание государственных услуг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возложенных на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Министерство.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Обеспечивает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оказание социальных услуг стационарными и полустационарными учреждениями социального обслуживания населения Республики Мордовия.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23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База Студенты (контекст 192.168.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33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1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4:8080/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students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). Обеспечивает централизованный учет и обмен информацией по лицам из числа обучающихся в средних и высших образовательных учебных заведениях Республики Мордовия.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23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Районные сегменты (контексты 10.1.1-25.1:8080). Обеспечивают процессы предоставления государственных и социальных услуг подведомственными учреждениями.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Все сегменты АИС ЭСРН РМ функционируют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независимо друг от друга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 рамках единой защищенной сети передачи данных, связывающей Министерство и подведомственные учреждения. Индексация объектов предметной области в каждом сегменте осуществляется независимо. Уникальность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объектов АИС ЭСРН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 рамках единого информационного пространства обеспечивается с помощью глобальных идентификаторов (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GUID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).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Взаимодействие между сегментами происходит: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24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На уровне сервера приложений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Sitex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-ЭСРН – с помощью платформы взаимодействия.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24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На уровне баз данных – репликация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MS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SQL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Server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ind w:left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3.3 Описание АИС ЭСРН РМ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АИС ЭСРН РМ предназначена для автоматизации следующих видов деятельности: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numPr>
          <w:ilvl w:val="0"/>
          <w:numId w:val="21"/>
        </w:numPr>
        <w:ind w:left="0" w:firstLine="709"/>
        <w:jc w:val="both"/>
        <w:spacing w:after="0" w:line="240" w:lineRule="auto"/>
        <w:tabs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ведение и учет регистрационных данных граждан, претендующих на получение государственных и социальных услуг, в объеме, необходимом для принятия решения о назначении;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1"/>
        </w:numPr>
        <w:ind w:left="0" w:firstLine="709"/>
        <w:jc w:val="both"/>
        <w:spacing w:after="0" w:line="240" w:lineRule="auto"/>
        <w:tabs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поддержка принятия решения по обращениям граждан, претендующих на получение государственных и социальных услуг;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1"/>
        </w:numPr>
        <w:ind w:left="0" w:firstLine="709"/>
        <w:jc w:val="both"/>
        <w:spacing w:after="0" w:line="240" w:lineRule="auto"/>
        <w:tabs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оперативный контроль данных, предоставляемых гражданами, и формируемых специалистами, эксплуатирующими АИС ЭСРН РМ;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1"/>
        </w:numPr>
        <w:ind w:left="0" w:firstLine="709"/>
        <w:jc w:val="both"/>
        <w:spacing w:after="0" w:line="240" w:lineRule="auto"/>
        <w:tabs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информационное взаимодействие с внешними организациями, предоставляющими (оказывающими) социальную помощь гражданам;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1"/>
        </w:numPr>
        <w:ind w:left="0" w:firstLine="709"/>
        <w:jc w:val="both"/>
        <w:spacing w:after="0" w:line="240" w:lineRule="auto"/>
        <w:tabs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формирование и обработка данных, связанных с решениями о назначении гражданам государственных и социальных услуг, принимаемыми на основании данных, предоставленных гражданами и/или внешними организациями;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1"/>
        </w:numPr>
        <w:ind w:left="0" w:firstLine="709"/>
        <w:jc w:val="both"/>
        <w:spacing w:after="0" w:line="240" w:lineRule="auto"/>
        <w:tabs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приема-запроса документов (сведений) посредством системы межведомственного электронного взаимодействия;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1"/>
        </w:numPr>
        <w:ind w:left="0" w:firstLine="709"/>
        <w:jc w:val="both"/>
        <w:spacing w:after="0" w:line="240" w:lineRule="auto"/>
        <w:tabs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формирование отчетной документации по данным, регистрируемым и формируемым в АИС ЭСРН РМ.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ind w:left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АИС ЭСРН РМ состоит из следующих подсистем: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numPr>
          <w:ilvl w:val="0"/>
          <w:numId w:val="22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администрирования, обеспечивающая выполнение задач общесистемного характера, а также задач создания, редактирования, настройки и модификации структуры и объектов АИС ЭСРН РМ;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2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учетная подсистема, обеспечивающая создание, ведение и хранение данных электронного дела гражданина, данных справочников, классификаторов и кодификаторов, в том числе и возможность подключения внешних справочников;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2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принятия решения обеспечива</w:t>
      </w:r>
      <w:r>
        <w:rPr>
          <w:rFonts w:ascii="Times New Roman" w:hAnsi="Times New Roman"/>
          <w:sz w:val="20"/>
          <w:szCs w:val="20"/>
          <w:highlight w:val="white"/>
        </w:rPr>
        <w:t xml:space="preserve">ет</w:t>
      </w:r>
      <w:r>
        <w:rPr>
          <w:rFonts w:ascii="Times New Roman" w:hAnsi="Times New Roman"/>
          <w:sz w:val="20"/>
          <w:szCs w:val="20"/>
          <w:highlight w:val="white"/>
        </w:rPr>
        <w:t xml:space="preserve"> механизмы определения права на предоставление различных видов </w:t>
      </w:r>
      <w:r>
        <w:rPr>
          <w:rFonts w:ascii="Times New Roman" w:hAnsi="Times New Roman"/>
          <w:sz w:val="20"/>
          <w:szCs w:val="20"/>
          <w:highlight w:val="white"/>
        </w:rPr>
        <w:t xml:space="preserve">государственных </w:t>
      </w:r>
      <w:r>
        <w:rPr>
          <w:rFonts w:ascii="Times New Roman" w:hAnsi="Times New Roman"/>
          <w:sz w:val="20"/>
          <w:szCs w:val="20"/>
          <w:highlight w:val="white"/>
        </w:rPr>
        <w:t xml:space="preserve">и </w:t>
      </w:r>
      <w:r>
        <w:rPr>
          <w:rFonts w:ascii="Times New Roman" w:hAnsi="Times New Roman"/>
          <w:sz w:val="20"/>
          <w:szCs w:val="20"/>
          <w:highlight w:val="white"/>
        </w:rPr>
        <w:t xml:space="preserve">социальных услуг</w:t>
      </w:r>
      <w:r>
        <w:rPr>
          <w:rFonts w:ascii="Times New Roman" w:hAnsi="Times New Roman"/>
          <w:sz w:val="20"/>
          <w:szCs w:val="20"/>
          <w:highlight w:val="white"/>
        </w:rPr>
        <w:t xml:space="preserve"> гражданину в зависимости от льготной категории при его обращении в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учреждения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социальной защиты</w:t>
      </w:r>
      <w:r>
        <w:rPr>
          <w:rFonts w:ascii="Times New Roman" w:hAnsi="Times New Roman"/>
          <w:sz w:val="20"/>
          <w:szCs w:val="20"/>
          <w:highlight w:val="white"/>
        </w:rPr>
        <w:t xml:space="preserve">. </w:t>
      </w:r>
      <w:r>
        <w:rPr>
          <w:rFonts w:ascii="Times New Roman" w:hAnsi="Times New Roman"/>
          <w:sz w:val="20"/>
          <w:szCs w:val="20"/>
          <w:highlight w:val="white"/>
        </w:rPr>
        <w:t xml:space="preserve">ППР</w:t>
      </w:r>
      <w:r>
        <w:rPr>
          <w:rFonts w:ascii="Times New Roman" w:hAnsi="Times New Roman"/>
          <w:sz w:val="20"/>
          <w:szCs w:val="20"/>
          <w:highlight w:val="white"/>
        </w:rPr>
        <w:t xml:space="preserve"> также </w:t>
      </w:r>
      <w:r>
        <w:rPr>
          <w:rFonts w:ascii="Times New Roman" w:hAnsi="Times New Roman"/>
          <w:sz w:val="20"/>
          <w:szCs w:val="20"/>
          <w:highlight w:val="white"/>
        </w:rPr>
        <w:t xml:space="preserve">определяет</w:t>
      </w:r>
      <w:r>
        <w:rPr>
          <w:rFonts w:ascii="Times New Roman" w:hAnsi="Times New Roman"/>
          <w:sz w:val="20"/>
          <w:szCs w:val="20"/>
          <w:highlight w:val="white"/>
        </w:rPr>
        <w:t xml:space="preserve"> перечень необходимых документов, который предоставляет гражданин для назначения </w:t>
      </w:r>
      <w:r>
        <w:rPr>
          <w:rFonts w:ascii="Times New Roman" w:hAnsi="Times New Roman"/>
          <w:sz w:val="20"/>
          <w:szCs w:val="20"/>
          <w:highlight w:val="white"/>
        </w:rPr>
        <w:t xml:space="preserve">государственных и социальных услуг</w:t>
      </w:r>
      <w:r>
        <w:rPr>
          <w:rFonts w:ascii="Times New Roman" w:hAnsi="Times New Roman"/>
          <w:sz w:val="20"/>
          <w:szCs w:val="20"/>
          <w:highlight w:val="white"/>
        </w:rPr>
        <w:t xml:space="preserve">. ППР обеспечивает возможность настройки правил предоставления МСП гражданам на основании нормативно-правовых актов, принятых на федеральном и региональном уровнях;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2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назначения и организации выплат, обеспечивающая механизмы назначения, контроля обоснованности назначения выплаты гражданину, расчета выплачиваемых сумм и подготовки выплатных документов</w:t>
      </w:r>
      <w:r>
        <w:rPr>
          <w:rFonts w:ascii="Times New Roman" w:hAnsi="Times New Roman"/>
          <w:sz w:val="20"/>
          <w:szCs w:val="20"/>
          <w:highlight w:val="white"/>
        </w:rPr>
        <w:t xml:space="preserve">, и</w:t>
      </w:r>
      <w:r>
        <w:rPr>
          <w:rFonts w:ascii="Times New Roman" w:hAnsi="Times New Roman"/>
          <w:sz w:val="20"/>
          <w:szCs w:val="20"/>
          <w:highlight w:val="white"/>
        </w:rPr>
        <w:t xml:space="preserve"> поддержива</w:t>
      </w:r>
      <w:r>
        <w:rPr>
          <w:rFonts w:ascii="Times New Roman" w:hAnsi="Times New Roman"/>
          <w:sz w:val="20"/>
          <w:szCs w:val="20"/>
          <w:highlight w:val="white"/>
        </w:rPr>
        <w:t xml:space="preserve">ющая</w:t>
      </w:r>
      <w:r>
        <w:rPr>
          <w:rFonts w:ascii="Times New Roman" w:hAnsi="Times New Roman"/>
          <w:sz w:val="20"/>
          <w:szCs w:val="20"/>
          <w:highlight w:val="white"/>
        </w:rPr>
        <w:t xml:space="preserve"> режимы массового </w:t>
      </w:r>
      <w:r>
        <w:rPr>
          <w:rFonts w:ascii="Times New Roman" w:hAnsi="Times New Roman"/>
          <w:sz w:val="20"/>
          <w:szCs w:val="20"/>
          <w:highlight w:val="white"/>
        </w:rPr>
        <w:t xml:space="preserve">назначения, расчета и </w:t>
      </w:r>
      <w:r>
        <w:rPr>
          <w:rFonts w:ascii="Times New Roman" w:hAnsi="Times New Roman"/>
          <w:sz w:val="20"/>
          <w:szCs w:val="20"/>
          <w:highlight w:val="white"/>
        </w:rPr>
        <w:t xml:space="preserve">перерасчета выплат, учет возврата денежных средств и учет переплат;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2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генерации отчетов, обеспечивающая механизмы формирования статистических или аналитических отчетов и их твердых копий на основании шаблонов офисных приложений;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2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внешнего информационного обмена, обеспечивающая механизмы взаимодействия (обмена информацией) с </w:t>
      </w:r>
      <w:r>
        <w:rPr>
          <w:rFonts w:ascii="Times New Roman" w:hAnsi="Times New Roman"/>
          <w:sz w:val="20"/>
          <w:szCs w:val="20"/>
          <w:highlight w:val="white"/>
        </w:rPr>
        <w:t xml:space="preserve">внешними </w:t>
      </w:r>
      <w:r>
        <w:rPr>
          <w:rFonts w:ascii="Times New Roman" w:hAnsi="Times New Roman"/>
          <w:sz w:val="20"/>
          <w:szCs w:val="20"/>
          <w:highlight w:val="white"/>
        </w:rPr>
        <w:t xml:space="preserve">организациями в утвержденном формате данн</w:t>
      </w:r>
      <w:r>
        <w:rPr>
          <w:rFonts w:ascii="Times New Roman" w:hAnsi="Times New Roman"/>
          <w:sz w:val="20"/>
          <w:szCs w:val="20"/>
          <w:highlight w:val="white"/>
        </w:rPr>
        <w:t xml:space="preserve">ых;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2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безопасности, обеспечивающая идентификацию пользователя, организацию доступа к функциям и объектам АИС ЭСРН РМ на основе прав, ролей и групп пользователей, защиту информации от несанкционированного доступа;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2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приема (запроса) документов (сведений), обеспечивающая выполнение параллельных и последовательных запросов в федеральные органы исполнительной власти, органы госу</w:t>
      </w:r>
      <w:r>
        <w:rPr>
          <w:rFonts w:ascii="Times New Roman" w:hAnsi="Times New Roman"/>
          <w:sz w:val="20"/>
          <w:szCs w:val="20"/>
          <w:highlight w:val="white"/>
        </w:rPr>
        <w:t xml:space="preserve">дарственных внебюджетных фондов, исполнительные органы государственной власти Республики Мордовия, с использованием Системы межведомственного электронного взаимодействия (в том числе с региональными системами межведомственного электронного взаимодействия);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2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исполнения административных регламентов </w:t>
      </w:r>
      <w:r>
        <w:rPr>
          <w:rFonts w:ascii="Times New Roman" w:hAnsi="Times New Roman"/>
          <w:sz w:val="20"/>
          <w:szCs w:val="20"/>
          <w:highlight w:val="white"/>
        </w:rPr>
        <w:t xml:space="preserve">предоставления</w:t>
      </w:r>
      <w:r>
        <w:rPr>
          <w:rFonts w:ascii="Times New Roman" w:hAnsi="Times New Roman"/>
          <w:sz w:val="20"/>
          <w:szCs w:val="20"/>
          <w:highlight w:val="white"/>
        </w:rPr>
        <w:t xml:space="preserve"> государственных услуг населению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подведомственными</w:t>
      </w:r>
      <w:r>
        <w:rPr>
          <w:rFonts w:ascii="Times New Roman" w:hAnsi="Times New Roman"/>
          <w:sz w:val="20"/>
          <w:szCs w:val="20"/>
          <w:highlight w:val="white"/>
        </w:rPr>
        <w:t xml:space="preserve"> учреждениями, содержащая формализованное описание административных процессов предоставления государственной услуги и позволяющая отслеживать прохождение обращения в соответствии с административными регламентами </w:t>
      </w:r>
      <w:r>
        <w:rPr>
          <w:rFonts w:ascii="Times New Roman" w:hAnsi="Times New Roman"/>
          <w:sz w:val="20"/>
          <w:szCs w:val="20"/>
          <w:highlight w:val="white"/>
        </w:rPr>
        <w:t xml:space="preserve">предоставления государственных услуг;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2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социального обслуживания;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2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центрального ссылочного реестра</w:t>
      </w:r>
      <w:r>
        <w:rPr>
          <w:rFonts w:ascii="Times New Roman" w:hAnsi="Times New Roman"/>
          <w:sz w:val="20"/>
          <w:szCs w:val="20"/>
          <w:highlight w:val="white"/>
          <w:lang w:val="en-US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ind w:left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1060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4 Общие требования к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выполнению 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4.1 Требования к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выполнению 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При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сопровождении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АИС ЭСРН РМ не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нарушается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его работоспособность.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Сопровождение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АИС ЭСРН РМ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осуществляется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путем совершенствования разработанных подсистем, либо разработкой новых подсистем на платформе программного обеспечения «Инструментальная система разработки распределенных приложений SiTex».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Разработка новых модулей и подсистем должна вестись с учетом полной совместимости с АИС ЭСРН РМ.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Для обеспечения качества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выполняемых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по сопровождению АИС ЭСРН РМ Исполнитель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привлекает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только специалистов, имеющих соответствующий уровень квалификации.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Сопровождение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АИС ЭСРН РМ включает в себя сопровождение технологии предоставления </w:t>
      </w:r>
      <w:r>
        <w:rPr>
          <w:rFonts w:ascii="Times New Roman" w:hAnsi="Times New Roman"/>
          <w:sz w:val="20"/>
          <w:szCs w:val="20"/>
          <w:highlight w:val="white"/>
        </w:rPr>
        <w:t xml:space="preserve">государственных и социальных услуг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населению Республики Мордовия в случае выхода новых или изменений федеральных, а также региональных и локальных нормативных правовых актов в области социальной защиты населения, а также сопровождени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текущих </w:t>
      </w:r>
      <w:r>
        <w:rPr>
          <w:rFonts w:ascii="Times New Roman" w:hAnsi="Times New Roman"/>
          <w:sz w:val="20"/>
          <w:szCs w:val="20"/>
          <w:highlight w:val="white"/>
        </w:rPr>
        <w:t xml:space="preserve">государственных и социальных услуг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Выполнение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осуществляется по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ЧТЗ или заданию на модернизацию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сформированными Заказчиком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Выполнение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осуществляется в части настройки (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модернизации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) подсистемы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АИС ЭСРН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реализации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новых и изменение существующих отчетов, информационных обменов, указанных в нормативных правовых актах, а также иных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необходимых для правильного функционирования процесса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оказания государственных и социальных услуг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в соответствии с требованиями Заказчика, указанными в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ЧТЗ или задании на модернизацию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Вносимые изменения в существующие подсистемы АИС ЭСРН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не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повышают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требований к серверному оборудованию по сравнению с уже использующимся, а также не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замедляют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работу АИС ЭСРН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1060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5 Состав и содержание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5.1 Состав и содержание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по модернизации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Работы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 модернизации АИС ЭСРН РМ для обеспечения потребностей Заказчика составляет не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менее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200 чел./час разработки в месяц.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Заказчик несет ответственность за не предоставленный объем задач на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модернизацию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соответствии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 условиями Контракта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Модернизация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АИС ЭСРН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включает в себя: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numPr>
          <w:ilvl w:val="0"/>
          <w:numId w:val="25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оценку трудозатрат на реализацию задания на </w:t>
      </w:r>
      <w:r>
        <w:rPr>
          <w:rFonts w:ascii="Times New Roman" w:hAnsi="Times New Roman"/>
          <w:sz w:val="20"/>
          <w:szCs w:val="20"/>
          <w:highlight w:val="white"/>
        </w:rPr>
        <w:t xml:space="preserve">модернизацию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5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разработку и согласование </w:t>
      </w:r>
      <w:r>
        <w:rPr>
          <w:rFonts w:ascii="Times New Roman" w:hAnsi="Times New Roman"/>
          <w:sz w:val="20"/>
          <w:szCs w:val="20"/>
          <w:highlight w:val="white"/>
        </w:rPr>
        <w:t xml:space="preserve">ЧТЗ</w:t>
      </w:r>
      <w:r>
        <w:rPr>
          <w:rFonts w:ascii="Times New Roman" w:hAnsi="Times New Roman"/>
          <w:sz w:val="20"/>
          <w:szCs w:val="20"/>
          <w:highlight w:val="white"/>
        </w:rPr>
        <w:t xml:space="preserve"> в </w:t>
      </w:r>
      <w:r>
        <w:rPr>
          <w:rFonts w:ascii="Times New Roman" w:hAnsi="Times New Roman"/>
          <w:sz w:val="20"/>
          <w:szCs w:val="20"/>
          <w:highlight w:val="white"/>
        </w:rPr>
        <w:t xml:space="preserve">том числе </w:t>
      </w:r>
      <w:r>
        <w:rPr>
          <w:rFonts w:ascii="Times New Roman" w:hAnsi="Times New Roman"/>
          <w:sz w:val="20"/>
          <w:szCs w:val="20"/>
          <w:highlight w:val="white"/>
        </w:rPr>
        <w:t xml:space="preserve">добавления новых классов </w:t>
      </w:r>
      <w:r>
        <w:rPr>
          <w:rFonts w:ascii="Times New Roman" w:hAnsi="Times New Roman"/>
          <w:sz w:val="20"/>
          <w:szCs w:val="20"/>
          <w:highlight w:val="white"/>
          <w:lang w:val="en-US"/>
        </w:rPr>
        <w:t xml:space="preserve">Sitex</w:t>
      </w:r>
      <w:r>
        <w:rPr>
          <w:rFonts w:ascii="Times New Roman" w:hAnsi="Times New Roman"/>
          <w:sz w:val="20"/>
          <w:szCs w:val="20"/>
          <w:highlight w:val="white"/>
        </w:rPr>
        <w:t xml:space="preserve">-ЭСРН;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5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модернизацию пользовательского интерфейса (</w:t>
      </w:r>
      <w:r>
        <w:rPr>
          <w:rFonts w:ascii="Times New Roman" w:hAnsi="Times New Roman"/>
          <w:sz w:val="20"/>
          <w:szCs w:val="20"/>
          <w:highlight w:val="white"/>
        </w:rPr>
        <w:t xml:space="preserve">при необходимости</w:t>
      </w:r>
      <w:r>
        <w:rPr>
          <w:rFonts w:ascii="Times New Roman" w:hAnsi="Times New Roman"/>
          <w:sz w:val="20"/>
          <w:szCs w:val="20"/>
          <w:highlight w:val="white"/>
        </w:rPr>
        <w:t xml:space="preserve">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5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модернизацию структуры базы данных (</w:t>
      </w:r>
      <w:r>
        <w:rPr>
          <w:rFonts w:ascii="Times New Roman" w:hAnsi="Times New Roman"/>
          <w:sz w:val="20"/>
          <w:szCs w:val="20"/>
          <w:highlight w:val="white"/>
        </w:rPr>
        <w:t xml:space="preserve">при необходимости</w:t>
      </w:r>
      <w:r>
        <w:rPr>
          <w:rFonts w:ascii="Times New Roman" w:hAnsi="Times New Roman"/>
          <w:sz w:val="20"/>
          <w:szCs w:val="20"/>
          <w:highlight w:val="white"/>
        </w:rPr>
        <w:t xml:space="preserve">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5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модернизацию функции обработки данных (</w:t>
      </w:r>
      <w:r>
        <w:rPr>
          <w:rFonts w:ascii="Times New Roman" w:hAnsi="Times New Roman"/>
          <w:sz w:val="20"/>
          <w:szCs w:val="20"/>
          <w:highlight w:val="white"/>
        </w:rPr>
        <w:t xml:space="preserve">при необходимости</w:t>
      </w:r>
      <w:r>
        <w:rPr>
          <w:rFonts w:ascii="Times New Roman" w:hAnsi="Times New Roman"/>
          <w:sz w:val="20"/>
          <w:szCs w:val="20"/>
          <w:highlight w:val="white"/>
        </w:rPr>
        <w:t xml:space="preserve">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5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модернизацию выходной формы (программа формирования отчета</w:t>
      </w:r>
      <w:r>
        <w:rPr>
          <w:rFonts w:ascii="Times New Roman" w:hAnsi="Times New Roman"/>
          <w:sz w:val="20"/>
          <w:szCs w:val="20"/>
          <w:highlight w:val="white"/>
        </w:rPr>
        <w:t xml:space="preserve">, </w:t>
      </w:r>
      <w:r>
        <w:rPr>
          <w:rFonts w:ascii="Times New Roman" w:hAnsi="Times New Roman"/>
          <w:sz w:val="20"/>
          <w:szCs w:val="20"/>
          <w:highlight w:val="white"/>
        </w:rPr>
        <w:t xml:space="preserve">при необходимости</w:t>
      </w:r>
      <w:r>
        <w:rPr>
          <w:rFonts w:ascii="Times New Roman" w:hAnsi="Times New Roman"/>
          <w:sz w:val="20"/>
          <w:szCs w:val="20"/>
          <w:highlight w:val="white"/>
        </w:rPr>
        <w:t xml:space="preserve">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5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добавление новых функций SQL (</w:t>
      </w:r>
      <w:r>
        <w:rPr>
          <w:rFonts w:ascii="Times New Roman" w:hAnsi="Times New Roman"/>
          <w:sz w:val="20"/>
          <w:szCs w:val="20"/>
          <w:highlight w:val="white"/>
        </w:rPr>
        <w:t xml:space="preserve">при необходимости</w:t>
      </w:r>
      <w:r>
        <w:rPr>
          <w:rFonts w:ascii="Times New Roman" w:hAnsi="Times New Roman"/>
          <w:sz w:val="20"/>
          <w:szCs w:val="20"/>
          <w:highlight w:val="white"/>
        </w:rPr>
        <w:t xml:space="preserve">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5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сопровождение используемых справочников (</w:t>
      </w:r>
      <w:r>
        <w:rPr>
          <w:rFonts w:ascii="Times New Roman" w:hAnsi="Times New Roman"/>
          <w:sz w:val="20"/>
          <w:szCs w:val="20"/>
          <w:highlight w:val="white"/>
        </w:rPr>
        <w:t xml:space="preserve">при необходимости</w:t>
      </w:r>
      <w:r>
        <w:rPr>
          <w:rFonts w:ascii="Times New Roman" w:hAnsi="Times New Roman"/>
          <w:sz w:val="20"/>
          <w:szCs w:val="20"/>
          <w:highlight w:val="white"/>
        </w:rPr>
        <w:t xml:space="preserve">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5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создание экземпляров классов Sitex (</w:t>
      </w:r>
      <w:r>
        <w:rPr>
          <w:rFonts w:ascii="Times New Roman" w:hAnsi="Times New Roman"/>
          <w:sz w:val="20"/>
          <w:szCs w:val="20"/>
          <w:highlight w:val="white"/>
        </w:rPr>
        <w:t xml:space="preserve">при необходимости</w:t>
      </w:r>
      <w:r>
        <w:rPr>
          <w:rFonts w:ascii="Times New Roman" w:hAnsi="Times New Roman"/>
          <w:sz w:val="20"/>
          <w:szCs w:val="20"/>
          <w:highlight w:val="white"/>
        </w:rPr>
        <w:t xml:space="preserve">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5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создание классов и атрибутов Sitex (</w:t>
      </w:r>
      <w:r>
        <w:rPr>
          <w:rFonts w:ascii="Times New Roman" w:hAnsi="Times New Roman"/>
          <w:sz w:val="20"/>
          <w:szCs w:val="20"/>
          <w:highlight w:val="white"/>
        </w:rPr>
        <w:t xml:space="preserve">при необходимости</w:t>
      </w:r>
      <w:r>
        <w:rPr>
          <w:rFonts w:ascii="Times New Roman" w:hAnsi="Times New Roman"/>
          <w:sz w:val="20"/>
          <w:szCs w:val="20"/>
          <w:highlight w:val="white"/>
        </w:rPr>
        <w:t xml:space="preserve">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5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разработку нового функционала (создание новых Java классов, процедур, хендлеров, утилит и т.д.</w:t>
      </w:r>
      <w:r>
        <w:rPr>
          <w:rFonts w:ascii="Times New Roman" w:hAnsi="Times New Roman"/>
          <w:sz w:val="20"/>
          <w:szCs w:val="20"/>
          <w:highlight w:val="white"/>
        </w:rPr>
        <w:t xml:space="preserve">,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при необходимости</w:t>
      </w:r>
      <w:r>
        <w:rPr>
          <w:rFonts w:ascii="Times New Roman" w:hAnsi="Times New Roman"/>
          <w:sz w:val="20"/>
          <w:szCs w:val="20"/>
          <w:highlight w:val="white"/>
        </w:rPr>
        <w:t xml:space="preserve">)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5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комплексное тестирование после включения модернизированных программ;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5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внесение изменений в эксплуатационную документацию;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5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заполнение справочников.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ind w:left="142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5.2 Порядок согласования заданий на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модернизацию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Объем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 модернизации, оформляется Заказчиком в виде заданий на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модернизацию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Задания на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модернизацию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со стороны Заказчика оформляются официальным письмом, подписанным уполномоченным лицом, содержащем перечень и текст нормативных правовых актов (при наличии), краткое описание результатов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модернизации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определяющее видение Заказчика, на основании которых реализуется модернизация.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Планируемые трудозатраты согласовываются в следующем порядке: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num" w:pos="-142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Исполнитель в срок не </w:t>
      </w:r>
      <w:r>
        <w:rPr>
          <w:rFonts w:ascii="Times New Roman" w:hAnsi="Times New Roman"/>
          <w:sz w:val="20"/>
          <w:szCs w:val="20"/>
          <w:highlight w:val="white"/>
        </w:rPr>
        <w:t xml:space="preserve">позднее </w:t>
      </w:r>
      <w:r>
        <w:rPr>
          <w:rFonts w:ascii="Times New Roman" w:hAnsi="Times New Roman"/>
          <w:sz w:val="20"/>
          <w:szCs w:val="20"/>
          <w:highlight w:val="white"/>
        </w:rPr>
        <w:t xml:space="preserve">5 рабочих дней с момента получения задания на </w:t>
      </w:r>
      <w:r>
        <w:rPr>
          <w:rFonts w:ascii="Times New Roman" w:hAnsi="Times New Roman"/>
          <w:sz w:val="20"/>
          <w:szCs w:val="20"/>
          <w:highlight w:val="white"/>
        </w:rPr>
        <w:t xml:space="preserve">модернизацию</w:t>
      </w:r>
      <w:r>
        <w:rPr>
          <w:rFonts w:ascii="Times New Roman" w:hAnsi="Times New Roman"/>
          <w:sz w:val="20"/>
          <w:szCs w:val="20"/>
          <w:highlight w:val="white"/>
        </w:rPr>
        <w:t xml:space="preserve"> осуществляет оценку трудозатрат и направляет Заказчику для согласования письмо с указанием предполагаемых трудозатрат и срока </w:t>
      </w:r>
      <w:r>
        <w:rPr>
          <w:rFonts w:ascii="Times New Roman" w:hAnsi="Times New Roman"/>
          <w:sz w:val="20"/>
          <w:szCs w:val="20"/>
          <w:highlight w:val="white"/>
        </w:rPr>
        <w:t xml:space="preserve">исполнения</w:t>
      </w:r>
      <w:r>
        <w:rPr>
          <w:rFonts w:ascii="Times New Roman" w:hAnsi="Times New Roman"/>
          <w:sz w:val="20"/>
          <w:szCs w:val="20"/>
          <w:highlight w:val="white"/>
        </w:rPr>
        <w:t xml:space="preserve"> по поступившему заданию</w:t>
      </w:r>
      <w:r>
        <w:rPr>
          <w:rFonts w:ascii="Times New Roman" w:hAnsi="Times New Roman"/>
          <w:sz w:val="20"/>
          <w:szCs w:val="20"/>
          <w:highlight w:val="white"/>
        </w:rPr>
        <w:t xml:space="preserve"> на модернизацию</w:t>
      </w:r>
      <w:r>
        <w:rPr>
          <w:rFonts w:ascii="Times New Roman" w:hAnsi="Times New Roman"/>
          <w:sz w:val="20"/>
          <w:szCs w:val="20"/>
          <w:highlight w:val="white"/>
        </w:rPr>
        <w:t xml:space="preserve">, либо перечень вопросов на разъяснения, необходимые для оценки трудозатрат;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num" w:pos="-142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оценка трудозатрат включается в часы </w:t>
      </w:r>
      <w:r>
        <w:rPr>
          <w:rFonts w:ascii="Times New Roman" w:hAnsi="Times New Roman"/>
          <w:sz w:val="20"/>
          <w:szCs w:val="20"/>
          <w:highlight w:val="white"/>
        </w:rPr>
        <w:t xml:space="preserve">выполненных работ</w:t>
      </w:r>
      <w:r>
        <w:rPr>
          <w:rFonts w:ascii="Times New Roman" w:hAnsi="Times New Roman"/>
          <w:sz w:val="20"/>
          <w:szCs w:val="20"/>
          <w:highlight w:val="white"/>
        </w:rPr>
        <w:t xml:space="preserve"> только в случае отказа Заказчика от реализации задания. Если на оценку трудозатрат Исполнителю требуется более 2 чел./час, оценка времени, необходимого для проведения оценки трудозатрат</w:t>
      </w:r>
      <w:r>
        <w:rPr>
          <w:rFonts w:ascii="Times New Roman" w:hAnsi="Times New Roman"/>
          <w:sz w:val="20"/>
          <w:szCs w:val="20"/>
          <w:highlight w:val="white"/>
        </w:rPr>
        <w:t xml:space="preserve">,</w:t>
      </w:r>
      <w:r>
        <w:rPr>
          <w:rFonts w:ascii="Times New Roman" w:hAnsi="Times New Roman"/>
          <w:sz w:val="20"/>
          <w:szCs w:val="20"/>
          <w:highlight w:val="white"/>
        </w:rPr>
        <w:t xml:space="preserve"> становится отдельным предметом согласования с Заказчиком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в письменном виде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num" w:pos="-142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стороны согласовывают предполагаемые трудозатраты</w:t>
      </w:r>
      <w:r>
        <w:rPr>
          <w:rFonts w:ascii="Times New Roman" w:hAnsi="Times New Roman"/>
          <w:sz w:val="20"/>
          <w:szCs w:val="20"/>
          <w:highlight w:val="white"/>
        </w:rPr>
        <w:t xml:space="preserve"> и</w:t>
      </w:r>
      <w:r>
        <w:rPr>
          <w:rFonts w:ascii="Times New Roman" w:hAnsi="Times New Roman"/>
          <w:sz w:val="20"/>
          <w:szCs w:val="20"/>
          <w:highlight w:val="white"/>
        </w:rPr>
        <w:t xml:space="preserve"> сроки </w:t>
      </w:r>
      <w:r>
        <w:rPr>
          <w:rFonts w:ascii="Times New Roman" w:hAnsi="Times New Roman"/>
          <w:sz w:val="20"/>
          <w:szCs w:val="20"/>
          <w:highlight w:val="white"/>
        </w:rPr>
        <w:t xml:space="preserve">исполнения</w:t>
      </w:r>
      <w:r>
        <w:rPr>
          <w:rFonts w:ascii="Times New Roman" w:hAnsi="Times New Roman"/>
          <w:sz w:val="20"/>
          <w:szCs w:val="20"/>
          <w:highlight w:val="white"/>
        </w:rPr>
        <w:t xml:space="preserve"> в письменном виде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num" w:pos="-142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если </w:t>
      </w:r>
      <w:r>
        <w:rPr>
          <w:rFonts w:ascii="Times New Roman" w:hAnsi="Times New Roman"/>
          <w:sz w:val="20"/>
          <w:szCs w:val="20"/>
          <w:highlight w:val="white"/>
        </w:rPr>
        <w:t xml:space="preserve">срок исполнения</w:t>
      </w:r>
      <w:r>
        <w:rPr>
          <w:rFonts w:ascii="Times New Roman" w:hAnsi="Times New Roman"/>
          <w:sz w:val="20"/>
          <w:szCs w:val="20"/>
          <w:highlight w:val="white"/>
        </w:rPr>
        <w:t xml:space="preserve"> задания на модернизацию занимает более </w:t>
      </w:r>
      <w:r>
        <w:rPr>
          <w:rFonts w:ascii="Times New Roman" w:hAnsi="Times New Roman"/>
          <w:sz w:val="20"/>
          <w:szCs w:val="20"/>
          <w:highlight w:val="white"/>
        </w:rPr>
        <w:t xml:space="preserve">100</w:t>
      </w:r>
      <w:r>
        <w:rPr>
          <w:rFonts w:ascii="Times New Roman" w:hAnsi="Times New Roman"/>
          <w:sz w:val="20"/>
          <w:szCs w:val="20"/>
          <w:highlight w:val="white"/>
        </w:rPr>
        <w:t xml:space="preserve"> чел./час, то составляется ЧТЗ. </w:t>
      </w:r>
      <w:r>
        <w:rPr>
          <w:rFonts w:ascii="Times New Roman" w:hAnsi="Times New Roman"/>
          <w:sz w:val="20"/>
          <w:szCs w:val="20"/>
          <w:highlight w:val="white"/>
        </w:rPr>
        <w:t xml:space="preserve">Часы трудозатрат на составление </w:t>
      </w:r>
      <w:r>
        <w:rPr>
          <w:rFonts w:ascii="Times New Roman" w:hAnsi="Times New Roman"/>
          <w:sz w:val="20"/>
          <w:szCs w:val="20"/>
          <w:highlight w:val="white"/>
        </w:rPr>
        <w:t xml:space="preserve">ЧТЗ</w:t>
      </w:r>
      <w:r>
        <w:rPr>
          <w:rFonts w:ascii="Times New Roman" w:hAnsi="Times New Roman"/>
          <w:sz w:val="20"/>
          <w:szCs w:val="20"/>
          <w:highlight w:val="white"/>
        </w:rPr>
        <w:t xml:space="preserve"> учитываются </w:t>
      </w:r>
      <w:r>
        <w:rPr>
          <w:rFonts w:ascii="Times New Roman" w:hAnsi="Times New Roman"/>
          <w:sz w:val="20"/>
          <w:szCs w:val="20"/>
          <w:highlight w:val="white"/>
        </w:rPr>
        <w:t xml:space="preserve">отдельно,</w:t>
      </w:r>
      <w:r>
        <w:rPr>
          <w:rFonts w:ascii="Times New Roman" w:hAnsi="Times New Roman"/>
          <w:sz w:val="20"/>
          <w:szCs w:val="20"/>
          <w:highlight w:val="white"/>
        </w:rPr>
        <w:t xml:space="preserve"> и указыва</w:t>
      </w:r>
      <w:r>
        <w:rPr>
          <w:rFonts w:ascii="Times New Roman" w:hAnsi="Times New Roman"/>
          <w:sz w:val="20"/>
          <w:szCs w:val="20"/>
          <w:highlight w:val="white"/>
        </w:rPr>
        <w:t xml:space="preserve">ю</w:t>
      </w:r>
      <w:r>
        <w:rPr>
          <w:rFonts w:ascii="Times New Roman" w:hAnsi="Times New Roman"/>
          <w:sz w:val="20"/>
          <w:szCs w:val="20"/>
          <w:highlight w:val="white"/>
        </w:rPr>
        <w:t xml:space="preserve">тся в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Отчете о выполненных работах</w:t>
      </w:r>
      <w:r>
        <w:rPr>
          <w:rFonts w:ascii="Times New Roman" w:hAnsi="Times New Roman"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Срок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исполнения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может быть увеличен на время получения необходимых сведений и разъяснений от Заказчика, если без них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исполнение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заданий на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модернизацию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не представляется возможной. Исполнитель обязан предупредить Заказчика о такой ситуации.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Срок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исполнения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 объем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может быть изменен по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письменному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согласованию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 соответствии с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действующим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Законодательством и условиями Контракта.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Исполнитель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согласовывает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 письменном виде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план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 модернизации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 Заказчиком. Заказчик определяет наиболее приоритетные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задачи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 может корректировать план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 модернизации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до начала его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исполнения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Задача может сдаваться частями (модулями), с переходом части задачи (модуля) на следующий месяц.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Форма ежемесячного плана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 модернизации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tbl>
      <w:tblPr>
        <w:tblW w:w="9923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988"/>
        <w:gridCol w:w="2126"/>
        <w:gridCol w:w="3407"/>
        <w:gridCol w:w="3402"/>
      </w:tblGrid>
      <w:tr>
        <w:tblPrEx/>
        <w:trPr/>
        <w:tc>
          <w:tcPr>
            <w:tcW w:w="988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  <w:t xml:space="preserve">№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  <w:t xml:space="preserve">Приоритет задачи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  <w:tc>
          <w:tcPr>
            <w:tcW w:w="3407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  <w:t xml:space="preserve">Наименование задачи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  <w:tc>
          <w:tcPr>
            <w:tcW w:w="3402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  <w:t xml:space="preserve">Согласованный объем трудозатрат, человеко*часов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988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407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3402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988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407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3402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988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407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3402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988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4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407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3402" w:type="dxa"/>
            <w:vAlign w:val="top"/>
            <w:textDirection w:val="lrTb"/>
            <w:noWrap w:val="false"/>
          </w:tcPr>
          <w:p>
            <w:pPr>
              <w:pStyle w:val="895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</w:tbl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Заказчик вправе внести изменения в планы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 модернизации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 части изменения приоритета исполнения задач. Перенос ожидаемых сроков исполнения задач согласуется с Исполнителем. В случае невозможности изменения приоритета задач, Исполнитель направляет Заказчику мотивированный отказ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 письменной форме.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Работы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считаются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выполненными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после сообщения Исполнителем 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б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исполнения задания на модернизацию, получения положительного результата тестирования Заказчиком и подписанием сторонами Отчета 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выполненных работах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 Акта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выполненных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5.3 Состав и содержание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по сопровождению систем управления базами данных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Поддержание работоспособности включает в себя: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num" w:pos="0" w:leader="none"/>
          <w:tab w:val="num" w:pos="426" w:leader="none"/>
          <w:tab w:val="clear" w:pos="1211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сопровождение </w:t>
      </w:r>
      <w:r>
        <w:rPr>
          <w:rFonts w:ascii="Times New Roman" w:hAnsi="Times New Roman"/>
          <w:sz w:val="20"/>
          <w:szCs w:val="20"/>
          <w:highlight w:val="white"/>
        </w:rPr>
        <w:t xml:space="preserve">СУБД</w:t>
      </w:r>
      <w:r>
        <w:rPr>
          <w:rFonts w:ascii="Times New Roman" w:hAnsi="Times New Roman"/>
          <w:sz w:val="20"/>
          <w:szCs w:val="20"/>
          <w:highlight w:val="white"/>
        </w:rPr>
        <w:t xml:space="preserve"> Microsoft </w:t>
      </w:r>
      <w:r>
        <w:rPr>
          <w:rFonts w:ascii="Times New Roman" w:hAnsi="Times New Roman"/>
          <w:sz w:val="20"/>
          <w:szCs w:val="20"/>
          <w:highlight w:val="white"/>
        </w:rPr>
        <w:t xml:space="preserve">SQL Server: мониторинг состояния СУБД, установка обновлений текущих версий СУБД, текущий контроль за функционированием и обеспечение/ инициирование мер по поддержанию эксплуатационных характеристик СУБД, устранение сбоев и восстановление работоспособности;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num" w:pos="0" w:leader="none"/>
          <w:tab w:val="num" w:pos="426" w:leader="none"/>
          <w:tab w:val="clear" w:pos="1211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управление производительностью, мониторинг работы, сбор статистической информации, оценка эффективности функционирования, прогнозирование и планирование, разработка предложений;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num" w:pos="0" w:leader="none"/>
          <w:tab w:val="num" w:pos="426" w:leader="none"/>
          <w:tab w:val="clear" w:pos="1211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установка обновленной версии прикладной системы на сервере без модификации баз данных;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num" w:pos="0" w:leader="none"/>
          <w:tab w:val="num" w:pos="426" w:leader="none"/>
          <w:tab w:val="clear" w:pos="1211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установка обновленной версии прикладной системы на сервере с модификацией баз данных;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num" w:pos="0" w:leader="none"/>
          <w:tab w:val="num" w:pos="426" w:leader="none"/>
          <w:tab w:val="clear" w:pos="1211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сопровождение серверов приложений Apache Tomcat: мониторинг состояния,</w:t>
      </w:r>
      <w:r>
        <w:rPr>
          <w:rFonts w:ascii="Times New Roman" w:hAnsi="Times New Roman"/>
          <w:sz w:val="20"/>
          <w:szCs w:val="20"/>
          <w:highlight w:val="white"/>
        </w:rPr>
        <w:t xml:space="preserve"> установка обновлений текущих версий, конфигурирование параметров, текущий контроль за функционированием и обеспечение/ инициирование мер по поддержанию эксплуатационных характеристик сервера приложений, устранение сбоев и восстановление работоспособности;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num" w:pos="0" w:leader="none"/>
          <w:tab w:val="num" w:pos="426" w:leader="none"/>
          <w:tab w:val="clear" w:pos="1211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сопровождение прикладного программного компл</w:t>
      </w:r>
      <w:r>
        <w:rPr>
          <w:rFonts w:ascii="Times New Roman" w:hAnsi="Times New Roman"/>
          <w:sz w:val="20"/>
          <w:szCs w:val="20"/>
          <w:highlight w:val="white"/>
        </w:rPr>
        <w:t xml:space="preserve">екса Sitex-ЭСРН: мониторинг состояния, конфигурирование параметров, текущий контроль за функционированием и обеспечение/инициирование мер по поддержанию эксплуатационных характеристик сервера приложений, устранение сбоев и восстановление работоспособности;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num" w:pos="0" w:leader="none"/>
          <w:tab w:val="num" w:pos="426" w:leader="none"/>
          <w:tab w:val="clear" w:pos="1211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ежедневное резервное копирование, перенос копий последнего дня рабочей недели на сервер Министерства </w:t>
      </w:r>
      <w:r>
        <w:rPr>
          <w:rFonts w:ascii="Times New Roman" w:hAnsi="Times New Roman"/>
          <w:sz w:val="20"/>
          <w:szCs w:val="20"/>
          <w:highlight w:val="white"/>
        </w:rPr>
        <w:t xml:space="preserve">(</w:t>
      </w:r>
      <w:r>
        <w:rPr>
          <w:rFonts w:ascii="Times New Roman" w:hAnsi="Times New Roman"/>
          <w:sz w:val="20"/>
          <w:szCs w:val="20"/>
          <w:highlight w:val="white"/>
        </w:rPr>
        <w:t xml:space="preserve">10.2.0.20</w:t>
      </w:r>
      <w:r>
        <w:rPr>
          <w:rFonts w:ascii="Times New Roman" w:hAnsi="Times New Roman"/>
          <w:sz w:val="20"/>
          <w:szCs w:val="20"/>
          <w:highlight w:val="white"/>
        </w:rPr>
        <w:t xml:space="preserve">)</w:t>
      </w:r>
      <w:r>
        <w:rPr>
          <w:rFonts w:ascii="Times New Roman" w:hAnsi="Times New Roman"/>
          <w:sz w:val="20"/>
          <w:szCs w:val="20"/>
          <w:highlight w:val="white"/>
        </w:rPr>
        <w:t xml:space="preserve">, восстановление из резервных копий (в случае необходимости), проверка и восстановление целостности баз данных прикладного программного комплекса Sitex-ЭСРН, расположенных в СУБД Microsoft SQL Server, и сопутствующего прикладного программного обеспечения;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num" w:pos="0" w:leader="none"/>
          <w:tab w:val="num" w:pos="426" w:leader="none"/>
          <w:tab w:val="clear" w:pos="1211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обеспечение ведения централизованно-распределенной БД АИС ЭСРН РМ (обеспечение синхронности баз, двусторонняя репликация);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num" w:pos="0" w:leader="none"/>
          <w:tab w:val="num" w:pos="426" w:leader="none"/>
          <w:tab w:val="clear" w:pos="1211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консультирование ответственных специалистов по вопросам работы c АИС ЭСРН РМ, исключая методологическую часть.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ind w:left="709"/>
        <w:jc w:val="both"/>
        <w:spacing w:after="0" w:line="240" w:lineRule="auto"/>
        <w:tabs>
          <w:tab w:val="num" w:pos="426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5.4 Требования к порядку приема и обработки запросов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Заказчик выделяет ответственного специалиста (или нескольких), обладающего соответствующей квалификацией, для взаимодействия с Исполнителем. Ответственный специалист Заказчика агрегирует все вопросы и взаимодействует с Исполнителем.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Консультирование представителей Заказчика по вопросам эксплуатации АИС ЭСРН РМ происходит по личному обращению, по телефону или электронной почте.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Номера телефонов, предоставляемые Исполнителем для консультаций, доступны для представителей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З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аказчика с 9-00 до 18-00 в рабочие дни. Диапазон времени дозвона не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более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5 мин.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Разъяснение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предоставляется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непосредственно при обращении представителя Заказчика по телеф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ону либо в течение 2 рабочих часов после запроса консультации по электронной почте. В случае невозможности консультации в момент обращения по телефону либо в течение 2 рабочих часов после запроса консультации по электронной почте представитель Исполнителя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уведомляет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Заказчика о времени и способе получения разъяснения.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Входящие запросы Заказчика по вопросам эксплуатации и использования АИС ЭСРН РМ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фиксируются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Исполнителем в специальном журнале. Журнал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содержит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следующие обязательные графы: дата и время поступления запроса, время дозвона, краткое описание запроса, ФИО представителя Заказчика, дата и время разъяснения (решения проблемы), ФИО представителя Исполнителя. Журнал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передается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Заказчику в электронном виде ежемесячно.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Сроки реагирования на инциденты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Определяются следующая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приоритетность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инцидентов: 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  <w:u w:val="single"/>
        </w:rPr>
        <w:t xml:space="preserve">Критичное воздействие</w:t>
      </w:r>
      <w:r>
        <w:rPr>
          <w:rFonts w:ascii="Times New Roman" w:hAnsi="Times New Roman"/>
          <w:bCs/>
          <w:sz w:val="20"/>
          <w:szCs w:val="20"/>
          <w:highlight w:val="white"/>
        </w:rPr>
        <w:tab/>
        <w:t xml:space="preserve">–</w:t>
        <w:tab/>
        <w:t xml:space="preserve">значительное воздействие на деятельность Заказчика. Программное обеспечение АИС ЭСРН РМ полностью неработоспособно. Причина возникновения и/или решение восстановления сервисов не известны.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  <w:u w:val="single"/>
        </w:rPr>
        <w:t xml:space="preserve">Высокое воздействие</w:t>
      </w:r>
      <w:r>
        <w:rPr>
          <w:rFonts w:ascii="Times New Roman" w:hAnsi="Times New Roman"/>
          <w:bCs/>
          <w:sz w:val="20"/>
          <w:szCs w:val="20"/>
          <w:highlight w:val="white"/>
        </w:rPr>
        <w:tab/>
        <w:t xml:space="preserve">–</w:t>
        <w:tab/>
        <w:t xml:space="preserve">деградация показателей параметров АИС ЭСРН РМ или проблема, затрагивающая многих пользователей. АИС ЭСРН РМ частично не работоспособна. Известна причина возникновения и/или решение восстановления работоспособности.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  <w:u w:val="single"/>
        </w:rPr>
        <w:t xml:space="preserve">Среднее воздействие</w:t>
      </w:r>
      <w:r>
        <w:rPr>
          <w:rFonts w:ascii="Times New Roman" w:hAnsi="Times New Roman"/>
          <w:bCs/>
          <w:sz w:val="20"/>
          <w:szCs w:val="20"/>
          <w:highlight w:val="white"/>
        </w:rPr>
        <w:tab/>
        <w:t xml:space="preserve">–</w:t>
        <w:tab/>
        <w:t xml:space="preserve">проблема у единичного пользователя, не влияющая на общее функционирование АИС ЭСРН РМ. АИС ЭСРН РМ продолжает функционировать и известна причина возникновения и/или решение восстановления сервисов.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8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Матрица реагирования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695"/>
        <w:gridCol w:w="3620"/>
        <w:gridCol w:w="2194"/>
        <w:gridCol w:w="2345"/>
      </w:tblGrid>
      <w:tr>
        <w:tblPrEx/>
        <w:trPr>
          <w:cantSplit/>
        </w:trPr>
        <w:tc>
          <w:tcPr>
            <w:shd w:val="clear" w:color="ffffff" w:fill="c0c0c0"/>
            <w:tcW w:w="1695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Приоритетность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c0c0c0"/>
            <w:tcW w:w="3620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Соответствие уровню сервиса (минимальное)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c0c0c0"/>
            <w:tcW w:w="2194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Реакция в основные часы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c0c0c0"/>
            <w:tcW w:w="2345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Реакция в не основные часы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tcW w:w="1695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Критичное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620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90%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194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1 часа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345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4 часов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tcW w:w="1695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Высокое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620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90%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194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2 часов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345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8 часов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tcW w:w="1695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Среднее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620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90%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194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4 часов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345" w:type="dxa"/>
            <w:vAlign w:val="top"/>
            <w:textDirection w:val="lrTb"/>
            <w:noWrap w:val="false"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</w:tbl>
    <w:p>
      <w:pPr>
        <w:pStyle w:val="895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p>
      <w:pPr>
        <w:pStyle w:val="895"/>
        <w:ind w:firstLine="708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Матрица Решения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Проблемы</w:t>
      </w:r>
      <w:r>
        <w:rPr>
          <w:rFonts w:ascii="Times New Roman" w:hAnsi="Times New Roman"/>
          <w:sz w:val="20"/>
          <w:szCs w:val="20"/>
          <w:highlight w:val="white"/>
        </w:rPr>
        <w:t xml:space="preserve"> должны быть решены в соответствии со следующей таблицей: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694"/>
        <w:gridCol w:w="3536"/>
        <w:gridCol w:w="2183"/>
        <w:gridCol w:w="2441"/>
      </w:tblGrid>
      <w:tr>
        <w:tblPrEx/>
        <w:trPr>
          <w:cantSplit/>
        </w:trPr>
        <w:tc>
          <w:tcPr>
            <w:shd w:val="clear" w:color="ffffff" w:fill="c0c0c0"/>
            <w:tcW w:w="1694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Приоритетность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c0c0c0"/>
            <w:tcW w:w="3536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Соответствие уровню сервиса (минимальное)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c0c0c0"/>
            <w:tcW w:w="218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Решение в основные часы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c0c0c0"/>
            <w:tcW w:w="2441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Решение в не основные часы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tcW w:w="1694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Критичное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536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90%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18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8 часов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441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одного календарного дня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tcW w:w="1694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Высокое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536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90%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18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16 часов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441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3 календарных дней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tcW w:w="1694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Среднее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536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90%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18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40 часов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441" w:type="dxa"/>
            <w:vAlign w:val="top"/>
            <w:textDirection w:val="lrTb"/>
            <w:noWrap w:val="false"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</w:tbl>
    <w:p>
      <w:pPr>
        <w:pStyle w:val="895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ind w:firstLine="709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Время решения может быть продлено в следующих случаях: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5"/>
        <w:numPr>
          <w:ilvl w:val="0"/>
          <w:numId w:val="28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обращение произошло не в основные часы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28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было внедрено согласованное с Заказчиком временное обходное решение;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28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нет возможности приступить к решению проблемы по вине сторонних контрагентов Заказчика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Ограничение доступности ИТ-сервисов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Допускается приостановление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работы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АИС ЭСРН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для проведения профилактических работ. График проведения профилактических работ согласовывается с уполномоченным лицом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З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аказчика. За 2 часа до начала проведения работ осуществляется оповещение всех пользователей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АИС ЭСРН РМ Исполнителем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Зависимость 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от услуг, предоставляемых Заказчику сторонними контрагентами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Следующая таблица приводит зависимости предоставляемых Исполнителем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от услуг, предоставляемых Заказчику сторонними контрагентами.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88"/>
        <w:gridCol w:w="1989"/>
        <w:gridCol w:w="4782"/>
        <w:gridCol w:w="2978"/>
      </w:tblGrid>
      <w:tr>
        <w:tblPrEx/>
        <w:trPr>
          <w:cantSplit/>
        </w:trPr>
        <w:tc>
          <w:tcPr>
            <w:shd w:val="clear" w:color="ffffff" w:fill="ffffff"/>
            <w:tcW w:w="388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№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1989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Работы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4782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Зависимость от услуг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сторонних контрагентов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2978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Время восстановления работы системы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shd w:val="clear" w:color="ffffff" w:fill="ffffff"/>
            <w:tcW w:w="388" w:type="dxa"/>
            <w:vAlign w:val="top"/>
            <w:vMerge w:val="restart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1989" w:type="dxa"/>
            <w:vAlign w:val="top"/>
            <w:vMerge w:val="restart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Работоспособность АИС ЭСРН РМ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4782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Отключение подачи электроэнергии.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2978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До восстановления энергоснабжения.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shd w:val="clear" w:color="ffffff" w:fill="ffffff"/>
            <w:tcW w:w="388" w:type="dxa"/>
            <w:vAlign w:val="top"/>
            <w:vMerge w:val="continue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W w:w="1989" w:type="dxa"/>
            <w:vAlign w:val="top"/>
            <w:vMerge w:val="continue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W w:w="4782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Отсутствие связи с центральным сервером или отдельными компонентами системы.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2978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До восстановления связи.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shd w:val="clear" w:color="ffffff" w:fill="ffffff"/>
            <w:tcW w:w="388" w:type="dxa"/>
            <w:vAlign w:val="top"/>
            <w:vMerge w:val="continue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W w:w="1989" w:type="dxa"/>
            <w:vAlign w:val="top"/>
            <w:vMerge w:val="continue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W w:w="4782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Нарушение структурированной кабельной системы или схемы заземления активного сетевого и серверного оборудования.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2978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До восстановления целостности структурированной кабельной системы или заземления.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  <w:trHeight w:val="926"/>
        </w:trPr>
        <w:tc>
          <w:tcPr>
            <w:shd w:val="clear" w:color="ffffff" w:fill="ffffff"/>
            <w:tcW w:w="388" w:type="dxa"/>
            <w:vAlign w:val="top"/>
            <w:vMerge w:val="continue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W w:w="1989" w:type="dxa"/>
            <w:vAlign w:val="top"/>
            <w:vMerge w:val="continue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W w:w="4782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Выход из строя, нарушение параметров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серверного оборудования, ОС сервера, средств защиты, вывод из строя оборудования в результате несанкционированного вмешательства.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2978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До восстановления работоспособности.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tcW w:w="388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1989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4782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Неавторизованные действия пользователей, нарушение ими корпоративных стандартов и процедур, предусмотренных правилами работы в АИС ЭСРН РМ.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978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До восстановления их работоспособности.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</w:tbl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Для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Заказчик обеспечивает возможность защищенного уда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ленного подключения к серверному оборудованию, обеспечивает необходимые права доступа к объектам системы, влияющие на работоспособность и функционирование АИС ЭСРН РМ. Программное обеспечение и оборудование на стороне Исполнителя обеспечивает Исполнитель. 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 случае невозможности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сопровождения АИС ЭСРН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вследствие неработоспособности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услуг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предоставляемых сторонними контрагентами,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работы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сопровождения АИС ЭСРН РМ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выполняются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после того, как Заказчик уведомит Исполнителя о восстановлении работоспособности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услуг, предоставляемых сторонними контрагентами,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любыми средствами связи.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5.5 Требования к автоматическим системам мониторинга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Исполнитель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обеспечивает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функционирование системы мониторинга и отслеживания статусов сервисов, серверов приложений 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БД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для прогнозирования и оперативного реагирования на возможные инциденты.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Система мониторинга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имеет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следующие возможности: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3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Распределённый мониторинг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3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Сценарии на основе мониторинга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3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Автоматическое обнаружение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3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Централизованный мониторинг журналов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3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Веб-интерфейс для администрирования и настройки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3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Отчётность и тенденции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3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Поддержка высокопроизводительных агентов практически для всех платформ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3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Комплексная реакция на события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3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Гибкая система шаблонов и групп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3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Возможность создавать карты сетей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Отслеживаются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контролируются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следующие параметры: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3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Доступность узла по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ip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-протоколу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3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Средняя длина очереди записи/чтения на диск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3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Свободное место жестких дисков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3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Количество свободной оперативной памяти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3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Количество процессов и потоков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3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Загрузка процессора в нескольких временных окнах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3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Время работы операционной системы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3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Контроль работы критически важных сервисов/служб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 случае обнаружения отклонений от нормальных значений Исполнитель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реагирует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на инцидент. В случае тенденциозного проявления инцидентов Исполнитель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уведомляет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Заказчика 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предлагает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перечень действий для их предотвращения.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1060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6 Требования к видам обеспечения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6.1 Требования к информационному обеспечению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При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выполнении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необходимо предусмотреть ис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пользование общероссийских и общерегиональных элементов информационной инфраструктуры Электронного правительства Республики Мордовия, в том числе использование справочников, классификаторов и т.д. принятых к использованию на территории Республики Мордовия.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Рекомендуется использовать следующие справочники и классификаторы: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numPr>
          <w:ilvl w:val="0"/>
          <w:numId w:val="31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Классификатор адресов России (КЛАДР) или Федеральная информационная адресная система (ФИАС);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31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Общероссийский классификатор информации о населении (ОКИН);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31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Общероссийский классификатор начального профессионального образования (ОКНПО);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31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Общероссийский классификатор валют (ОКВ);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31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Общероссийский классификатор стран мира (ОКСМ);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31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Общероссийский классификатор единиц измерения (ОКЕИ);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31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Общероссийский классификатор специальностей по образованию (ОКСО);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31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Общероссийский классификатор организационно-правовых форм (ОКОПФ);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31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Общероссийский классификатор специальностей высшей научной квалификации (ОКСВНК);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31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Общероссийский классификатор форм собственности (ОКФС).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Информационное обеспечение должно быть до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статочным для поддержания всех автоматизируемых Системой функций. Оно должно обеспечивать совместимость с информационным обеспечением систем, взаимодействующих с модернизируемой Системой, а формы документов должны отвечать требованиям стандартов Заказчика.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Структура данных,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функционирующая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под управлением СУБД, должна быть спроектирована с использованием средств обеспечения целостности, предоставляемых сервером приложений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Sitex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-ЭСРН.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Доступ к данным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предоставляется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только авторизованным пользователям с учетом их роли в Системе.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6.2 Требования к лингвистическому обеспечению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Все сообщения Системы, ее интерфейс должны быть выполнены на русском языке, понятны пользователю. 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 Системе могут использоваться термины данной предметной области. 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Выбранный способ организации диалога с пользователем должен обеспечивать: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2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уменьшение вероятности совершения случайных ошибочных действий;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2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форматно-логический контроль ввода данных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2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использование справочников и классификаторов.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 Системе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обеспечивается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возможность получения пользователем справочной информации как по работе Системы в целом, так и в зависимости от текущего контекста выполняемых им действий. Контекстные подсказки, за исключением сообщений от СУБД и операционной системы,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выводятся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на русском языке и понятны пользователю.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6.3 Требования к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программн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о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м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у обеспечению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СПО Системы использует существующую промышленную платформу разработки объектно-ориентированных решений SiTex дл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я реализации объектов и процессов предметной области социальной защиты населения. СПО базируется в качестве функциональной надстройки АИС ЭСРН РМ и работать на существующей серверной программно-аппаратной платформе под управлением Microsoft Windows Server.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При модернизации Системы, обеспечивающей реализацию функциональных возможностей в соответствии с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Техническим заданием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необходимо использование программных средств, удовлетворяющих требованиям, представленным в следующей таблице.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tbl>
      <w:tblPr>
        <w:tblW w:w="960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846"/>
        <w:gridCol w:w="2835"/>
        <w:gridCol w:w="5919"/>
      </w:tblGrid>
      <w:tr>
        <w:tblPrEx/>
        <w:trPr/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vAlign w:val="center"/>
            <w:textDirection w:val="lrTb"/>
            <w:noWrap w:val="false"/>
          </w:tcPr>
          <w:p>
            <w:pPr>
              <w:pStyle w:val="895"/>
              <w:ind w:firstLine="22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№ п/п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  <w:t xml:space="preserve">Категория ПО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9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  <w:t xml:space="preserve">Требование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vAlign w:val="top"/>
            <w:textDirection w:val="lrTb"/>
            <w:noWrap w:val="false"/>
          </w:tcPr>
          <w:p>
            <w:pPr>
              <w:pStyle w:val="895"/>
              <w:ind w:firstLine="22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Сервер приложений 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Sitex-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ЭСРН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9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Операционная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система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 Microsoft Windows Server 2003 R2 Standard Service Pack 2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выше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Java Development Kit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версии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 7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Apache Tomcat 7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Инструментальная платформа 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Sitex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-ЭСРН версии 1.4 и выше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vAlign w:val="top"/>
            <w:textDirection w:val="lrTb"/>
            <w:noWrap w:val="false"/>
          </w:tcPr>
          <w:p>
            <w:pPr>
              <w:pStyle w:val="895"/>
              <w:ind w:firstLine="22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Сервер баз данных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9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Операционная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система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Microsoft Windows Server 2003 R2, Enterprise Edition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выше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СУБД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 MS SQL Server 2005 Standard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выше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</w:tbl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/>
          <w:sz w:val="20"/>
          <w:szCs w:val="20"/>
          <w:highlight w:val="white"/>
        </w:rPr>
      </w:pPr>
      <w:r>
        <w:rPr>
          <w:rFonts w:ascii="Times New Roman" w:hAnsi="Times New Roman"/>
          <w:b/>
          <w:sz w:val="20"/>
          <w:szCs w:val="20"/>
          <w:highlight w:val="white"/>
          <w:lang w:val="en-US"/>
        </w:rPr>
      </w:r>
      <w:r>
        <w:rPr>
          <w:rFonts w:ascii="Times New Roman" w:hAnsi="Times New Roman"/>
          <w:b/>
          <w:sz w:val="20"/>
          <w:szCs w:val="20"/>
          <w:highlight w:val="white"/>
        </w:rPr>
      </w:r>
      <w:r>
        <w:rPr>
          <w:rFonts w:ascii="Times New Roman" w:hAnsi="Times New Roman"/>
          <w:b/>
          <w:sz w:val="20"/>
          <w:szCs w:val="20"/>
          <w:highlight w:val="white"/>
        </w:rPr>
      </w:r>
    </w:p>
    <w:p>
      <w:pPr>
        <w:pStyle w:val="897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6.4 Требования к техническому обеспечению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Для функционирования Системы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используются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технические средства, обеспечивающие достаточную производительность с использованием стандартных средств виртуализации.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АРМ пользователей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подключаются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к серверу посредством выделенного канала связи, защищенного в соответствии с требованиями законодательства Российской Федерации в сфере защиты информации.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Коммуникационное взаимодействие сервера и АРМ осуществля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ся по каналам связи с пропускной способностью не ниже 10 Мбит/сек.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Требование по техническому обеспечению обеспечивает Заказчик.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Для использования Системы с учетом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обеспечивающих реализацию функциональных возможностей в соответствии с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настоящим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Техническими требованиями, необходимо применять технические средства, удовлетворяющие требованиям, представленным в следующей таблице.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tbl>
      <w:tblPr>
        <w:tblW w:w="9571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817"/>
        <w:gridCol w:w="2835"/>
        <w:gridCol w:w="5919"/>
      </w:tblGrid>
      <w:tr>
        <w:tblPrEx/>
        <w:trPr/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Align w:val="center"/>
            <w:textDirection w:val="lrTb"/>
            <w:noWrap w:val="false"/>
          </w:tcPr>
          <w:p>
            <w:pPr>
              <w:pStyle w:val="895"/>
              <w:ind w:firstLine="22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№ п/п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895"/>
              <w:ind w:firstLine="22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Элемент архитектуры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9" w:type="dxa"/>
            <w:vAlign w:val="center"/>
            <w:textDirection w:val="lrTb"/>
            <w:noWrap w:val="false"/>
          </w:tcPr>
          <w:p>
            <w:pPr>
              <w:pStyle w:val="895"/>
              <w:ind w:firstLine="22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Требование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Сервер приложений 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Sitex-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ЭСРН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9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Центральный процессор с тактовой частотой не менее 2-х ГГц, имеющий не менее 2-х ядер и кэш-памятью 2-го уровня – не менее 3 Мб.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Оперативная память – стандарт SDRAM DDR3, объем не менее 4 Гб.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Дисковое хранилище – интерфейс 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SAS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/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SCSI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, объем не менее 1 Тб. Скорость дисковой подсистемы - iops не менее 200.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Наличие интерфейса Ethernet со скоростью не менее 100 мб/с.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Наличие подключения к защищенной сети Министерства со скоростью не менее 10 Мбит/сек.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Блок бесперебойного питания емкостью не менее 1000 ВА.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Устройства ввода: мышь, клавиатура.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Сервер баз данных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9" w:type="dxa"/>
            <w:vAlign w:val="top"/>
            <w:textDirection w:val="lrTb"/>
            <w:noWrap w:val="false"/>
          </w:tcPr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Центральный процессор с тактовой частотой не менее 3-х ГГц, имеющий не менее 8-х ядер и кэш-памятью 2-го уровня – не менее 6 Мб.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Оперативная память – стандарт SDRAM DDR3, объем не менее 32 Гб.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Дисковое хранилище – интерфейс 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SAS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/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SCSI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, объем не менее 2 Тб; 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SSD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– не менее 256 Гб. Скорость дисковой подсистемы - iops не менее 200.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Наличие интерфейса Ethernet со скоростью не менее 100 мб/с.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Наличие подключения к защищенной сети Министерства со скоростью не менее 10 Мбит/сек.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Блок бесперебойного питания емкостью не менее 1000 ВА.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Устройства ввода: мышь, клавиатура.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</w:tbl>
    <w:p>
      <w:pPr>
        <w:pStyle w:val="1060"/>
        <w:spacing w:before="0" w:line="24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1060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7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Порядок контроля и приемки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После выполнения задания на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модернизацию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Исполнитель формирует обновления, выполня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т их тестирование, а затем осуществля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т передачу их Заказчику. Вместе с обновлением Заказчику должна быть передана актуальная эксплуатационная документация. 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Обновления включа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 себя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набор пакетов, исполняемых библиотек, шаблонов и т.д. Пакеты должны формироваться на рабочем контексте Исполнителя. После создания пакета обновления происходит его проверка на эталонном контексте Исполнителя. 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Задания на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модернизацию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 АИС ЭСРН РМ считаются выполненными, если: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Заказчик после тестирования обновлений АИС ЭСРН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признал их соответствующими выставленным требованиям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Подсистемы, функционал, структура БД, справочники БД и выходные формы АИС ЭСРН РМ модернизированы согласно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ЧТЗ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или задания на модернизацию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Реализация на единой технологической платформе АИС ЭСРН РМ предоставления новых и действующих государственных и социальных услуг,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МСП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 соответствии с вновь разработанными (вступившими в действие) нормами законодательства выполнен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 полном объеме.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Сопровождение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СУБД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АИС ЭСРН РМ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считаются выполненными, если: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установлены обновления текущей версии СУБД;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СУБД работоспособно;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установлены обновление текущей версии сервера приложений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Apache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Tomcat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прикладной программный комплекс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Sitex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-ЭСРН работоспособен;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установлены обновление текущей версии прикладного программного комплекса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Sitex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-ЭСРН;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осуществлено ежедневное резервное копирование БД прикладного программного комплекса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Sitex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-ЭСРН и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Microsoft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SQL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Server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обеспечено ведение централизованно-распределенной БД АИС ЭСРН РМ (обеспечение синхронности баз, двусторонняя репликация);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5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оказаны консультации ответственным специалистам по вопросам работы c АИС ЭСРН РМ, исключая методологическую часть.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1060"/>
        <w:spacing w:before="0" w:line="240" w:lineRule="auto"/>
        <w:rPr>
          <w:bCs/>
          <w:sz w:val="20"/>
          <w:szCs w:val="20"/>
          <w:highlight w:val="white"/>
        </w:rPr>
      </w:pPr>
      <w:r>
        <w:rPr>
          <w:bCs/>
          <w:sz w:val="20"/>
          <w:szCs w:val="20"/>
          <w:highlight w:val="white"/>
        </w:rPr>
      </w:r>
      <w:r>
        <w:rPr>
          <w:bCs/>
          <w:sz w:val="20"/>
          <w:szCs w:val="20"/>
          <w:highlight w:val="white"/>
        </w:rPr>
      </w:r>
      <w:r>
        <w:rPr>
          <w:bCs/>
          <w:sz w:val="20"/>
          <w:szCs w:val="20"/>
          <w:highlight w:val="white"/>
        </w:rPr>
      </w:r>
    </w:p>
    <w:p>
      <w:pPr>
        <w:pStyle w:val="1060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8 Требования к документированию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Отчет 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выполненных работах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по часам, затраченным Исполнителем на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выполнение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предоставляется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ежемесячно, путем отправки Заказчику отчета, содержащего указание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выполненных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количества затраченных часов, представителей Исполнителя, привлекавшихся к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выполнению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результата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Изменения, вносимые Исполнителем в ходе сопровождения АИС ЭСРН РМ,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формля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ют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ся пакетами обновлени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й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 передаваться Заказчику на электронных носителях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ежемесячно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вместе с Отчетом 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выполненных работах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 Передаваемые пакеты изменений сопровожда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тся подробным опи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санием произведенных изменений.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Документа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ция оформляется в соответствии с ГОСТ 34.201-2020 «Информационные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систем" (введен в действие приказом Федерального 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гентства по техническому регулированию и метрологии от 19 ноября 2021 г. № 1521-ст), ГОСТ 2.114-2016 «Единая система конструкторской документации. Технические условия» (введен в действие приказом Федерального агентства по техническому регулированию и метро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логии от 30 августа 2016 г. № 978-ст), ГОСТ Р 2.106-2019 «Единая система конструкторской документации. Текстовые документы» (утв. и введен в действие приказом Федерального агентства по техническому регулированию и метрологии от 29 апреля 2019 г. № 176-ст).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Документация предоставляется Заказчику на бумажных и электронных носителях.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Бумажная копия комплекта документации передается в 2-х экземплярах.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Электронная копия комплекта документации, исходные коды,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пакеты обновлений передаются на CD-R (DVDR) диске в 2-х экземплярах. Диск должен быть защищен от записи, иметь этикетку с указанием изготовителя, даты изготовления, название комплекта. В корневом каталоге диска должен находиться текстовый файл содержания.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1060"/>
        <w:spacing w:before="0" w:line="240" w:lineRule="auto"/>
        <w:rPr>
          <w:bCs/>
          <w:sz w:val="20"/>
          <w:szCs w:val="20"/>
          <w:highlight w:val="white"/>
        </w:rPr>
      </w:pPr>
      <w:r>
        <w:rPr>
          <w:bCs/>
          <w:sz w:val="20"/>
          <w:szCs w:val="20"/>
          <w:highlight w:val="white"/>
        </w:rPr>
      </w:r>
      <w:r>
        <w:rPr>
          <w:bCs/>
          <w:sz w:val="20"/>
          <w:szCs w:val="20"/>
          <w:highlight w:val="white"/>
        </w:rPr>
      </w:r>
      <w:r>
        <w:rPr>
          <w:bCs/>
          <w:sz w:val="20"/>
          <w:szCs w:val="20"/>
          <w:highlight w:val="white"/>
        </w:rPr>
      </w:r>
    </w:p>
    <w:p>
      <w:pPr>
        <w:pStyle w:val="1060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9 Гарантийное сопровождение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Исполнитель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гарантирует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качество и надежность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 течение 12 (двенадцати) месяцев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 </w:t>
      </w:r>
      <w:r>
        <w:rPr>
          <w:rFonts w:ascii="Times New Roman" w:hAnsi="Times New Roman"/>
          <w:sz w:val="20"/>
          <w:szCs w:val="20"/>
          <w:highlight w:val="white"/>
        </w:rPr>
        <w:t xml:space="preserve">даты подписания акта выполненных работ.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 рамках гарантийного сопровождения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выполняются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следующие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работы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numPr>
          <w:ilvl w:val="0"/>
          <w:numId w:val="29"/>
        </w:numPr>
        <w:ind w:left="0" w:firstLine="709"/>
        <w:jc w:val="both"/>
        <w:spacing w:after="0" w:line="240" w:lineRule="auto"/>
        <w:tabs>
          <w:tab w:val="num" w:pos="709" w:leader="none"/>
          <w:tab w:val="clear" w:pos="1069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консультирование по вопросам работы АИС ЭСРН РМ;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numPr>
          <w:ilvl w:val="0"/>
          <w:numId w:val="29"/>
        </w:numPr>
        <w:ind w:left="0" w:firstLine="709"/>
        <w:jc w:val="both"/>
        <w:spacing w:after="0" w:line="240" w:lineRule="auto"/>
        <w:tabs>
          <w:tab w:val="num" w:pos="709" w:leader="none"/>
          <w:tab w:val="clear" w:pos="1069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бесплатное исправление обнаруженных в ходе эксплуатации ошибок;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numPr>
          <w:ilvl w:val="0"/>
          <w:numId w:val="29"/>
        </w:numPr>
        <w:ind w:left="0" w:firstLine="709"/>
        <w:jc w:val="both"/>
        <w:spacing w:after="0" w:line="240" w:lineRule="auto"/>
        <w:tabs>
          <w:tab w:val="num" w:pos="709" w:leader="none"/>
          <w:tab w:val="clear" w:pos="1069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 случае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выполнению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Исполнителем по внесению изменений в АИС ЭСРН РМ в течение гарантийного срока, Исполнитель обязан привести документацию в соотве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тствие с внесенными изменениями в течени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10 рабочих дней.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Гарантийное сопровождение осуществляется при соблюдении следующих требований: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numPr>
          <w:ilvl w:val="0"/>
          <w:numId w:val="27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документально подтвержденное свидетельство наличия ошибки;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numPr>
          <w:ilvl w:val="0"/>
          <w:numId w:val="27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подтверждение того, что ошибка произошла по вине Исполнителя;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numPr>
          <w:ilvl w:val="0"/>
          <w:numId w:val="27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корректная эксплуатация программного обеспечения в соответствии с эксплуатационной документацией;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numPr>
          <w:ilvl w:val="0"/>
          <w:numId w:val="27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отсутствие самостоятельного вмешательства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З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аказчика в программное обеспечение;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numPr>
          <w:ilvl w:val="0"/>
          <w:numId w:val="27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соответствие претензии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З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аказчика требованиям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ЧТЗ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или заданию на модернизацию.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Исполнитель в рамках гарантийного обязательства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устраняет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не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доработки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которые были допущены по его вине.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7"/>
        <w:ind w:hanging="360"/>
        <w:jc w:val="right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rFonts w:ascii="Times New Roman" w:hAnsi="Times New Roman"/>
          <w:b/>
          <w:sz w:val="20"/>
          <w:szCs w:val="20"/>
          <w:highlight w:val="white"/>
        </w:rPr>
        <w:br w:type="page" w:clear="all"/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Приложение 1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ind w:firstLine="426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Перечень нормативных - правовых актов, на основе и с соблюдением которых должны быть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выполнены работы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27 июля 2006 г. № 149-ФЗ «Об информации, информационных технологиях и о защите информации»;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27 июля 2010 г. № 210-ФЗ "Об организации предоставления государственных и муниципальных услуг";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28 декабря 2013 г. № 442-ФЗ "Об основах социального обслуживания граждан в Российской Федерации";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19 мая 1995 г. № 81-ФЗ "О государственных пособиях гражданам, имеющим детей";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12 января 1995 г. № 5-ФЗ "О ветеранах";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24 ноября 1995 г. № 181-ФЗ "О социальной защите инвалидов в Российской Федерации";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17 июля 1999 г. № 178-ФЗ «О государственной социальной помощи»;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РФ от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15 января 1993 г. № 4301-1 «О статусе Героев СССР, Героев РФ и полных кавалеров ордена Славы»;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09 января 1997 г. № 5-ФЗ «О предоставлении социальных гарантий Героям Социалистического Труда и полным кавалерам ордена Трудовой Славы»;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12 января 1996 г. № 8-ФЗ «О погребении и похоронном деле»;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24 апреля 2008 г. № 48-ФЗ «Об опеке и попечительстве»;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от 28 декабря 2004 г. № 102-З О мерах социальной поддержки отдельных категорий населения, проживающего в Республике Мордовия;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20 июля 2012 г. № 125-ФЗ «О донорстве крови и ее компонентов»;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РФ от 18 октября 1991 г. № 1761-1 «О реабилитации жертв политических репрессий»;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от 18 октября 2011 г. № 66-З «О дополнительных мерах поддержки семей, имеющих детей, на территории Республики Мордовия»;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от </w:t>
      </w:r>
      <w:r>
        <w:rPr>
          <w:rFonts w:ascii="Times New Roman" w:hAnsi="Times New Roman"/>
          <w:sz w:val="20"/>
          <w:szCs w:val="20"/>
          <w:highlight w:val="white"/>
        </w:rPr>
        <w:t xml:space="preserve">31 марта 2022 г. N 8-З 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«О государственных наградах Республики Мордовия»;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от 22 декабря 2002 г. № 62-З «О дополнительном ежемесячном материальном обеспечении отдельных категорий граждан Республики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от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26 января 1996г. № 10-З «О государственной службе Республики Мордовия».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21 июня 2018 г. № 195-УГ «Об установлении в 2018 году единовременной денежной компенсации части расходов по установке индивидуальных приборов учета коммунальных ресурсов гражданам, проживающим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Президента Российской Федерации от 15 октября 1992 г. № 1235 «О предоставлении льгот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28 июля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2008 г. № 342 «Об утверждении Положения о порядке предоставления ежемесячной денежной компенсации части расходов по оплате жилого помещения и коммунальных услуг отдельным категориям граждан, проживающих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</w:t>
      </w:r>
      <w:r>
        <w:rPr>
          <w:rFonts w:ascii="Times New Roman" w:hAnsi="Times New Roman"/>
          <w:sz w:val="20"/>
          <w:szCs w:val="20"/>
          <w:highlight w:val="white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</w:rPr>
        <w:instrText xml:space="preserve">HYPERLINK "garantF1://85716.0"</w:instrText>
      </w:r>
      <w:r>
        <w:rPr>
          <w:rFonts w:ascii="Times New Roman" w:hAnsi="Times New Roman"/>
          <w:sz w:val="20"/>
          <w:szCs w:val="20"/>
          <w:highlight w:val="white"/>
        </w:rPr>
        <w:fldChar w:fldCharType="separate"/>
        <w:fldChar w:fldCharType="end"/>
      </w:r>
      <w:r>
        <w:rPr>
          <w:rFonts w:ascii="Times New Roman" w:hAnsi="Times New Roman"/>
          <w:sz w:val="20"/>
          <w:szCs w:val="20"/>
          <w:highlight w:val="white"/>
        </w:rPr>
        <w:t xml:space="preserve">от 5 апреля 2003 г. № 44-ФЗ «О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от 20 августа 2003 г. № 512 «О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от 14 декабря 2005 г. № 761 «О предоставлении субсидий на оплату жилого помещения и коммунальных услуг»;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04 июня 2007г. № 250 «О социальной поддержке граждан в связи с повышением тарифов на коммунальные услуги»;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25 августа 2005 г. № 334 «О региональных стандартах нормативной площади жилого помещения, используемой для расчета субсидий на оплату жилого помещения и коммунальных услуг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</w:t>
      </w:r>
      <w:r>
        <w:rPr>
          <w:rFonts w:ascii="Times New Roman" w:hAnsi="Times New Roman"/>
          <w:sz w:val="20"/>
          <w:szCs w:val="20"/>
          <w:highlight w:val="white"/>
        </w:rPr>
        <w:t xml:space="preserve">оста</w:t>
      </w:r>
      <w:r>
        <w:rPr>
          <w:rFonts w:ascii="Times New Roman" w:hAnsi="Times New Roman"/>
          <w:sz w:val="20"/>
          <w:szCs w:val="20"/>
          <w:highlight w:val="white"/>
        </w:rPr>
        <w:t xml:space="preserve">новление Правительства Республики Мордовия от </w:t>
      </w:r>
      <w:r>
        <w:rPr>
          <w:rFonts w:ascii="Times New Roman" w:hAnsi="Times New Roman"/>
          <w:sz w:val="20"/>
          <w:szCs w:val="20"/>
          <w:highlight w:val="white"/>
        </w:rPr>
        <w:t xml:space="preserve">28 октября 2019 г. N 414</w:t>
      </w:r>
      <w:r>
        <w:rPr>
          <w:rFonts w:ascii="Times New Roman" w:hAnsi="Times New Roman"/>
          <w:sz w:val="20"/>
          <w:szCs w:val="20"/>
          <w:highlight w:val="white"/>
        </w:rPr>
        <w:t xml:space="preserve"> «Об утверждении Положения о порядке перечисления субсидий на оплату жилого помещения и коммунальных услуг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</w:rPr>
        <w:instrText xml:space="preserve">HYPERLINK "garantF1://8813801.0"</w:instrText>
      </w:r>
      <w:r>
        <w:rPr>
          <w:rFonts w:ascii="Times New Roman" w:hAnsi="Times New Roman"/>
          <w:sz w:val="20"/>
          <w:szCs w:val="20"/>
          <w:highlight w:val="white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</w:t>
      </w:r>
      <w:r>
        <w:rPr>
          <w:rFonts w:ascii="Times New Roman" w:hAnsi="Times New Roman"/>
          <w:sz w:val="20"/>
          <w:szCs w:val="20"/>
          <w:highlight w:val="white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</w:rPr>
        <w:t xml:space="preserve"> Правительства Республики Мордовия от 28 декабря 2004 года № 478 «О мерах по реализации Закона Республики Мордовия «О мерах социальной поддержки отдельных категорий населения, проживающего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</w:t>
      </w:r>
      <w:r>
        <w:rPr>
          <w:rFonts w:ascii="Times New Roman" w:hAnsi="Times New Roman"/>
          <w:sz w:val="20"/>
          <w:szCs w:val="20"/>
          <w:highlight w:val="white"/>
        </w:rPr>
        <w:t xml:space="preserve">ки Мордовия от 15 февраля 2016 г. № 74 «Об утверждении Положения о порядке предоставления отдельным категориям граждан, проживающим в Республике Мордовия, компенсации расходов на уплату взноса на капитальный ремонт общего имущества в многоквартирном доме».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</w:t>
      </w:r>
      <w:r>
        <w:rPr>
          <w:rFonts w:ascii="Times New Roman" w:hAnsi="Times New Roman"/>
          <w:sz w:val="20"/>
          <w:szCs w:val="20"/>
          <w:highlight w:val="white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</w:rPr>
        <w:instrText xml:space="preserve">HYPERLINK "garantF1://12046661.0"</w:instrText>
      </w:r>
      <w:r>
        <w:rPr>
          <w:rFonts w:ascii="Times New Roman" w:hAnsi="Times New Roman"/>
          <w:sz w:val="20"/>
          <w:szCs w:val="20"/>
          <w:highlight w:val="white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</w:rPr>
        <w:t xml:space="preserve">закон</w:t>
      </w:r>
      <w:r>
        <w:rPr>
          <w:rFonts w:ascii="Times New Roman" w:hAnsi="Times New Roman"/>
          <w:sz w:val="20"/>
          <w:szCs w:val="20"/>
          <w:highlight w:val="white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</w:rPr>
        <w:t xml:space="preserve"> от 2 мая 2006 года № 59-ФЗ «О порядке рассмотрения обращений граждан Российской Федерации»;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27 июля 2006 года № 152-ФЗ «О персональных данных»;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</w:t>
      </w:r>
      <w:r>
        <w:rPr>
          <w:rFonts w:ascii="Times New Roman" w:hAnsi="Times New Roman"/>
          <w:sz w:val="20"/>
          <w:szCs w:val="20"/>
          <w:highlight w:val="white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</w:rPr>
        <w:instrText xml:space="preserve">HYPERLINK "garantF1://8823254.0"</w:instrText>
      </w:r>
      <w:r>
        <w:rPr>
          <w:rFonts w:ascii="Times New Roman" w:hAnsi="Times New Roman"/>
          <w:sz w:val="20"/>
          <w:szCs w:val="20"/>
          <w:highlight w:val="white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</w:rPr>
        <w:t xml:space="preserve">остановление</w:t>
      </w:r>
      <w:r>
        <w:rPr>
          <w:rFonts w:ascii="Times New Roman" w:hAnsi="Times New Roman"/>
          <w:sz w:val="20"/>
          <w:szCs w:val="20"/>
          <w:highlight w:val="white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</w:rPr>
        <w:t xml:space="preserve"> Правительства Республики Мордовия от 2 сентября 2008 года № 398 «Об уполномоченных органах исполнительной власти Республики Мордовия, организующих и осуществляющих деятельность по опеке и попечительству»;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13 октября 2017 г. N 552 «Об утверждении Положения о Министерстве социальной защиты, труда и занятости населения Республики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Российской Федерации от 2 июля 1992 года № 3185-I «О психиатрической помощи и гарантиях прав граждан при ее оказании»;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от 17 ноября 2010 года № 927 «Об отдельных вопросах осуществления опеки и попечительства в отношении совершеннолетних недееспособных или не полностью дееспособных граждан»;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</w:t>
      </w:r>
      <w:r>
        <w:rPr>
          <w:rFonts w:ascii="Times New Roman" w:hAnsi="Times New Roman"/>
          <w:sz w:val="20"/>
          <w:szCs w:val="20"/>
          <w:highlight w:val="white"/>
        </w:rPr>
        <w:t xml:space="preserve">остановление Правительства Российской Федерации от </w:t>
      </w:r>
      <w:r>
        <w:rPr>
          <w:rFonts w:ascii="Times New Roman" w:hAnsi="Times New Roman"/>
          <w:sz w:val="20"/>
          <w:szCs w:val="20"/>
          <w:highlight w:val="white"/>
        </w:rPr>
        <w:t xml:space="preserve">23 декабря 2024 г. N 1873</w:t>
      </w:r>
      <w:r>
        <w:rPr>
          <w:rFonts w:ascii="Times New Roman" w:hAnsi="Times New Roman"/>
          <w:sz w:val="20"/>
          <w:szCs w:val="20"/>
          <w:highlight w:val="white"/>
        </w:rPr>
        <w:t xml:space="preserve">. «Об утверждении Правил определения среднедушевого дохода для предоставления социальных услуг бесплатно»;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</w:t>
      </w:r>
      <w:r>
        <w:rPr>
          <w:rFonts w:ascii="Times New Roman" w:hAnsi="Times New Roman"/>
          <w:sz w:val="20"/>
          <w:szCs w:val="20"/>
          <w:highlight w:val="white"/>
        </w:rPr>
        <w:t xml:space="preserve">от </w:t>
      </w:r>
      <w:r>
        <w:rPr>
          <w:rFonts w:ascii="Times New Roman" w:hAnsi="Times New Roman"/>
          <w:sz w:val="20"/>
          <w:szCs w:val="20"/>
          <w:highlight w:val="white"/>
        </w:rPr>
        <w:t xml:space="preserve"> 1 июня 2021 г. N 852</w:t>
      </w:r>
      <w:r>
        <w:rPr>
          <w:rFonts w:ascii="Times New Roman" w:hAnsi="Times New Roman"/>
          <w:sz w:val="20"/>
          <w:szCs w:val="20"/>
          <w:highlight w:val="white"/>
        </w:rPr>
        <w:t xml:space="preserve">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от 1 декабря 2014 г. № 1285 «О расчете подушевых нормативов финансирования социальных услуг»;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№1236 от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24 ноября 2014 г. «Об утверждении примерного перечня социальных услуг по видам социальных услуг»;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от 24 мая 2014 года № 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от 12 ноября 2014 г. №86-З «О перечне социальных услуг, предоставляемых поставщиками социальных услуг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от 10 сентября 2014 г. №67-З «Об установлении размера предельной величины среднедушевого дохода для предоставления социальных услуг бесплатно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20 октября 2014 г. № 528 «Об утверждении нормативов для организаций социального обслуживания Республики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24 ноября 2014 г. № 563 «Об утверждении порядков предоставления социальных услуг поставщиками социальных услуг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</w:t>
      </w:r>
      <w:r>
        <w:rPr>
          <w:rFonts w:ascii="Times New Roman" w:hAnsi="Times New Roman"/>
          <w:sz w:val="20"/>
          <w:szCs w:val="20"/>
          <w:highlight w:val="white"/>
        </w:rPr>
        <w:t xml:space="preserve"> Мордовия от 8 декабря 2014 г. № 594 «Об установлении порядка утверждения тарифов на социальные услуги на основании подушевых нормативов финансирования социальных услуг, предоставляемых организациями социального обслуживания населения Республики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20 октября 2014 г. № 527 «Об утверждении размера платы за предоставление социальных услуг и порядка ее взимания»;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8 декабря 2014 г. № 595 «О межведомственном взаимодействии органов государственной власти Республики Мордовия в сфере социального обслуживания»;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18 августа 2014 г. № 391 «Об утверждении номенклатуры организаций социального обслуживания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24 ноября 2014 г. № 564 «Об определении индивидуальной потребности в социальных услугах получателей социальных услуг»;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 апреля 2012 г. № 106 «О реализации Закона Республики Мордовия от 18 октября 2011 г. № 66-З «О дополнительных мерах поддержки семей, имеющих детей, на территории Республики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18 декабря 2017 г. № 659 «Об утверждении Порядка организации и обеспечения отдыха и оздоровления де</w:t>
      </w:r>
      <w:r>
        <w:rPr>
          <w:rFonts w:ascii="Times New Roman" w:hAnsi="Times New Roman"/>
          <w:sz w:val="20"/>
          <w:szCs w:val="20"/>
          <w:highlight w:val="white"/>
        </w:rPr>
        <w:t xml:space="preserve">тей, находящихся в трудной жизненной ситуации, внесении изменений в пункт 7 Положения о Министерстве социальной защиты, труда и занятости населения Республики Мордовия и признании утратившими силу некоторых постановлений Правительства Республики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30 июня 2011 г. № 134-УГ «О мерах социальной поддержки членов семей граждан, имеющих заслуги перед Отечеством, многодетных и особо нуждающихся семей»;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15 августа 2011 г. № 316 «Об утверждении Порядка выплаты единовременного денежного пособия членам семей граждан, имеющих заслуги перед Отечеством, многодетным и особо нуждающимся семьям»;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Приказ Министерства образования и науки РФ от 27 декабря 2016г. № 1663 «Об утверждении Порядка назначения государственной академической сти</w:t>
      </w:r>
      <w:r>
        <w:rPr>
          <w:rFonts w:ascii="Times New Roman" w:hAnsi="Times New Roman"/>
          <w:sz w:val="20"/>
          <w:szCs w:val="20"/>
          <w:highlight w:val="white"/>
        </w:rPr>
        <w:t xml:space="preserve">пендии и (или) государственной социальной стипендии студентам, обучающимся по очной форме обучения за счет бюджетных ассигнований федерального бюджета, государственной стипендии аспирантам, ординаторам, ассистентам-стажерам, обучающимся по очной форме обуч</w:t>
      </w:r>
      <w:r>
        <w:rPr>
          <w:rFonts w:ascii="Times New Roman" w:hAnsi="Times New Roman"/>
          <w:sz w:val="20"/>
          <w:szCs w:val="20"/>
          <w:highlight w:val="white"/>
        </w:rPr>
        <w:t xml:space="preserve">ения за счет бюджетных ассигнований федерального бюджета, выплаты стипендий слушателям подготовительных отделений федеральных государственных образовательных организаций высшего образования, обучающимся за счет бюджетных ассигнований федерального бюджета»;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24 июня 1999 г. № 120-ФЗ «Об основах системы профилактики безнадзорности и правонарушений несовершеннолетних»;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Приказ Министерства труда и социальной защиты РФ от 10 ноября 2014 г. № 874н «О примерной форме договора о предоставлении социальных услуг, а также о форме индивидуальной программы предоставления социальных услуг»;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</w:t>
      </w:r>
      <w:r>
        <w:rPr>
          <w:rFonts w:ascii="Times New Roman" w:hAnsi="Times New Roman"/>
          <w:sz w:val="20"/>
          <w:szCs w:val="20"/>
          <w:highlight w:val="white"/>
        </w:rPr>
        <w:t xml:space="preserve">с</w:t>
      </w:r>
      <w:r>
        <w:rPr>
          <w:rFonts w:ascii="Times New Roman" w:hAnsi="Times New Roman"/>
          <w:sz w:val="20"/>
          <w:szCs w:val="20"/>
          <w:highlight w:val="white"/>
        </w:rPr>
        <w:t xml:space="preserve">тановление Правительства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от </w:t>
      </w:r>
      <w:r>
        <w:rPr>
          <w:rFonts w:ascii="Times New Roman" w:hAnsi="Times New Roman"/>
          <w:sz w:val="20"/>
          <w:szCs w:val="20"/>
          <w:highlight w:val="white"/>
        </w:rPr>
        <w:t xml:space="preserve"> 27 декабря 2023 г. N 754</w:t>
      </w:r>
      <w:r>
        <w:rPr>
          <w:rFonts w:ascii="Times New Roman" w:hAnsi="Times New Roman"/>
          <w:sz w:val="20"/>
          <w:szCs w:val="20"/>
          <w:highlight w:val="white"/>
        </w:rPr>
        <w:t xml:space="preserve"> «</w:t>
      </w:r>
      <w:r>
        <w:rPr>
          <w:rFonts w:ascii="Times New Roman" w:hAnsi="Times New Roman"/>
          <w:sz w:val="20"/>
          <w:szCs w:val="20"/>
          <w:highlight w:val="white"/>
        </w:rPr>
        <w:t xml:space="preserve">Об утверждении государственной программы Республики Мордовия «Социальная подд</w:t>
      </w:r>
      <w:r>
        <w:rPr>
          <w:rFonts w:ascii="Times New Roman" w:hAnsi="Times New Roman"/>
          <w:sz w:val="20"/>
          <w:szCs w:val="20"/>
          <w:highlight w:val="white"/>
        </w:rPr>
        <w:t xml:space="preserve">ержка граждан</w:t>
      </w:r>
      <w:r>
        <w:rPr>
          <w:rFonts w:ascii="Times New Roman" w:hAnsi="Times New Roman"/>
          <w:sz w:val="20"/>
          <w:szCs w:val="20"/>
          <w:highlight w:val="white"/>
        </w:rPr>
        <w:t xml:space="preserve">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от 17 сентября 1998 г. № 157-ФЗ "Об иммунопрофилактике инфекционных болезней";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РФ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от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27 декабря 2000 г. № 1013 "О порядке выплаты государственных единовременных пособий и ежемесячных денежных компенсаций гражданам при возникновении у них поствакцинальных осложнений";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РФ от 21 сентября 2005 г. № 579 "О порядке </w:t>
      </w:r>
      <w:r>
        <w:rPr>
          <w:rFonts w:ascii="Times New Roman" w:hAnsi="Times New Roman"/>
          <w:sz w:val="20"/>
          <w:szCs w:val="20"/>
          <w:highlight w:val="white"/>
        </w:rPr>
        <w:t xml:space="preserve">предоставления субвенций из федерального бюджета бюджетам субъектов Российской Федерации на реализацию полномочий по выплате гражданам государственных единовременных пособий и ежемесячных денежных компенсаций при возникновении поствакцинальных осложнений";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РФ от 12</w:t>
      </w:r>
      <w:r>
        <w:rPr>
          <w:rFonts w:ascii="Times New Roman" w:hAnsi="Times New Roman"/>
          <w:sz w:val="20"/>
          <w:szCs w:val="20"/>
          <w:highlight w:val="white"/>
        </w:rPr>
        <w:t xml:space="preserve"> августа 1994 г. № 926 "Об утверждении Положения о порядке возврата гражданам незаконно конфискованного, изъятого или вышедшего иным путем из владения в связи с политическими репрессиями имущества, возмещения его стоимости или выплаты денежной компенсации;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РФ от 16 марта 1992 г. № 160 "О порядке выплаты денежной компенсации и предоставления льгот лицам, реабилитированным в соответствии с Законом Российской Федерации О реабилитации жертв политических репрессий";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от 27 мая 1998 г. № 76-ФЗ "О статусе военнослужащих";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19 июля 2011 г. № 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30 июня 2002 г. № 78-ФЗ "О денежном довольствии сотрудн</w:t>
      </w:r>
      <w:r>
        <w:rPr>
          <w:rFonts w:ascii="Times New Roman" w:hAnsi="Times New Roman"/>
          <w:sz w:val="20"/>
          <w:szCs w:val="20"/>
          <w:highlight w:val="white"/>
        </w:rPr>
        <w:t xml:space="preserve">иков некоторых федеральных органов исполнительной власти,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(работы)";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</w:t>
      </w:r>
      <w:r>
        <w:rPr>
          <w:rFonts w:ascii="Times New Roman" w:hAnsi="Times New Roman"/>
          <w:sz w:val="20"/>
          <w:szCs w:val="20"/>
          <w:highlight w:val="white"/>
        </w:rPr>
        <w:t xml:space="preserve">РФ от 22 декабря 2012 г. № 142 "О финансовом обеспечении и об осуществлении выплаты ежемесячной денежной компенсации, установленной частями 9, 10 и 13 статьи 3 Федерального закона О денежном довольствии военнослужащих и предоставлении им отдельных выплат";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от 31 марта 2022 г. N 8-З </w:t>
      </w:r>
      <w:r>
        <w:rPr>
          <w:rFonts w:ascii="Times New Roman" w:hAnsi="Times New Roman"/>
          <w:sz w:val="20"/>
          <w:szCs w:val="20"/>
          <w:highlight w:val="white"/>
        </w:rPr>
        <w:t xml:space="preserve"> "О государственных наградах Республики Мордовия;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24</w:t>
      </w:r>
      <w:r>
        <w:rPr>
          <w:rFonts w:ascii="Times New Roman" w:hAnsi="Times New Roman"/>
          <w:sz w:val="20"/>
          <w:szCs w:val="20"/>
          <w:highlight w:val="white"/>
        </w:rPr>
        <w:t xml:space="preserve"> сентября 2010 г. № 176-УГ "О Порядке назначения пожизненного ежемесячного денежного вознаграждения, ежемесячной денежной выплаты, ежемесячной доплаты к страховой пенсии (иной пенсии) гражданам, награжденным государственными наградами Республики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21 сентября 2010 г. №</w:t>
      </w:r>
      <w:r>
        <w:rPr>
          <w:rFonts w:ascii="Times New Roman" w:hAnsi="Times New Roman"/>
          <w:sz w:val="20"/>
          <w:szCs w:val="20"/>
          <w:highlight w:val="white"/>
        </w:rPr>
        <w:t xml:space="preserve"> 378 "Об утверждении Положения о порядке выплаты пожизненного ежемесячного денежного вознаграждения, ежемесячной денежной выплаты, ежемесячной доплаты к страховой пенсии (иной пенсии) гражданам, награжденным государственными наградами Республики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от 27 декабря 2002 г. №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62-З "О дополнительном ежемесячном материальном обеспечении отдельных категорий граждан Республики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</w:t>
      </w:r>
      <w:r>
        <w:rPr>
          <w:rFonts w:ascii="Times New Roman" w:hAnsi="Times New Roman"/>
          <w:sz w:val="20"/>
          <w:szCs w:val="20"/>
          <w:highlight w:val="white"/>
        </w:rPr>
        <w:t xml:space="preserve">ие Правительства Республики Мордовия от 28 апреля 2003 г. № 175 "Об утверждении Порядка обращения за дополнительным ежемесячным материальным обеспечением отдельных категорий граждан Республики Мордовия и рассмотрения вопросов, связанных с его назначением";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от 08 июня 1999г.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№ 30-З "О муниципальной службе в Республике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31 июня 2009 г. № 141-УГ "О порядке уста</w:t>
      </w:r>
      <w:r>
        <w:rPr>
          <w:rFonts w:ascii="Times New Roman" w:hAnsi="Times New Roman"/>
          <w:sz w:val="20"/>
          <w:szCs w:val="20"/>
          <w:highlight w:val="white"/>
        </w:rPr>
        <w:t xml:space="preserve">новления ежемесячной надбавки к страховой пенсии по случаю потери кормильца членам семьи погибшего (умершего) лица, замещавшего должность государственной гражданской службы, муниципальную должность или должность муниципальной службы в Республике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12 октября 2009 г. № 430 "Об утверждении Положения о порядке</w:t>
      </w:r>
      <w:r>
        <w:rPr>
          <w:rFonts w:ascii="Times New Roman" w:hAnsi="Times New Roman"/>
          <w:sz w:val="20"/>
          <w:szCs w:val="20"/>
          <w:highlight w:val="white"/>
        </w:rPr>
        <w:t xml:space="preserve"> выплаты ежемесячной надбавки к страховой пенсии по случаю потери кормильца членам семьи погибшего (умершего) лица, замещавшего должность государственной гражданской службы, муниципальную должность или должность муниципальной службы в Республике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от 29 сентября 2017 г. N 70-З</w:t>
      </w:r>
      <w:r>
        <w:rPr>
          <w:rFonts w:ascii="Times New Roman" w:hAnsi="Times New Roman"/>
          <w:sz w:val="20"/>
          <w:szCs w:val="20"/>
          <w:highlight w:val="white"/>
        </w:rPr>
        <w:t xml:space="preserve"> " О статусе депутата Государственного Собрания Республики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22 марта 2010 г. № 50-УГ "О порядке назначения ежемесячного пособия членам семьи умерших (погибших) лиц, замещавших государственные должности Республики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24 мая 2010 г. № 212 "Об утверждении Положения о порядке выплаты ежемесячного пособия членам семьи умерших (погибших) лиц, замещавших государственные должности Республики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30</w:t>
      </w:r>
      <w:r>
        <w:rPr>
          <w:rFonts w:ascii="Times New Roman" w:hAnsi="Times New Roman"/>
          <w:sz w:val="20"/>
          <w:szCs w:val="20"/>
          <w:highlight w:val="white"/>
        </w:rPr>
        <w:t xml:space="preserve"> октября 2009 г. № 227-УГ " Об утверждении Положения о порядке предоставления индивидуальной ежемесячной надбавки к страховой пенсии по старости (инвалидности) руководителям организаций, находящимся на пенсии, за особые заслуги перед Республикой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21 сентября 2009 года № 182-УГ "Об утверждении Положения о порядке установления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государственным служащим Республики Мордовия, находящимся на пенсии, за особые заслуги перед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Республикой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Мордовия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индивидуальной ежемесячной надбавки к трудовой пенсии по старости (инвалидности);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</w:t>
      </w:r>
      <w:r>
        <w:rPr>
          <w:rFonts w:ascii="Times New Roman" w:hAnsi="Times New Roman"/>
          <w:sz w:val="20"/>
          <w:szCs w:val="20"/>
          <w:highlight w:val="white"/>
        </w:rPr>
        <w:t xml:space="preserve">рдовия от 12 октября 2009 г. № 428 "Об утверждении Положения о порядке выплаты руководителям организаций, находящимся на пенсии, за особые заслуги перед Республикой Мордовия индивидуальной ежемесячной надбавки к страховой пенсии по старости (инвалидности);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12 октября </w:t>
      </w:r>
      <w:r>
        <w:rPr>
          <w:rFonts w:ascii="Times New Roman" w:hAnsi="Times New Roman"/>
          <w:sz w:val="20"/>
          <w:szCs w:val="20"/>
          <w:highlight w:val="white"/>
        </w:rPr>
        <w:t xml:space="preserve">2009 г. № 429 "Об утверждении Положения о порядке выплаты государственным служащим Республики Мордовия, находящимся на пенсии, за особые заслуги перед Республикой Мордовия индивидуальной ежемесячной надбавки к страховой пенсии по старости (инвалидности)" 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19 октября 2009 г. № 449 "О порядке выплаты пенсии за выслугу лет государственным гражданским служащим Республики Мордовия и лицам, замещавшим государственные должности Респу</w:t>
      </w:r>
      <w:r>
        <w:rPr>
          <w:rFonts w:ascii="Times New Roman" w:hAnsi="Times New Roman"/>
          <w:sz w:val="20"/>
          <w:szCs w:val="20"/>
          <w:highlight w:val="white"/>
        </w:rPr>
        <w:t xml:space="preserve">блики Мордовия, и определения размера среднемесячного денежного содержания государственных гражданских служащих Республики Мордовия и лиц, замещавших государственные должности Республики Мордовия, необходимого для исчисления размера пенсии за выслугу лет";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28 октября 2009 г. № 221-УГ "О порядке предоставления пенсии за выслугу лет государственным гражданским служащим Республики Мордовия и лицам, замещавшим государственные должности Республики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от 01 июля 2005 г. № 57-З "О правовом регулировании жилищных отношений в Республике Мордовия";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от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05 ноября 2008 г. № 504 " О предоставлении социальных выплат заемщикам ипотечных жилищных кредитов (ипотечных займов");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от 28 марта 2016 г. № 16-З "О жилищных гарантиях лицам, замещающим государственные должности Республики Мордовия, и государственным гражданским служащим Республики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10 мая 2016 г. № 107-УГ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" О мерах по реализации Закона Республики Мордовия от 28 марта 2016 г. № 16-3 "О жилищных гарантиях лицам, замещающим государственные должности Республики Мордовия, и государственным гражданским служащим Республики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 августа 2016 г. № 397 "Об утверждении Положения о порядке предоставления из республиканского бюджета Республики Мордовия социальны</w:t>
      </w:r>
      <w:r>
        <w:rPr>
          <w:rFonts w:ascii="Times New Roman" w:hAnsi="Times New Roman"/>
          <w:sz w:val="20"/>
          <w:szCs w:val="20"/>
          <w:highlight w:val="white"/>
        </w:rPr>
        <w:t xml:space="preserve">х выплат гражданам на возмещение (компенсацию) части процентной ставки по ипотечным кредитам (ипотечным займам), полученным гражданами на приобретение или строительство жилья в российских кредитных организациях (у юридических лиц) до 14 ноября 2008 года";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Президента Российской Федерации от 07 мая 2008 г. № 714 "Об обеспечении жильем ветеранов Великой Отечественной войны 1941-1945 годов";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27 июля 2009 г. № 335 "Об утверждении Порядка предоставления меры социальной поддержки в виде ежегодной денежной выплаты на компенсацию расходов на бензин, ремонт, техническое обслуживание транспортных с</w:t>
      </w:r>
      <w:r>
        <w:rPr>
          <w:rFonts w:ascii="Times New Roman" w:hAnsi="Times New Roman"/>
          <w:sz w:val="20"/>
          <w:szCs w:val="20"/>
          <w:highlight w:val="white"/>
        </w:rPr>
        <w:t xml:space="preserve">редств и приобретение запасных частей к ним инвалидам всех групп и категорий, обеспеченным транспортными средствами бесплатно или на льготных условиях, а также инвалидам войны I и II групп, приобретшим автомобили за полную стоимость до 1 января 2005 года";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Приказ Министерства труда и социал</w:t>
      </w:r>
      <w:r>
        <w:rPr>
          <w:rFonts w:ascii="Times New Roman" w:hAnsi="Times New Roman"/>
          <w:sz w:val="20"/>
          <w:szCs w:val="20"/>
          <w:highlight w:val="white"/>
        </w:rPr>
        <w:t xml:space="preserve">ьной защиты РФ </w:t>
      </w:r>
      <w:r>
        <w:rPr>
          <w:rFonts w:ascii="Times New Roman" w:hAnsi="Times New Roman"/>
          <w:sz w:val="20"/>
          <w:szCs w:val="20"/>
          <w:highlight w:val="white"/>
        </w:rPr>
        <w:t xml:space="preserve">от 9 октября 2024 г. N 536Н</w:t>
      </w:r>
      <w:r>
        <w:rPr>
          <w:rFonts w:ascii="Times New Roman" w:hAnsi="Times New Roman"/>
          <w:sz w:val="20"/>
          <w:szCs w:val="20"/>
          <w:highlight w:val="white"/>
        </w:rPr>
        <w:t xml:space="preserve"> "Об утверждении формы и Порядка предоставления органами исполнительной власти субъектов Российской Федерации, органами местного самоуправления и организациями независимо от их организационно-правовых форм информа</w:t>
      </w:r>
      <w:r>
        <w:rPr>
          <w:rFonts w:ascii="Times New Roman" w:hAnsi="Times New Roman"/>
          <w:sz w:val="20"/>
          <w:szCs w:val="20"/>
          <w:highlight w:val="white"/>
        </w:rPr>
        <w:t xml:space="preserve">ции об исполнении возложенных на них индивидуальной программой реабилитации или абилитации инвалида и индивидуальной программой реабилитации или абилитации ребенка-инвалида мероприятий в федеральные государственные учреждения медико-социальной экспертизы";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Приказ Министерства труда и социальной защиты РФ </w:t>
      </w:r>
      <w:r>
        <w:rPr>
          <w:rFonts w:ascii="Times New Roman" w:hAnsi="Times New Roman"/>
          <w:sz w:val="20"/>
          <w:szCs w:val="20"/>
          <w:highlight w:val="white"/>
        </w:rPr>
        <w:t xml:space="preserve">от 18 сентября 2024 г. N 466Н</w:t>
      </w:r>
      <w:r>
        <w:rPr>
          <w:rFonts w:ascii="Times New Roman" w:hAnsi="Times New Roman"/>
          <w:sz w:val="20"/>
          <w:szCs w:val="20"/>
          <w:highlight w:val="white"/>
        </w:rPr>
        <w:t xml:space="preserve"> "Об утверждении Поряд</w:t>
      </w:r>
      <w:r>
        <w:rPr>
          <w:rFonts w:ascii="Times New Roman" w:hAnsi="Times New Roman"/>
          <w:sz w:val="20"/>
          <w:szCs w:val="20"/>
          <w:highlight w:val="white"/>
        </w:rPr>
        <w:t xml:space="preserve">ка разработки и реализации индивидуальной программы реабилитации или абилитации инвалида, индивидуальной программы реабилитации или абилитации ребенка-инвалида, выдаваемых федеральными государственными учреждениями медико-социальной экспертизы, и их форм";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 июня 2006 г. № 223 «О порядке и условиях присвоения звания «Ветеран труда»;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от 19 декабря 2003 г. № 763 «Об удостоверении ветерана боевых действий»;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Минтруда Рос</w:t>
      </w:r>
      <w:r>
        <w:rPr>
          <w:rFonts w:ascii="Times New Roman" w:hAnsi="Times New Roman"/>
          <w:sz w:val="20"/>
          <w:szCs w:val="20"/>
          <w:highlight w:val="white"/>
        </w:rPr>
        <w:t xml:space="preserve">сийской Федерации от 11 октября 2000 г. № 69 «Об утверждении Инструкции о порядке и условиях реализации прав и льгот ветеранов Великой Отечественной войны, ветеранов боевых действий, иных категорий граждан, установленных Федеральным законом «О ветеранах»;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</w:t>
      </w:r>
      <w:r>
        <w:rPr>
          <w:rFonts w:ascii="Times New Roman" w:hAnsi="Times New Roman"/>
          <w:sz w:val="20"/>
          <w:szCs w:val="20"/>
          <w:highlight w:val="white"/>
        </w:rPr>
        <w:t xml:space="preserve">остановление Минтруда Российской Фед</w:t>
      </w:r>
      <w:r>
        <w:rPr>
          <w:rFonts w:ascii="Times New Roman" w:hAnsi="Times New Roman"/>
          <w:sz w:val="20"/>
          <w:szCs w:val="20"/>
          <w:highlight w:val="white"/>
        </w:rPr>
        <w:t xml:space="preserve">ерации </w:t>
      </w:r>
      <w:r>
        <w:rPr>
          <w:rFonts w:ascii="Times New Roman" w:hAnsi="Times New Roman"/>
          <w:sz w:val="20"/>
          <w:szCs w:val="20"/>
          <w:highlight w:val="white"/>
        </w:rPr>
        <w:t xml:space="preserve">от 4 сентября 2013 г. N 445н</w:t>
      </w:r>
      <w:r>
        <w:rPr>
          <w:rFonts w:ascii="Times New Roman" w:hAnsi="Times New Roman"/>
          <w:sz w:val="20"/>
          <w:szCs w:val="20"/>
          <w:highlight w:val="white"/>
        </w:rPr>
        <w:t xml:space="preserve"> «Об утверждении Порядка выдачи удостоверений о праве на льготы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ЦК КПСС и СМ СССР от 17 января 1983 г. № 59 «О льготах военнослужащим, рабочим и служащим, находящимся в составе ограниченного контингента советских войск на территории Демократической Республики Афганистан, и их семьям»;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от 5 октября 1999 года № 1122 «Об удостоверениях ветерана Великой Отечественной войны»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РФ от 20 июня 2013 г. № 519 «Об удостоверении члена семьи погибшего (умершего) инвалида войны, участника великой Отечественной войны и ветерана боевых действий»;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</w:t>
      </w:r>
      <w:r>
        <w:rPr>
          <w:rFonts w:ascii="Times New Roman" w:hAnsi="Times New Roman"/>
          <w:sz w:val="20"/>
          <w:szCs w:val="20"/>
          <w:highlight w:val="white"/>
        </w:rPr>
        <w:t xml:space="preserve">остановление Правительства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от </w:t>
      </w:r>
      <w:r>
        <w:rPr>
          <w:rFonts w:ascii="Times New Roman" w:hAnsi="Times New Roman"/>
          <w:sz w:val="20"/>
          <w:szCs w:val="20"/>
          <w:highlight w:val="white"/>
        </w:rPr>
        <w:t xml:space="preserve">25 декабря 2023 г. N 739</w:t>
      </w:r>
      <w:r>
        <w:rPr>
          <w:rFonts w:ascii="Times New Roman" w:hAnsi="Times New Roman"/>
          <w:sz w:val="20"/>
          <w:szCs w:val="20"/>
          <w:highlight w:val="white"/>
        </w:rPr>
        <w:t xml:space="preserve"> «Об утверждении государственной программы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«Доступная среда» на 2014 - 2025</w:t>
      </w:r>
      <w:r>
        <w:rPr>
          <w:rFonts w:ascii="Times New Roman" w:hAnsi="Times New Roman"/>
          <w:sz w:val="20"/>
          <w:szCs w:val="20"/>
          <w:highlight w:val="white"/>
        </w:rPr>
        <w:t xml:space="preserve"> годы»;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от 29 марта 2019 г. № 363 «Об утверждении государственной программы Российской Федерации «Доступная среда»;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Распоряжение Правительства Республики Мордовия от 28 марта 2016 г. № 178-Р «Об утверждении Плана мероприятий («дорожной карты») «Повышение значений показателей доступности для инвалидов и других маломобильных групп населения объект</w:t>
      </w:r>
      <w:r>
        <w:rPr>
          <w:rFonts w:ascii="Times New Roman" w:hAnsi="Times New Roman"/>
          <w:sz w:val="20"/>
          <w:szCs w:val="20"/>
          <w:highlight w:val="white"/>
        </w:rPr>
        <w:t xml:space="preserve">ов и услуг Республики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РФ от 15 мая 1991 г. N 1244-I "О социальной защите граждан, подвергшихся воздействию радиации вследствие катастрофы на Чернобыльской АЭС";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26 ноября 1998 г.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10 января 2002 г. N 2-ФЗ</w:t>
        <w:br/>
        <w:t xml:space="preserve">"О социальных гарантиях гражданам, подвергшимся радиационному воздействию вследствие ядерных испытаний на Семипалатинском полигоне";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ВС РФ от 27 декабря 1991 г. N 2123-I "О распространении действия Закона РСФСР "О социальной защите граждан, подвергшихся воздействию радиации вследствие катастрофы на Чернобыльской АЭС" на граждан из подразделений особого риска"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</w:t>
      </w:r>
      <w:r>
        <w:rPr>
          <w:rFonts w:ascii="Times New Roman" w:hAnsi="Times New Roman"/>
          <w:sz w:val="20"/>
          <w:szCs w:val="20"/>
          <w:highlight w:val="white"/>
        </w:rPr>
        <w:t xml:space="preserve">ия от 18 мая 2009 г. № 223 «Об утверждении Положения о порядке предоставления единовременного денежного пособия гражданам, попавшим в трудную жизненную ситуацию, и гражданам, имеющим заслуги перед Отечеством, в том числе при ликвидации последствий аварий»;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Порядок и условия оформления и выдачи удостоверения гражданам, получившим или перенесшим лучевую болезнь и другие заболевания, связанные с радиационным воздействием вследствие чернобыльской катастр</w:t>
      </w:r>
      <w:r>
        <w:rPr>
          <w:rFonts w:ascii="Times New Roman" w:hAnsi="Times New Roman"/>
          <w:sz w:val="20"/>
          <w:szCs w:val="20"/>
          <w:highlight w:val="white"/>
        </w:rPr>
        <w:t xml:space="preserve">офы или с работами по ликвидации последствий катастрофы на Чернобыльской АЭС; инвалидам вследствие чернобыльской катастрофы, утвержден приказом МЧС РФ, Министерства здравоохранения и социального развития РФ и Минфина РФ </w:t>
      </w:r>
      <w:r>
        <w:rPr>
          <w:rFonts w:ascii="Times New Roman" w:hAnsi="Times New Roman"/>
          <w:sz w:val="20"/>
          <w:szCs w:val="20"/>
          <w:highlight w:val="white"/>
        </w:rPr>
        <w:t xml:space="preserve">от 21 апреля 2020 г. N 253/207Н/73Н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Порядок и условия оформления и выдачи гражданам удостоверения участника</w:t>
      </w:r>
      <w:r>
        <w:rPr>
          <w:rFonts w:ascii="Times New Roman" w:hAnsi="Times New Roman"/>
          <w:sz w:val="20"/>
          <w:szCs w:val="20"/>
          <w:highlight w:val="white"/>
        </w:rPr>
        <w:t xml:space="preserve"> ликвидации последствий катастрофы на Чернобыльской АЭС, утвержден приказом МЧС Российской Федерации, Министерства здравоохранения и социального развития Российской Федерации и Министерства финансов Российской Федерации от </w:t>
      </w:r>
      <w:r>
        <w:rPr>
          <w:rFonts w:ascii="Times New Roman" w:hAnsi="Times New Roman"/>
          <w:sz w:val="20"/>
          <w:szCs w:val="20"/>
          <w:highlight w:val="white"/>
        </w:rPr>
        <w:t xml:space="preserve">от 21 апреля 2020 г. N 253/207Н/73Н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Порядок выдачи удостоверений единого образца гражданам, подвергшимся радиационному воздействию вследствие ядерных испытаний на Семипалатинском полигоне, утвержден Приказом МЧС от 18 сентября 2009г. № 540;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Приказ МЧС РФ от</w:t>
      </w:r>
      <w:r>
        <w:rPr>
          <w:rFonts w:ascii="Times New Roman" w:hAnsi="Times New Roman"/>
          <w:sz w:val="20"/>
          <w:szCs w:val="20"/>
          <w:highlight w:val="white"/>
        </w:rPr>
        <w:t xml:space="preserve"> 24 апреля 2000 года № 229 «Об утверждении Положения о порядке оформления и выдачи удостоверений гражданам, подвергшимся воздействию радиации вследствие аварии в 1957 году на производственном объединении «Маяк» и сбросов радиоактивных отходов в реку Теча»;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РФ от 11 декабря 1992 года № 958 «О мерах по обеспечению социальной защиты граждан из подразделений особого риска»;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16января 2008 г. № 7 «О предоставлении социальных выплат на строительство, реконструкцию приобретение жилья, оказание содействия в индивидуальном жилищном строительстве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28 декабря 2017 г. № 418-ФЗ «О ежемесячных выплатах семьям, имеющим детей»;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29 декабря 2012 г. № 273-ФЗ "Об образовании в Российской Федерации";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</w:rPr>
        <w:instrText xml:space="preserve">HYPERLINK "garantF1://8960427.0"</w:instrText>
      </w:r>
      <w:r>
        <w:rPr>
          <w:rFonts w:ascii="Times New Roman" w:hAnsi="Times New Roman"/>
          <w:sz w:val="20"/>
          <w:szCs w:val="20"/>
          <w:highlight w:val="white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от 6 мая 2015 г. № 24-З «О мерах социальной поддержки граждан Российской Федерации, родившихся в период с 22 июня 1927 года по 4 сентября 1945 года</w:t>
      </w:r>
      <w:r>
        <w:rPr>
          <w:rFonts w:ascii="Times New Roman" w:hAnsi="Times New Roman"/>
          <w:sz w:val="20"/>
          <w:szCs w:val="20"/>
          <w:highlight w:val="white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</w:rPr>
        <w:t xml:space="preserve">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Президента Российской Федерации от 7 мая 2012г. № 606 «О мерах по реализации демографической политики Российской Федерации»;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Президента Российской Федерации </w:t>
      </w:r>
      <w:r>
        <w:rPr>
          <w:rFonts w:ascii="Times New Roman" w:hAnsi="Times New Roman"/>
          <w:sz w:val="20"/>
          <w:szCs w:val="20"/>
          <w:highlight w:val="white"/>
        </w:rPr>
        <w:t xml:space="preserve">от 8 февраля 2001 г. N 136</w:t>
      </w:r>
      <w:r>
        <w:rPr>
          <w:rFonts w:ascii="Times New Roman" w:hAnsi="Times New Roman"/>
          <w:sz w:val="20"/>
          <w:szCs w:val="20"/>
          <w:highlight w:val="white"/>
        </w:rPr>
        <w:t xml:space="preserve"> «О размере компенсационных выплат отдельным категориям граждан»;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</w:rPr>
        <w:instrText xml:space="preserve">HYPERLINK "garantF1://8814314.0"</w:instrText>
      </w:r>
      <w:r>
        <w:rPr>
          <w:rFonts w:ascii="Times New Roman" w:hAnsi="Times New Roman"/>
          <w:sz w:val="20"/>
          <w:szCs w:val="20"/>
          <w:highlight w:val="white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</w:t>
      </w:r>
      <w:r>
        <w:rPr>
          <w:rFonts w:ascii="Times New Roman" w:hAnsi="Times New Roman"/>
          <w:sz w:val="20"/>
          <w:szCs w:val="20"/>
          <w:highlight w:val="white"/>
        </w:rPr>
        <w:t xml:space="preserve">я от 21 марта 2005 г. № 37-УГ «О предоставлении мер социальной поддержки по проезду на междугородном автомобильном транспорте общего пользования (кроме такси) в пределах Республики Мордовия отдельным категориям населения, проживающего в Республике Мордовия</w:t>
      </w:r>
      <w:r>
        <w:rPr>
          <w:rFonts w:ascii="Times New Roman" w:hAnsi="Times New Roman"/>
          <w:sz w:val="20"/>
          <w:szCs w:val="20"/>
          <w:highlight w:val="white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</w:rPr>
        <w:t xml:space="preserve">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</w:t>
      </w:r>
      <w:r>
        <w:rPr>
          <w:rFonts w:ascii="Times New Roman" w:hAnsi="Times New Roman"/>
          <w:sz w:val="20"/>
          <w:szCs w:val="20"/>
          <w:highlight w:val="white"/>
        </w:rPr>
        <w:t xml:space="preserve">каз</w:t>
      </w:r>
      <w:r>
        <w:rPr>
          <w:rFonts w:ascii="Times New Roman" w:hAnsi="Times New Roman"/>
          <w:sz w:val="20"/>
          <w:szCs w:val="20"/>
          <w:highlight w:val="white"/>
        </w:rPr>
        <w:t xml:space="preserve"> Главы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от </w:t>
      </w:r>
      <w:r>
        <w:rPr>
          <w:rFonts w:ascii="Times New Roman" w:hAnsi="Times New Roman"/>
          <w:sz w:val="20"/>
          <w:szCs w:val="20"/>
          <w:highlight w:val="white"/>
        </w:rPr>
        <w:t xml:space="preserve">28 февраля 2023 г. N 58-УГ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«Об установлении ежемесячной денежной выплаты при рождении после 31 декабря 2012 г. третьего и последующих детей до достижения ребенком возраста трех лет в размере величины прожиточного минимума, установленной в Республике Мордовия для детей»;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N 250-УГ от 22.06.2026</w:t>
      </w:r>
      <w:r>
        <w:rPr>
          <w:rFonts w:ascii="Times New Roman" w:hAnsi="Times New Roman"/>
          <w:sz w:val="20"/>
          <w:szCs w:val="20"/>
          <w:highlight w:val="white"/>
        </w:rPr>
        <w:t xml:space="preserve"> «О предоставлении ежемесячной денежной выплаты студенческим семьям, воспитывающим детей, среднедушевой доход которых не превышает размер среднедушевого денежного дохода в Республике Мордовия»;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21 марта 2005 г. № 38-УГ «О предоставлении меры социальной поддержки по проезду на железнодорожном транспорте пригородного сообщения отдельным категориям населения, проживающего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от 30 сентября 2014 г. № 999 «О формировании, предоставлении и распределении субсидий из федерального бюджета бюджетам субъектов Российской Федерации»;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27 апреля 2009 г. № 174 "Об утверждении Порядка предоставления субсидий специализированным службам по вопроса</w:t>
      </w:r>
      <w:r>
        <w:rPr>
          <w:rFonts w:ascii="Times New Roman" w:hAnsi="Times New Roman"/>
          <w:sz w:val="20"/>
          <w:szCs w:val="20"/>
          <w:highlight w:val="white"/>
        </w:rPr>
        <w:t xml:space="preserve">м похоронного дела на возмещение затрат на погребение за счет средств республиканского бюджета Республики Мордовия и определении уполномоченного органа по согласованию стоимости услуг, предоставляемых согласно гарантированному перечню услуг по погребению";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</w:t>
      </w:r>
      <w:r>
        <w:rPr>
          <w:rFonts w:ascii="Times New Roman" w:hAnsi="Times New Roman"/>
          <w:sz w:val="20"/>
          <w:szCs w:val="20"/>
          <w:highlight w:val="white"/>
        </w:rPr>
        <w:t xml:space="preserve">становление Правительства Республики Мордовия от 24 марта 2005 г. № 102 «О порядке предоставления меры социальной поддержки по проезду на железнодорожном транспорте пригородного сообщения отдельным категориям населения, проживающего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24 марта 2005 г. № 103 «О порядке предоставления меры социальной поддержки по проезду на междугородном автомобильном транспорте общего пользования (кроме такси)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в пределах Республики Мордовия отдельным категориям населения, проживающего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24 марта 2005 г. № 104 «О мерах социальной поддержки по проезду на ав</w:t>
      </w:r>
      <w:r>
        <w:rPr>
          <w:rFonts w:ascii="Times New Roman" w:hAnsi="Times New Roman"/>
          <w:sz w:val="20"/>
          <w:szCs w:val="20"/>
          <w:highlight w:val="white"/>
        </w:rPr>
        <w:t xml:space="preserve">томобильном и городском наземном электрическом транспорте по маршрутам регулярных перевозок в городском, пригородном и междугородном сообщениях на территории Республики Мордовия, предоставляемых студентам и аспирантам, обучающимся по очной форме обучения»;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18 мая 2009 г. № 204 «О порядке предостав</w:t>
      </w:r>
      <w:r>
        <w:rPr>
          <w:rFonts w:ascii="Times New Roman" w:hAnsi="Times New Roman"/>
          <w:sz w:val="20"/>
          <w:szCs w:val="20"/>
          <w:highlight w:val="white"/>
        </w:rPr>
        <w:t xml:space="preserve">ления и размерах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организациях, находящихся на территории Республики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30 июля 2012 г. № 286 «Об утверждении Полож</w:t>
      </w:r>
      <w:r>
        <w:rPr>
          <w:rFonts w:ascii="Times New Roman" w:hAnsi="Times New Roman"/>
          <w:sz w:val="20"/>
          <w:szCs w:val="20"/>
          <w:highlight w:val="white"/>
        </w:rPr>
        <w:t xml:space="preserve">ения о порядке предоставления ежемесячной денежной выплаты при рождении после 31 декабря 2012 г. третьего и последующих детей до достижения ребенком возраста трех лет в размере величины прожиточного минимума, установленной в Республике Мордовия для детей»;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от 25 июня 2025 г. N 531 </w:t>
      </w:r>
      <w:r>
        <w:rPr>
          <w:rFonts w:ascii="Times New Roman" w:hAnsi="Times New Roman"/>
          <w:sz w:val="20"/>
          <w:szCs w:val="20"/>
          <w:highlight w:val="white"/>
        </w:rPr>
        <w:t xml:space="preserve"> «Об утверждении Порядка предоставления гражданам социального пособия на погребение в</w:t>
      </w:r>
      <w:r>
        <w:rPr>
          <w:rFonts w:ascii="Times New Roman" w:hAnsi="Times New Roman"/>
          <w:sz w:val="20"/>
          <w:szCs w:val="20"/>
          <w:highlight w:val="white"/>
        </w:rPr>
        <w:t xml:space="preserve"> случае,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</w:rPr>
        <w:instrText xml:space="preserve">HYPERLINK "garantF1://8960367.0"</w:instrText>
      </w:r>
      <w:r>
        <w:rPr>
          <w:rFonts w:ascii="Times New Roman" w:hAnsi="Times New Roman"/>
          <w:sz w:val="20"/>
          <w:szCs w:val="20"/>
          <w:highlight w:val="white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7 мая 2015 г</w:t>
      </w:r>
      <w:r>
        <w:rPr>
          <w:rFonts w:ascii="Times New Roman" w:hAnsi="Times New Roman"/>
          <w:sz w:val="20"/>
          <w:szCs w:val="20"/>
          <w:highlight w:val="white"/>
        </w:rPr>
        <w:t xml:space="preserve">. № 242 «Об утверждении Порядка предоставления ежегодной денежной выплаты ко Дню Победы гражданам Российской Федерации, родившимся в период с 22 июня 1927 года по 4 сентября 1945 года – «детям войны», постоянно проживающим на территории Республики Мордовия</w:t>
      </w:r>
      <w:r>
        <w:rPr>
          <w:rFonts w:ascii="Times New Roman" w:hAnsi="Times New Roman"/>
          <w:sz w:val="20"/>
          <w:szCs w:val="20"/>
          <w:highlight w:val="white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</w:rPr>
        <w:t xml:space="preserve">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19 мая 2017 г. № 315 «О Порядке организации проезда отдельных категорий населения, проживающего в Республике Мордовия, с использованием единой социальной электронной карты жителя Республики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</w:rPr>
        <w:instrText xml:space="preserve">HYPERLINK "garantF1://70340462.0"</w:instrText>
      </w:r>
      <w:r>
        <w:rPr>
          <w:rFonts w:ascii="Times New Roman" w:hAnsi="Times New Roman"/>
          <w:sz w:val="20"/>
          <w:szCs w:val="20"/>
          <w:highlight w:val="white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</w:rPr>
        <w:t xml:space="preserve">Приказ Министерства здравоохранения РФ </w:t>
      </w:r>
      <w:r>
        <w:rPr>
          <w:rFonts w:ascii="Times New Roman" w:hAnsi="Times New Roman"/>
          <w:sz w:val="20"/>
          <w:szCs w:val="20"/>
          <w:highlight w:val="white"/>
        </w:rPr>
        <w:t xml:space="preserve">от 6 мая 2024 г. N 228н</w:t>
      </w:r>
      <w:r>
        <w:rPr>
          <w:rFonts w:ascii="Times New Roman" w:hAnsi="Times New Roman"/>
          <w:sz w:val="20"/>
          <w:szCs w:val="20"/>
          <w:highlight w:val="white"/>
        </w:rPr>
        <w:t xml:space="preserve"> «Об утверждении Порядка осуществления ежегодной денежной выплаты лицам, награжденным нагрудным знаком «Почетный донор России»</w:t>
      </w:r>
      <w:r>
        <w:rPr>
          <w:rFonts w:ascii="Times New Roman" w:hAnsi="Times New Roman"/>
          <w:sz w:val="20"/>
          <w:szCs w:val="20"/>
          <w:highlight w:val="white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sz w:val="20"/>
          <w:szCs w:val="20"/>
          <w:highlight w:val="white"/>
        </w:rPr>
        <w:t xml:space="preserve">от 25 января 2023 г. N 40Н</w:t>
      </w:r>
      <w:r>
        <w:rPr>
          <w:rFonts w:ascii="Times New Roman" w:hAnsi="Times New Roman"/>
          <w:sz w:val="20"/>
          <w:szCs w:val="20"/>
          <w:highlight w:val="white"/>
        </w:rPr>
        <w:t xml:space="preserve"> «Об утверждении Порядка осуществления ежемесячных выплат в связи с рожден</w:t>
      </w:r>
      <w:r>
        <w:rPr>
          <w:rFonts w:ascii="Times New Roman" w:hAnsi="Times New Roman"/>
          <w:sz w:val="20"/>
          <w:szCs w:val="20"/>
          <w:highlight w:val="white"/>
        </w:rPr>
        <w:t xml:space="preserve">ием (усыновлением) первого ребенка и (или) второго ребенка, обращения за назначением указанных выплат, а также перечня документов (сведений), необходимых для назначения ежемесячных выплат в связи с рождением (усыновлением) первого и (или) второго ребенка»;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 </w:t>
      </w:r>
      <w:r>
        <w:rPr>
          <w:rFonts w:ascii="Times New Roman" w:hAnsi="Times New Roman"/>
          <w:sz w:val="20"/>
          <w:szCs w:val="20"/>
          <w:highlight w:val="white"/>
        </w:rPr>
        <w:t xml:space="preserve">от 2</w:t>
      </w:r>
      <w:r>
        <w:rPr>
          <w:rFonts w:ascii="Times New Roman" w:hAnsi="Times New Roman"/>
          <w:sz w:val="20"/>
          <w:szCs w:val="20"/>
          <w:highlight w:val="white"/>
        </w:rPr>
        <w:t xml:space="preserve">4 февраля 2016 г. N 48-УГ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"Об установлении персональной надбавки к государственной пенсии Антоновой М.Н.";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  09.02.1999г. № 14 "О материальном обесп</w:t>
      </w:r>
      <w:r>
        <w:rPr>
          <w:rFonts w:ascii="Times New Roman" w:hAnsi="Times New Roman"/>
          <w:sz w:val="20"/>
          <w:szCs w:val="20"/>
          <w:highlight w:val="white"/>
        </w:rPr>
        <w:t xml:space="preserve">ечении Куликовой-Чирковой А.Н.";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</w:t>
      </w:r>
      <w:r>
        <w:rPr>
          <w:rFonts w:ascii="Times New Roman" w:hAnsi="Times New Roman"/>
          <w:sz w:val="20"/>
          <w:szCs w:val="20"/>
          <w:highlight w:val="white"/>
        </w:rPr>
        <w:t xml:space="preserve">Республики Мордовия от 31 мая 2018 г. № 324</w:t>
        <w:br/>
        <w:t xml:space="preserve">"О компенсации недополученных доходов, связанных с предо</w:t>
      </w:r>
      <w:r>
        <w:rPr>
          <w:rFonts w:ascii="Times New Roman" w:hAnsi="Times New Roman"/>
          <w:sz w:val="20"/>
          <w:szCs w:val="20"/>
          <w:highlight w:val="white"/>
        </w:rPr>
        <w:t xml:space="preserve">ставлением отдельным категориям граждан мер социальной поддержки по проезду с использованием единой социальной электронной карты жителя Республики Мордовия, и внесении изменений в постановление Правительства Республики Мордовия от 10 октября 2016 г. № 504"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от 5 июня 2018 г. № 57-З</w:t>
        <w:br/>
        <w:t xml:space="preserve">"О мерах государственной поддержки, направленных на создание условий для осуществления гражданами права на жилище и стимулирования жилищного строительства на территории Республики Мордовия"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</w:t>
      </w:r>
      <w:r>
        <w:rPr>
          <w:rFonts w:ascii="Times New Roman" w:hAnsi="Times New Roman"/>
          <w:sz w:val="20"/>
          <w:szCs w:val="20"/>
          <w:highlight w:val="white"/>
        </w:rPr>
        <w:t xml:space="preserve">Правительства Республики Мордовия от 27 августа 2018 г</w:t>
      </w:r>
      <w:r>
        <w:rPr>
          <w:rFonts w:ascii="Times New Roman" w:hAnsi="Times New Roman"/>
          <w:sz w:val="20"/>
          <w:szCs w:val="20"/>
          <w:highlight w:val="white"/>
        </w:rPr>
        <w:t xml:space="preserve">. №</w:t>
      </w:r>
      <w:r>
        <w:rPr>
          <w:rFonts w:ascii="Times New Roman" w:hAnsi="Times New Roman"/>
          <w:sz w:val="20"/>
          <w:szCs w:val="20"/>
          <w:highlight w:val="white"/>
        </w:rPr>
        <w:t xml:space="preserve"> 440</w:t>
        <w:br/>
        <w:t xml:space="preserve">"О внесении изменений в постановление Правительства Республики Мордовия от 5 ноября 2008 г</w:t>
      </w:r>
      <w:r>
        <w:rPr>
          <w:rFonts w:ascii="Times New Roman" w:hAnsi="Times New Roman"/>
          <w:sz w:val="20"/>
          <w:szCs w:val="20"/>
          <w:highlight w:val="white"/>
        </w:rPr>
        <w:t xml:space="preserve">. №</w:t>
      </w:r>
      <w:r>
        <w:rPr>
          <w:rFonts w:ascii="Times New Roman" w:hAnsi="Times New Roman"/>
          <w:sz w:val="20"/>
          <w:szCs w:val="20"/>
          <w:highlight w:val="white"/>
        </w:rPr>
        <w:t xml:space="preserve"> 504"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</w:t>
      </w:r>
      <w:r>
        <w:rPr>
          <w:rFonts w:ascii="Times New Roman" w:hAnsi="Times New Roman"/>
          <w:sz w:val="20"/>
          <w:szCs w:val="20"/>
          <w:highlight w:val="white"/>
        </w:rPr>
        <w:t xml:space="preserve">Правительства Республики Мордовия от 27 августа 2018 г</w:t>
      </w:r>
      <w:r>
        <w:rPr>
          <w:rFonts w:ascii="Times New Roman" w:hAnsi="Times New Roman"/>
          <w:sz w:val="20"/>
          <w:szCs w:val="20"/>
          <w:highlight w:val="white"/>
        </w:rPr>
        <w:t xml:space="preserve">. №</w:t>
      </w:r>
      <w:r>
        <w:rPr>
          <w:rFonts w:ascii="Times New Roman" w:hAnsi="Times New Roman"/>
          <w:sz w:val="20"/>
          <w:szCs w:val="20"/>
          <w:highlight w:val="white"/>
        </w:rPr>
        <w:t xml:space="preserve"> 441</w:t>
        <w:br/>
        <w:t xml:space="preserve">"О предоставлении мер государственной поддержки, направленных на создание условий для осуществления гражданами права на жилище и стимулирования жилищного строительства на территории Республики Мордовия"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24 февраля 2022 г. № 69-УГ "Об установлении мер социальной поддержки гражданам, пострадавшим в результате чрезвычайных ситуаций природного и техногенного характера";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</w:t>
      </w:r>
      <w:r>
        <w:rPr>
          <w:rFonts w:ascii="Times New Roman" w:hAnsi="Times New Roman"/>
          <w:sz w:val="20"/>
          <w:szCs w:val="20"/>
          <w:highlight w:val="white"/>
        </w:rPr>
        <w:t xml:space="preserve">ление Правительства Республики Мордовия от 16 июня 2022 г. № 476 "О мерах по реализации Указа Главы Республики Мордовия от 24 февраля 2022 г. N 69-УГ "Об установлении мер социальной поддержки гражданам, пострадавшим в результате чрезвычайных ситуаций приро</w:t>
      </w:r>
      <w:r>
        <w:rPr>
          <w:rFonts w:ascii="Times New Roman" w:hAnsi="Times New Roman"/>
          <w:sz w:val="20"/>
          <w:szCs w:val="20"/>
          <w:highlight w:val="white"/>
        </w:rPr>
        <w:t xml:space="preserve">дного и техногенного характера";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19 апреля 2024 г.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N 106-УГ "О дополнительных социальных гарантиях участникам специальной военной операции и членам их семей"</w:t>
      </w:r>
      <w:r>
        <w:rPr>
          <w:rFonts w:ascii="Times New Roman" w:hAnsi="Times New Roman"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 Главы Республики Мордовия</w:t>
      </w:r>
      <w:r>
        <w:rPr>
          <w:rFonts w:ascii="Times New Roman" w:hAnsi="Times New Roman"/>
          <w:sz w:val="20"/>
          <w:szCs w:val="20"/>
          <w:highlight w:val="white"/>
        </w:rPr>
        <w:t xml:space="preserve"> от 31 июля 2024 </w:t>
      </w:r>
      <w:r>
        <w:rPr>
          <w:rFonts w:ascii="Times New Roman" w:hAnsi="Times New Roman"/>
          <w:sz w:val="20"/>
          <w:szCs w:val="20"/>
          <w:highlight w:val="white"/>
        </w:rPr>
        <w:t xml:space="preserve">г. N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189-УГ "О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единовременной денежной выплате военнослужащим,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проходящим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военную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службу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по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контракту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в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Вооруженных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Силах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Российской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Федерации"</w:t>
      </w:r>
      <w:r>
        <w:rPr>
          <w:rFonts w:ascii="Times New Roman" w:hAnsi="Times New Roman"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18 декабря 2024 г. N 338-УГ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"О мерах по реализации федерального проекта "Многодетная семья" национального проекта "Семья" в Республике Мордовия"</w:t>
      </w:r>
      <w:r>
        <w:rPr>
          <w:rFonts w:ascii="Times New Roman" w:hAnsi="Times New Roman"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12 сентября 2024 г. N 226-УГ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"О единовременной денежной компенсации расходов на приобретение автономных пожарных извещателей отдельным категориям граждан, проживающих в Республике Мордовия"</w:t>
      </w:r>
      <w:r>
        <w:rPr>
          <w:rFonts w:ascii="Times New Roman" w:hAnsi="Times New Roman"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13 сентября 2024 г. N 666 "Об утверждении Порядка изготовления и выдачи удостоверений, подтверждающих статус многодетной семьи"</w:t>
      </w:r>
      <w:r>
        <w:rPr>
          <w:rFonts w:ascii="Times New Roman" w:hAnsi="Times New Roman"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Приказ Министерства социальной защиты, труда и занятости населения Республики Мордовия от</w:t>
      </w:r>
      <w:r>
        <w:rPr>
          <w:rFonts w:ascii="Times New Roman" w:hAnsi="Times New Roman"/>
          <w:sz w:val="20"/>
          <w:szCs w:val="20"/>
          <w:highlight w:val="white"/>
        </w:rPr>
        <w:t xml:space="preserve"> 14 марта 2025 г. N ОД-99 "Об утверждении Административного регламента Министерства социальной защиты, труда и занятости населения Республики Мордовия по предоставлению государственной услуги по установлению статуса многодетной семьи в Республике Мордовия"</w:t>
      </w:r>
      <w:r>
        <w:rPr>
          <w:rFonts w:ascii="Times New Roman" w:hAnsi="Times New Roman"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22.07.2024 N 182-УГ "Об установлении ежемесячной денежной выплаты детям-инвалидам, больным фенилкетонурией, проживающим в Республике Мордовия"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ind w:firstLine="658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5"/>
        <w:ind w:firstLine="709"/>
        <w:spacing w:after="0" w:line="240" w:lineRule="auto"/>
        <w:rPr>
          <w:rFonts w:ascii="Times New Roman" w:hAnsi="Times New Roman" w:eastAsia="Calibri"/>
          <w:sz w:val="20"/>
          <w:szCs w:val="20"/>
          <w:highlight w:val="white"/>
        </w:rPr>
      </w:pPr>
      <w:r>
        <w:rPr>
          <w:rFonts w:ascii="Times New Roman" w:hAnsi="Times New Roman" w:eastAsia="Calibri"/>
          <w:sz w:val="20"/>
          <w:szCs w:val="20"/>
          <w:highlight w:val="white"/>
        </w:rPr>
      </w:r>
      <w:r>
        <w:rPr>
          <w:rFonts w:ascii="Times New Roman" w:hAnsi="Times New Roman" w:eastAsia="Calibri"/>
          <w:sz w:val="20"/>
          <w:szCs w:val="20"/>
          <w:highlight w:val="white"/>
        </w:rPr>
      </w:r>
      <w:r>
        <w:rPr>
          <w:rFonts w:ascii="Times New Roman" w:hAnsi="Times New Roman" w:eastAsia="Calibri"/>
          <w:sz w:val="20"/>
          <w:szCs w:val="20"/>
          <w:highlight w:val="white"/>
        </w:rPr>
      </w:r>
    </w:p>
    <w:p>
      <w:pPr>
        <w:pStyle w:val="895"/>
        <w:spacing w:after="0" w:line="24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895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97"/>
        <w:ind w:hanging="360"/>
        <w:jc w:val="right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br w:type="page" w:clear="all"/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Приложение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2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spacing w:after="0" w:line="24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895"/>
        <w:jc w:val="center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Перечень государственных услуг, предоставляемых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посредством АИС ЭСРН Республики Мордовия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p>
      <w:pPr>
        <w:pStyle w:val="895"/>
        <w:jc w:val="center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6343"/>
        <w:gridCol w:w="3227"/>
      </w:tblGrid>
      <w:tr>
        <w:tblPrEx/>
        <w:trPr>
          <w:trHeight w:val="2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center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  <w:t xml:space="preserve">Наименование государственной услуги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  <w:t xml:space="preserve"> (функции)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center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  <w:t xml:space="preserve">Список МСП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ежемесячной денежной выплаты отдельным категориям населения, проживающего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"Ежемесячная денежная выплата"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Назначение и выплата ежемесячного пособия на ребенка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"Ежемесячное пособие на ребенка до 16 (18) лет"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организациях, находящихся на территории Республики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 Компенсация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организациях, находящихся на территории Республики Мордовия"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Обеспечение жильем ветеранов, инвалидов и семей, имеющих детей-инвалидов, нуждающихся в улучшении жилищных условий, путем предоставления социальной выплаты на строительство или приобретение жилья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"Социальная выплата на строительство или приобретение жилья"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Выдача проездного талона для реализации мер социальной поддержки по проезду на междугородном автомобильном транспорте общего пользования (кроме такси) в пределах Республики Мордовия отдельным категориям населения, проживающего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"Талон на проезд с освобождением от оплаты его стоимости один раз в год к месту назначения и обратно"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ежемесячного денежного пособия многодетным семьям, воспитывающим трех и более одновременно родившихся детей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"Ежемесячное пособие на 3х и более одновременно родившихся детей"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единовременной денежной компенсации расходов по оплате коммунальных услуг (твердое топливо, баллонный газ) отдельным категориям граждан, проживающих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"Мера социальной поддержки по оплате топлива"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ежемесячной денежной компенсации части расходов по оплате жилого помещения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 коммунальных услуг отдельным категориям граждан, проживающих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"Мера социальной поддержки по оплате жилья"; "Мера социальной поддержки по оплате коммунальных услуг";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"Мера социальной поддержки по оплате жилья (взнос на капитальный ремонт)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Назначение и выплата дополнительного ежемесячного материального обеспечен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ия отдельным категориям граждан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Республики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"Дополнительное ежемесячное материальное обеспечение"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единовременного денежного пособия гражданам, попавшим в трудную жизненную ситуацию, и гражданам, имеющим заслуги перед Отечеством, в том числе при ликвидации последствий аварий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"Единовременное денежное пособие в случае болезни, требующей дорогостоящего лечения"; "Единовременное денеж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ное пособие в случае пожара, стихийного бедствия и других чрезвычайных ситуаций"; "Единовременное денежное пособие в случае трудной жизненной ситуации"; "Единовременное денежное пособие гражданам, имеющим заслуги перед Отечеством на ремонт жилого помещения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в размере его стоимости"; "Единовременное денежное пособие гражданам, имеющим заслуги перед Отечеством, в том числе при ликвидации последствий аварий"; "Единовременное денежное пособие на газификацию жилых домов в сумме затрат на газификацию домовладения"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Организация и осуществление деятельности по опеке и попечительству в отношении граждан, признанных судом недееспособными или ограниченно дееспособными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"Установление опеки над со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вершеннолетним недееспособным";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"Установление попечительства над совершеннолетним ограниченно дееспособным"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субсидий на оплату жилого помещения и коммунальных услуг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"Субсидия на оплату жилья и коммунальных услуг"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социального пособия (субсидии на возмещение затрат) на погребение в случае, если умерший не подлежал обязательному социальному страхованию на случай временной нетрудосп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особности и в связи с материнством на день смерти и не являлся пенсионерами, в случае рождения мертвого ребенка по истечении 154 дней беременности, а также в случае, если умерший являлся подвергшимся политическим репрессиям и впоследствии реабилитированным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"Погребение за счет государства"; "Социальное пособие на погребение"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Выдача справки для получения государственной социальной стипендии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"Справка для получения государственной социальной стипендии"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Уста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новление государственным служащим Республики Мордовия, находящимся на пенсии, и руководителям организаций, находящимся на пенсии, за особые заслуги перед Республикой Мордовия индивидуальной ежемесячной надбавки к страховой пенсии по старости (инвалидности)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"Индивидуальная ежемесячная надбавка к страховой пенсии по старости (инвалидности)"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Организация и осуществление компенсационных выплат обманутым вкладчикам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"Компенсационная выплата лицам, которым был причинен ущерб на финансовом и фондовом рынках Российской Федерации"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компенсации за самостоятельно приобретенные протезно-ортопедические изделия отдельным категориям населения, проживающего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"Компенсация за самостоятельно приобретенные протезно-ортопедические изделия отдельным категориям населения"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социальной выплаты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гражданам-заемщикам ипотечных кредитов (ипотечных займов) на возмещение части процентной ставки по ипотечным кредитам (ипотечным займам), полученным гражданами на приобретение или строительство жилья в российских кредитных организациях (у юридических лиц)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"Социальная выплата гр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ажданам - заемщикам ипотечных кредитов (ипотечных займов) на возмещение части процентной ставки по ипотечным кредитам (ипотечным займам), полученным гражданами на приобретение или строительство жилья в российских кредитных организациях (у юридических лиц)"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социальной выплаты гражданам-заемщикам ипотечных кредитов (ипотечных займов) на уплату части ежемесячного платежа по ипотечным кредитам (ипотечным займам) полученным гражданами в ро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ссийских кредитных организациях (у юридических лиц), находящихся на территории Республики Мордовия, в целях рефинансирования (перекредитования) ипотечных кредитов (ипотечных займов) на строительство либо приобретение на территории Республики Мордовия жилья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"Социальная выплата гражданам - заемщикам ипотечных кредитов (ипотечных займов) на уплату части ежемесячного платежа по ипотечным кредитам (ипотечным займам), полученным гражданами в рос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сийских кредитных организациях (у юридических лиц), находящихся на территории Республики Мордовия, в целях рефинансирования (перекредитования) ипотечных кредитов (ипотечных займов) на строительство либо приобретение на территории Республики Мордовия жилья"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ежегодного денежного пособия многодетным матерям, награжденным Почетным дипломом многодетной матери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"Ежегодное денежное пособие в размере среднесложившейся стоимости на проезд на всех видах городского пассажирского транспорта (кроме такси), а также автомобильным транспортом общего пользования (кроме такси) пригородных и междугородных маршрутов"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ежегодн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ой денежной выплаты студентам из числа семей с четырьмя и более детьми, обучающимся по очной форме обучения в расположенных на территории Республики Мордовия профессиональных образовательных организациях или образовательных организациях высшего образования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"Ежегодная денежная выплата на проезд на автомобильном транспорте общего пользования (кроме такси) пригородных и междугородных маршрутов в пределах республики от места учебы до места постоянного проживания и обратно"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Назначение и выплата ежемесячной денежной выплаты гражданам, имеющим почетные звания "Народный" Республики Мордовия, Мордовской АССР и Мордовской ССР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"Ежемесячная денежная выплата за звание "Народный""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ежемесячной денежной выплаты студенческим семьям, воспитывающим детей, среднедушевой доход которых не превышает размер среднедушевого денежного дохода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"Ежемесячная денежная выплата студенческим семьям, воспитывающим детей"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Признание граждан нуждающимися в социальном обслуживании и составление индивидуальной программы предоставления социальных услуг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"Назначение социального обслуживания"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Организация отдыха и оздоровления детей, находящихся в трудной жизненной ситуации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"Организация отдыха и оздоровления детей, находящихся в трудной жизненной ситуации"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Освобождение от оплаты за установку и дополнительной платы за переустановку телефона отдельных категорий граждан, проживающих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"Освобождение от дополнительной платы за переустановку телефона"; "Освобождение от оплаты за установку телефона"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гражданам, имеющим детей в возрасте до трех лет, ежемесячной денежной выплаты на приобретение специальных молочных продуктов по заключению врачей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"ЕДВ на приобретение молочных продуктов детям"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детям-сиротам, детям, оставшимся без попечения родителей, лицам из числа детей-сирот и детей, оставшихся без попечения родителей, а также лицам, потерявшим в перио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 обучения обоих родителей или единственного родителя, обучающимся по очной форме обучения по основным профессиональным образовательным программам за счет средств республиканского бюджета Республики Мордовия и (или) по программам профессиональной подготовк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 по профессиям рабочих, должностям служащих за счет средств республиканского бюджета Республики Мордовия или местных бюджетов, один раз в год компенсационной выплаты на возмещение транспортных расходов по проезду к месту жительства и обратно к месту учебы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"Компенсационная выплата на возмещение транспортных расходов по проезду к месту жительства и обратно к месту учебы"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ежемесячной денежной выплаты детям-сиротам,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или единственного родителя, обучающимся по очной форме обучения по образовательным программам среднего профессионального образования или высшего образования в расположенных на территории Республики Мордовия образовательных организациях высшего образования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"Ежемесячная денежная выплата в размере академической стипендии"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ежегодной денежной выплаты гражданам, награжденным нагрудным знаком "Почетный донор России" или нагрудным знаком "Почетный донор СССР"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"Ежегодная денежная выплата донорам"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ежемесячной денежной выплаты военнослужащим, получившим инвалидность, и одному из родителей и супруге, не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вступившей в повторный брак, военнослужащих, лиц рядового и начальствующего состава органов внутренних дел и органов государственной безопасности, погибших (умерших) при исполнении обязанностей военной службы (служебных обязанностей) в ходе боевых действий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"ЕДВ в/сл, получившему инвалидность"; "ЕДВ одному из родителей и вдове, не вступившей в повторный брак, погибшего военнослужащего"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ежемесячной денежной выплаты для оплаты жи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лого помещения и коммунальных услуг лицам, проживающим и работающим в сельских населенных пунктах, рабочих поселках (поселках городского типа) и состоящим в штате по основному месту работы в государственных или муниципальных учреждениях Республики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"ЕДВ специалистам, проживающим и работающим в сельской местности"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многодетным семьям ежемесячной денежной выплаты на оплату лекарственных препаратов для детей до 6 лет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"Ежемесячная денежная выплата на оплату лекарственных препаратов"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студентам, обучающимся по очной форме обучения в расположенных на территории Республики Мордовия образовател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ьных организациях высшего образования, имеющим детей, компенсации фактически произведенной родителями платы за присмотр и уход за детьми, осваивающими образовательные программы дошкольного образования в муниципальных дошкольных образовательных организациях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"Компенсация расходов на содержание детей в муниципальных дошкольных образовательных учреждениях в размере фактически произведенной родителями оплаты за содержание ребенка"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гражданам социальных выплат на строительство, реконструкцию, приобретение жилья, оказание содействия в индивидуальном жилищном строительстве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"Социальная выплата на строительство или приобретение жилья"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ежемесячного денежного пособия отдельным категориям, населения проживающего в Республике Мордовия, на оплату транспортных расходов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"Ежемесячная денежная выплата на транспортные расходы"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республиканского материнского (семейного) капитала гражданам, родившим (усыновившим) третьего и последующего детей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"Республиканский материнский (семейный) капитал"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FFFFFF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Выдача свидетельств для реабилитированных лиц и жертв политических репрессий, удостоверений ветерана труда, ветерана Великой Отечественной войны, инвалида Великой Отечествен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ной войны, удостоверений о праве на льготы для инвалидов,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войны, для родителей и жен погибших военнослужащих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FFFFFF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видетельство о праве на льготы для лиц, признанных пострадавшими от политических репрессий; Свидетельство о праве на льготы для реабилитированных лиц"; "Удостоверение ветерана ВОВ (статья 14)"; "Удостоверение ветерана ВОВ (статья 15)"; "Удостоверение ветер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ана ВОВ (статья 17)"; "Удостоверение ветерана ВОВ (статья 18)"; "Удостоверение ветерана ВОВ (статья 19)"; "Удостоверение ветерана ВОВ (статья 20)"; "Удостоверение ветерана труда; Удостоверение гражданина постоянно проживающего (работающего) на терр. зоны п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роживания с правом на отселение"; "Удостоверение добровольно выехавших из зоны проживания с правом на отселение в 1986 г."; "Удостоверение жителя блокадного Ленинграда"; "Удостоверение инвалида вследствие катастрофы на ПО "Маяк""; "Удостоверение инвалида 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праве на льготы"; "Удостоверение лица, подвергшегося радиоционному воздействию вследствие ядерных испытаний на Семипалатинском полигоне (&gt;25 сЗв)"; "Удостоверение лица, подвергшегося радиоционному воздействию вследствие ядерных испытаний на Семипалатинско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м полигоне (&gt;5 сЗв, &lt;25 сЗв)"; "Удостоверение о праве на льготы (ст.20)"; "Удостоверение о праве на льготы бывших несовершеннолетних узников фашистских концентрационных лагерей; Удостоверение переселенного из зоны отселения вследствие катастрофы на ЧАЭС";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FFFFFF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 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FFFFFF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"Удостоверение получившего (ей) или перенесшего (ей) лучевую болезнь и другие заболевания, связанные с радиоционным воздейств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ием вследствие катастрофы на Чернобыльской АЭС; ставшего (ей) инвалидом"; "Удостоверение проживающего (работающего) в зоне отселения"; "Удостоверение проживающему (ей), работающему (ей) в зоне отселения, эвакуированному из зоны отчуждения, переселенному (я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емому) из зоны отселения, выехавшему добровольно из зоны проживания, с правом на отселение; Удостоверение участника ликвидации последствий аварии в 1957 году на производственном объединении «Маяк» и сбросов радиоактивных отходов в реку Теча в 1957-58 гг";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FFFFFF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FFFFFF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 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"Удостоверение участника ликвидации последствий аварии в 1957 году на производственном объединении «Маяк» и сбросов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радиоактивных отходов в реку Теча в 1959 г"; "Удостоверение участника ликвидации последствий аварии на ПО "Маяк" в 1960-1961 гг."; "Удостоверение участника ликвидации последствий катастрофы на ЧАЭС в 1986-87гг."; "Удостоверение участника ликвидации послед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ствий катастрофы на ЧАЭС в 1988 г."; "Удостоверение участника ликвидации последствий катастрофы на ЧАЭС в 1989-90гг"; "Удостоверение участника ликвидации последствий катастрофы на Чернобыльской АЭС с отметкой «Укрытие»"; "Удостоверение члена семьи погибшег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 (умершего) инвалида войны, участника Великой Отечественной войны и ветерана боевых действий"; "Удостоверение эвакуированного, переселенного, выехавшего добровольно из населенного пункта, подвергнувшегося загрязнению вследствие аварии в 1957г. на ПО МАЯК"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Выплата инвалидам всех групп и категорий, обеспеченным транспортными средствами бес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платно или на льготных условиях, а также инвалидам войны I и II групп, приобретшим автомобили за полную стоимость до 1 января 2005 г. компенсации расходов на бензин, ремонт, техническое обслуживание транспортных средств и приобретение запасных частей к ним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"Ежегодная денежная выплата на компенсацию расходов на бензин, ремонт, техническое обслуживание транспортных средств и приобретение запасных частей к ним"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Признание семьи (одиноко проживающего гражданина) малоимущей (малоимущим) с последующей выдачей справки, подтверждающей статус малоимущей семьи (малоимущего одиноко проживающего гражданина)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"Справка, подтверждающая статус малоимущей семьи (малоимущего одиноко проживающего гражданина)"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Признание семьи малоимущей с последующей выдачей справки для предоставления бесплатного питания в государственных образовательных организациях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"Справка, подтверждающая статус малоимущей семьи для предоставления бесплатного питания в образовательных организациях"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Назначение и выплата пожизненного ежемесячного денежного вознаграждения, ежемесячной доплаты к страховой пенсии (иной пенсии) гражданам, награжденным государственными наградами Республики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"Ежемесячная доплата к страховой пенсии (иной пенсии)"; "Пожизненное ежемесячное вознаграждение"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ежемесячной денежной выплаты при рождении после 31 декабря 2012 г. третьего и последующих детей до достижения ребенком возраста трех лет в размере величины прожиточного минимума, установленной в Республике Мордовия для детей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"ЕДВ при рождении после 31 декабря 2012 г. третьего и последующих детей до достижения ребенком возраста 3-х лет"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Выдача гражданам удостоверения участника ликвидации последствий катастрофы на Чернобыльской АЭС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"Удостоверение проживающему (ей), работающему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(ей) в зоне отселения, эвакуированному из зоны отчуждения, переселенному (яемому) из зоны отселения, выехавшему добровольно из зоны проживания, с правом на отселение"; "Удостоверение участника ликвидации последствий катастрофы на ЧАЭС в 1986-87гг."; "Удост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оверение участника ликвидации последствий катастрофы на ЧАЭС в 1988 г."; "Удостоверение участника ликвидации последствий катастрофы на ЧАЭС в 1989-90гг"; "Удостоверение участника ликвидации последствий катастрофы на Чернобыльской АЭС с отметкой «Укрытие»""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Организация и осуществление деятельности по опеке и попечительству в отношении имущества граждан, признанных безвестно отсутствующими, а также отсутствующих граждан до истечения года со дня получения сведений о месте их пребывания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Организация и осуществление деятельности по опеке и попечительству в отношении совершеннолетних дееспособных граждан, которые по состоянию здоровья не способны самостоятельно осуществлять и защищать свои права и исполнять свои обязанности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Направление средств республиканского материнского (семейного) капитала на улучшение жилищных условий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"Распоряжение средствами республиканского материнского (семейного) капитала на погашение основного долга и уплату процентов по кредиту (займу)"; "Направление средств материнского капитала в счет уплаты цены догово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ра участия в долевом строительстве"; "Направление средств материнского капитала на компенсацию затрат, понесенных на строительство или реконструкцию объекта индивидуального жилищного строительства"; "Направление средств материнского капитала на оплату прио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бретаемого жилого помещения"; "Направление средств материнского капитала на оплату строительства или реконструкции объекта индивидуального жилищного строительства"; "Единовременная выплата за счет средств республиканского материнского (семейного) капитала"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единовременного денежного пособия многодетным и особо нуждающимся семьям в преддверии начала нового учебного года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"Единовременное денежное пособие в преддверии начала нового учебного года"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Назначение и выплата государственных единовременных пособий и ежемесячных денежных компенсаций гражданам при возникновении у них поствакцинальных осложнений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Ежемесячная денежная компенсация вследствие поствакцинального осложнения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;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begin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instrText xml:space="preserve"> HYPERLINK "javascript:void(0);" </w:instrTex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Государственное единовременное пособие при поствакцинальном осложнении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Оказание государственной социальной помощи на основании социального контракта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"Единовременное денежное пособие гражданам, заключившим социальный контракт на реализацию мероприятий по оплате стоимости курса обучения";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"Единовременное денежное пособие гражданам, заключившим социальный контракт на реализацию мероприятий по осуществлению индивидуальной предпринимательской деятельности";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"Ежемесячное денежное пособие гражданам, заключившим социальный контракт на реализацию мероприятий по поиску работы";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"Ежемесячное денежное пособие гражданам, заключившим социальный контракт на реализацию мероприятий по преодолению трудной жизненной ситуации";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"Ежемесячное денежное пособие гражданам, заключившим социальный контракт на реализацию мероприятий по прохождению профессионального обучении"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"Единовременное денежное пособие гражданам, заключившим социальный контракт на реализацию мероприятия по ведению личного подсобного хозяйства"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"Единовременное денежное пособие гражданам, заключившим социальный контракт на реализацию иных мероприятий, направленных на преодоление трудной жизненной ситуации"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Установление ежемесячной надбавки к страховой пенсии по случаю потери кормильца членам семьи погибшего (умершего) лица, замещавшего должность государственной гражданской службы, муниципальную должность или должность муниципальной службы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"Ежемесячная надбавка к страховой пенсии по случаю потери кормильца"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Выдача проездного талона студента (аспиранта) и проездного талона ст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удента для реализации мер социальной поддержки по проезду на автомобильном транспорте по маршрутам регулярных перевозок в пригородном и в междугородном сообщениях на территории Республики Мордовия студентам и аспирантам, обучающимся по очной форме обучения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"Проездной талон студента (аспиранта), предоставляющий право одной бесплатной поездки (в одном направлении) на пригородном автомобильном транспорте общего польз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ования (кроме такси) в пределах Республики Мордовия"; "Проездной талон студента, предоставляющий право одной бесплатной поездки (в одном направлении) на междугородном автомобильном транспорте общего пользования в пределах Республики Мордовия (кроме такси)"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ежегодной денежной выплаты ко Дню Победы гражданам Российской Федерации, родившимся в период с 22 июня 1927 года по 4 сентября 1945 года - "детям войны", постоянно проживающим на территории Республики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"Ежегодная денежная выплата ко Дню Победы (9 мая)"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гражданам, страдающим хронической почечной недостаточностью, компенсации расходов на оплату проезда 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т административного центра муниципального района, в котором проживает гражданин, к месту проведения программного гемодиализа в медицинских организациях, расположенных на территории Республики Мордовия вне населенного пункта проживания гражданина, и обратно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"Компенсация расходов на оплату проезда от административного центра муниципального района в котором проживает гражданин, к месту проведения программного гемодиализа и обратно"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Организация изготовления и сооружения надгробий на могилах Героев Советского Союза, Героев Российской Федерации, полных кавалеров ордена Славы, Героев Социалистического Труда, Героев Труда Российской Федерации и полных кавалеров ордена Трудовой Славы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"Организация изготовления и сооружения надгробий"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начение и выплата компенсации расходов, связанных с захоронением Героев Советского Союза, Героев Российской Федерации, полных кавалеров ордена Славы, Героев Социалистического Труда, Героев Труда Российской Федерации и полных кавалеров ордена Трудовой Славы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"Бесплатное захоронение умершего"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единовременного денежного пособия членам семей граждан, имеющим заслуги перед Отечеством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"Единовременное денежное пособие членам семей граждан, имеющих заслуги перед Отечеством"; "Единовременное денежное пособие членам семей граждан, имеющих заслуги перед Отечеством (ЧАЭС)"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из республиканско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го бюджета Республики Мордовия социальных выплат гражданам на возмещение части процентной ставки по ипотечным кредитам (ипотечным займам), полученным гражданами на приобретение или строительство жилья в российских кредитных организациях (у юридических лиц)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"Социальная выплата гражданам на возмещение части процентной ставки по ипотечным кредитам (ипотечным займам), полученным гражданами на приобретение или строительство жилья в российских кредитных организациях (у юридических лиц)"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из республиканского бюджета Республики Мордовия социальных выплат гражданам на частичное и (или) п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олное погашение ипотечного жилищного кредита (ипотечного займа) либо ипотечного кредита (ипотечного займа), полученного в целях его рефинансирования (перекредитования), в случае рождения (усыновления) ребенка и последующих детей, а также на имеющихся детей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"Социальная выплата на частичное и (или) п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олное погашение ипотечного жилищного кредита (ипотечного займа) либо ипотечного кредита (ипотечного займа), полученного в целях его рефинансирования (перекредитования), в случае рождения (усыновления) ребенка и последующих детей, а также на имеющихся детей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из республиканского бюджета Республики Мордовия социальных выплат гражданам на уплату части ежемесячного плат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ежа по кредитам (займам), полученным гражданами в российских кредитных организациях (у юридических лиц), находящихся на территории Республики Мордовия, в целях рефинансирования (перекредитования) кредитов (займов) на строительство либо приобретение на терр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итории Республики Мордовия жилого дома, квартиры, комнаты или доли (долей) в них, земельных участков, предоставленных для индивидуального жилищного строительства, и земельных участков, на которых расположены приобретаемые жилые дома, или доли (долей) в них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"Социальная выплата отдельным категориям граждан на возмещение части процентной ставки по кредитам (займам), полученным гражданами в целях рефинансирования (перекредитования) кредитов (займов) на приобретение или строительство жилья"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26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отдельным категориям граждан, проживающих в Республике Мордовия, компенсации расходов на уплату взноса на капитальный ремонт общего имущества в многоквартирном доме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"Компенсация расходов на уплату взноса на капитальный ремонт общего имущества в многоквартирном доме"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Определение (подтверждение) права на получение мер социальной поддержки по проезду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"Право на приобретение (получение) единой социальной электронной карты для бесплатного проезда на автомобильном и городском наземном электрическом транспорте по маршрутам регулярных перевозок в городском сообщении на территории Республики Мордов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ия"; "Право на проезд на автомобильном транспорте по муниципальным и межмуниципальным маршрутам регулярных перевозок в пригородном сообщении на территории Республики Мордовия, с использованием единой социальной электронной карты жителя Республики Мордовия"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Персональная ежемесячная надбавка к государственной пенсии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Персональная ежемесячная надбавка к государственной пенсии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Пожизненное ежемесячное материальное обеспечение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Пожизненное ежемесячное материальное обеспечение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Ежемесячное пособие к страховой пенсии по случаю потери кормильца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Ежемесячное пособие к страховой пенсии по случаю потери кормильца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Пенсия за выслугу лет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Пенсия за выслугу лет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Социальная выплата на оплату части процентов за пользование кредитом (займом) на строительство или приобретение жилого помещения  государственным гражданским служащим   Министерства социальной защиты, труда и занятости  населения Республики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Социальная выплата на оплату части процентов за пользование кредитом (займом) на строительство или приобретение жилого помещения  государственным гражданским служащим   Министерства социальной защиты, труда и занятости  населения Республики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из республиканского бюджета Республики Мордовия соц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иальных выплат гражданам на возмещение (компенсацию) части процентной ставки по ипотечным кредитам (ипотечным займам), полученным гражданами на приобретение или строительство жилья в российских кредитных организациях (у юридических лиц) до 14 ноября 2008г.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из республиканского бюджета Республики Мордовия соц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иальных выплат гражданам на возмещение (компенсацию) части процентной ставки по ипотечным кредитам (ипотечным займам), полученным гражданами на приобретение или строительство жилья в российских кредитных организациях (у юридических лиц) до 14 ноября 2008г.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из республиканского бюджета Республики Мордовия социальных выплат гражданам на возмещ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ение части процентной ставки по жилищным (ипотечным) кредитам (займам), предоставленным кредитными организациями и акционерным обществом "ДОМ.РФ" на строительство (приобретение) жилого помещения (жилого дома) на сельских территориях (сельских агломерациях)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Социальная выплата гражданам на возмещ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ение части процентной ставки по жилищным (ипотечным) кредитам (займам), предоставленным кредитными организациями и акционерным обществом "ДОМ.РФ" на строительство (приобретение) жилого помещения (жилого дома) на сельских территориях (сельских агломерациях)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Единовременное пособие гражданам, получившим в результате чрезвычайной ситуации вред здоровью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Финансовая помощь в связи с утратой имущества первой необходимости в результате чрезвычайных ситуаций природного и техногенного характера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материальная помощь гражданам, пострадавшим в результате чрезвычайной ситуации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Единовременное пособие членам семей (супруге (супругу), детям, родителям и лицам, находившимся на иждивении) граждан, погибших (умерших) в результате чрезвычайной ситуации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выплат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членам семей погибших (умерших вследствие увечья (ранения, травмы, контузии) или заболевания, полученных при исполнении обязанностей военной службы (службы)) участников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специальной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военной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операции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членам семей погибших (умерших вследствие увечья (ранения, травмы, контузии) или заболевания, полученных при исполнении обязанностей военной службы (службы)) участников специальной военной операции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участникам специальной военной операции при получении ими при выполнении обязанностей военной службы (службы) в ходе проведения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специальной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военной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операции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тяжелого увечья (ранения, травмы, контузии)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участникам специальной военной операции при получении ими при выполнении обязанностей военной службы (службы) в ходе проведения специальной военной операции тяжелого увечья (ранения, травмы, контузии)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участникам специальной военной операции при получении ими при выполнении обязанностей военной службы (службы) в ходе проведения специальной военной операции легкого увечья (ранения, травмы, контузии)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участникам специальной военной операции при получении ими при выполнении обязанностей военной службы (службы) в ходе проведения специальной военной операции легкого увечья (ранения, травмы, контузии)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участникам специальной военной операции при получении ими при выполнении обязанностей военной службы (службы) в ходе проведения специальной военной операции увечья (ранения, травмы, контузии), не входящего 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begin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instrText xml:space="preserve"> HYPERLINK "https://internet.garant.ru/" \l "/document/179183/entry/2000" </w:instrTex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Перечень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увечий (ранений, травм, контузий), относящихся к тяжелым или легким, при наличии которых принимается решение о наступлении страхового случая по обязательному государс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твенному страхованию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федеральной противопожарной службы Государственной противопожарной службы, сотру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дников учреждений и органов уголовно-исполнительной системы, сотрудников органов принудительного исполнения Российской Федерации, лиц, проходящих службу в войсках национальной гвардии Российской Федерации и имеющих специальные звания полиции, утвержденный 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begin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instrText xml:space="preserve"> HYPERLINK "https://internet.garant.ru/" \l "/document/179183/entry/0" </w:instrTex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постановлением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Правительства Росси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йской Федерации от 29 июля 1998 г. N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855 "О мерах по реализации Федерального закона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участникам специальной военной операции при получении ими при выполнении обязанностей военной службы (службы) в ходе проведения специальной военной операции увечья (ранения, травм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ы, контузии), не входящего в Перечень увечий (ранений, травм, контузий), относящихся к тяжелым или легким, при наличии которых принимается решение о наступлении страхового случая по обязательному государственному страхованию жизни и здоровья военнослужащих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денежн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выплат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гражданам Российской Федерации, призванным на военную службу по мобилизации 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Вооруженные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Силы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Российской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Федерации, военнослужащим, проходившим военную службу по призыву в Вооруженных Силах Российской Федерации (за исключением военнослужащих, замещающих воинские должности курсантов военных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профессиональных образовательных организаций, военных образовательных организаций высшего образования, находящихся в ведении Министерства обороны Российской Федерации), иным гражданам Российской Федерации и иностранным гражданам, которые заключили в период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с 1 августа по 31 декабря 2024 г.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контракт о прохождении во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  <w:r>
              <w:rPr>
                <w:color w:val="22272f"/>
                <w:sz w:val="20"/>
                <w:szCs w:val="20"/>
                <w:highlight w:val="white"/>
                <w:shd w:val="clear" w:color="auto" w:fill="ffffff"/>
              </w:rPr>
              <w:t xml:space="preserve"> 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военнослужащим, проходящим военную службу по контракту в Вооруженных Силах Российской Федерации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Ежегодная денежная выплата гражданам, являющимся инвалидами по зрению, получившим собаку-проводника в соответствии с индивидуальными программами реабилитации или абилитации инвалидов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Ежегодная денежная выплата гражданам, являющимся инвалидами по зрению, получившим собаку-проводника в соответствии с индивидуальными программами реабилитации или абилитации инвалидов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begin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instrText xml:space="preserve"> HYPERLINK "javascript:void(0);" </w:instrTex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убсиди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на покупку и установку газоиспользующего оборудования и проведе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Субсидия отдельным категориям граждан, проживающих в Республике Мордовия, на покупку и установку газоиспользующего оборудования и проведе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Ежегодная денежная выплата гражданам, являющимся инвалидами по зрению, получившим собаку-проводника в соответствии с индивидуальными программами реабилитации или абилитации инвалидов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Ежегодная денежная выплата гражданам, являющимся инвалидами по зрению, получившим собаку-проводника в соответствии с индивидуальными программами реабилитации или абилитации инвалидов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диновременн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денежн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выплат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женщинам, родившим первого ребенка в период с 1 июля 2025 года по 1 июля 202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года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женщинам, родившим первого ребенка в период с 1 июля 2025 года по 1 июля 2026 года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ожизненное ежемесячное пособие гражданам, являющимся вдовой (вдовцом) лица, награжденного орденом Славы Республики Мордовия посмертно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Пожизненное ежемесячное пособие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диновременн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денежн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выплат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при рождении в молодых семьях третьего или последующих детей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при рождении в молодых семьях третьего или последующих детей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компенсация расходов на приобретение автономных пожарных извещателей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компенсация расходов на приобретение автономных пожарных извещателей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Ежемесячная денежной компенсации на оплату жилого помещения и коммунальных услуг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Компенсация расходов на уплату взноса на капитальный ремонт общего имущества в многоквартирном доме (многодетная семья)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Удостоверение многодетной семьи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Установлению статуса многодетной семьи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Установлению статуса многодетной семьи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жемесячная денежная выплата детям-инвалидам, больным фенилкетонурией, проживающим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Ежемесячная денежная выплата детям-инвалидам, больным фенилкетонурией, проживающим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895"/>
              <w:numPr>
                <w:ilvl w:val="0"/>
                <w:numId w:val="34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Ежегодная денежная выплата гражданам, являющимся инвалидами по зрению, получившим собаку-проводника в соответствии с индивидуальными программами реабилитации или абилитации инвалидов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Ежегодная денежная выплата гражданам, являющимся инвалидами по зрению, получившим собаку-проводника в соответствии с индивидуальными программами реабилитации или абилитации инвалидов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</w:tbl>
    <w:p>
      <w:pPr>
        <w:pStyle w:val="895"/>
        <w:jc w:val="center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897"/>
        <w:ind w:hanging="360"/>
        <w:jc w:val="right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br w:type="page" w:clear="all"/>
      </w:r>
      <w:r>
        <w:rPr>
          <w:rFonts w:ascii="Times New Roman" w:hAnsi="Times New Roman"/>
          <w:color w:val="000000"/>
          <w:sz w:val="20"/>
          <w:szCs w:val="20"/>
          <w:highlight w:val="white"/>
        </w:rPr>
        <w:t xml:space="preserve">Приложение </w:t>
      </w:r>
      <w:r>
        <w:rPr>
          <w:rFonts w:ascii="Times New Roman" w:hAnsi="Times New Roman"/>
          <w:color w:val="000000"/>
          <w:sz w:val="20"/>
          <w:szCs w:val="20"/>
          <w:highlight w:val="white"/>
        </w:rPr>
        <w:t xml:space="preserve">3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895"/>
        <w:jc w:val="center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Места выполнения Работ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0"/>
        <w:gridCol w:w="9170"/>
      </w:tblGrid>
      <w:tr>
        <w:tblPrEx/>
        <w:trPr>
          <w:tblHeader/>
        </w:trPr>
        <w:tc>
          <w:tcPr>
            <w:tcW w:w="700" w:type="dxa"/>
            <w:vAlign w:val="center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  <w:t xml:space="preserve">№ п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  <w:t xml:space="preserve">/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  <w:t xml:space="preserve">п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  <w:t xml:space="preserve">Адрес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  <w:t xml:space="preserve">г. Саранск, ул. Осипенко, д.37</w:t>
            </w: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 w:val="false"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  <w:t xml:space="preserve">г. Саранск, д. 37, ул. Титова, д.133</w:t>
            </w: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г.Ардатов, ул. Комсомольская , 90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4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п.Атяшево, ул.Центральная, д.10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c. Большие Березники, ул. Ленина, д.6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6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с. Б-Игнатово, ул. Советская, 32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с. Дубенки, ул. Бровцева, д. 11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8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с.Ельники, Площадь 1 мая, д.17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п. Зубово-Поляна, ул. Советская, д. 2а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 Инсар, ул. Советская, д. 76,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п. Кадошкино, ул.Октябрьская ,д.7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с. Кемля, пер. Кооперативный, д. 4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13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г.Ковылкино, ул.Большевистская, д.30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14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с. Кочкурово, ул.Ленинская, д.10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15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г.Краснослободск, ул. Советская площадь, д. 11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16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с.Лямбирь, ул.Ленина, д.9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17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р.п. Ромоданово, ул. Ленина, д. 153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18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 Рузаевка, ул. Ленина, д. 79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19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с. Старое Шайгово, ул.Рабочая, д.11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 Темников, ул. К.Маркса, д.2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с. Теньгушево, ул. Карла Маркса, д.39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п. Торбеево, ул. К.Маркса,д. 7а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23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с.Атюрьево , ул.Ленина д. 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24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пос. Чамзинка, ул.Терешковой,дом 24а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25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 Саранск, ул. Пролетарская, дом 21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 w:val="false"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26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 Саранск, ул. Воинова, дом 29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 w:val="false"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27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 Саранск, ул. Сущинского, д. 9 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28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 Саранск, ул. Советская, д. 65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 w:val="false"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29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 Саранск, ул. Сущинского, д. 9 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 w:val="false"/>
          </w:tcPr>
          <w:p>
            <w:pPr>
              <w:pStyle w:val="89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30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895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 Саранск, ул. Воинова, дом 29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</w:tbl>
    <w:p>
      <w:pPr>
        <w:pStyle w:val="895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035"/>
        <w:jc w:val="left"/>
        <w:spacing w:before="0" w:after="0" w:line="240" w:lineRule="auto"/>
        <w:tabs>
          <w:tab w:val="left" w:pos="993" w:leader="none"/>
          <w:tab w:val="num" w:pos="6804" w:leader="none"/>
        </w:tabs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1035"/>
        <w:jc w:val="left"/>
        <w:spacing w:before="0" w:after="0" w:line="240" w:lineRule="auto"/>
        <w:tabs>
          <w:tab w:val="left" w:pos="993" w:leader="none"/>
          <w:tab w:val="num" w:pos="6804" w:leader="none"/>
        </w:tabs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tbl>
      <w:tblPr>
        <w:tblW w:w="995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5384"/>
        <w:gridCol w:w="4572"/>
      </w:tblGrid>
      <w:tr>
        <w:tblPrEx/>
        <w:trPr>
          <w:trHeight w:val="34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84" w:type="dxa"/>
            <w:vAlign w:val="top"/>
            <w:textDirection w:val="lrTb"/>
            <w:noWrap w:val="false"/>
          </w:tcPr>
          <w:p>
            <w:pPr>
              <w:pStyle w:val="1031"/>
              <w:rPr>
                <w:b/>
                <w:spacing w:val="4"/>
                <w:highlight w:val="white"/>
              </w:rPr>
            </w:pPr>
            <w:r>
              <w:rPr>
                <w:b/>
                <w:spacing w:val="4"/>
                <w:highlight w:val="white"/>
              </w:rPr>
              <w:t xml:space="preserve">Государственный заказчик: </w:t>
            </w:r>
            <w:r>
              <w:rPr>
                <w:b/>
                <w:spacing w:val="4"/>
                <w:highlight w:val="white"/>
              </w:rPr>
            </w:r>
            <w:r>
              <w:rPr>
                <w:b/>
                <w:spacing w:val="4"/>
                <w:highlight w:val="white"/>
              </w:rPr>
            </w:r>
          </w:p>
          <w:p>
            <w:pPr>
              <w:pStyle w:val="1031"/>
              <w:rPr>
                <w:b/>
                <w:spacing w:val="4"/>
                <w:highlight w:val="white"/>
              </w:rPr>
            </w:pPr>
            <w:r>
              <w:rPr>
                <w:b/>
                <w:spacing w:val="4"/>
                <w:highlight w:val="white"/>
              </w:rPr>
            </w:r>
            <w:r>
              <w:rPr>
                <w:b/>
                <w:spacing w:val="4"/>
                <w:highlight w:val="white"/>
              </w:rPr>
            </w:r>
            <w:r>
              <w:rPr>
                <w:b/>
                <w:spacing w:val="4"/>
                <w:highlight w:val="white"/>
              </w:rPr>
            </w:r>
          </w:p>
          <w:p>
            <w:pPr>
              <w:pStyle w:val="1031"/>
              <w:spacing w:line="21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Министерство социальной защиты, труда и занятости населения Республики Мордовия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036"/>
              <w:ind w:left="0"/>
              <w:jc w:val="both"/>
              <w:tabs>
                <w:tab w:val="left" w:pos="1369" w:leader="none"/>
              </w:tabs>
              <w:rPr>
                <w:spacing w:val="4"/>
                <w:highlight w:val="white"/>
              </w:rPr>
            </w:pP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</w:p>
          <w:p>
            <w:pPr>
              <w:pStyle w:val="1036"/>
              <w:ind w:left="0"/>
              <w:jc w:val="both"/>
              <w:tabs>
                <w:tab w:val="left" w:pos="1369" w:leader="none"/>
              </w:tabs>
              <w:rPr>
                <w:spacing w:val="4"/>
                <w:highlight w:val="white"/>
              </w:rPr>
            </w:pPr>
            <w:r>
              <w:rPr>
                <w:spacing w:val="4"/>
                <w:highlight w:val="white"/>
              </w:rPr>
              <w:t xml:space="preserve">Электронная подпись __________И.Н. Еремкин</w:t>
            </w: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72" w:type="dxa"/>
            <w:vAlign w:val="top"/>
            <w:textDirection w:val="lrTb"/>
            <w:noWrap w:val="false"/>
          </w:tcPr>
          <w:p>
            <w:pPr>
              <w:pStyle w:val="1036"/>
              <w:ind w:left="0"/>
              <w:tabs>
                <w:tab w:val="left" w:pos="1369" w:leader="none"/>
              </w:tabs>
              <w:rPr>
                <w:b/>
                <w:spacing w:val="4"/>
                <w:highlight w:val="white"/>
              </w:rPr>
            </w:pPr>
            <w:r>
              <w:rPr>
                <w:b/>
                <w:spacing w:val="4"/>
                <w:highlight w:val="white"/>
              </w:rPr>
              <w:t xml:space="preserve">        Исполнитель:</w:t>
            </w:r>
            <w:r>
              <w:rPr>
                <w:b/>
                <w:spacing w:val="4"/>
                <w:highlight w:val="white"/>
              </w:rPr>
            </w:r>
            <w:r>
              <w:rPr>
                <w:b/>
                <w:spacing w:val="4"/>
                <w:highlight w:val="white"/>
              </w:rPr>
            </w:r>
          </w:p>
          <w:p>
            <w:pPr>
              <w:pStyle w:val="1031"/>
              <w:rPr>
                <w:spacing w:val="4"/>
                <w:highlight w:val="white"/>
              </w:rPr>
            </w:pP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</w:p>
          <w:p>
            <w:pPr>
              <w:pStyle w:val="1036"/>
              <w:tabs>
                <w:tab w:val="left" w:pos="1369" w:leader="none"/>
              </w:tabs>
              <w:rPr>
                <w:spacing w:val="4"/>
                <w:highlight w:val="white"/>
              </w:rPr>
            </w:pP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</w:p>
          <w:p>
            <w:pPr>
              <w:pStyle w:val="1036"/>
              <w:tabs>
                <w:tab w:val="left" w:pos="1369" w:leader="none"/>
              </w:tabs>
              <w:rPr>
                <w:spacing w:val="4"/>
                <w:highlight w:val="white"/>
              </w:rPr>
            </w:pP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</w:p>
          <w:p>
            <w:pPr>
              <w:pStyle w:val="1036"/>
              <w:ind w:left="0"/>
              <w:tabs>
                <w:tab w:val="left" w:pos="1369" w:leader="none"/>
              </w:tabs>
              <w:rPr>
                <w:spacing w:val="4"/>
                <w:highlight w:val="white"/>
              </w:rPr>
            </w:pP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  <w:r>
              <w:rPr>
                <w:spacing w:val="4"/>
                <w:highlight w:val="white"/>
              </w:rPr>
            </w:r>
          </w:p>
        </w:tc>
      </w:tr>
    </w:tbl>
    <w:p>
      <w:pPr>
        <w:pStyle w:val="1035"/>
        <w:jc w:val="left"/>
        <w:spacing w:before="0" w:after="0" w:line="240" w:lineRule="auto"/>
        <w:tabs>
          <w:tab w:val="left" w:pos="993" w:leader="none"/>
          <w:tab w:val="num" w:pos="6804" w:leader="none"/>
        </w:tabs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1035"/>
        <w:jc w:val="left"/>
        <w:spacing w:before="0" w:after="0" w:line="240" w:lineRule="auto"/>
        <w:tabs>
          <w:tab w:val="left" w:pos="993" w:leader="none"/>
          <w:tab w:val="num" w:pos="6804" w:leader="none"/>
        </w:tabs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1035"/>
        <w:jc w:val="left"/>
        <w:spacing w:before="0" w:after="0" w:line="240" w:lineRule="auto"/>
        <w:tabs>
          <w:tab w:val="left" w:pos="993" w:leader="none"/>
          <w:tab w:val="num" w:pos="6804" w:leader="none"/>
        </w:tabs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1035"/>
        <w:jc w:val="left"/>
        <w:spacing w:before="0" w:after="0" w:line="240" w:lineRule="auto"/>
        <w:tabs>
          <w:tab w:val="left" w:pos="993" w:leader="none"/>
          <w:tab w:val="num" w:pos="6804" w:leader="none"/>
        </w:tabs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1035"/>
        <w:jc w:val="left"/>
        <w:spacing w:before="0" w:after="0" w:line="240" w:lineRule="auto"/>
        <w:tabs>
          <w:tab w:val="left" w:pos="993" w:leader="none"/>
          <w:tab w:val="num" w:pos="6804" w:leader="none"/>
        </w:tabs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1035"/>
        <w:jc w:val="center"/>
        <w:spacing w:line="240" w:lineRule="auto"/>
        <w:tabs>
          <w:tab w:val="left" w:pos="993" w:leader="none"/>
          <w:tab w:val="num" w:pos="6804" w:leader="none"/>
        </w:tabs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</w:p>
    <w:p>
      <w:pPr>
        <w:pStyle w:val="1035"/>
        <w:jc w:val="left"/>
        <w:spacing w:before="0" w:after="0" w:line="240" w:lineRule="auto"/>
        <w:tabs>
          <w:tab w:val="left" w:pos="993" w:leader="none"/>
          <w:tab w:val="num" w:pos="6804" w:leader="none"/>
        </w:tabs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  <w:lang w:val="ru-RU"/>
        </w:rPr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1035"/>
        <w:jc w:val="left"/>
        <w:spacing w:before="0" w:after="0" w:line="240" w:lineRule="auto"/>
        <w:tabs>
          <w:tab w:val="left" w:pos="993" w:leader="none"/>
          <w:tab w:val="num" w:pos="6804" w:leader="none"/>
        </w:tabs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895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</w:p>
    <w:sectPr>
      <w:footnotePr/>
      <w:endnotePr/>
      <w:type w:val="nextPage"/>
      <w:pgSz w:w="11906" w:h="16838" w:orient="portrait"/>
      <w:pgMar w:top="851" w:right="70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502020204030204"/>
  </w:font>
  <w:font w:name="serif">
    <w:panose1 w:val="02000603000000000000"/>
  </w:font>
  <w:font w:name="SimSun">
    <w:panose1 w:val="02000603000000000000"/>
  </w:font>
  <w:font w:name="DejaVu Sans">
    <w:panose1 w:val="020B0603030804020204"/>
  </w:font>
  <w:font w:name="Verdana">
    <w:panose1 w:val="020B0604030504040204"/>
  </w:font>
  <w:font w:name="Lucida Sans Unicode">
    <w:panose1 w:val="020B0604030504040204"/>
  </w:font>
  <w:font w:name="Symbol">
    <w:panose1 w:val="05010000000000000000"/>
  </w:font>
  <w:font w:name="MS Mincho">
    <w:panose1 w:val="02070609020205090404"/>
  </w:font>
  <w:font w:name="Tahoma">
    <w:panose1 w:val="020B0604030504040204"/>
  </w:font>
  <w:font w:name="Courier New">
    <w:panose1 w:val="02070309020205020404"/>
  </w:font>
  <w:font w:name="OpenSymbol">
    <w:panose1 w:val="05010000000000000000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  <w:font w:name="Wingdings">
    <w:panose1 w:val="05010000000000000000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pStyle w:val="930"/>
      <w:isLgl w:val="false"/>
      <w:suff w:val="tab"/>
      <w:lvlText w:val="%1."/>
      <w:lvlJc w:val="center"/>
      <w:pPr>
        <w:ind w:left="0" w:firstLine="198"/>
        <w:tabs>
          <w:tab w:val="num" w:pos="340" w:leader="none"/>
        </w:tabs>
      </w:pPr>
      <w:rPr>
        <w:rFonts w:ascii="Times New Roman" w:hAnsi="Times New Roman"/>
        <w:b w:val="0"/>
        <w:i w:val="0"/>
        <w:sz w:val="20"/>
      </w:rPr>
    </w:lvl>
    <w:lvl w:ilvl="1">
      <w:start w:val="1"/>
      <w:numFmt w:val="decimal"/>
      <w:pStyle w:val="931"/>
      <w:isLgl w:val="false"/>
      <w:suff w:val="tab"/>
      <w:lvlText w:val="%1.%2."/>
      <w:lvlJc w:val="center"/>
      <w:pPr>
        <w:ind w:left="0" w:firstLine="198"/>
        <w:tabs>
          <w:tab w:val="num" w:pos="1191" w:leader="none"/>
        </w:tabs>
      </w:pPr>
      <w:rPr>
        <w:rFonts w:ascii="Times New Roman" w:hAnsi="Times New Roman"/>
        <w:b w:val="0"/>
        <w:i w:val="0"/>
        <w:sz w:val="20"/>
      </w:rPr>
    </w:lvl>
    <w:lvl w:ilvl="2">
      <w:start w:val="1"/>
      <w:numFmt w:val="decimal"/>
      <w:pStyle w:val="932"/>
      <w:isLgl w:val="false"/>
      <w:suff w:val="tab"/>
      <w:lvlText w:val="%1.%2.%3."/>
      <w:lvlJc w:val="left"/>
      <w:pPr>
        <w:ind w:left="0" w:firstLine="709"/>
        <w:tabs>
          <w:tab w:val="num" w:pos="1361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709" w:firstLine="0"/>
        <w:tabs>
          <w:tab w:val="num" w:pos="1573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709" w:firstLine="0"/>
        <w:tabs>
          <w:tab w:val="num" w:pos="1717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709" w:firstLine="0"/>
        <w:tabs>
          <w:tab w:val="num" w:pos="1861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709" w:firstLine="0"/>
        <w:tabs>
          <w:tab w:val="num" w:pos="2005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709" w:firstLine="0"/>
        <w:tabs>
          <w:tab w:val="num" w:pos="2149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09" w:firstLine="0"/>
        <w:tabs>
          <w:tab w:val="num" w:pos="2293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11" w:hanging="360"/>
        <w:tabs>
          <w:tab w:val="num" w:pos="1211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9" w:hanging="360"/>
        <w:tabs>
          <w:tab w:val="num" w:pos="106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5"/>
      <w:numFmt w:val="decimal"/>
      <w:isLgl w:val="false"/>
      <w:suff w:val="tab"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71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pStyle w:val="1019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1429" w:hanging="360"/>
      </w:pPr>
      <w:rPr>
        <w:rFonts w:ascii="Times New Roman" w:hAnsi="Times New Roman" w:eastAsia="Times New Roman"/>
        <w:b w:val="0"/>
        <w:i w:val="0"/>
        <w:strike w:val="0"/>
        <w:color w:val="000000"/>
        <w:sz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5"/>
      <w:numFmt w:val="decimal"/>
      <w:isLgl w:val="false"/>
      <w:suff w:val="tab"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11" w:hanging="360"/>
        <w:tabs>
          <w:tab w:val="num" w:pos="1211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9" w:hanging="360"/>
        <w:tabs>
          <w:tab w:val="num" w:pos="106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71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1429" w:hanging="360"/>
      </w:pPr>
      <w:rPr>
        <w:rFonts w:ascii="Times New Roman" w:hAnsi="Times New Roman" w:eastAsia="Times New Roman"/>
        <w:b w:val="0"/>
        <w:i w:val="0"/>
        <w:strike w:val="0"/>
        <w:color w:val="000000"/>
        <w:sz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8"/>
  </w:num>
  <w:num w:numId="4">
    <w:abstractNumId w:val="3"/>
  </w:num>
  <w:num w:numId="5">
    <w:abstractNumId w:val="11"/>
  </w:num>
  <w:num w:numId="6">
    <w:abstractNumId w:val="5"/>
  </w:num>
  <w:num w:numId="7">
    <w:abstractNumId w:val="13"/>
  </w:num>
  <w:num w:numId="8">
    <w:abstractNumId w:val="10"/>
  </w:num>
  <w:num w:numId="9">
    <w:abstractNumId w:val="12"/>
  </w:num>
  <w:num w:numId="10">
    <w:abstractNumId w:val="0"/>
  </w:num>
  <w:num w:numId="11">
    <w:abstractNumId w:val="4"/>
  </w:num>
  <w:num w:numId="12">
    <w:abstractNumId w:val="16"/>
  </w:num>
  <w:num w:numId="13">
    <w:abstractNumId w:val="9"/>
  </w:num>
  <w:num w:numId="14">
    <w:abstractNumId w:val="14"/>
  </w:num>
  <w:num w:numId="15">
    <w:abstractNumId w:val="17"/>
  </w:num>
  <w:num w:numId="16">
    <w:abstractNumId w:val="1"/>
  </w:num>
  <w:num w:numId="17">
    <w:abstractNumId w:val="7"/>
  </w:num>
  <w:num w:numId="18">
    <w:abstractNumId w:val="6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3">
    <w:name w:val="Heading 1"/>
    <w:basedOn w:val="895"/>
    <w:next w:val="895"/>
    <w:link w:val="724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24">
    <w:name w:val="Heading 1 Char"/>
    <w:link w:val="723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25">
    <w:name w:val="Heading 2"/>
    <w:basedOn w:val="895"/>
    <w:next w:val="895"/>
    <w:link w:val="726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26">
    <w:name w:val="Heading 2 Char"/>
    <w:link w:val="725"/>
    <w:uiPriority w:val="9"/>
    <w:rPr>
      <w:rFonts w:ascii="Liberation Sans" w:hAnsi="Liberation Sans" w:eastAsia="Liberation Sans" w:cs="Liberation Sans"/>
      <w:sz w:val="34"/>
    </w:rPr>
  </w:style>
  <w:style w:type="paragraph" w:styleId="727">
    <w:name w:val="Heading 3"/>
    <w:basedOn w:val="895"/>
    <w:next w:val="895"/>
    <w:link w:val="72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28">
    <w:name w:val="Heading 3 Char"/>
    <w:link w:val="727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29">
    <w:name w:val="Heading 4"/>
    <w:basedOn w:val="895"/>
    <w:next w:val="895"/>
    <w:link w:val="73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0">
    <w:name w:val="Heading 4 Char"/>
    <w:link w:val="72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31">
    <w:name w:val="Heading 5"/>
    <w:basedOn w:val="895"/>
    <w:next w:val="895"/>
    <w:link w:val="73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2">
    <w:name w:val="Heading 5 Char"/>
    <w:link w:val="73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33">
    <w:name w:val="Heading 6"/>
    <w:basedOn w:val="895"/>
    <w:next w:val="895"/>
    <w:link w:val="73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4">
    <w:name w:val="Heading 6 Char"/>
    <w:link w:val="73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35">
    <w:name w:val="Heading 7"/>
    <w:basedOn w:val="895"/>
    <w:next w:val="895"/>
    <w:link w:val="73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6">
    <w:name w:val="Heading 7 Char"/>
    <w:link w:val="73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37">
    <w:name w:val="Heading 8"/>
    <w:basedOn w:val="895"/>
    <w:next w:val="895"/>
    <w:link w:val="73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8">
    <w:name w:val="Heading 8 Char"/>
    <w:link w:val="73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39">
    <w:name w:val="Heading 9"/>
    <w:basedOn w:val="895"/>
    <w:next w:val="895"/>
    <w:link w:val="74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0">
    <w:name w:val="Heading 9 Char"/>
    <w:link w:val="73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41">
    <w:name w:val="Title"/>
    <w:basedOn w:val="895"/>
    <w:next w:val="895"/>
    <w:link w:val="74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2">
    <w:name w:val="Title Char"/>
    <w:link w:val="741"/>
    <w:uiPriority w:val="10"/>
    <w:rPr>
      <w:sz w:val="48"/>
      <w:szCs w:val="48"/>
    </w:rPr>
  </w:style>
  <w:style w:type="paragraph" w:styleId="743">
    <w:name w:val="Subtitle"/>
    <w:basedOn w:val="895"/>
    <w:next w:val="895"/>
    <w:link w:val="744"/>
    <w:uiPriority w:val="11"/>
    <w:qFormat/>
    <w:pPr>
      <w:spacing w:before="200" w:after="200"/>
    </w:pPr>
    <w:rPr>
      <w:sz w:val="24"/>
      <w:szCs w:val="24"/>
    </w:rPr>
  </w:style>
  <w:style w:type="character" w:styleId="744">
    <w:name w:val="Subtitle Char"/>
    <w:link w:val="743"/>
    <w:uiPriority w:val="11"/>
    <w:rPr>
      <w:sz w:val="24"/>
      <w:szCs w:val="24"/>
    </w:rPr>
  </w:style>
  <w:style w:type="paragraph" w:styleId="745">
    <w:name w:val="Intense Quote"/>
    <w:basedOn w:val="895"/>
    <w:next w:val="895"/>
    <w:link w:val="74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6">
    <w:name w:val="Intense Quote Char"/>
    <w:link w:val="745"/>
    <w:uiPriority w:val="30"/>
    <w:rPr>
      <w:i/>
    </w:rPr>
  </w:style>
  <w:style w:type="paragraph" w:styleId="747">
    <w:name w:val="Header"/>
    <w:basedOn w:val="895"/>
    <w:link w:val="74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8">
    <w:name w:val="Header Char"/>
    <w:link w:val="747"/>
    <w:uiPriority w:val="99"/>
  </w:style>
  <w:style w:type="paragraph" w:styleId="749">
    <w:name w:val="Footer"/>
    <w:basedOn w:val="895"/>
    <w:link w:val="75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0">
    <w:name w:val="Footer Char"/>
    <w:link w:val="749"/>
    <w:uiPriority w:val="99"/>
  </w:style>
  <w:style w:type="paragraph" w:styleId="751">
    <w:name w:val="Caption"/>
    <w:basedOn w:val="895"/>
    <w:next w:val="895"/>
    <w:link w:val="7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2">
    <w:name w:val="Caption Char"/>
    <w:link w:val="751"/>
    <w:uiPriority w:val="35"/>
    <w:rPr>
      <w:b/>
      <w:bCs/>
      <w:color w:val="4f81bd" w:themeColor="accent1"/>
      <w:sz w:val="18"/>
      <w:szCs w:val="18"/>
    </w:rPr>
  </w:style>
  <w:style w:type="table" w:styleId="75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9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9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9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9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0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5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5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5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5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5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5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5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9">
    <w:name w:val="Hyperlink"/>
    <w:uiPriority w:val="99"/>
    <w:unhideWhenUsed/>
    <w:rPr>
      <w:color w:val="0000ff" w:themeColor="hyperlink"/>
      <w:u w:val="single"/>
    </w:rPr>
  </w:style>
  <w:style w:type="paragraph" w:styleId="880">
    <w:name w:val="footnote text"/>
    <w:basedOn w:val="895"/>
    <w:link w:val="881"/>
    <w:uiPriority w:val="99"/>
    <w:semiHidden/>
    <w:unhideWhenUsed/>
    <w:pPr>
      <w:spacing w:after="40" w:line="240" w:lineRule="auto"/>
    </w:pPr>
    <w:rPr>
      <w:sz w:val="18"/>
    </w:rPr>
  </w:style>
  <w:style w:type="character" w:styleId="881">
    <w:name w:val="Footnote Text Char"/>
    <w:link w:val="880"/>
    <w:uiPriority w:val="99"/>
    <w:rPr>
      <w:sz w:val="18"/>
    </w:rPr>
  </w:style>
  <w:style w:type="paragraph" w:styleId="882">
    <w:name w:val="endnote text"/>
    <w:basedOn w:val="895"/>
    <w:link w:val="883"/>
    <w:uiPriority w:val="99"/>
    <w:semiHidden/>
    <w:unhideWhenUsed/>
    <w:pPr>
      <w:spacing w:after="0" w:line="240" w:lineRule="auto"/>
    </w:pPr>
    <w:rPr>
      <w:sz w:val="20"/>
    </w:rPr>
  </w:style>
  <w:style w:type="character" w:styleId="883">
    <w:name w:val="Endnote Text Char"/>
    <w:link w:val="882"/>
    <w:uiPriority w:val="99"/>
    <w:rPr>
      <w:sz w:val="20"/>
    </w:rPr>
  </w:style>
  <w:style w:type="character" w:styleId="884">
    <w:name w:val="endnote reference"/>
    <w:uiPriority w:val="99"/>
    <w:semiHidden/>
    <w:unhideWhenUsed/>
    <w:rPr>
      <w:vertAlign w:val="superscript"/>
    </w:rPr>
  </w:style>
  <w:style w:type="paragraph" w:styleId="885">
    <w:name w:val="toc 1"/>
    <w:basedOn w:val="895"/>
    <w:next w:val="895"/>
    <w:uiPriority w:val="39"/>
    <w:unhideWhenUsed/>
    <w:pPr>
      <w:ind w:left="0" w:right="0" w:firstLine="0"/>
      <w:spacing w:after="57"/>
    </w:pPr>
  </w:style>
  <w:style w:type="paragraph" w:styleId="886">
    <w:name w:val="toc 2"/>
    <w:basedOn w:val="895"/>
    <w:next w:val="895"/>
    <w:uiPriority w:val="39"/>
    <w:unhideWhenUsed/>
    <w:pPr>
      <w:ind w:left="283" w:right="0" w:firstLine="0"/>
      <w:spacing w:after="57"/>
    </w:pPr>
  </w:style>
  <w:style w:type="paragraph" w:styleId="887">
    <w:name w:val="toc 3"/>
    <w:basedOn w:val="895"/>
    <w:next w:val="895"/>
    <w:uiPriority w:val="39"/>
    <w:unhideWhenUsed/>
    <w:pPr>
      <w:ind w:left="567" w:right="0" w:firstLine="0"/>
      <w:spacing w:after="57"/>
    </w:pPr>
  </w:style>
  <w:style w:type="paragraph" w:styleId="888">
    <w:name w:val="toc 4"/>
    <w:basedOn w:val="895"/>
    <w:next w:val="895"/>
    <w:uiPriority w:val="39"/>
    <w:unhideWhenUsed/>
    <w:pPr>
      <w:ind w:left="850" w:right="0" w:firstLine="0"/>
      <w:spacing w:after="57"/>
    </w:pPr>
  </w:style>
  <w:style w:type="paragraph" w:styleId="889">
    <w:name w:val="toc 5"/>
    <w:basedOn w:val="895"/>
    <w:next w:val="895"/>
    <w:uiPriority w:val="39"/>
    <w:unhideWhenUsed/>
    <w:pPr>
      <w:ind w:left="1134" w:right="0" w:firstLine="0"/>
      <w:spacing w:after="57"/>
    </w:pPr>
  </w:style>
  <w:style w:type="paragraph" w:styleId="890">
    <w:name w:val="toc 6"/>
    <w:basedOn w:val="895"/>
    <w:next w:val="895"/>
    <w:uiPriority w:val="39"/>
    <w:unhideWhenUsed/>
    <w:pPr>
      <w:ind w:left="1417" w:right="0" w:firstLine="0"/>
      <w:spacing w:after="57"/>
    </w:pPr>
  </w:style>
  <w:style w:type="paragraph" w:styleId="891">
    <w:name w:val="toc 7"/>
    <w:basedOn w:val="895"/>
    <w:next w:val="895"/>
    <w:uiPriority w:val="39"/>
    <w:unhideWhenUsed/>
    <w:pPr>
      <w:ind w:left="1701" w:right="0" w:firstLine="0"/>
      <w:spacing w:after="57"/>
    </w:pPr>
  </w:style>
  <w:style w:type="paragraph" w:styleId="892">
    <w:name w:val="toc 8"/>
    <w:basedOn w:val="895"/>
    <w:next w:val="895"/>
    <w:uiPriority w:val="39"/>
    <w:unhideWhenUsed/>
    <w:pPr>
      <w:ind w:left="1984" w:right="0" w:firstLine="0"/>
      <w:spacing w:after="57"/>
    </w:pPr>
  </w:style>
  <w:style w:type="paragraph" w:styleId="893">
    <w:name w:val="toc 9"/>
    <w:basedOn w:val="895"/>
    <w:next w:val="895"/>
    <w:uiPriority w:val="39"/>
    <w:unhideWhenUsed/>
    <w:pPr>
      <w:ind w:left="2268" w:right="0" w:firstLine="0"/>
      <w:spacing w:after="57"/>
    </w:pPr>
  </w:style>
  <w:style w:type="paragraph" w:styleId="894">
    <w:name w:val="table of figures"/>
    <w:basedOn w:val="895"/>
    <w:next w:val="895"/>
    <w:uiPriority w:val="99"/>
    <w:unhideWhenUsed/>
    <w:pPr>
      <w:spacing w:after="0" w:afterAutospacing="0"/>
    </w:pPr>
  </w:style>
  <w:style w:type="paragraph" w:styleId="895" w:default="1">
    <w:name w:val="Normal"/>
    <w:next w:val="895"/>
    <w:link w:val="895"/>
    <w:qFormat/>
    <w:pPr>
      <w:widowControl w:val="off"/>
    </w:pPr>
    <w:rPr>
      <w:color w:val="000000"/>
      <w:lang w:val="ru-RU" w:eastAsia="ru-RU" w:bidi="ar-SA"/>
    </w:rPr>
  </w:style>
  <w:style w:type="paragraph" w:styleId="896">
    <w:name w:val="Заголовок 1,Document Header1 Знак"/>
    <w:basedOn w:val="895"/>
    <w:next w:val="902"/>
    <w:link w:val="904"/>
    <w:qFormat/>
    <w:pPr>
      <w:jc w:val="center"/>
      <w:keepNext/>
      <w:spacing w:before="240" w:after="60"/>
      <w:widowControl/>
      <w:outlineLvl w:val="0"/>
    </w:pPr>
    <w:rPr>
      <w:b/>
      <w:color w:val="000000"/>
      <w:sz w:val="36"/>
      <w:lang w:eastAsia="ar-SA"/>
    </w:rPr>
  </w:style>
  <w:style w:type="paragraph" w:styleId="897">
    <w:name w:val="Заголовок 2"/>
    <w:basedOn w:val="895"/>
    <w:next w:val="895"/>
    <w:link w:val="1042"/>
    <w:unhideWhenUsed/>
    <w:qFormat/>
    <w:pPr>
      <w:keepNext/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898">
    <w:name w:val="Заголовок 4"/>
    <w:basedOn w:val="895"/>
    <w:next w:val="895"/>
    <w:link w:val="905"/>
    <w:qFormat/>
    <w:pPr>
      <w:keepLines/>
      <w:keepNext/>
      <w:spacing w:before="200" w:line="276" w:lineRule="auto"/>
      <w:widowControl/>
      <w:outlineLvl w:val="3"/>
    </w:pPr>
    <w:rPr>
      <w:rFonts w:ascii="Cambria" w:hAnsi="Cambria" w:eastAsia="Calibri"/>
      <w:b/>
      <w:bCs/>
      <w:i/>
      <w:iCs/>
      <w:color w:val="4f81bd"/>
      <w:sz w:val="22"/>
      <w:szCs w:val="22"/>
      <w:lang w:eastAsia="en-US"/>
    </w:rPr>
  </w:style>
  <w:style w:type="character" w:styleId="899">
    <w:name w:val="Основной шрифт абзаца"/>
    <w:next w:val="899"/>
    <w:link w:val="895"/>
    <w:semiHidden/>
  </w:style>
  <w:style w:type="table" w:styleId="900">
    <w:name w:val="Обычная таблица"/>
    <w:next w:val="900"/>
    <w:link w:val="895"/>
    <w:semiHidden/>
    <w:tblPr/>
  </w:style>
  <w:style w:type="numbering" w:styleId="901">
    <w:name w:val="Нет списка"/>
    <w:next w:val="901"/>
    <w:link w:val="895"/>
    <w:uiPriority w:val="99"/>
    <w:semiHidden/>
  </w:style>
  <w:style w:type="paragraph" w:styleId="902">
    <w:name w:val="Основной текст"/>
    <w:basedOn w:val="895"/>
    <w:next w:val="902"/>
    <w:link w:val="903"/>
    <w:uiPriority w:val="99"/>
    <w:pPr>
      <w:spacing w:after="120"/>
    </w:pPr>
  </w:style>
  <w:style w:type="character" w:styleId="903">
    <w:name w:val="Основной текст Знак"/>
    <w:basedOn w:val="899"/>
    <w:next w:val="903"/>
    <w:link w:val="902"/>
    <w:uiPriority w:val="99"/>
    <w:rPr>
      <w:color w:val="000000"/>
    </w:rPr>
  </w:style>
  <w:style w:type="character" w:styleId="904">
    <w:name w:val="Заголовок 1 Знак,Document Header1 Знак Знак"/>
    <w:basedOn w:val="899"/>
    <w:next w:val="904"/>
    <w:link w:val="896"/>
    <w:rPr>
      <w:b/>
      <w:sz w:val="36"/>
      <w:lang w:eastAsia="ar-SA"/>
    </w:rPr>
  </w:style>
  <w:style w:type="character" w:styleId="905">
    <w:name w:val="Заголовок 4 Знак"/>
    <w:basedOn w:val="899"/>
    <w:next w:val="905"/>
    <w:link w:val="898"/>
    <w:semiHidden/>
    <w:rPr>
      <w:rFonts w:ascii="Cambria" w:hAnsi="Cambria" w:eastAsia="Calibri"/>
      <w:b/>
      <w:bCs/>
      <w:i/>
      <w:iCs/>
      <w:color w:val="4f81bd"/>
      <w:sz w:val="22"/>
      <w:szCs w:val="22"/>
      <w:lang w:val="ru-RU" w:eastAsia="en-US" w:bidi="ar-SA"/>
    </w:rPr>
  </w:style>
  <w:style w:type="paragraph" w:styleId="906">
    <w:name w:val="Основной текст с отступом,Основной текст с отступом Знак,текст,Основной текст с отступом Знак1,Основной текст с отступом Знак Знак,текст Знак,Основной текст с отступом Знак2,текст Знак1,Основной текст с отступом Знак2 Знак,текст Знак Знак Знак"/>
    <w:basedOn w:val="895"/>
    <w:next w:val="906"/>
    <w:link w:val="907"/>
    <w:pPr>
      <w:ind w:firstLine="708"/>
      <w:jc w:val="both"/>
      <w:widowControl/>
    </w:pPr>
    <w:rPr>
      <w:sz w:val="24"/>
      <w:szCs w:val="24"/>
    </w:rPr>
  </w:style>
  <w:style w:type="character" w:styleId="907">
    <w:name w:val="Основной текст с отступом Знак3,Основной текст с отступом Знак Знак1,текст Знак2,Основной текст с отступом Знак1 Знак,Основной текст с отступом Знак Знак Знак,текст Знак Знак,Основной текст с отступом Знак2 Знак1,текст Знак1 Знак"/>
    <w:next w:val="907"/>
    <w:link w:val="906"/>
    <w:rPr>
      <w:color w:val="000000"/>
      <w:sz w:val="24"/>
      <w:szCs w:val="24"/>
      <w:lang w:val="ru-RU" w:eastAsia="ru-RU" w:bidi="ar-SA"/>
    </w:rPr>
  </w:style>
  <w:style w:type="paragraph" w:styleId="908">
    <w:name w:val="ConsNormal"/>
    <w:next w:val="908"/>
    <w:link w:val="895"/>
    <w:pPr>
      <w:ind w:right="19772" w:firstLine="720"/>
      <w:widowControl w:val="off"/>
    </w:pPr>
    <w:rPr>
      <w:rFonts w:ascii="Arial" w:hAnsi="Arial" w:cs="Arial"/>
      <w:lang w:val="ru-RU" w:eastAsia="ru-RU" w:bidi="ar-SA"/>
    </w:rPr>
  </w:style>
  <w:style w:type="character" w:styleId="909">
    <w:name w:val="Знак"/>
    <w:next w:val="909"/>
    <w:link w:val="895"/>
    <w:rPr>
      <w:color w:val="000000"/>
      <w:sz w:val="24"/>
      <w:szCs w:val="24"/>
      <w:lang w:val="ru-RU" w:eastAsia="ru-RU"/>
    </w:rPr>
  </w:style>
  <w:style w:type="paragraph" w:styleId="910">
    <w:name w:val="Стиль"/>
    <w:next w:val="910"/>
    <w:link w:val="1032"/>
    <w:pPr>
      <w:ind w:firstLine="720"/>
      <w:jc w:val="both"/>
    </w:pPr>
    <w:rPr>
      <w:rFonts w:ascii="Arial" w:hAnsi="Arial" w:cs="Arial"/>
      <w:lang w:val="ru-RU" w:eastAsia="ru-RU" w:bidi="ar-SA"/>
    </w:rPr>
  </w:style>
  <w:style w:type="paragraph" w:styleId="911">
    <w:name w:val="Таблицы (моноширинный)"/>
    <w:basedOn w:val="910"/>
    <w:next w:val="910"/>
    <w:link w:val="895"/>
    <w:pPr>
      <w:ind w:firstLine="0"/>
    </w:pPr>
    <w:rPr>
      <w:rFonts w:ascii="Courier New" w:hAnsi="Courier New" w:cs="Courier New"/>
    </w:rPr>
  </w:style>
  <w:style w:type="paragraph" w:styleId="912">
    <w:name w:val="Normal Знак"/>
    <w:next w:val="912"/>
    <w:link w:val="913"/>
    <w:pPr>
      <w:ind w:left="400" w:firstLine="540"/>
      <w:jc w:val="both"/>
      <w:spacing w:before="440" w:line="336" w:lineRule="auto"/>
      <w:widowControl w:val="off"/>
    </w:pPr>
    <w:rPr>
      <w:color w:val="000000"/>
      <w:lang w:val="ru-RU" w:eastAsia="ru-RU" w:bidi="ar-SA"/>
    </w:rPr>
  </w:style>
  <w:style w:type="character" w:styleId="913">
    <w:name w:val="Normal Знак Знак"/>
    <w:next w:val="913"/>
    <w:link w:val="912"/>
    <w:rPr>
      <w:color w:val="000000"/>
      <w:lang w:val="ru-RU" w:eastAsia="ru-RU" w:bidi="ar-SA"/>
    </w:rPr>
  </w:style>
  <w:style w:type="character" w:styleId="914">
    <w:name w:val="Знак1"/>
    <w:next w:val="914"/>
    <w:link w:val="895"/>
    <w:rPr>
      <w:color w:val="000000"/>
      <w:sz w:val="24"/>
      <w:szCs w:val="24"/>
      <w:lang w:val="ru-RU" w:eastAsia="ru-RU"/>
    </w:rPr>
  </w:style>
  <w:style w:type="paragraph" w:styleId="915">
    <w:name w:val="Обычный (веб)"/>
    <w:basedOn w:val="895"/>
    <w:next w:val="915"/>
    <w:link w:val="916"/>
    <w:pPr>
      <w:ind w:left="129" w:right="129"/>
      <w:spacing w:before="129" w:after="129"/>
      <w:widowControl/>
    </w:pPr>
    <w:rPr>
      <w:color w:val="000000"/>
      <w:sz w:val="24"/>
      <w:szCs w:val="24"/>
    </w:rPr>
  </w:style>
  <w:style w:type="character" w:styleId="916">
    <w:name w:val="Обычный (веб) Знак"/>
    <w:basedOn w:val="899"/>
    <w:next w:val="916"/>
    <w:link w:val="915"/>
    <w:rPr>
      <w:sz w:val="24"/>
      <w:szCs w:val="24"/>
      <w:lang w:val="ru-RU" w:eastAsia="ru-RU" w:bidi="ar-SA"/>
    </w:rPr>
  </w:style>
  <w:style w:type="paragraph" w:styleId="917">
    <w:name w:val="ConsNonformat"/>
    <w:next w:val="917"/>
    <w:link w:val="895"/>
    <w:pPr>
      <w:widowControl w:val="off"/>
    </w:pPr>
    <w:rPr>
      <w:rFonts w:ascii="Courier New" w:hAnsi="Courier New" w:cs="Courier New"/>
      <w:sz w:val="16"/>
      <w:szCs w:val="16"/>
      <w:lang w:val="ru-RU" w:eastAsia="ru-RU" w:bidi="ar-SA"/>
    </w:rPr>
  </w:style>
  <w:style w:type="paragraph" w:styleId="918">
    <w:name w:val="Стиль3 Знак Знак"/>
    <w:basedOn w:val="895"/>
    <w:next w:val="918"/>
    <w:link w:val="895"/>
    <w:pPr>
      <w:ind w:left="2160" w:hanging="360"/>
      <w:jc w:val="both"/>
      <w:tabs>
        <w:tab w:val="left" w:pos="2160" w:leader="none"/>
      </w:tabs>
    </w:pPr>
    <w:rPr>
      <w:color w:val="000000"/>
      <w:sz w:val="24"/>
      <w:lang w:val="en-US" w:eastAsia="ar-SA"/>
    </w:rPr>
  </w:style>
  <w:style w:type="paragraph" w:styleId="919">
    <w:name w:val="ConsPlusNormal"/>
    <w:next w:val="919"/>
    <w:link w:val="920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character" w:styleId="920">
    <w:name w:val="ConsPlusNormal Знак"/>
    <w:basedOn w:val="899"/>
    <w:next w:val="920"/>
    <w:link w:val="919"/>
    <w:rPr>
      <w:rFonts w:ascii="Arial" w:hAnsi="Arial" w:cs="Arial"/>
      <w:lang w:val="ru-RU" w:eastAsia="ru-RU" w:bidi="ar-SA"/>
    </w:rPr>
  </w:style>
  <w:style w:type="character" w:styleId="921">
    <w:name w:val="f"/>
    <w:basedOn w:val="899"/>
    <w:next w:val="921"/>
    <w:link w:val="895"/>
  </w:style>
  <w:style w:type="character" w:styleId="922">
    <w:name w:val="blk"/>
    <w:basedOn w:val="899"/>
    <w:next w:val="922"/>
    <w:link w:val="895"/>
  </w:style>
  <w:style w:type="paragraph" w:styleId="923">
    <w:name w:val="Нумерованный список 2"/>
    <w:basedOn w:val="895"/>
    <w:next w:val="923"/>
    <w:link w:val="895"/>
    <w:pPr>
      <w:ind w:left="643" w:hanging="360"/>
      <w:jc w:val="both"/>
      <w:spacing w:after="60"/>
      <w:widowControl/>
      <w:tabs>
        <w:tab w:val="num" w:pos="643" w:leader="none"/>
      </w:tabs>
    </w:pPr>
    <w:rPr>
      <w:rFonts w:eastAsia="MS Mincho"/>
      <w:color w:val="000000"/>
      <w:sz w:val="24"/>
      <w:szCs w:val="24"/>
    </w:rPr>
  </w:style>
  <w:style w:type="paragraph" w:styleId="924">
    <w:name w:val="Основной текст с отступом 3"/>
    <w:basedOn w:val="895"/>
    <w:next w:val="924"/>
    <w:link w:val="895"/>
    <w:pPr>
      <w:ind w:left="283"/>
      <w:spacing w:after="120"/>
    </w:pPr>
    <w:rPr>
      <w:sz w:val="16"/>
      <w:szCs w:val="16"/>
    </w:rPr>
  </w:style>
  <w:style w:type="paragraph" w:styleId="925">
    <w:name w:val="List Paragraph"/>
    <w:basedOn w:val="895"/>
    <w:next w:val="925"/>
    <w:link w:val="895"/>
    <w:pPr>
      <w:ind w:left="708"/>
      <w:jc w:val="both"/>
      <w:widowControl/>
    </w:pPr>
    <w:rPr>
      <w:color w:val="000000"/>
      <w:sz w:val="24"/>
      <w:szCs w:val="24"/>
      <w:lang w:eastAsia="ar-SA"/>
    </w:rPr>
  </w:style>
  <w:style w:type="character" w:styleId="926">
    <w:name w:val="footnote reference"/>
    <w:next w:val="926"/>
    <w:link w:val="895"/>
    <w:rPr>
      <w:vertAlign w:val="superscript"/>
    </w:rPr>
  </w:style>
  <w:style w:type="paragraph" w:styleId="927">
    <w:name w:val="Подзаголовок"/>
    <w:basedOn w:val="895"/>
    <w:next w:val="902"/>
    <w:link w:val="928"/>
    <w:qFormat/>
    <w:pPr>
      <w:jc w:val="center"/>
      <w:spacing w:after="60"/>
      <w:widowControl/>
    </w:pPr>
    <w:rPr>
      <w:rFonts w:ascii="Cambria" w:hAnsi="Cambria" w:cs="Cambria"/>
      <w:i/>
      <w:iCs/>
      <w:color w:val="000000"/>
      <w:sz w:val="28"/>
      <w:szCs w:val="28"/>
      <w:lang w:eastAsia="ar-SA"/>
    </w:rPr>
  </w:style>
  <w:style w:type="character" w:styleId="928">
    <w:name w:val="Подзаголовок Знак"/>
    <w:basedOn w:val="899"/>
    <w:next w:val="928"/>
    <w:link w:val="927"/>
    <w:rPr>
      <w:rFonts w:ascii="Cambria" w:hAnsi="Cambria" w:cs="Cambria"/>
      <w:i/>
      <w:iCs/>
      <w:sz w:val="28"/>
      <w:szCs w:val="28"/>
      <w:lang w:eastAsia="ar-SA"/>
    </w:rPr>
  </w:style>
  <w:style w:type="character" w:styleId="929">
    <w:name w:val="Символ сноски"/>
    <w:next w:val="929"/>
    <w:link w:val="895"/>
  </w:style>
  <w:style w:type="paragraph" w:styleId="930">
    <w:name w:val="Текст сноски"/>
    <w:basedOn w:val="895"/>
    <w:next w:val="930"/>
    <w:link w:val="931"/>
    <w:pPr>
      <w:ind w:left="283" w:hanging="283"/>
      <w:jc w:val="both"/>
      <w:widowControl/>
      <w:suppressLineNumbers/>
    </w:pPr>
    <w:rPr>
      <w:color w:val="000000"/>
      <w:lang w:eastAsia="ar-SA"/>
    </w:rPr>
  </w:style>
  <w:style w:type="character" w:styleId="931">
    <w:name w:val="Текст сноски Знак"/>
    <w:basedOn w:val="899"/>
    <w:next w:val="931"/>
    <w:link w:val="930"/>
    <w:rPr>
      <w:lang w:eastAsia="ar-SA"/>
    </w:rPr>
  </w:style>
  <w:style w:type="paragraph" w:styleId="932">
    <w:name w:val="Статья"/>
    <w:basedOn w:val="895"/>
    <w:next w:val="932"/>
    <w:link w:val="895"/>
    <w:pPr>
      <w:numPr>
        <w:ilvl w:val="0"/>
        <w:numId w:val="1"/>
      </w:numPr>
      <w:widowControl/>
    </w:pPr>
    <w:rPr>
      <w:color w:val="000000"/>
      <w:sz w:val="24"/>
      <w:szCs w:val="24"/>
    </w:rPr>
  </w:style>
  <w:style w:type="paragraph" w:styleId="933">
    <w:name w:val="Пункт"/>
    <w:basedOn w:val="895"/>
    <w:next w:val="933"/>
    <w:link w:val="934"/>
    <w:pPr>
      <w:numPr>
        <w:ilvl w:val="1"/>
        <w:numId w:val="1"/>
      </w:numPr>
      <w:widowControl/>
    </w:pPr>
    <w:rPr>
      <w:color w:val="000000"/>
      <w:sz w:val="24"/>
      <w:szCs w:val="24"/>
      <w:lang w:val="en-US" w:eastAsia="en-US"/>
    </w:rPr>
  </w:style>
  <w:style w:type="character" w:styleId="934">
    <w:name w:val="Пункт Знак"/>
    <w:next w:val="934"/>
    <w:link w:val="933"/>
    <w:rPr>
      <w:sz w:val="24"/>
      <w:szCs w:val="24"/>
    </w:rPr>
  </w:style>
  <w:style w:type="paragraph" w:styleId="935">
    <w:name w:val="Подпункт"/>
    <w:basedOn w:val="895"/>
    <w:next w:val="935"/>
    <w:link w:val="895"/>
    <w:pPr>
      <w:numPr>
        <w:ilvl w:val="2"/>
        <w:numId w:val="1"/>
      </w:numPr>
      <w:widowControl/>
    </w:pPr>
    <w:rPr>
      <w:color w:val="000000"/>
      <w:sz w:val="24"/>
      <w:szCs w:val="24"/>
    </w:rPr>
  </w:style>
  <w:style w:type="character" w:styleId="936">
    <w:name w:val="Знак сноски"/>
    <w:next w:val="936"/>
    <w:link w:val="895"/>
    <w:rPr>
      <w:rFonts w:cs="Times New Roman"/>
      <w:vertAlign w:val="superscript"/>
    </w:rPr>
  </w:style>
  <w:style w:type="character" w:styleId="937">
    <w:name w:val="Гипертекстовая ссылка"/>
    <w:basedOn w:val="899"/>
    <w:next w:val="937"/>
    <w:link w:val="895"/>
    <w:rPr>
      <w:color w:val="106bbe"/>
    </w:rPr>
  </w:style>
  <w:style w:type="character" w:styleId="938">
    <w:name w:val="Строгий"/>
    <w:basedOn w:val="899"/>
    <w:next w:val="938"/>
    <w:link w:val="895"/>
    <w:qFormat/>
    <w:rPr>
      <w:b/>
      <w:bCs/>
    </w:rPr>
  </w:style>
  <w:style w:type="character" w:styleId="939">
    <w:name w:val="apple-converted-space"/>
    <w:next w:val="939"/>
    <w:link w:val="895"/>
    <w:rPr>
      <w:rFonts w:cs="Times New Roman"/>
    </w:rPr>
  </w:style>
  <w:style w:type="table" w:styleId="940">
    <w:name w:val="Сетка таблицы"/>
    <w:basedOn w:val="900"/>
    <w:next w:val="940"/>
    <w:link w:val="895"/>
    <w:tblPr/>
  </w:style>
  <w:style w:type="character" w:styleId="941">
    <w:name w:val="WW8Num1z0"/>
    <w:next w:val="941"/>
    <w:link w:val="895"/>
    <w:rPr>
      <w:rFonts w:ascii="Symbol" w:hAnsi="Symbol" w:cs="OpenSymbol"/>
    </w:rPr>
  </w:style>
  <w:style w:type="character" w:styleId="942">
    <w:name w:val="WW8Num2z0"/>
    <w:next w:val="942"/>
    <w:link w:val="895"/>
  </w:style>
  <w:style w:type="character" w:styleId="943">
    <w:name w:val="WW8Num2z1"/>
    <w:next w:val="943"/>
    <w:link w:val="895"/>
  </w:style>
  <w:style w:type="character" w:styleId="944">
    <w:name w:val="WW8Num2z2"/>
    <w:next w:val="944"/>
    <w:link w:val="895"/>
  </w:style>
  <w:style w:type="character" w:styleId="945">
    <w:name w:val="WW8Num2z3"/>
    <w:next w:val="945"/>
    <w:link w:val="895"/>
  </w:style>
  <w:style w:type="character" w:styleId="946">
    <w:name w:val="WW8Num2z4"/>
    <w:next w:val="946"/>
    <w:link w:val="895"/>
  </w:style>
  <w:style w:type="character" w:styleId="947">
    <w:name w:val="WW8Num2z5"/>
    <w:next w:val="947"/>
    <w:link w:val="895"/>
  </w:style>
  <w:style w:type="character" w:styleId="948">
    <w:name w:val="WW8Num2z6"/>
    <w:next w:val="948"/>
    <w:link w:val="895"/>
  </w:style>
  <w:style w:type="character" w:styleId="949">
    <w:name w:val="WW8Num2z7"/>
    <w:next w:val="949"/>
    <w:link w:val="895"/>
  </w:style>
  <w:style w:type="character" w:styleId="950">
    <w:name w:val="WW8Num2z8"/>
    <w:next w:val="950"/>
    <w:link w:val="895"/>
  </w:style>
  <w:style w:type="character" w:styleId="951">
    <w:name w:val="Absatz-Standardschriftart"/>
    <w:next w:val="951"/>
    <w:link w:val="895"/>
  </w:style>
  <w:style w:type="character" w:styleId="952">
    <w:name w:val="WW-Absatz-Standardschriftart"/>
    <w:next w:val="952"/>
    <w:link w:val="895"/>
  </w:style>
  <w:style w:type="character" w:styleId="953">
    <w:name w:val="WW-Absatz-Standardschriftart1"/>
    <w:next w:val="953"/>
    <w:link w:val="895"/>
  </w:style>
  <w:style w:type="character" w:styleId="954">
    <w:name w:val="WW-Absatz-Standardschriftart11"/>
    <w:next w:val="954"/>
    <w:link w:val="895"/>
  </w:style>
  <w:style w:type="character" w:styleId="955">
    <w:name w:val="WW-Absatz-Standardschriftart111"/>
    <w:next w:val="955"/>
    <w:link w:val="895"/>
  </w:style>
  <w:style w:type="character" w:styleId="956">
    <w:name w:val="WW-Absatz-Standardschriftart1111"/>
    <w:next w:val="956"/>
    <w:link w:val="895"/>
  </w:style>
  <w:style w:type="character" w:styleId="957">
    <w:name w:val="WW-Absatz-Standardschriftart11111"/>
    <w:next w:val="957"/>
    <w:link w:val="895"/>
  </w:style>
  <w:style w:type="character" w:styleId="958">
    <w:name w:val="WW-Absatz-Standardschriftart111111"/>
    <w:next w:val="958"/>
    <w:link w:val="895"/>
  </w:style>
  <w:style w:type="character" w:styleId="959">
    <w:name w:val="WW-Absatz-Standardschriftart1111111"/>
    <w:next w:val="959"/>
    <w:link w:val="895"/>
  </w:style>
  <w:style w:type="character" w:styleId="960">
    <w:name w:val="WW-Absatz-Standardschriftart11111111"/>
    <w:next w:val="960"/>
    <w:link w:val="895"/>
  </w:style>
  <w:style w:type="character" w:styleId="961">
    <w:name w:val="WW-Absatz-Standardschriftart111111111"/>
    <w:next w:val="961"/>
    <w:link w:val="895"/>
  </w:style>
  <w:style w:type="character" w:styleId="962">
    <w:name w:val="WW-Absatz-Standardschriftart1111111111"/>
    <w:next w:val="962"/>
    <w:link w:val="895"/>
  </w:style>
  <w:style w:type="character" w:styleId="963">
    <w:name w:val="WW-Absatz-Standardschriftart11111111111"/>
    <w:next w:val="963"/>
    <w:link w:val="895"/>
  </w:style>
  <w:style w:type="character" w:styleId="964">
    <w:name w:val="WW-Absatz-Standardschriftart111111111111"/>
    <w:next w:val="964"/>
    <w:link w:val="895"/>
  </w:style>
  <w:style w:type="character" w:styleId="965">
    <w:name w:val="WW-Absatz-Standardschriftart1111111111111"/>
    <w:next w:val="965"/>
    <w:link w:val="895"/>
  </w:style>
  <w:style w:type="character" w:styleId="966">
    <w:name w:val="WW-Absatz-Standardschriftart11111111111111"/>
    <w:next w:val="966"/>
    <w:link w:val="895"/>
  </w:style>
  <w:style w:type="character" w:styleId="967">
    <w:name w:val="WW-Absatz-Standardschriftart111111111111111"/>
    <w:next w:val="967"/>
    <w:link w:val="895"/>
  </w:style>
  <w:style w:type="character" w:styleId="968">
    <w:name w:val="WW8Num1z1"/>
    <w:next w:val="968"/>
    <w:link w:val="895"/>
    <w:rPr>
      <w:rFonts w:ascii="OpenSymbol" w:hAnsi="OpenSymbol" w:cs="OpenSymbol"/>
    </w:rPr>
  </w:style>
  <w:style w:type="character" w:styleId="969">
    <w:name w:val="Основной шрифт абзаца2"/>
    <w:next w:val="969"/>
    <w:link w:val="895"/>
  </w:style>
  <w:style w:type="character" w:styleId="970">
    <w:name w:val="WW-Absatz-Standardschriftart1111111111111111"/>
    <w:next w:val="970"/>
    <w:link w:val="895"/>
  </w:style>
  <w:style w:type="character" w:styleId="971">
    <w:name w:val="Основной шрифт абзаца1"/>
    <w:next w:val="971"/>
    <w:link w:val="895"/>
  </w:style>
  <w:style w:type="character" w:styleId="972">
    <w:name w:val="WW-Absatz-Standardschriftart11111111111111111"/>
    <w:next w:val="972"/>
    <w:link w:val="895"/>
  </w:style>
  <w:style w:type="character" w:styleId="973">
    <w:name w:val="WW-Absatz-Standardschriftart111111111111111111"/>
    <w:next w:val="973"/>
    <w:link w:val="895"/>
  </w:style>
  <w:style w:type="character" w:styleId="974">
    <w:name w:val="WW-Absatz-Standardschriftart1111111111111111111"/>
    <w:next w:val="974"/>
    <w:link w:val="895"/>
  </w:style>
  <w:style w:type="character" w:styleId="975">
    <w:name w:val="WW-Absatz-Standardschriftart11111111111111111111"/>
    <w:next w:val="975"/>
    <w:link w:val="895"/>
  </w:style>
  <w:style w:type="character" w:styleId="976">
    <w:name w:val="WW-Absatz-Standardschriftart111111111111111111111"/>
    <w:next w:val="976"/>
    <w:link w:val="895"/>
  </w:style>
  <w:style w:type="character" w:styleId="977">
    <w:name w:val="Маркеры списка"/>
    <w:next w:val="977"/>
    <w:link w:val="895"/>
    <w:rPr>
      <w:rFonts w:ascii="OpenSymbol" w:hAnsi="OpenSymbol" w:eastAsia="OpenSymbol" w:cs="OpenSymbol"/>
    </w:rPr>
  </w:style>
  <w:style w:type="character" w:styleId="978">
    <w:name w:val="Символ нумерации"/>
    <w:next w:val="978"/>
    <w:link w:val="895"/>
  </w:style>
  <w:style w:type="character" w:styleId="979">
    <w:name w:val="Гиперссылка"/>
    <w:next w:val="979"/>
    <w:link w:val="895"/>
    <w:rPr>
      <w:color w:val="000080"/>
      <w:u w:val="single"/>
      <w:lang w:val="en-US" w:eastAsia="en-US" w:bidi="en-US"/>
    </w:rPr>
  </w:style>
  <w:style w:type="paragraph" w:styleId="980">
    <w:name w:val="Заголовок"/>
    <w:basedOn w:val="895"/>
    <w:next w:val="902"/>
    <w:link w:val="895"/>
    <w:pPr>
      <w:keepNext/>
      <w:spacing w:before="240" w:after="120"/>
    </w:pPr>
    <w:rPr>
      <w:rFonts w:eastAsia="MS Mincho" w:cs="Tahoma"/>
      <w:color w:val="000000"/>
      <w:sz w:val="24"/>
      <w:szCs w:val="28"/>
      <w:lang w:eastAsia="en-US"/>
    </w:rPr>
  </w:style>
  <w:style w:type="paragraph" w:styleId="981">
    <w:name w:val="Список"/>
    <w:basedOn w:val="902"/>
    <w:next w:val="981"/>
    <w:link w:val="895"/>
    <w:rPr>
      <w:rFonts w:eastAsia="Lucida Sans Unicode" w:cs="Tahoma"/>
      <w:color w:val="000000"/>
      <w:szCs w:val="24"/>
      <w:lang w:eastAsia="en-US"/>
    </w:rPr>
  </w:style>
  <w:style w:type="paragraph" w:styleId="982">
    <w:name w:val="Название3"/>
    <w:basedOn w:val="895"/>
    <w:next w:val="982"/>
    <w:link w:val="895"/>
    <w:pPr>
      <w:spacing w:before="120" w:after="120"/>
      <w:suppressLineNumbers/>
    </w:pPr>
    <w:rPr>
      <w:rFonts w:eastAsia="Lucida Sans Unicode" w:cs="Tahoma"/>
      <w:i/>
      <w:iCs/>
      <w:color w:val="000000"/>
      <w:szCs w:val="24"/>
      <w:lang w:eastAsia="en-US"/>
    </w:rPr>
  </w:style>
  <w:style w:type="paragraph" w:styleId="983">
    <w:name w:val="Указатель3"/>
    <w:basedOn w:val="895"/>
    <w:next w:val="983"/>
    <w:link w:val="895"/>
    <w:pPr>
      <w:suppressLineNumbers/>
    </w:pPr>
    <w:rPr>
      <w:rFonts w:eastAsia="Lucida Sans Unicode" w:cs="Tahoma"/>
      <w:color w:val="000000"/>
      <w:szCs w:val="24"/>
      <w:lang w:eastAsia="en-US"/>
    </w:rPr>
  </w:style>
  <w:style w:type="paragraph" w:styleId="984">
    <w:name w:val="Название2"/>
    <w:basedOn w:val="895"/>
    <w:next w:val="984"/>
    <w:link w:val="895"/>
    <w:pPr>
      <w:spacing w:before="120" w:after="120"/>
      <w:suppressLineNumbers/>
    </w:pPr>
    <w:rPr>
      <w:rFonts w:eastAsia="Lucida Sans Unicode" w:cs="Tahoma"/>
      <w:i/>
      <w:iCs/>
      <w:color w:val="000000"/>
      <w:szCs w:val="24"/>
      <w:lang w:eastAsia="en-US"/>
    </w:rPr>
  </w:style>
  <w:style w:type="paragraph" w:styleId="985">
    <w:name w:val="Указатель2"/>
    <w:basedOn w:val="895"/>
    <w:next w:val="985"/>
    <w:link w:val="895"/>
    <w:pPr>
      <w:suppressLineNumbers/>
    </w:pPr>
    <w:rPr>
      <w:rFonts w:eastAsia="Lucida Sans Unicode" w:cs="Tahoma"/>
      <w:color w:val="000000"/>
      <w:szCs w:val="24"/>
      <w:lang w:eastAsia="en-US"/>
    </w:rPr>
  </w:style>
  <w:style w:type="paragraph" w:styleId="986">
    <w:name w:val="Название1"/>
    <w:basedOn w:val="895"/>
    <w:next w:val="986"/>
    <w:link w:val="895"/>
    <w:pPr>
      <w:spacing w:before="120" w:after="120"/>
      <w:suppressLineNumbers/>
    </w:pPr>
    <w:rPr>
      <w:rFonts w:eastAsia="Lucida Sans Unicode" w:cs="Tahoma"/>
      <w:i/>
      <w:iCs/>
      <w:color w:val="000000"/>
      <w:szCs w:val="24"/>
      <w:lang w:eastAsia="en-US"/>
    </w:rPr>
  </w:style>
  <w:style w:type="paragraph" w:styleId="987">
    <w:name w:val="Указатель1"/>
    <w:basedOn w:val="895"/>
    <w:next w:val="987"/>
    <w:link w:val="895"/>
    <w:pPr>
      <w:suppressLineNumbers/>
    </w:pPr>
    <w:rPr>
      <w:rFonts w:eastAsia="Lucida Sans Unicode" w:cs="Tahoma"/>
      <w:color w:val="000000"/>
      <w:szCs w:val="24"/>
      <w:lang w:eastAsia="en-US"/>
    </w:rPr>
  </w:style>
  <w:style w:type="paragraph" w:styleId="988">
    <w:name w:val="Содержимое таблицы"/>
    <w:basedOn w:val="895"/>
    <w:next w:val="988"/>
    <w:link w:val="895"/>
    <w:pPr>
      <w:suppressLineNumbers/>
    </w:pPr>
    <w:rPr>
      <w:rFonts w:eastAsia="Lucida Sans Unicode"/>
      <w:color w:val="000000"/>
      <w:szCs w:val="24"/>
      <w:lang w:eastAsia="en-US"/>
    </w:rPr>
  </w:style>
  <w:style w:type="paragraph" w:styleId="989">
    <w:name w:val="Заголовок таблицы"/>
    <w:basedOn w:val="988"/>
    <w:next w:val="989"/>
    <w:link w:val="895"/>
    <w:pPr>
      <w:jc w:val="center"/>
    </w:pPr>
    <w:rPr>
      <w:b/>
      <w:bCs/>
    </w:rPr>
  </w:style>
  <w:style w:type="paragraph" w:styleId="990">
    <w:name w:val="Обычный + По ширине"/>
    <w:basedOn w:val="895"/>
    <w:next w:val="990"/>
    <w:link w:val="895"/>
    <w:rPr>
      <w:rFonts w:eastAsia="Lucida Sans Unicode"/>
      <w:color w:val="000000"/>
      <w:szCs w:val="24"/>
      <w:lang w:eastAsia="en-US"/>
    </w:rPr>
  </w:style>
  <w:style w:type="paragraph" w:styleId="991">
    <w:name w:val="Char Char"/>
    <w:basedOn w:val="895"/>
    <w:next w:val="991"/>
    <w:link w:val="895"/>
    <w:pPr>
      <w:spacing w:after="160" w:line="240" w:lineRule="exact"/>
      <w:widowControl/>
    </w:pPr>
    <w:rPr>
      <w:rFonts w:ascii="Verdana" w:hAnsi="Verdana" w:cs="Verdana"/>
      <w:color w:val="000000"/>
      <w:lang w:val="en-US" w:eastAsia="en-US"/>
    </w:rPr>
  </w:style>
  <w:style w:type="paragraph" w:styleId="992">
    <w:name w:val="Верхний колонтитул"/>
    <w:basedOn w:val="895"/>
    <w:next w:val="992"/>
    <w:link w:val="1051"/>
    <w:pPr>
      <w:tabs>
        <w:tab w:val="center" w:pos="4677" w:leader="none"/>
        <w:tab w:val="right" w:pos="9355" w:leader="none"/>
      </w:tabs>
    </w:pPr>
    <w:rPr>
      <w:rFonts w:eastAsia="Lucida Sans Unicode"/>
      <w:color w:val="000000"/>
      <w:szCs w:val="24"/>
      <w:lang w:eastAsia="en-US"/>
    </w:rPr>
  </w:style>
  <w:style w:type="paragraph" w:styleId="993">
    <w:name w:val="Заголовок 11"/>
    <w:basedOn w:val="895"/>
    <w:next w:val="993"/>
    <w:link w:val="895"/>
    <w:pPr>
      <w:ind w:left="720" w:hanging="360"/>
      <w:jc w:val="both"/>
      <w:keepNext/>
      <w:tabs>
        <w:tab w:val="left" w:pos="0" w:leader="none"/>
        <w:tab w:val="left" w:pos="432" w:leader="none"/>
        <w:tab w:val="left" w:pos="2541" w:leader="none"/>
      </w:tabs>
    </w:pPr>
    <w:rPr>
      <w:rFonts w:ascii="Arial" w:hAnsi="Arial" w:eastAsia="Arial" w:cs="Arial"/>
      <w:b/>
      <w:bCs/>
      <w:color w:val="000000"/>
      <w:sz w:val="16"/>
      <w:szCs w:val="16"/>
      <w:lang w:eastAsia="ar-SA"/>
    </w:rPr>
  </w:style>
  <w:style w:type="paragraph" w:styleId="994">
    <w:name w:val="xl25"/>
    <w:basedOn w:val="895"/>
    <w:next w:val="994"/>
    <w:link w:val="895"/>
    <w:pPr>
      <w:spacing w:before="100" w:after="100"/>
      <w:widowControl/>
    </w:pPr>
    <w:rPr>
      <w:rFonts w:ascii="Arial Unicode MS" w:hAnsi="Arial Unicode MS" w:eastAsia="Arial Unicode MS" w:cs="Arial Unicode MS"/>
      <w:color w:val="000000"/>
      <w:sz w:val="24"/>
      <w:szCs w:val="24"/>
      <w:lang w:eastAsia="ar-SA"/>
    </w:rPr>
  </w:style>
  <w:style w:type="character" w:styleId="995">
    <w:name w:val="Heading 1 Char,Document Header1 Знак Char"/>
    <w:basedOn w:val="899"/>
    <w:next w:val="995"/>
    <w:link w:val="895"/>
    <w:rPr>
      <w:rFonts w:eastAsia="Calibri"/>
      <w:sz w:val="28"/>
      <w:szCs w:val="28"/>
      <w:lang w:val="ru-RU" w:eastAsia="ru-RU" w:bidi="ar-SA"/>
    </w:rPr>
  </w:style>
  <w:style w:type="paragraph" w:styleId="996">
    <w:name w:val="formattext"/>
    <w:basedOn w:val="895"/>
    <w:next w:val="996"/>
    <w:link w:val="895"/>
    <w:pPr>
      <w:spacing w:before="100" w:beforeAutospacing="1" w:after="100" w:afterAutospacing="1"/>
      <w:widowControl/>
    </w:pPr>
    <w:rPr>
      <w:rFonts w:eastAsia="Calibri"/>
      <w:color w:val="000000"/>
      <w:sz w:val="24"/>
      <w:szCs w:val="24"/>
    </w:rPr>
  </w:style>
  <w:style w:type="character" w:styleId="997">
    <w:name w:val="horizline"/>
    <w:basedOn w:val="899"/>
    <w:next w:val="997"/>
    <w:link w:val="895"/>
    <w:rPr>
      <w:rFonts w:cs="Times New Roman"/>
    </w:rPr>
  </w:style>
  <w:style w:type="paragraph" w:styleId="998">
    <w:name w:val="headertext"/>
    <w:basedOn w:val="895"/>
    <w:next w:val="998"/>
    <w:link w:val="895"/>
    <w:pPr>
      <w:spacing w:before="100" w:beforeAutospacing="1" w:after="100" w:afterAutospacing="1"/>
      <w:widowControl/>
    </w:pPr>
    <w:rPr>
      <w:rFonts w:eastAsia="Calibri"/>
      <w:color w:val="000000"/>
      <w:sz w:val="24"/>
      <w:szCs w:val="24"/>
    </w:rPr>
  </w:style>
  <w:style w:type="paragraph" w:styleId="999">
    <w:name w:val="Стиль3"/>
    <w:basedOn w:val="1000"/>
    <w:next w:val="999"/>
    <w:link w:val="895"/>
    <w:pPr>
      <w:ind w:left="1080"/>
      <w:jc w:val="both"/>
      <w:spacing w:after="0" w:line="240" w:lineRule="auto"/>
      <w:widowControl w:val="off"/>
      <w:tabs>
        <w:tab w:val="num" w:pos="1307" w:leader="none"/>
      </w:tabs>
    </w:pPr>
    <w:rPr>
      <w:rFonts w:ascii="Times New Roman" w:hAnsi="Times New Roman" w:eastAsia="Calibri"/>
      <w:sz w:val="24"/>
      <w:szCs w:val="24"/>
      <w:lang w:eastAsia="ru-RU"/>
    </w:rPr>
  </w:style>
  <w:style w:type="paragraph" w:styleId="1000">
    <w:name w:val="Основной текст с отступом 2"/>
    <w:basedOn w:val="895"/>
    <w:next w:val="1000"/>
    <w:link w:val="1001"/>
    <w:semiHidden/>
    <w:pPr>
      <w:ind w:left="283"/>
      <w:spacing w:after="120" w:line="480" w:lineRule="auto"/>
      <w:widowControl/>
    </w:pPr>
    <w:rPr>
      <w:rFonts w:ascii="Calibri" w:hAnsi="Calibri"/>
      <w:color w:val="000000"/>
      <w:sz w:val="22"/>
      <w:szCs w:val="22"/>
      <w:lang w:eastAsia="en-US"/>
    </w:rPr>
  </w:style>
  <w:style w:type="character" w:styleId="1001">
    <w:name w:val="Основной текст с отступом 2 Знак"/>
    <w:basedOn w:val="899"/>
    <w:next w:val="1001"/>
    <w:link w:val="1000"/>
    <w:semiHidden/>
    <w:rPr>
      <w:rFonts w:ascii="Calibri" w:hAnsi="Calibri"/>
      <w:sz w:val="22"/>
      <w:szCs w:val="22"/>
      <w:lang w:val="ru-RU" w:eastAsia="en-US" w:bidi="ar-SA"/>
    </w:rPr>
  </w:style>
  <w:style w:type="paragraph" w:styleId="1002">
    <w:name w:val="No Spacing"/>
    <w:next w:val="1002"/>
    <w:link w:val="895"/>
    <w:rPr>
      <w:rFonts w:ascii="Calibri" w:hAnsi="Calibri"/>
      <w:sz w:val="22"/>
      <w:szCs w:val="22"/>
      <w:lang w:val="ru-RU" w:eastAsia="en-US" w:bidi="ar-SA"/>
    </w:rPr>
  </w:style>
  <w:style w:type="character" w:styleId="1003">
    <w:name w:val="Body Text Char"/>
    <w:basedOn w:val="899"/>
    <w:next w:val="1003"/>
    <w:link w:val="895"/>
    <w:rPr>
      <w:rFonts w:eastAsia="Lucida Sans Unicode"/>
      <w:szCs w:val="24"/>
      <w:lang w:val="ru-RU" w:eastAsia="en-US" w:bidi="ar-SA"/>
    </w:rPr>
  </w:style>
  <w:style w:type="paragraph" w:styleId="1004">
    <w:name w:val="Текст выноски"/>
    <w:basedOn w:val="895"/>
    <w:next w:val="1004"/>
    <w:link w:val="1005"/>
    <w:semiHidden/>
    <w:pPr>
      <w:widowControl/>
    </w:pPr>
    <w:rPr>
      <w:rFonts w:ascii="Tahoma" w:hAnsi="Tahoma" w:cs="Tahoma"/>
      <w:color w:val="000000"/>
      <w:sz w:val="16"/>
      <w:szCs w:val="16"/>
      <w:lang w:eastAsia="en-US"/>
    </w:rPr>
  </w:style>
  <w:style w:type="character" w:styleId="1005">
    <w:name w:val="Текст выноски Знак"/>
    <w:basedOn w:val="899"/>
    <w:next w:val="1005"/>
    <w:link w:val="1004"/>
    <w:semiHidden/>
    <w:rPr>
      <w:rFonts w:ascii="Tahoma" w:hAnsi="Tahoma" w:cs="Tahoma"/>
      <w:sz w:val="16"/>
      <w:szCs w:val="16"/>
      <w:lang w:val="ru-RU" w:eastAsia="en-US" w:bidi="ar-SA"/>
    </w:rPr>
  </w:style>
  <w:style w:type="paragraph" w:styleId="1006">
    <w:name w:val="Основной текст 3"/>
    <w:basedOn w:val="895"/>
    <w:next w:val="1006"/>
    <w:link w:val="1007"/>
    <w:semiHidden/>
    <w:pPr>
      <w:spacing w:after="120" w:line="276" w:lineRule="auto"/>
      <w:widowControl/>
    </w:pPr>
    <w:rPr>
      <w:rFonts w:ascii="Calibri" w:hAnsi="Calibri"/>
      <w:color w:val="000000"/>
      <w:sz w:val="16"/>
      <w:szCs w:val="16"/>
      <w:lang w:eastAsia="en-US"/>
    </w:rPr>
  </w:style>
  <w:style w:type="character" w:styleId="1007">
    <w:name w:val="Основной текст 3 Знак"/>
    <w:basedOn w:val="899"/>
    <w:next w:val="1007"/>
    <w:link w:val="1006"/>
    <w:semiHidden/>
    <w:rPr>
      <w:rFonts w:ascii="Calibri" w:hAnsi="Calibri"/>
      <w:sz w:val="16"/>
      <w:szCs w:val="16"/>
      <w:lang w:val="ru-RU" w:eastAsia="en-US" w:bidi="ar-SA"/>
    </w:rPr>
  </w:style>
  <w:style w:type="character" w:styleId="1008">
    <w:name w:val="Intense Emphasis"/>
    <w:basedOn w:val="899"/>
    <w:next w:val="1008"/>
    <w:link w:val="895"/>
    <w:rPr>
      <w:rFonts w:cs="Times New Roman"/>
      <w:b/>
      <w:bCs/>
      <w:i/>
      <w:iCs/>
      <w:color w:val="4f81bd"/>
    </w:rPr>
  </w:style>
  <w:style w:type="character" w:styleId="1009">
    <w:name w:val="Выделение"/>
    <w:basedOn w:val="899"/>
    <w:next w:val="1009"/>
    <w:link w:val="895"/>
    <w:uiPriority w:val="20"/>
    <w:qFormat/>
    <w:rPr>
      <w:rFonts w:cs="Times New Roman"/>
      <w:i/>
      <w:iCs/>
    </w:rPr>
  </w:style>
  <w:style w:type="paragraph" w:styleId="1010">
    <w:name w:val="Char Char1"/>
    <w:basedOn w:val="895"/>
    <w:next w:val="1010"/>
    <w:link w:val="895"/>
    <w:pPr>
      <w:spacing w:after="160" w:line="240" w:lineRule="exact"/>
      <w:widowControl/>
    </w:pPr>
    <w:rPr>
      <w:rFonts w:ascii="Verdana" w:hAnsi="Verdana" w:eastAsia="Calibri" w:cs="Verdana"/>
      <w:color w:val="000000"/>
      <w:lang w:val="en-US" w:eastAsia="en-US"/>
    </w:rPr>
  </w:style>
  <w:style w:type="character" w:styleId="1011">
    <w:name w:val="iceouttxt4"/>
    <w:basedOn w:val="899"/>
    <w:next w:val="1011"/>
    <w:link w:val="895"/>
    <w:rPr>
      <w:rFonts w:cs="Times New Roman"/>
    </w:rPr>
  </w:style>
  <w:style w:type="character" w:styleId="1012">
    <w:name w:val="Subtle Emphasis"/>
    <w:basedOn w:val="899"/>
    <w:next w:val="1012"/>
    <w:link w:val="895"/>
    <w:rPr>
      <w:rFonts w:cs="Times New Roman"/>
      <w:i/>
      <w:iCs/>
      <w:color w:val="808080"/>
    </w:rPr>
  </w:style>
  <w:style w:type="paragraph" w:styleId="1013">
    <w:name w:val="Обычный1"/>
    <w:next w:val="1013"/>
    <w:link w:val="895"/>
    <w:pPr>
      <w:ind w:firstLine="567"/>
      <w:jc w:val="both"/>
      <w:spacing w:before="120" w:after="120"/>
      <w:widowControl w:val="off"/>
    </w:pPr>
    <w:rPr>
      <w:rFonts w:ascii="Calibri" w:hAnsi="Calibri" w:eastAsia="Calibri" w:cs="Calibri"/>
      <w:sz w:val="24"/>
      <w:szCs w:val="24"/>
      <w:lang w:val="ru-RU" w:eastAsia="ru-RU" w:bidi="ar-SA"/>
    </w:rPr>
  </w:style>
  <w:style w:type="paragraph" w:styleId="1014">
    <w:name w:val="Quote"/>
    <w:basedOn w:val="895"/>
    <w:next w:val="895"/>
    <w:link w:val="1015"/>
    <w:pPr>
      <w:widowControl/>
    </w:pPr>
    <w:rPr>
      <w:rFonts w:eastAsia="Calibri"/>
      <w:b/>
      <w:bCs/>
      <w:i/>
      <w:iCs/>
      <w:caps/>
      <w:sz w:val="28"/>
      <w:szCs w:val="28"/>
    </w:rPr>
  </w:style>
  <w:style w:type="character" w:styleId="1015">
    <w:name w:val="Quote Char"/>
    <w:basedOn w:val="899"/>
    <w:next w:val="1015"/>
    <w:link w:val="1014"/>
    <w:rPr>
      <w:rFonts w:eastAsia="Calibri"/>
      <w:b/>
      <w:bCs/>
      <w:i/>
      <w:iCs/>
      <w:caps/>
      <w:color w:val="000000"/>
      <w:sz w:val="28"/>
      <w:szCs w:val="28"/>
      <w:lang w:val="ru-RU" w:eastAsia="ru-RU" w:bidi="ar-SA"/>
    </w:rPr>
  </w:style>
  <w:style w:type="character" w:styleId="1016">
    <w:name w:val="Знак Знак3"/>
    <w:basedOn w:val="899"/>
    <w:next w:val="1016"/>
    <w:link w:val="895"/>
    <w:rPr>
      <w:rFonts w:cs="Times New Roman"/>
      <w:sz w:val="24"/>
      <w:szCs w:val="24"/>
      <w:lang w:val="ru-RU" w:eastAsia="ru-RU" w:bidi="ar-SA"/>
    </w:rPr>
  </w:style>
  <w:style w:type="paragraph" w:styleId="1017">
    <w:name w:val="s_1"/>
    <w:basedOn w:val="895"/>
    <w:next w:val="1017"/>
    <w:link w:val="895"/>
    <w:pPr>
      <w:spacing w:before="100" w:beforeAutospacing="1" w:after="100" w:afterAutospacing="1"/>
      <w:widowControl/>
    </w:pPr>
    <w:rPr>
      <w:rFonts w:eastAsia="Calibri"/>
      <w:color w:val="000000"/>
      <w:sz w:val="24"/>
      <w:szCs w:val="24"/>
    </w:rPr>
  </w:style>
  <w:style w:type="paragraph" w:styleId="1018">
    <w:name w:val="s_22"/>
    <w:basedOn w:val="895"/>
    <w:next w:val="1018"/>
    <w:link w:val="895"/>
    <w:pPr>
      <w:spacing w:before="100" w:beforeAutospacing="1" w:after="100" w:afterAutospacing="1"/>
      <w:widowControl/>
    </w:pPr>
    <w:rPr>
      <w:rFonts w:eastAsia="Calibri"/>
      <w:color w:val="000000"/>
      <w:sz w:val="24"/>
      <w:szCs w:val="24"/>
    </w:rPr>
  </w:style>
  <w:style w:type="paragraph" w:styleId="1019">
    <w:name w:val="Стиль3 Знак"/>
    <w:basedOn w:val="1000"/>
    <w:next w:val="1019"/>
    <w:link w:val="895"/>
    <w:pPr>
      <w:numPr>
        <w:ilvl w:val="2"/>
        <w:numId w:val="2"/>
      </w:numPr>
      <w:ind w:left="180" w:firstLine="0"/>
      <w:jc w:val="both"/>
      <w:spacing w:after="0" w:line="240" w:lineRule="auto"/>
      <w:widowControl w:val="off"/>
      <w:tabs>
        <w:tab w:val="num" w:pos="407" w:leader="none"/>
      </w:tabs>
    </w:pPr>
    <w:rPr>
      <w:rFonts w:ascii="Times New Roman" w:hAnsi="Times New Roman" w:eastAsia="Calibri"/>
      <w:sz w:val="24"/>
      <w:szCs w:val="24"/>
      <w:lang w:eastAsia="ru-RU"/>
    </w:rPr>
  </w:style>
  <w:style w:type="paragraph" w:styleId="1020">
    <w:name w:val="Основной текст 2"/>
    <w:basedOn w:val="895"/>
    <w:next w:val="1020"/>
    <w:link w:val="1021"/>
    <w:pPr>
      <w:spacing w:after="120" w:line="480" w:lineRule="auto"/>
      <w:widowControl/>
    </w:pPr>
    <w:rPr>
      <w:rFonts w:eastAsia="Calibri"/>
      <w:b/>
      <w:bCs/>
      <w:caps/>
      <w:color w:val="000000"/>
      <w:sz w:val="28"/>
      <w:szCs w:val="28"/>
    </w:rPr>
  </w:style>
  <w:style w:type="character" w:styleId="1021">
    <w:name w:val="Основной текст 2 Знак"/>
    <w:basedOn w:val="899"/>
    <w:next w:val="1021"/>
    <w:link w:val="1020"/>
    <w:rPr>
      <w:rFonts w:eastAsia="Calibri"/>
      <w:b/>
      <w:bCs/>
      <w:caps/>
      <w:sz w:val="28"/>
      <w:szCs w:val="28"/>
      <w:lang w:val="ru-RU" w:eastAsia="ru-RU" w:bidi="ar-SA"/>
    </w:rPr>
  </w:style>
  <w:style w:type="paragraph" w:styleId="1022">
    <w:name w:val="Текст"/>
    <w:basedOn w:val="895"/>
    <w:next w:val="1022"/>
    <w:link w:val="1023"/>
    <w:pPr>
      <w:widowControl/>
    </w:pPr>
    <w:rPr>
      <w:rFonts w:ascii="Courier New" w:hAnsi="Courier New" w:eastAsia="Calibri" w:cs="Courier New"/>
      <w:color w:val="000000"/>
    </w:rPr>
  </w:style>
  <w:style w:type="character" w:styleId="1023">
    <w:name w:val="Текст Знак"/>
    <w:basedOn w:val="899"/>
    <w:next w:val="1023"/>
    <w:link w:val="1022"/>
    <w:rPr>
      <w:rFonts w:ascii="Courier New" w:hAnsi="Courier New" w:eastAsia="Calibri" w:cs="Courier New"/>
      <w:lang w:val="ru-RU" w:eastAsia="ru-RU" w:bidi="ar-SA"/>
    </w:rPr>
  </w:style>
  <w:style w:type="paragraph" w:styleId="1024">
    <w:name w:val="Название"/>
    <w:basedOn w:val="895"/>
    <w:next w:val="1024"/>
    <w:link w:val="1025"/>
    <w:qFormat/>
    <w:pPr>
      <w:jc w:val="center"/>
      <w:widowControl/>
    </w:pPr>
    <w:rPr>
      <w:rFonts w:eastAsia="Calibri"/>
      <w:b/>
      <w:bCs/>
      <w:smallCaps/>
      <w:color w:val="000000"/>
      <w:sz w:val="32"/>
      <w:szCs w:val="32"/>
    </w:rPr>
  </w:style>
  <w:style w:type="character" w:styleId="1025">
    <w:name w:val="Название Знак"/>
    <w:basedOn w:val="899"/>
    <w:next w:val="1025"/>
    <w:link w:val="1024"/>
    <w:rPr>
      <w:rFonts w:eastAsia="Calibri"/>
      <w:b/>
      <w:bCs/>
      <w:smallCaps/>
      <w:sz w:val="32"/>
      <w:szCs w:val="32"/>
      <w:lang w:val="ru-RU" w:eastAsia="ru-RU" w:bidi="ar-SA"/>
    </w:rPr>
  </w:style>
  <w:style w:type="paragraph" w:styleId="1026">
    <w:name w:val="font5"/>
    <w:basedOn w:val="895"/>
    <w:next w:val="1026"/>
    <w:link w:val="895"/>
    <w:pPr>
      <w:spacing w:before="100" w:beforeAutospacing="1" w:after="100" w:afterAutospacing="1"/>
      <w:widowControl/>
    </w:pPr>
    <w:rPr>
      <w:rFonts w:ascii="Calibri" w:hAnsi="Calibri" w:eastAsia="Calibri"/>
      <w:sz w:val="22"/>
      <w:szCs w:val="22"/>
    </w:rPr>
  </w:style>
  <w:style w:type="paragraph" w:styleId="1027">
    <w:name w:val="xl65"/>
    <w:basedOn w:val="895"/>
    <w:next w:val="1027"/>
    <w:link w:val="895"/>
    <w:pPr>
      <w:spacing w:before="100" w:beforeAutospacing="1" w:after="100" w:afterAutospacing="1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Calibri"/>
      <w:color w:val="000000"/>
      <w:sz w:val="24"/>
      <w:szCs w:val="24"/>
    </w:rPr>
  </w:style>
  <w:style w:type="paragraph" w:styleId="1028">
    <w:name w:val="xl66"/>
    <w:basedOn w:val="895"/>
    <w:next w:val="1028"/>
    <w:link w:val="895"/>
    <w:pPr>
      <w:spacing w:before="100" w:beforeAutospacing="1" w:after="100" w:afterAutospacing="1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Calibri"/>
      <w:color w:val="000000"/>
      <w:sz w:val="24"/>
      <w:szCs w:val="24"/>
    </w:rPr>
  </w:style>
  <w:style w:type="paragraph" w:styleId="1029">
    <w:name w:val="xl67"/>
    <w:basedOn w:val="895"/>
    <w:next w:val="1029"/>
    <w:link w:val="895"/>
    <w:pPr>
      <w:jc w:val="center"/>
      <w:spacing w:before="100" w:beforeAutospacing="1" w:after="100" w:afterAutospacing="1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Calibri"/>
      <w:color w:val="000000"/>
      <w:sz w:val="24"/>
      <w:szCs w:val="24"/>
    </w:rPr>
  </w:style>
  <w:style w:type="paragraph" w:styleId="1030">
    <w:name w:val="xl68"/>
    <w:basedOn w:val="895"/>
    <w:next w:val="1030"/>
    <w:link w:val="895"/>
    <w:pPr>
      <w:spacing w:before="100" w:beforeAutospacing="1" w:after="100" w:afterAutospacing="1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Calibri"/>
      <w:color w:val="0000ff"/>
      <w:sz w:val="24"/>
      <w:szCs w:val="24"/>
      <w:u w:val="single"/>
    </w:rPr>
  </w:style>
  <w:style w:type="paragraph" w:styleId="1031">
    <w:name w:val="Обычный + по ширине"/>
    <w:basedOn w:val="895"/>
    <w:next w:val="1031"/>
    <w:link w:val="895"/>
    <w:pPr>
      <w:jc w:val="both"/>
      <w:widowControl/>
    </w:pPr>
    <w:rPr>
      <w:color w:val="000000"/>
      <w:sz w:val="24"/>
      <w:szCs w:val="24"/>
    </w:rPr>
  </w:style>
  <w:style w:type="character" w:styleId="1032">
    <w:name w:val="Стиль Знак"/>
    <w:basedOn w:val="899"/>
    <w:next w:val="1032"/>
    <w:link w:val="910"/>
    <w:rPr>
      <w:rFonts w:ascii="Arial" w:hAnsi="Arial" w:cs="Arial"/>
      <w:lang w:val="ru-RU" w:eastAsia="ru-RU" w:bidi="ar-SA"/>
    </w:rPr>
  </w:style>
  <w:style w:type="character" w:styleId="1033">
    <w:name w:val="extended-text__short"/>
    <w:basedOn w:val="899"/>
    <w:next w:val="1033"/>
    <w:link w:val="895"/>
  </w:style>
  <w:style w:type="character" w:styleId="1034">
    <w:name w:val="Основной текст_"/>
    <w:next w:val="1034"/>
    <w:link w:val="1035"/>
    <w:rPr>
      <w:spacing w:val="4"/>
      <w:shd w:val="clear" w:color="auto" w:fill="ffffff"/>
      <w:lang w:bidi="ar-SA"/>
    </w:rPr>
  </w:style>
  <w:style w:type="paragraph" w:styleId="1035">
    <w:name w:val="Основной текст2"/>
    <w:basedOn w:val="895"/>
    <w:next w:val="1035"/>
    <w:link w:val="1034"/>
    <w:pPr>
      <w:jc w:val="both"/>
      <w:spacing w:before="240" w:after="240" w:line="264" w:lineRule="exact"/>
      <w:shd w:val="clear" w:color="auto" w:fill="ffffff"/>
    </w:pPr>
    <w:rPr>
      <w:color w:val="000000"/>
      <w:spacing w:val="4"/>
      <w:shd w:val="clear" w:color="auto" w:fill="ffffff"/>
      <w:lang w:val="en-US" w:eastAsia="en-US"/>
    </w:rPr>
  </w:style>
  <w:style w:type="paragraph" w:styleId="1036">
    <w:name w:val="Абзац списка"/>
    <w:basedOn w:val="895"/>
    <w:next w:val="1036"/>
    <w:link w:val="1041"/>
    <w:uiPriority w:val="34"/>
    <w:qFormat/>
    <w:pPr>
      <w:contextualSpacing/>
      <w:ind w:left="720"/>
      <w:widowControl/>
    </w:pPr>
    <w:rPr>
      <w:color w:val="000000"/>
      <w:sz w:val="24"/>
      <w:szCs w:val="24"/>
    </w:rPr>
  </w:style>
  <w:style w:type="paragraph" w:styleId="1037">
    <w:name w:val="ConsPlusNonformat"/>
    <w:next w:val="1037"/>
    <w:link w:val="895"/>
    <w:pPr>
      <w:widowControl w:val="off"/>
    </w:pPr>
    <w:rPr>
      <w:rFonts w:ascii="Courier New" w:hAnsi="Courier New" w:cs="Courier New"/>
      <w:lang w:val="ru-RU" w:eastAsia="zh-CN" w:bidi="ar-SA"/>
    </w:rPr>
  </w:style>
  <w:style w:type="paragraph" w:styleId="1038">
    <w:name w:val="Обычный.Нормальный абзац"/>
    <w:next w:val="1038"/>
    <w:link w:val="895"/>
    <w:pPr>
      <w:ind w:firstLine="709"/>
      <w:jc w:val="both"/>
      <w:widowControl w:val="off"/>
    </w:pPr>
    <w:rPr>
      <w:rFonts w:eastAsia="DejaVu Sans"/>
      <w:sz w:val="24"/>
      <w:lang w:val="ru-RU" w:eastAsia="zh-CN" w:bidi="ar-SA"/>
    </w:rPr>
  </w:style>
  <w:style w:type="paragraph" w:styleId="1039">
    <w:name w:val="Normal1"/>
    <w:next w:val="1039"/>
    <w:link w:val="895"/>
    <w:pPr>
      <w:spacing w:after="200" w:line="276" w:lineRule="atLeast"/>
      <w:tabs>
        <w:tab w:val="left" w:pos="709" w:leader="none"/>
      </w:tabs>
    </w:pPr>
    <w:rPr>
      <w:rFonts w:ascii="Calibri" w:hAnsi="Calibri" w:eastAsia="SimSun" w:cs="Calibri"/>
      <w:color w:val="00000a"/>
      <w:sz w:val="22"/>
      <w:szCs w:val="22"/>
      <w:lang w:val="ru-RU" w:eastAsia="zh-CN" w:bidi="ar-SA"/>
    </w:rPr>
  </w:style>
  <w:style w:type="character" w:styleId="1040">
    <w:name w:val="Цветовое выделение"/>
    <w:next w:val="1040"/>
    <w:link w:val="895"/>
    <w:rPr>
      <w:b/>
      <w:bCs/>
      <w:color w:val="26282f"/>
    </w:rPr>
  </w:style>
  <w:style w:type="character" w:styleId="1041">
    <w:name w:val="Абзац списка Знак"/>
    <w:basedOn w:val="1013"/>
    <w:next w:val="1041"/>
    <w:link w:val="1036"/>
    <w:uiPriority w:val="34"/>
    <w:rPr>
      <w:sz w:val="24"/>
      <w:szCs w:val="24"/>
    </w:rPr>
  </w:style>
  <w:style w:type="character" w:styleId="1042">
    <w:name w:val="Заголовок 2 Знак"/>
    <w:basedOn w:val="899"/>
    <w:next w:val="1042"/>
    <w:link w:val="897"/>
    <w:rPr>
      <w:rFonts w:ascii="Cambria" w:hAnsi="Cambria" w:eastAsia="Times New Roman" w:cs="Times New Roman"/>
      <w:b/>
      <w:bCs/>
      <w:i/>
      <w:iCs/>
      <w:color w:val="000000"/>
      <w:sz w:val="28"/>
      <w:szCs w:val="28"/>
    </w:rPr>
  </w:style>
  <w:style w:type="paragraph" w:styleId="1043">
    <w:name w:val="TOC Heading"/>
    <w:basedOn w:val="896"/>
    <w:next w:val="895"/>
    <w:link w:val="895"/>
    <w:pPr>
      <w:jc w:val="left"/>
      <w:keepLines/>
      <w:spacing w:after="0" w:line="259" w:lineRule="auto"/>
      <w:outlineLvl w:val="9"/>
    </w:pPr>
    <w:rPr>
      <w:rFonts w:ascii="Calibri Light" w:hAnsi="Calibri Light" w:eastAsia="Calibri"/>
      <w:b w:val="0"/>
      <w:color w:val="2e74b5"/>
      <w:sz w:val="32"/>
      <w:szCs w:val="32"/>
      <w:lang w:eastAsia="ru-RU"/>
    </w:rPr>
  </w:style>
  <w:style w:type="character" w:styleId="1044">
    <w:name w:val="Знак примечания"/>
    <w:basedOn w:val="899"/>
    <w:next w:val="1044"/>
    <w:link w:val="895"/>
    <w:rPr>
      <w:rFonts w:cs="Times New Roman"/>
      <w:sz w:val="16"/>
      <w:szCs w:val="16"/>
    </w:rPr>
  </w:style>
  <w:style w:type="paragraph" w:styleId="1045">
    <w:name w:val="Текст примечания"/>
    <w:basedOn w:val="895"/>
    <w:next w:val="1045"/>
    <w:link w:val="1046"/>
    <w:pPr>
      <w:spacing w:after="160"/>
      <w:widowControl/>
    </w:pPr>
    <w:rPr>
      <w:rFonts w:ascii="Calibri" w:hAnsi="Calibri"/>
      <w:color w:val="000000"/>
      <w:lang w:eastAsia="en-US"/>
    </w:rPr>
  </w:style>
  <w:style w:type="character" w:styleId="1046">
    <w:name w:val="Текст примечания Знак"/>
    <w:basedOn w:val="899"/>
    <w:next w:val="1046"/>
    <w:link w:val="1045"/>
    <w:rPr>
      <w:rFonts w:ascii="Calibri" w:hAnsi="Calibri"/>
      <w:lang w:eastAsia="en-US"/>
    </w:rPr>
  </w:style>
  <w:style w:type="paragraph" w:styleId="1047">
    <w:name w:val="Тема примечания"/>
    <w:basedOn w:val="1045"/>
    <w:next w:val="1045"/>
    <w:link w:val="1048"/>
    <w:rPr>
      <w:b/>
      <w:bCs/>
    </w:rPr>
  </w:style>
  <w:style w:type="character" w:styleId="1048">
    <w:name w:val="Тема примечания Знак"/>
    <w:basedOn w:val="1046"/>
    <w:next w:val="1048"/>
    <w:link w:val="1047"/>
    <w:rPr>
      <w:b/>
      <w:bCs/>
    </w:rPr>
  </w:style>
  <w:style w:type="paragraph" w:styleId="1049">
    <w:name w:val="Оглавление 1"/>
    <w:basedOn w:val="895"/>
    <w:next w:val="895"/>
    <w:link w:val="895"/>
    <w:pPr>
      <w:spacing w:after="100" w:line="259" w:lineRule="auto"/>
      <w:widowControl/>
      <w:tabs>
        <w:tab w:val="right" w:pos="9923" w:leader="dot"/>
      </w:tabs>
    </w:pPr>
    <w:rPr>
      <w:rFonts w:ascii="Calibri" w:hAnsi="Calibri"/>
      <w:color w:val="000000"/>
      <w:sz w:val="22"/>
      <w:szCs w:val="22"/>
      <w:lang w:eastAsia="en-US"/>
    </w:rPr>
  </w:style>
  <w:style w:type="paragraph" w:styleId="1050">
    <w:name w:val="Оглавление 2"/>
    <w:basedOn w:val="895"/>
    <w:next w:val="895"/>
    <w:link w:val="895"/>
    <w:pPr>
      <w:ind w:left="220"/>
      <w:spacing w:after="100" w:line="259" w:lineRule="auto"/>
      <w:widowControl/>
    </w:pPr>
    <w:rPr>
      <w:rFonts w:ascii="Calibri" w:hAnsi="Calibri"/>
      <w:color w:val="000000"/>
      <w:sz w:val="22"/>
      <w:szCs w:val="22"/>
      <w:lang w:eastAsia="en-US"/>
    </w:rPr>
  </w:style>
  <w:style w:type="character" w:styleId="1051">
    <w:name w:val="Верхний колонтитул Знак"/>
    <w:basedOn w:val="899"/>
    <w:next w:val="1051"/>
    <w:link w:val="992"/>
    <w:rPr>
      <w:rFonts w:eastAsia="Lucida Sans Unicode"/>
      <w:szCs w:val="24"/>
      <w:lang w:eastAsia="en-US"/>
    </w:rPr>
  </w:style>
  <w:style w:type="paragraph" w:styleId="1052">
    <w:name w:val="Нижний колонтитул"/>
    <w:basedOn w:val="895"/>
    <w:next w:val="1052"/>
    <w:link w:val="1053"/>
    <w:uiPriority w:val="99"/>
    <w:pPr>
      <w:spacing w:after="160" w:line="259" w:lineRule="auto"/>
      <w:widowControl/>
      <w:tabs>
        <w:tab w:val="center" w:pos="4677" w:leader="none"/>
        <w:tab w:val="right" w:pos="9355" w:leader="none"/>
      </w:tabs>
    </w:pPr>
    <w:rPr>
      <w:rFonts w:ascii="Calibri" w:hAnsi="Calibri"/>
      <w:color w:val="000000"/>
      <w:sz w:val="22"/>
      <w:szCs w:val="22"/>
      <w:lang w:eastAsia="en-US"/>
    </w:rPr>
  </w:style>
  <w:style w:type="character" w:styleId="1053">
    <w:name w:val="Нижний колонтитул Знак"/>
    <w:basedOn w:val="899"/>
    <w:next w:val="1053"/>
    <w:link w:val="1052"/>
    <w:uiPriority w:val="99"/>
    <w:rPr>
      <w:rFonts w:ascii="Calibri" w:hAnsi="Calibri"/>
      <w:sz w:val="22"/>
      <w:szCs w:val="22"/>
      <w:lang w:eastAsia="en-US"/>
    </w:rPr>
  </w:style>
  <w:style w:type="character" w:styleId="1054">
    <w:name w:val="eattr"/>
    <w:basedOn w:val="899"/>
    <w:next w:val="1054"/>
    <w:link w:val="895"/>
  </w:style>
  <w:style w:type="paragraph" w:styleId="1055">
    <w:name w:val="Абзац списка1"/>
    <w:basedOn w:val="895"/>
    <w:next w:val="1055"/>
    <w:link w:val="895"/>
    <w:pPr>
      <w:ind w:left="708"/>
      <w:jc w:val="both"/>
      <w:widowControl/>
    </w:pPr>
    <w:rPr>
      <w:color w:val="000000"/>
      <w:sz w:val="24"/>
      <w:szCs w:val="24"/>
      <w:lang w:eastAsia="ar-SA"/>
    </w:rPr>
  </w:style>
  <w:style w:type="character" w:styleId="1056" w:default="1">
    <w:name w:val="Default Paragraph Font"/>
    <w:uiPriority w:val="1"/>
    <w:semiHidden/>
    <w:unhideWhenUsed/>
  </w:style>
  <w:style w:type="numbering" w:styleId="1057" w:default="1">
    <w:name w:val="No List"/>
    <w:uiPriority w:val="99"/>
    <w:semiHidden/>
    <w:unhideWhenUsed/>
  </w:style>
  <w:style w:type="table" w:styleId="1058" w:default="1">
    <w:name w:val="Normal Table"/>
    <w:uiPriority w:val="99"/>
    <w:semiHidden/>
    <w:unhideWhenUsed/>
    <w:tblPr/>
  </w:style>
  <w:style w:type="paragraph" w:styleId="1059" w:customStyle="1">
    <w:name w:val="Plain Text"/>
    <w:basedOn w:val="773"/>
    <w:link w:val="901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Calibri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60" w:customStyle="1">
    <w:name w:val="Заголовок 1"/>
    <w:basedOn w:val="927"/>
    <w:next w:val="927"/>
    <w:link w:val="933"/>
    <w:qFormat/>
    <w:pPr>
      <w:contextualSpacing w:val="0"/>
      <w:ind w:left="0" w:right="0" w:firstLine="0"/>
      <w:jc w:val="left"/>
      <w:keepLines/>
      <w:keepNext/>
      <w:pageBreakBefore w:val="0"/>
      <w:spacing w:before="240" w:beforeAutospacing="0" w:after="0" w:afterAutospacing="0" w:line="259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  <w:suppressLineNumbers w:val="0"/>
    </w:pPr>
    <w:rPr>
      <w:rFonts w:ascii="Calibri Light" w:hAnsi="Calibri Light" w:eastAsia="Calibri" w:cs="Times New Roman"/>
      <w:b w:val="0"/>
      <w:bCs w:val="0"/>
      <w:i w:val="0"/>
      <w:iCs w:val="0"/>
      <w:caps w:val="0"/>
      <w:smallCaps w:val="0"/>
      <w:strike w:val="0"/>
      <w:vanish w:val="0"/>
      <w:color w:val="2e74b5"/>
      <w:spacing w:val="0"/>
      <w:position w:val="0"/>
      <w:sz w:val="32"/>
      <w:szCs w:val="3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Мир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Долговоа Кристина Александровна</dc:creator>
  <cp:lastModifiedBy>eliseevaoa_loc</cp:lastModifiedBy>
  <cp:revision>87</cp:revision>
  <dcterms:created xsi:type="dcterms:W3CDTF">2022-11-01T10:46:00Z</dcterms:created>
  <dcterms:modified xsi:type="dcterms:W3CDTF">2026-10-06T09:32:29Z</dcterms:modified>
  <cp:version>786432</cp:version>
</cp:coreProperties>
</file>