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firstLine="0"/>
        <w:jc w:val="center"/>
        <w:rPr>
          <w:b w:val="1"/>
        </w:rPr>
      </w:pPr>
      <w:r>
        <w:rPr>
          <w:b w:val="1"/>
        </w:rPr>
        <w:t>ОБОСНОВАНИЕ НАЧАЛЬНОЙ (МАКСИМАЛЬНОЙ) ЦЕНЫ КОНТРАКТА</w:t>
      </w:r>
    </w:p>
    <w:p w14:paraId="02000000">
      <w:pPr>
        <w:ind w:firstLine="720"/>
      </w:pPr>
    </w:p>
    <w:p w14:paraId="03000000">
      <w:pPr>
        <w:ind w:firstLine="720"/>
      </w:pPr>
      <w:r>
        <w:rPr>
          <w:b w:val="1"/>
        </w:rPr>
        <w:t xml:space="preserve">Объект закупки: </w:t>
      </w:r>
      <w:r>
        <w:t>Оказание услуг</w:t>
      </w:r>
      <w:r>
        <w:t xml:space="preserve"> </w:t>
      </w:r>
      <w:r>
        <w:t xml:space="preserve">по </w:t>
      </w:r>
      <w:r>
        <w:t>модернизации</w:t>
      </w:r>
      <w:r>
        <w:t xml:space="preserve"> информационно-аналитической системы «Ситуационный центр Главы РС(Я)»</w:t>
      </w:r>
      <w:r>
        <w:t>.</w:t>
      </w:r>
    </w:p>
    <w:p w14:paraId="04000000">
      <w:pPr>
        <w:ind w:firstLine="720"/>
      </w:pPr>
      <w:r>
        <w:rPr>
          <w:sz w:val="28"/>
        </w:rPr>
        <w:t xml:space="preserve"> </w:t>
      </w:r>
      <w:r>
        <w:rPr>
          <w:b w:val="1"/>
        </w:rPr>
        <w:t>Используемый метод определения начальной (максимальной) цены контракта</w:t>
      </w:r>
      <w:r>
        <w:rPr>
          <w:i w:val="1"/>
        </w:rPr>
        <w:t xml:space="preserve">: </w:t>
      </w:r>
      <w:r>
        <w:t>Метод сопоставимых рыночных цен (анализа рынка) в соответствии с ч. 6 ст. 22 Федерального закона от 05.04.2013 № 44-ФЗ.</w:t>
      </w:r>
    </w:p>
    <w:p w14:paraId="05000000">
      <w:pPr>
        <w:ind w:firstLine="720"/>
      </w:pPr>
      <w:r>
        <w:rPr>
          <w:b w:val="1"/>
        </w:rPr>
        <w:t>Расчет начальной (максимальной) цены контракта:</w:t>
      </w:r>
      <w:r>
        <w:t xml:space="preserve"> В целях расчета начальной (максимальной) цены контракта на </w:t>
      </w:r>
      <w:r>
        <w:t>р</w:t>
      </w:r>
      <w:r>
        <w:t xml:space="preserve">аботы </w:t>
      </w:r>
      <w:r>
        <w:t>в соответствии с м</w:t>
      </w:r>
      <w:r>
        <w:t>етодическими рекомендациями по применению методов определения начальной (максимальной) цены контракта, цены контракта, заключаемого с единственными поставщиком (подрядчиком, исполнителем), утвержденными приказом Минэкономразвития России от</w:t>
      </w:r>
      <w:r>
        <w:t xml:space="preserve"> 02.10.2013 № 567 (далее, Метод</w:t>
      </w:r>
      <w:r>
        <w:t xml:space="preserve">ические </w:t>
      </w:r>
      <w:r>
        <w:t>рекомендации)</w:t>
      </w:r>
      <w:r>
        <w:t>,</w:t>
      </w:r>
      <w:r>
        <w:t xml:space="preserve"> был осуществлен анализ </w:t>
      </w:r>
      <w:r>
        <w:t>ценовой информации</w:t>
      </w:r>
      <w:r>
        <w:t xml:space="preserve"> на основе полученных коммерческих предложений компа</w:t>
      </w:r>
      <w:r>
        <w:t>ний, имеющих опыт выполнения</w:t>
      </w:r>
      <w:r>
        <w:t xml:space="preserve"> данной </w:t>
      </w:r>
      <w:r>
        <w:t>работы</w:t>
      </w:r>
      <w:r>
        <w:t>.</w:t>
      </w:r>
    </w:p>
    <w:p w14:paraId="06000000">
      <w:pPr>
        <w:ind w:firstLine="720"/>
      </w:pPr>
    </w:p>
    <w:tbl>
      <w:tblPr>
        <w:tblStyle w:val="Style_1"/>
        <w:tblW w:type="auto" w:w="0"/>
        <w:tblInd w:type="dxa" w:w="-34"/>
        <w:tblLayout w:type="fixed"/>
      </w:tblPr>
      <w:tblGrid>
        <w:gridCol w:w="499"/>
        <w:gridCol w:w="2499"/>
        <w:gridCol w:w="947"/>
        <w:gridCol w:w="684"/>
        <w:gridCol w:w="1439"/>
        <w:gridCol w:w="1501"/>
        <w:gridCol w:w="9"/>
        <w:gridCol w:w="1383"/>
        <w:gridCol w:w="1415"/>
        <w:gridCol w:w="6"/>
        <w:gridCol w:w="1471"/>
        <w:gridCol w:w="1457"/>
        <w:gridCol w:w="6"/>
        <w:gridCol w:w="1486"/>
      </w:tblGrid>
      <w:tr>
        <w:trPr>
          <w:trHeight w:hRule="atLeast" w:val="155"/>
        </w:trPr>
        <w:tc>
          <w:tcPr>
            <w:tcW w:type="dxa" w:w="499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vAlign w:val="center"/>
          </w:tcPr>
          <w:p w14:paraId="07000000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type="dxa" w:w="2499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vAlign w:val="center"/>
          </w:tcPr>
          <w:p w14:paraId="08000000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Наименование </w:t>
            </w:r>
            <w:r>
              <w:rPr>
                <w:sz w:val="20"/>
              </w:rPr>
              <w:t>услуги</w:t>
            </w:r>
          </w:p>
        </w:tc>
        <w:tc>
          <w:tcPr>
            <w:tcW w:type="dxa" w:w="1631"/>
            <w:gridSpan w:val="2"/>
            <w:tcBorders>
              <w:top w:color="000000" w:sz="4" w:val="single"/>
              <w:left w:sz="4" w:themeColor="text1" w:val="single"/>
              <w:bottom w:color="000000" w:sz="4" w:val="single"/>
              <w:right w:color="000000" w:sz="4" w:val="single"/>
            </w:tcBorders>
            <w:vAlign w:val="center"/>
          </w:tcPr>
          <w:p w14:paraId="09000000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Объем </w:t>
            </w:r>
          </w:p>
        </w:tc>
        <w:tc>
          <w:tcPr>
            <w:tcW w:type="dxa" w:w="2949"/>
            <w:gridSpan w:val="3"/>
            <w:tcBorders>
              <w:top w:color="000000" w:sz="4" w:val="single"/>
              <w:left w:sz="4" w:themeColor="text1" w:val="single"/>
              <w:bottom w:color="000000" w:sz="4" w:val="single"/>
              <w:right w:color="000000" w:sz="4" w:val="single"/>
            </w:tcBorders>
          </w:tcPr>
          <w:p w14:paraId="0A000000">
            <w:pPr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Предложение 1</w:t>
            </w:r>
          </w:p>
          <w:tbl>
            <w:tblPr>
              <w:tblStyle w:val="Style_2"/>
              <w:tblW w:type="auto" w:w="0"/>
              <w:tblBorders>
                <w:top w:sz="4" w:val="nil"/>
                <w:left w:sz="4" w:val="nil"/>
                <w:bottom w:sz="4" w:val="nil"/>
                <w:right w:sz="4" w:val="nil"/>
              </w:tblBorders>
              <w:tblLayout w:type="fixed"/>
            </w:tblPr>
            <w:tblGrid>
              <w:gridCol w:w="2667"/>
            </w:tblGrid>
            <w:tr>
              <w:trPr>
                <w:trHeight w:hRule="atLeast" w:val="109"/>
              </w:trPr>
              <w:tc>
                <w:tcPr>
                  <w:tcW w:type="dxa" w:w="2667"/>
                  <w:tcBorders>
                    <w:top w:sz="4" w:val="nil"/>
                    <w:left w:sz="4" w:val="nil"/>
                    <w:bottom w:sz="4" w:val="nil"/>
                    <w:right w:sz="4" w:val="nil"/>
                  </w:tcBorders>
                </w:tcPr>
                <w:p w14:paraId="0B000000">
                  <w:pPr>
                    <w:ind w:firstLine="0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№</w:t>
                  </w:r>
                  <w:r>
                    <w:rPr>
                      <w:sz w:val="18"/>
                    </w:rPr>
                    <w:t xml:space="preserve"> 22/9 от 16 сентября 2026</w:t>
                  </w:r>
                </w:p>
              </w:tc>
            </w:tr>
          </w:tbl>
          <w:p w14:paraId="0C000000">
            <w:pPr>
              <w:ind w:firstLine="0"/>
              <w:jc w:val="center"/>
              <w:rPr>
                <w:sz w:val="18"/>
              </w:rPr>
            </w:pPr>
          </w:p>
        </w:tc>
        <w:tc>
          <w:tcPr>
            <w:tcW w:type="dxa" w:w="280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Предложение 2</w:t>
            </w:r>
          </w:p>
          <w:p w14:paraId="0E000000">
            <w:pPr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о</w:t>
            </w:r>
            <w:r>
              <w:rPr>
                <w:sz w:val="18"/>
              </w:rPr>
              <w:t>т</w:t>
            </w:r>
            <w:r>
              <w:rPr>
                <w:sz w:val="18"/>
              </w:rPr>
              <w:t xml:space="preserve"> 16</w:t>
            </w:r>
            <w:r>
              <w:rPr>
                <w:sz w:val="18"/>
              </w:rPr>
              <w:t>.09</w:t>
            </w:r>
            <w:r>
              <w:rPr>
                <w:sz w:val="18"/>
              </w:rPr>
              <w:t>.2026</w:t>
            </w:r>
            <w:r>
              <w:rPr>
                <w:sz w:val="18"/>
              </w:rPr>
              <w:t xml:space="preserve"> г. №</w:t>
            </w:r>
            <w:r>
              <w:rPr>
                <w:sz w:val="18"/>
              </w:rPr>
              <w:t>26/038</w:t>
            </w:r>
          </w:p>
        </w:tc>
        <w:tc>
          <w:tcPr>
            <w:tcW w:type="dxa" w:w="293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00000">
            <w:pPr>
              <w:ind w:firstLine="0"/>
              <w:jc w:val="center"/>
              <w:rPr>
                <w:sz w:val="18"/>
              </w:rPr>
            </w:pPr>
            <w:r>
              <w:rPr>
                <w:sz w:val="18"/>
              </w:rPr>
              <w:t>Предложение 3</w:t>
            </w:r>
          </w:p>
          <w:tbl>
            <w:tblPr>
              <w:tblStyle w:val="Style_2"/>
              <w:tblW w:type="auto" w:w="0"/>
              <w:tblBorders>
                <w:top w:sz="4" w:val="nil"/>
                <w:left w:sz="4" w:val="nil"/>
                <w:bottom w:sz="4" w:val="nil"/>
                <w:right w:sz="4" w:val="nil"/>
              </w:tblBorders>
              <w:tblLayout w:type="fixed"/>
            </w:tblPr>
            <w:tblGrid>
              <w:gridCol w:w="1859"/>
            </w:tblGrid>
            <w:tr>
              <w:trPr>
                <w:trHeight w:hRule="atLeast" w:val="89"/>
              </w:trPr>
              <w:tc>
                <w:tcPr>
                  <w:tcW w:type="dxa" w:w="1859"/>
                  <w:tcBorders>
                    <w:top w:sz="4" w:val="nil"/>
                    <w:left w:sz="4" w:val="nil"/>
                    <w:bottom w:sz="4" w:val="nil"/>
                    <w:right w:sz="4" w:val="nil"/>
                  </w:tcBorders>
                </w:tcPr>
                <w:p w14:paraId="10000000">
                  <w:pPr>
                    <w:ind w:firstLine="0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о</w:t>
                  </w:r>
                  <w:r>
                    <w:rPr>
                      <w:sz w:val="18"/>
                    </w:rPr>
                    <w:t>т</w:t>
                  </w:r>
                  <w:r>
                    <w:rPr>
                      <w:sz w:val="18"/>
                    </w:rPr>
                    <w:t xml:space="preserve"> 17</w:t>
                  </w:r>
                  <w:r>
                    <w:rPr>
                      <w:sz w:val="18"/>
                    </w:rPr>
                    <w:t>.09</w:t>
                  </w:r>
                  <w:r>
                    <w:rPr>
                      <w:sz w:val="18"/>
                    </w:rPr>
                    <w:t>.2026</w:t>
                  </w:r>
                  <w:r>
                    <w:rPr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г. №6</w:t>
                  </w:r>
                </w:p>
              </w:tc>
            </w:tr>
          </w:tbl>
          <w:p w14:paraId="11000000">
            <w:pPr>
              <w:ind w:firstLine="0"/>
              <w:jc w:val="center"/>
              <w:rPr>
                <w:sz w:val="18"/>
              </w:rPr>
            </w:pPr>
          </w:p>
        </w:tc>
        <w:tc>
          <w:tcPr>
            <w:tcW w:type="dxa" w:w="1486"/>
            <w:tcBorders>
              <w:top w:color="000000" w:sz="4" w:val="single"/>
              <w:left w:color="000000" w:sz="4" w:val="single"/>
              <w:bottom w:sz="4" w:themeColor="text1" w:val="single"/>
              <w:right w:color="000000" w:sz="4" w:val="single"/>
            </w:tcBorders>
            <w:vAlign w:val="center"/>
          </w:tcPr>
          <w:p w14:paraId="12000000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НМЦК, руб</w:t>
            </w:r>
            <w:r>
              <w:rPr>
                <w:sz w:val="20"/>
              </w:rPr>
              <w:t>.</w:t>
            </w:r>
          </w:p>
        </w:tc>
      </w:tr>
      <w:tr>
        <w:trPr>
          <w:trHeight w:hRule="atLeast" w:val="127"/>
        </w:trPr>
        <w:tc>
          <w:tcPr>
            <w:tcW w:type="dxa" w:w="499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vAlign w:val="center"/>
          </w:tcPr>
          <w:p/>
        </w:tc>
        <w:tc>
          <w:tcPr>
            <w:tcW w:type="dxa" w:w="2499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vAlign w:val="center"/>
          </w:tcPr>
          <w:p/>
        </w:tc>
        <w:tc>
          <w:tcPr>
            <w:tcW w:type="dxa" w:w="947"/>
            <w:tcBorders>
              <w:top w:color="000000" w:sz="4" w:val="single"/>
              <w:left w:sz="4" w:themeColor="text1" w:val="single"/>
              <w:bottom w:sz="4" w:themeColor="text1" w:val="single"/>
              <w:right w:color="000000" w:sz="4" w:val="single"/>
            </w:tcBorders>
            <w:vAlign w:val="center"/>
          </w:tcPr>
          <w:p w14:paraId="13000000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Ед. изм.</w:t>
            </w:r>
          </w:p>
        </w:tc>
        <w:tc>
          <w:tcPr>
            <w:tcW w:type="dxa" w:w="684"/>
            <w:tcBorders>
              <w:top w:color="000000" w:sz="4" w:val="single"/>
              <w:left w:sz="4" w:themeColor="text1" w:val="single"/>
              <w:bottom w:sz="4" w:themeColor="text1" w:val="single"/>
              <w:right w:color="000000" w:sz="4" w:val="single"/>
            </w:tcBorders>
            <w:vAlign w:val="center"/>
          </w:tcPr>
          <w:p w14:paraId="14000000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Кол-во</w:t>
            </w:r>
          </w:p>
        </w:tc>
        <w:tc>
          <w:tcPr>
            <w:tcW w:type="dxa" w:w="1439"/>
            <w:tcBorders>
              <w:top w:color="000000" w:sz="4" w:val="single"/>
              <w:left w:sz="4" w:themeColor="text1" w:val="single"/>
              <w:bottom w:sz="4" w:themeColor="text1" w:val="single"/>
              <w:right w:color="000000" w:sz="4" w:val="single"/>
            </w:tcBorders>
          </w:tcPr>
          <w:p w14:paraId="15000000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Цена за ед. руб.</w:t>
            </w:r>
          </w:p>
        </w:tc>
        <w:tc>
          <w:tcPr>
            <w:tcW w:type="dxa" w:w="1501"/>
            <w:tcBorders>
              <w:top w:color="000000" w:sz="4" w:val="single"/>
              <w:left w:sz="4" w:themeColor="text1" w:val="single"/>
              <w:bottom w:sz="4" w:themeColor="text1" w:val="single"/>
              <w:right w:color="000000" w:sz="4" w:val="single"/>
            </w:tcBorders>
          </w:tcPr>
          <w:p w14:paraId="16000000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Стоимость, руб.</w:t>
            </w:r>
          </w:p>
        </w:tc>
        <w:tc>
          <w:tcPr>
            <w:tcW w:type="dxa" w:w="1392"/>
            <w:gridSpan w:val="2"/>
            <w:tcBorders>
              <w:top w:color="000000" w:sz="4" w:val="single"/>
              <w:left w:color="000000" w:sz="4" w:val="single"/>
              <w:bottom w:sz="4" w:themeColor="text1" w:val="single"/>
              <w:right w:color="000000" w:sz="4" w:val="single"/>
            </w:tcBorders>
            <w:vAlign w:val="center"/>
          </w:tcPr>
          <w:p w14:paraId="17000000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Цена за ед. руб.</w:t>
            </w:r>
          </w:p>
        </w:tc>
        <w:tc>
          <w:tcPr>
            <w:tcW w:type="dxa" w:w="1415"/>
            <w:tcBorders>
              <w:top w:color="000000" w:sz="4" w:val="single"/>
              <w:left w:color="000000" w:sz="4" w:val="single"/>
              <w:bottom w:sz="4" w:themeColor="text1" w:val="single"/>
              <w:right w:color="000000" w:sz="4" w:val="single"/>
            </w:tcBorders>
            <w:vAlign w:val="center"/>
          </w:tcPr>
          <w:p w14:paraId="18000000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Стоимость, руб.</w:t>
            </w:r>
          </w:p>
        </w:tc>
        <w:tc>
          <w:tcPr>
            <w:tcW w:type="dxa" w:w="1477"/>
            <w:gridSpan w:val="2"/>
            <w:tcBorders>
              <w:top w:color="000000" w:sz="4" w:val="single"/>
              <w:left w:color="000000" w:sz="4" w:val="single"/>
              <w:bottom w:sz="4" w:themeColor="text1" w:val="single"/>
              <w:right w:color="000000" w:sz="4" w:val="single"/>
            </w:tcBorders>
            <w:vAlign w:val="center"/>
          </w:tcPr>
          <w:p w14:paraId="19000000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Цена за ед. руб.</w:t>
            </w:r>
          </w:p>
        </w:tc>
        <w:tc>
          <w:tcPr>
            <w:tcW w:type="dxa" w:w="1457"/>
            <w:tcBorders>
              <w:top w:color="000000" w:sz="4" w:val="single"/>
              <w:left w:color="000000" w:sz="4" w:val="single"/>
              <w:bottom w:sz="4" w:themeColor="text1" w:val="single"/>
              <w:right w:color="000000" w:sz="4" w:val="single"/>
            </w:tcBorders>
            <w:vAlign w:val="center"/>
          </w:tcPr>
          <w:p w14:paraId="1A000000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Стоимость, руб.</w:t>
            </w:r>
          </w:p>
        </w:tc>
        <w:tc>
          <w:tcPr>
            <w:tcW w:type="dxa" w:w="1492"/>
            <w:gridSpan w:val="2"/>
            <w:tcBorders>
              <w:top w:color="000000" w:sz="4" w:val="single"/>
              <w:left w:color="000000" w:sz="4" w:val="single"/>
              <w:bottom w:sz="4" w:themeColor="text1" w:val="single"/>
              <w:right w:color="000000" w:sz="4" w:val="single"/>
            </w:tcBorders>
            <w:vAlign w:val="center"/>
          </w:tcPr>
          <w:p w14:paraId="1B000000">
            <w:pPr>
              <w:ind w:firstLine="0"/>
              <w:jc w:val="left"/>
              <w:rPr>
                <w:sz w:val="20"/>
              </w:rPr>
            </w:pPr>
          </w:p>
        </w:tc>
      </w:tr>
      <w:tr>
        <w:trPr>
          <w:trHeight w:hRule="atLeast" w:val="1696"/>
        </w:trPr>
        <w:tc>
          <w:tcPr>
            <w:tcW w:type="dxa" w:w="499"/>
            <w:tcBorders>
              <w:top w:sz="4" w:themeColor="text1" w:val="single"/>
              <w:left w:sz="4" w:themeColor="text1" w:val="single"/>
              <w:bottom w:sz="4" w:themeColor="text1" w:val="single"/>
              <w:right w:color="000000" w:sz="4" w:val="single"/>
            </w:tcBorders>
          </w:tcPr>
          <w:p w14:paraId="1C000000">
            <w:pPr>
              <w:ind w:firstLine="0"/>
              <w:jc w:val="center"/>
              <w:rPr>
                <w:sz w:val="20"/>
              </w:rPr>
            </w:pPr>
          </w:p>
          <w:p w14:paraId="1D000000">
            <w:pPr>
              <w:ind w:firstLine="0"/>
              <w:jc w:val="center"/>
              <w:rPr>
                <w:sz w:val="20"/>
              </w:rPr>
            </w:pPr>
          </w:p>
          <w:p w14:paraId="1E000000">
            <w:pPr>
              <w:ind w:firstLine="0"/>
              <w:jc w:val="center"/>
              <w:rPr>
                <w:sz w:val="20"/>
              </w:rPr>
            </w:pPr>
          </w:p>
          <w:p w14:paraId="1F000000">
            <w:pPr>
              <w:ind w:firstLine="0"/>
              <w:rPr>
                <w:sz w:val="20"/>
              </w:rPr>
            </w:pPr>
            <w:r>
              <w:rPr>
                <w:sz w:val="20"/>
              </w:rPr>
              <w:t xml:space="preserve">  1</w:t>
            </w:r>
          </w:p>
        </w:tc>
        <w:tc>
          <w:tcPr>
            <w:tcW w:type="dxa" w:w="2499"/>
            <w:tcBorders>
              <w:top w:sz="4" w:themeColor="text1" w:val="single"/>
              <w:left w:color="000000" w:sz="4" w:val="single"/>
              <w:bottom w:sz="4" w:themeColor="text1" w:val="single"/>
              <w:right w:sz="4" w:themeColor="text1" w:val="single"/>
            </w:tcBorders>
            <w:vAlign w:val="center"/>
          </w:tcPr>
          <w:p w14:paraId="20000000">
            <w:pPr>
              <w:ind w:firstLine="0"/>
              <w:jc w:val="center"/>
              <w:rPr>
                <w:sz w:val="20"/>
                <w:highlight w:val="yellow"/>
              </w:rPr>
            </w:pPr>
            <w:r>
              <w:rPr>
                <w:sz w:val="20"/>
              </w:rPr>
              <w:t xml:space="preserve">Оказание услуг </w:t>
            </w:r>
            <w:r>
              <w:rPr>
                <w:sz w:val="20"/>
              </w:rPr>
              <w:t xml:space="preserve">по </w:t>
            </w:r>
            <w:r>
              <w:rPr>
                <w:sz w:val="20"/>
              </w:rPr>
              <w:t>модернизации</w:t>
            </w:r>
            <w:r>
              <w:rPr>
                <w:sz w:val="20"/>
              </w:rPr>
              <w:t xml:space="preserve"> информационно-аналитической системы «Ситуационный центр Главы РС(Я)»</w:t>
            </w:r>
          </w:p>
        </w:tc>
        <w:tc>
          <w:tcPr>
            <w:tcW w:type="dxa" w:w="94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vAlign w:val="center"/>
          </w:tcPr>
          <w:p w14:paraId="21000000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Усл</w:t>
            </w:r>
            <w:r>
              <w:rPr>
                <w:sz w:val="20"/>
              </w:rPr>
              <w:t>.ед.</w:t>
            </w:r>
          </w:p>
        </w:tc>
        <w:tc>
          <w:tcPr>
            <w:tcW w:type="dxa" w:w="684"/>
            <w:tcBorders>
              <w:top w:sz="4" w:themeColor="text1" w:val="single"/>
              <w:left w:color="000000" w:sz="4" w:val="single"/>
              <w:bottom w:sz="4" w:themeColor="text1" w:val="single"/>
              <w:right w:color="000000" w:sz="4" w:val="single"/>
            </w:tcBorders>
            <w:vAlign w:val="center"/>
          </w:tcPr>
          <w:p w14:paraId="22000000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type="dxa" w:w="1439"/>
            <w:tcBorders>
              <w:top w:sz="4" w:themeColor="text1" w:val="single"/>
              <w:left w:color="000000" w:sz="4" w:val="single"/>
              <w:bottom w:sz="4" w:themeColor="text1" w:val="single"/>
              <w:right w:color="000000" w:sz="4" w:val="single"/>
            </w:tcBorders>
            <w:vAlign w:val="center"/>
          </w:tcPr>
          <w:p w14:paraId="23000000">
            <w:pPr>
              <w:spacing w:after="0" w:line="240" w:lineRule="auto"/>
              <w:ind w:firstLine="0"/>
              <w:jc w:val="center"/>
            </w:pPr>
            <w:r>
              <w:rPr>
                <w:sz w:val="20"/>
              </w:rPr>
              <w:t>2 650 000</w:t>
            </w:r>
          </w:p>
        </w:tc>
        <w:tc>
          <w:tcPr>
            <w:tcW w:type="dxa" w:w="1501"/>
            <w:tcBorders>
              <w:top w:sz="4" w:themeColor="text1" w:val="single"/>
              <w:left w:color="000000" w:sz="4" w:val="single"/>
              <w:bottom w:sz="4" w:themeColor="text1" w:val="single"/>
              <w:right w:color="000000" w:sz="4" w:val="single"/>
            </w:tcBorders>
            <w:vAlign w:val="center"/>
          </w:tcPr>
          <w:p w14:paraId="24000000">
            <w:pPr>
              <w:ind w:firstLine="0"/>
              <w:jc w:val="center"/>
            </w:pPr>
            <w:r>
              <w:rPr>
                <w:sz w:val="20"/>
              </w:rPr>
              <w:t>2 650 000</w:t>
            </w:r>
          </w:p>
        </w:tc>
        <w:tc>
          <w:tcPr>
            <w:tcW w:type="dxa" w:w="1392"/>
            <w:gridSpan w:val="2"/>
            <w:tcBorders>
              <w:top w:sz="4" w:themeColor="text1" w:val="single"/>
              <w:left w:color="000000" w:sz="4" w:val="single"/>
              <w:bottom w:sz="4" w:themeColor="text1" w:val="single"/>
              <w:right w:color="000000" w:sz="4" w:val="single"/>
            </w:tcBorders>
            <w:vAlign w:val="center"/>
          </w:tcPr>
          <w:p w14:paraId="25000000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2 450 000</w:t>
            </w:r>
          </w:p>
        </w:tc>
        <w:tc>
          <w:tcPr>
            <w:tcW w:type="dxa" w:w="1415"/>
            <w:tcBorders>
              <w:top w:sz="4" w:themeColor="text1" w:val="single"/>
              <w:left w:color="000000" w:sz="4" w:val="single"/>
              <w:bottom w:sz="4" w:themeColor="text1" w:val="single"/>
              <w:right w:color="000000" w:sz="4" w:val="single"/>
            </w:tcBorders>
            <w:vAlign w:val="center"/>
          </w:tcPr>
          <w:p w14:paraId="26000000">
            <w:pPr>
              <w:spacing w:after="0" w:line="240" w:lineRule="auto"/>
              <w:ind w:firstLine="0"/>
              <w:jc w:val="center"/>
            </w:pPr>
            <w:r>
              <w:rPr>
                <w:sz w:val="20"/>
              </w:rPr>
              <w:t>2 450 000</w:t>
            </w:r>
          </w:p>
        </w:tc>
        <w:tc>
          <w:tcPr>
            <w:tcW w:type="dxa" w:w="1477"/>
            <w:gridSpan w:val="2"/>
            <w:tcBorders>
              <w:top w:sz="4" w:themeColor="text1" w:val="single"/>
              <w:left w:color="000000" w:sz="4" w:val="single"/>
              <w:bottom w:sz="4" w:themeColor="text1" w:val="single"/>
              <w:right w:color="000000" w:sz="4" w:val="single"/>
            </w:tcBorders>
            <w:vAlign w:val="center"/>
          </w:tcPr>
          <w:p w14:paraId="27000000">
            <w:pPr>
              <w:spacing w:after="0" w:line="240" w:lineRule="auto"/>
              <w:ind w:firstLine="0"/>
              <w:jc w:val="center"/>
            </w:pPr>
            <w:r>
              <w:rPr>
                <w:sz w:val="20"/>
              </w:rPr>
              <w:t>2 400 000</w:t>
            </w:r>
          </w:p>
        </w:tc>
        <w:tc>
          <w:tcPr>
            <w:tcW w:type="dxa" w:w="1457"/>
            <w:tcBorders>
              <w:top w:sz="4" w:themeColor="text1" w:val="single"/>
              <w:left w:color="000000" w:sz="4" w:val="single"/>
              <w:bottom w:sz="4" w:themeColor="text1" w:val="single"/>
              <w:right w:color="000000" w:sz="4" w:val="single"/>
            </w:tcBorders>
            <w:vAlign w:val="center"/>
          </w:tcPr>
          <w:p w14:paraId="28000000">
            <w:pPr>
              <w:ind w:firstLine="0"/>
              <w:jc w:val="center"/>
            </w:pPr>
            <w:r>
              <w:rPr>
                <w:sz w:val="20"/>
              </w:rPr>
              <w:t>2 400 000</w:t>
            </w:r>
          </w:p>
        </w:tc>
        <w:tc>
          <w:tcPr>
            <w:tcW w:type="dxa" w:w="1492"/>
            <w:gridSpan w:val="2"/>
            <w:tcBorders>
              <w:top w:sz="4" w:themeColor="text1" w:val="single"/>
              <w:left w:color="000000" w:sz="4" w:val="single"/>
              <w:bottom w:sz="4" w:themeColor="text1" w:val="single"/>
              <w:right w:color="000000" w:sz="4" w:val="single"/>
            </w:tcBorders>
            <w:vAlign w:val="center"/>
          </w:tcPr>
          <w:p w14:paraId="29000000">
            <w:pPr>
              <w:tabs>
                <w:tab w:leader="none" w:pos="0" w:val="left"/>
              </w:tabs>
              <w:spacing w:line="276" w:lineRule="auto"/>
              <w:ind w:firstLine="0"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2 500 000</w:t>
            </w:r>
          </w:p>
        </w:tc>
      </w:tr>
    </w:tbl>
    <w:p w14:paraId="2A000000">
      <w:pPr>
        <w:ind w:firstLine="720"/>
      </w:pPr>
    </w:p>
    <w:p w14:paraId="2B000000">
      <w:pPr>
        <w:spacing w:after="200" w:line="276" w:lineRule="auto"/>
        <w:ind/>
      </w:pPr>
      <w:r>
        <w:t>Расчет начальной (максимальной) цены контракта с учетом количественной потребности Заказчика в соответствии с формулой</w:t>
      </w:r>
      <w:r>
        <w:t>,</w:t>
      </w:r>
      <w:r>
        <w:t xml:space="preserve"> приведенной в п. 3.21 Метод</w:t>
      </w:r>
      <w:r>
        <w:t xml:space="preserve">ических </w:t>
      </w:r>
      <w:r>
        <w:t>рекомендаций:</w:t>
      </w:r>
    </w:p>
    <w:p w14:paraId="2C000000">
      <w:pPr>
        <w:spacing w:after="200" w:line="276" w:lineRule="auto"/>
        <w:ind/>
        <w:jc w:val="center"/>
      </w:pPr>
      <w:r>
        <w:t xml:space="preserve">Общая стоимость услуги </w:t>
      </w:r>
      <w:r>
        <w:t>(1*</w:t>
      </w:r>
      <w:r>
        <w:t xml:space="preserve"> </w:t>
      </w:r>
      <w:r>
        <w:t>2 650</w:t>
      </w:r>
      <w:r>
        <w:t xml:space="preserve"> 000,00</w:t>
      </w:r>
      <w:r>
        <w:t>+</w:t>
      </w:r>
      <w:r>
        <w:t xml:space="preserve"> </w:t>
      </w:r>
      <w:r>
        <w:t>1*</w:t>
      </w:r>
      <w:r>
        <w:t xml:space="preserve"> </w:t>
      </w:r>
      <w:r>
        <w:t>2 45</w:t>
      </w:r>
      <w:r>
        <w:t>0 000,00</w:t>
      </w:r>
      <w:r>
        <w:t>+</w:t>
      </w:r>
      <w:r>
        <w:t xml:space="preserve"> </w:t>
      </w:r>
      <w:r>
        <w:t>1*</w:t>
      </w:r>
      <w:r>
        <w:t xml:space="preserve"> 2</w:t>
      </w:r>
      <w:r>
        <w:t xml:space="preserve"> 40</w:t>
      </w:r>
      <w:r>
        <w:t>0</w:t>
      </w:r>
      <w:r>
        <w:t xml:space="preserve"> 000,00</w:t>
      </w:r>
      <w:r>
        <w:t>)</w:t>
      </w:r>
      <w:r>
        <w:t xml:space="preserve"> </w:t>
      </w:r>
      <w:r>
        <w:t>*</w:t>
      </w:r>
      <w:r>
        <w:t xml:space="preserve"> </w:t>
      </w:r>
      <w:r>
        <w:t>1/3</w:t>
      </w:r>
      <w:r>
        <w:t xml:space="preserve"> </w:t>
      </w:r>
      <w:r>
        <w:t>=</w:t>
      </w:r>
      <w:r>
        <w:t xml:space="preserve"> 2 5</w:t>
      </w:r>
      <w:r>
        <w:t>00 000,00</w:t>
      </w:r>
    </w:p>
    <w:p w14:paraId="2D000000">
      <w:pPr>
        <w:spacing w:after="200" w:line="276" w:lineRule="auto"/>
        <w:ind/>
      </w:pPr>
      <w:r>
        <w:rPr>
          <w:b w:val="1"/>
        </w:rPr>
        <w:t xml:space="preserve">Итого по результатам изучения рынка начальная (максимальная) цена контракта принята в </w:t>
      </w:r>
      <w:r>
        <w:rPr>
          <w:b w:val="1"/>
        </w:rPr>
        <w:t xml:space="preserve">значении: </w:t>
      </w:r>
      <w:r>
        <w:rPr>
          <w:b w:val="1"/>
        </w:rPr>
        <w:t>2 5</w:t>
      </w:r>
      <w:r>
        <w:rPr>
          <w:b w:val="1"/>
        </w:rPr>
        <w:t xml:space="preserve">00 000,00 </w:t>
      </w:r>
      <w:r>
        <w:rPr>
          <w:b w:val="1"/>
        </w:rPr>
        <w:t>(</w:t>
      </w:r>
      <w:r>
        <w:rPr>
          <w:b w:val="1"/>
        </w:rPr>
        <w:t>два миллиона</w:t>
      </w:r>
      <w:bookmarkStart w:id="1" w:name="_GoBack"/>
      <w:bookmarkEnd w:id="1"/>
      <w:r>
        <w:rPr>
          <w:b w:val="1"/>
        </w:rPr>
        <w:t xml:space="preserve"> пятьсот тысяч) рубл</w:t>
      </w:r>
      <w:r>
        <w:rPr>
          <w:b w:val="1"/>
        </w:rPr>
        <w:t>ей</w:t>
      </w:r>
      <w:r>
        <w:rPr>
          <w:b w:val="1"/>
        </w:rPr>
        <w:t xml:space="preserve"> </w:t>
      </w:r>
      <w:r>
        <w:rPr>
          <w:b w:val="1"/>
        </w:rPr>
        <w:t>00</w:t>
      </w:r>
      <w:r>
        <w:rPr>
          <w:b w:val="1"/>
        </w:rPr>
        <w:t xml:space="preserve"> </w:t>
      </w:r>
      <w:r>
        <w:rPr>
          <w:b w:val="1"/>
        </w:rPr>
        <w:t>коп</w:t>
      </w:r>
      <w:r>
        <w:rPr>
          <w:b w:val="1"/>
        </w:rPr>
        <w:t>еек</w:t>
      </w:r>
      <w:r>
        <w:rPr>
          <w:b w:val="1"/>
        </w:rPr>
        <w:t>.</w:t>
      </w:r>
    </w:p>
    <w:sectPr>
      <w:pgSz w:h="11906" w:orient="landscape" w:w="16838"/>
      <w:pgMar w:bottom="849" w:footer="708" w:gutter="0" w:header="708" w:left="1134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Основной текст 31"/>
    <w:basedOn w:val="Style_3"/>
    <w:link w:val="Style_5_ch"/>
    <w:pPr>
      <w:spacing w:after="120"/>
      <w:ind/>
    </w:pPr>
    <w:rPr>
      <w:sz w:val="16"/>
    </w:rPr>
  </w:style>
  <w:style w:styleId="Style_5_ch" w:type="character">
    <w:name w:val="Основной текст 31"/>
    <w:basedOn w:val="Style_3_ch"/>
    <w:link w:val="Style_5"/>
    <w:rPr>
      <w:sz w:val="16"/>
    </w:rPr>
  </w:style>
  <w:style w:styleId="Style_6" w:type="paragraph">
    <w:name w:val="toc 4"/>
    <w:next w:val="Style_3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Default"/>
    <w:link w:val="Style_12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12_ch" w:type="character">
    <w:name w:val="Default"/>
    <w:link w:val="Style_12"/>
    <w:rPr>
      <w:rFonts w:ascii="Times New Roman" w:hAnsi="Times New Roman"/>
      <w:color w:val="000000"/>
      <w:sz w:val="24"/>
    </w:rPr>
  </w:style>
  <w:style w:styleId="Style_13" w:type="paragraph">
    <w:name w:val="heading 5"/>
    <w:next w:val="Style_3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3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3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3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3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toc 5"/>
    <w:next w:val="Style_3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3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3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3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3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2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2026-09-17T00:52:06Z</dcterms:modified>
</cp:coreProperties>
</file>