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1560" w:val="left"/>
        </w:tabs>
        <w:ind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ТЕХНИЧЕСКОЕ ЗАДАНИЕ</w:t>
      </w:r>
    </w:p>
    <w:p w14:paraId="02000000">
      <w:pPr>
        <w:widowControl w:val="1"/>
        <w:tabs>
          <w:tab w:leader="none" w:pos="993" w:val="left"/>
          <w:tab w:leader="none" w:pos="1560" w:val="left"/>
        </w:tabs>
        <w:ind/>
        <w:jc w:val="center"/>
        <w:rPr>
          <w:rFonts w:ascii="Cormorant" w:hAnsi="Cormorant"/>
          <w:strike w:val="1"/>
          <w:sz w:val="26"/>
        </w:rPr>
      </w:pPr>
      <w:r>
        <w:rPr>
          <w:rFonts w:ascii="PT Astra Serif" w:hAnsi="PT Astra Serif"/>
          <w:sz w:val="26"/>
        </w:rPr>
        <w:t>на оказание услуг по сопровождению и техническому обслуживанию цифровой платформы Минэкономразвития Алтайского края («ИС Мониторинг»)</w:t>
      </w:r>
    </w:p>
    <w:p w14:paraId="03000000">
      <w:pPr>
        <w:widowControl w:val="1"/>
        <w:tabs>
          <w:tab w:leader="none" w:pos="993" w:val="left"/>
          <w:tab w:leader="none" w:pos="1560" w:val="left"/>
        </w:tabs>
        <w:ind/>
        <w:jc w:val="center"/>
        <w:rPr>
          <w:rFonts w:ascii="PT Astra Serif" w:hAnsi="PT Astra Serif"/>
          <w:sz w:val="26"/>
        </w:rPr>
      </w:pPr>
    </w:p>
    <w:p w14:paraId="04000000">
      <w:pPr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Список принятых обозначений, сокращений / терминов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98"/>
        <w:gridCol w:w="1800"/>
        <w:gridCol w:w="7057"/>
      </w:tblGrid>
      <w:tr>
        <w:trPr>
          <w:trHeight w:hRule="atLeast" w:val="330"/>
        </w:trPr>
        <w:tc>
          <w:tcPr>
            <w:tcW w:type="dxa" w:w="49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00000">
            <w:pPr>
              <w:widowControl w:val="0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b w:val="1"/>
                <w:color w:val="00000A"/>
                <w:sz w:val="26"/>
              </w:rPr>
            </w:pPr>
            <w:r>
              <w:rPr>
                <w:rFonts w:ascii="PT Astra Serif" w:hAnsi="PT Astra Serif"/>
                <w:b w:val="1"/>
                <w:color w:val="00000A"/>
                <w:sz w:val="26"/>
              </w:rPr>
              <w:t>№</w:t>
            </w:r>
          </w:p>
        </w:tc>
        <w:tc>
          <w:tcPr>
            <w:tcW w:type="dxa" w:w="885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00000">
            <w:pPr>
              <w:widowControl w:val="0"/>
              <w:tabs>
                <w:tab w:leader="none" w:pos="432" w:val="left"/>
                <w:tab w:leader="none" w:pos="709" w:val="left"/>
                <w:tab w:leader="none" w:pos="1560" w:val="left"/>
              </w:tabs>
              <w:ind/>
              <w:jc w:val="center"/>
              <w:rPr>
                <w:rFonts w:ascii="PT Astra Serif" w:hAnsi="PT Astra Serif"/>
                <w:b w:val="1"/>
                <w:color w:val="00000A"/>
                <w:sz w:val="26"/>
              </w:rPr>
            </w:pPr>
            <w:r>
              <w:rPr>
                <w:rFonts w:ascii="PT Astra Serif" w:hAnsi="PT Astra Serif"/>
                <w:b w:val="1"/>
                <w:color w:val="00000A"/>
                <w:sz w:val="26"/>
              </w:rPr>
              <w:t>Описание</w:t>
            </w:r>
          </w:p>
        </w:tc>
      </w:tr>
      <w:tr>
        <w:trPr>
          <w:trHeight w:hRule="atLeast" w:val="330"/>
        </w:trPr>
        <w:tc>
          <w:tcPr>
            <w:tcW w:type="dxa" w:w="49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00000">
            <w:pPr>
              <w:widowControl w:val="0"/>
              <w:tabs>
                <w:tab w:leader="none" w:pos="432" w:val="left"/>
                <w:tab w:leader="none" w:pos="709" w:val="left"/>
                <w:tab w:leader="none" w:pos="1560" w:val="left"/>
              </w:tabs>
              <w:ind/>
              <w:jc w:val="center"/>
              <w:rPr>
                <w:rFonts w:ascii="PT Astra Serif" w:hAnsi="PT Astra Serif"/>
                <w:b w:val="1"/>
                <w:color w:val="00000A"/>
                <w:sz w:val="26"/>
              </w:rPr>
            </w:pPr>
            <w:r>
              <w:rPr>
                <w:rFonts w:ascii="PT Astra Serif" w:hAnsi="PT Astra Serif"/>
                <w:b w:val="1"/>
                <w:color w:val="00000A"/>
                <w:sz w:val="26"/>
              </w:rPr>
              <w:t>Сокращение/</w:t>
            </w:r>
            <w:r>
              <w:rPr>
                <w:rFonts w:ascii="PT Astra Serif" w:hAnsi="PT Astra Serif"/>
                <w:b w:val="1"/>
                <w:color w:val="00000A"/>
                <w:sz w:val="26"/>
              </w:rPr>
              <w:br/>
            </w:r>
            <w:r>
              <w:rPr>
                <w:rFonts w:ascii="PT Astra Serif" w:hAnsi="PT Astra Serif"/>
                <w:b w:val="1"/>
                <w:color w:val="00000A"/>
                <w:sz w:val="26"/>
              </w:rPr>
              <w:t>Термин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00000">
            <w:pPr>
              <w:widowControl w:val="0"/>
              <w:tabs>
                <w:tab w:leader="none" w:pos="432" w:val="left"/>
                <w:tab w:leader="none" w:pos="709" w:val="left"/>
                <w:tab w:leader="none" w:pos="1560" w:val="left"/>
              </w:tabs>
              <w:ind/>
              <w:jc w:val="center"/>
              <w:rPr>
                <w:rFonts w:ascii="PT Astra Serif" w:hAnsi="PT Astra Serif"/>
                <w:b w:val="1"/>
                <w:color w:val="00000A"/>
                <w:sz w:val="26"/>
              </w:rPr>
            </w:pPr>
            <w:r>
              <w:rPr>
                <w:rFonts w:ascii="PT Astra Serif" w:hAnsi="PT Astra Serif"/>
                <w:b w:val="1"/>
                <w:color w:val="00000A"/>
                <w:sz w:val="26"/>
              </w:rPr>
              <w:t>Определение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GUI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00000">
            <w:pPr>
              <w:widowControl w:val="0"/>
              <w:ind/>
              <w:jc w:val="both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Графический интерфейс пользователя (ГИП), графический пользовательский интерфейс (ГПИ) (англ. </w:t>
            </w:r>
            <w:r>
              <w:rPr>
                <w:rFonts w:ascii="PT Astra Serif" w:hAnsi="PT Astra Serif"/>
                <w:sz w:val="26"/>
              </w:rPr>
              <w:t>graphical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user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interface</w:t>
            </w:r>
            <w:r>
              <w:rPr>
                <w:rFonts w:ascii="PT Astra Serif" w:hAnsi="PT Astra Serif"/>
                <w:sz w:val="26"/>
              </w:rPr>
              <w:t>, GUI) — система сре</w:t>
            </w:r>
            <w:r>
              <w:rPr>
                <w:rFonts w:ascii="PT Astra Serif" w:hAnsi="PT Astra Serif"/>
                <w:sz w:val="26"/>
              </w:rPr>
              <w:t>дств дл</w:t>
            </w:r>
            <w:r>
              <w:rPr>
                <w:rFonts w:ascii="PT Astra Serif" w:hAnsi="PT Astra Serif"/>
                <w:sz w:val="26"/>
              </w:rPr>
              <w:t>я взаимодействия пользователя с электронными устройствами, основанная на представлении всех доступных пользователю системных объектов и функций в виде графических компонентов экрана (окон, значков, меню, кнопок, списков и т. п.)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HTTP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Протокол прикладного уровня передачи (англ. </w:t>
            </w:r>
            <w:r>
              <w:rPr>
                <w:rFonts w:ascii="PT Astra Serif" w:hAnsi="PT Astra Serif"/>
                <w:sz w:val="26"/>
              </w:rPr>
              <w:t>HyperText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Transfer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Protocol</w:t>
            </w:r>
            <w:r>
              <w:rPr>
                <w:rFonts w:ascii="PT Astra Serif" w:hAnsi="PT Astra Serif"/>
                <w:sz w:val="26"/>
              </w:rPr>
              <w:t>)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HTTPS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Расширение протокола HTTP для поддержки шифрования </w:t>
            </w:r>
            <w:r>
              <w:rPr>
                <w:rFonts w:ascii="PT Astra Serif" w:hAnsi="PT Astra Serif"/>
                <w:sz w:val="26"/>
              </w:rPr>
              <w:t xml:space="preserve">               </w:t>
            </w:r>
            <w:r>
              <w:rPr>
                <w:rFonts w:ascii="PT Astra Serif" w:hAnsi="PT Astra Serif"/>
                <w:sz w:val="26"/>
              </w:rPr>
              <w:t xml:space="preserve">в целях повышения безопасности (англ. </w:t>
            </w:r>
            <w:r>
              <w:rPr>
                <w:rFonts w:ascii="PT Astra Serif" w:hAnsi="PT Astra Serif"/>
                <w:sz w:val="26"/>
              </w:rPr>
              <w:t>HyperText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Transfer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Protocol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Secure</w:t>
            </w:r>
            <w:r>
              <w:rPr>
                <w:rFonts w:ascii="PT Astra Serif" w:hAnsi="PT Astra Serif"/>
                <w:sz w:val="26"/>
              </w:rPr>
              <w:t>)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TCP/IP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Сетевая модель передачи данных, представленных </w:t>
            </w:r>
            <w:r>
              <w:rPr>
                <w:rFonts w:ascii="PT Astra Serif" w:hAnsi="PT Astra Serif"/>
                <w:sz w:val="26"/>
              </w:rPr>
              <w:t xml:space="preserve">                          </w:t>
            </w:r>
            <w:r>
              <w:rPr>
                <w:rFonts w:ascii="PT Astra Serif" w:hAnsi="PT Astra Serif"/>
                <w:sz w:val="26"/>
              </w:rPr>
              <w:t xml:space="preserve">в цифровом виде (англ. </w:t>
            </w:r>
            <w:r>
              <w:rPr>
                <w:rFonts w:ascii="PT Astra Serif" w:hAnsi="PT Astra Serif"/>
                <w:sz w:val="26"/>
              </w:rPr>
              <w:t>Transmission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Control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Protocol</w:t>
            </w:r>
            <w:r>
              <w:rPr>
                <w:rFonts w:ascii="PT Astra Serif" w:hAnsi="PT Astra Serif"/>
                <w:sz w:val="26"/>
              </w:rPr>
              <w:t xml:space="preserve"> / </w:t>
            </w:r>
            <w:r>
              <w:rPr>
                <w:rFonts w:ascii="PT Astra Serif" w:hAnsi="PT Astra Serif"/>
                <w:sz w:val="26"/>
              </w:rPr>
              <w:t>Internet</w:t>
            </w:r>
            <w:r>
              <w:rPr>
                <w:rFonts w:ascii="PT Astra Serif" w:hAnsi="PT Astra Serif"/>
                <w:sz w:val="26"/>
              </w:rPr>
              <w:t xml:space="preserve"> </w:t>
            </w:r>
            <w:r>
              <w:rPr>
                <w:rFonts w:ascii="PT Astra Serif" w:hAnsi="PT Astra Serif"/>
                <w:sz w:val="26"/>
              </w:rPr>
              <w:t>Protocol</w:t>
            </w:r>
            <w:r>
              <w:rPr>
                <w:rFonts w:ascii="PT Astra Serif" w:hAnsi="PT Astra Serif"/>
                <w:sz w:val="26"/>
              </w:rPr>
              <w:t>)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UTF-8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Одна из общепринятых и стандартизированных кодировок текста, которая позволяет хранить символы </w:t>
            </w:r>
            <w:r>
              <w:rPr>
                <w:rFonts w:ascii="PT Astra Serif" w:hAnsi="PT Astra Serif"/>
                <w:sz w:val="26"/>
              </w:rPr>
              <w:t>Unicode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Web</w:t>
            </w:r>
            <w:r>
              <w:rPr>
                <w:rFonts w:ascii="PT Astra Serif" w:hAnsi="PT Astra Serif"/>
                <w:sz w:val="26"/>
              </w:rPr>
              <w:t>-браузер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Программное обеспечение для обработки и вывода разных составляющих веб-страницы и предоставление интерфейса между веб-сайтом и его посетителем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fldChar w:fldCharType="begin"/>
            </w:r>
            <w:r>
              <w:rPr>
                <w:rFonts w:ascii="PT Astra Serif" w:hAnsi="PT Astra Serif"/>
                <w:sz w:val="26"/>
              </w:rPr>
              <w:instrText>HYPERLINK "https://ru.wikipedia.org/wiki/Веб-страница"</w:instrText>
            </w:r>
            <w:r>
              <w:rPr>
                <w:rFonts w:ascii="PT Astra Serif" w:hAnsi="PT Astra Serif"/>
                <w:sz w:val="26"/>
              </w:rPr>
              <w:fldChar w:fldCharType="separate"/>
            </w:r>
            <w:r>
              <w:rPr>
                <w:rFonts w:ascii="PT Astra Serif" w:hAnsi="PT Astra Serif"/>
                <w:sz w:val="26"/>
              </w:rPr>
              <w:t>Web</w:t>
            </w:r>
            <w:r>
              <w:rPr>
                <w:rFonts w:ascii="PT Astra Serif" w:hAnsi="PT Astra Serif"/>
                <w:sz w:val="26"/>
              </w:rPr>
              <w:t>-страница</w:t>
            </w:r>
            <w:r>
              <w:rPr>
                <w:rFonts w:ascii="PT Astra Serif" w:hAnsi="PT Astra Serif"/>
                <w:sz w:val="26"/>
              </w:rPr>
              <w:fldChar w:fldCharType="end"/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Документ или информационный ресурс, доступ к которому осуществляется с помощью </w:t>
            </w:r>
            <w:r>
              <w:rPr>
                <w:rFonts w:ascii="PT Astra Serif" w:hAnsi="PT Astra Serif"/>
                <w:sz w:val="26"/>
              </w:rPr>
              <w:t>web</w:t>
            </w:r>
            <w:r>
              <w:rPr>
                <w:rFonts w:ascii="PT Astra Serif" w:hAnsi="PT Astra Serif"/>
                <w:sz w:val="26"/>
              </w:rPr>
              <w:t>-браузера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  <w:highlight w:val="yellow"/>
              </w:rPr>
            </w:pPr>
            <w:r>
              <w:rPr>
                <w:rFonts w:ascii="PT Astra Serif" w:hAnsi="PT Astra Serif"/>
                <w:sz w:val="26"/>
              </w:rPr>
              <w:t>АИС «ИС Мониторинг»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Цифровая платформа Минэкономразвития Алтайского края»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БД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База данных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ГОСТ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Государственный стандарт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ИС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Информационная система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Контракт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Государственный контракт 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ОС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Операционная система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Программное обеспечение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Портлет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 xml:space="preserve">Подключаемый, сменный компонент </w:t>
            </w:r>
            <w:r>
              <w:rPr>
                <w:rFonts w:ascii="PT Astra Serif" w:hAnsi="PT Astra Serif"/>
                <w:sz w:val="26"/>
              </w:rPr>
              <w:t>пользовательского</w:t>
            </w:r>
            <w:r>
              <w:rPr>
                <w:rFonts w:ascii="PT Astra Serif" w:hAnsi="PT Astra Serif"/>
                <w:sz w:val="26"/>
              </w:rPr>
              <w:t xml:space="preserve"> веб-интерфейса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СУБД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Система управления базами данных. Комплекс программ для ЭВМ, позволяющих создать базу данных (БД) и манипулировать данными (вставлять, обновлять, удалять и выбирать). Система обеспечивает безопасность, надежность хранения и целостность данных, а также предоставляет средства для администрирования БД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ТЗ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Техническое задание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КАИП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Краевая адресная инвестиционная программа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ФИО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Фамилия имя отчество</w:t>
            </w:r>
          </w:p>
        </w:tc>
      </w:tr>
      <w:tr>
        <w:trPr>
          <w:trHeight w:hRule="atLeast" w:val="330"/>
        </w:trPr>
        <w:tc>
          <w:tcPr>
            <w:tcW w:type="dxa" w:w="4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widowControl w:val="0"/>
              <w:numPr>
                <w:ilvl w:val="0"/>
                <w:numId w:val="1"/>
              </w:numPr>
              <w:tabs>
                <w:tab w:leader="none" w:pos="1560" w:val="left"/>
              </w:tabs>
              <w:ind w:firstLine="0" w:left="0"/>
              <w:jc w:val="center"/>
              <w:rPr>
                <w:rFonts w:ascii="PT Astra Serif" w:hAnsi="PT Astra Serif"/>
                <w:sz w:val="26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widowControl w:val="1"/>
              <w:tabs>
                <w:tab w:leader="none" w:pos="1560" w:val="left"/>
              </w:tabs>
              <w:ind/>
              <w:jc w:val="center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ОИВ</w:t>
            </w:r>
          </w:p>
        </w:tc>
        <w:tc>
          <w:tcPr>
            <w:tcW w:type="dxa" w:w="7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0"/>
              <w:ind/>
              <w:jc w:val="both"/>
              <w:rPr>
                <w:rFonts w:ascii="PT Astra Serif" w:hAnsi="PT Astra Serif"/>
                <w:sz w:val="26"/>
              </w:rPr>
            </w:pPr>
            <w:r>
              <w:rPr>
                <w:rFonts w:ascii="PT Astra Serif" w:hAnsi="PT Astra Serif"/>
                <w:sz w:val="26"/>
              </w:rPr>
              <w:t>Орган исполнительной власти</w:t>
            </w:r>
          </w:p>
        </w:tc>
      </w:tr>
    </w:tbl>
    <w:p w14:paraId="45000000">
      <w:pPr>
        <w:widowControl w:val="1"/>
        <w:ind w:firstLine="851"/>
        <w:jc w:val="both"/>
        <w:rPr>
          <w:rFonts w:ascii="PT Astra Serif" w:hAnsi="PT Astra Serif"/>
          <w:sz w:val="28"/>
        </w:rPr>
      </w:pPr>
    </w:p>
    <w:p w14:paraId="46000000">
      <w:pPr>
        <w:keepNext w:val="1"/>
        <w:pageBreakBefore w:val="1"/>
        <w:widowControl w:val="1"/>
        <w:tabs>
          <w:tab w:leader="none" w:pos="1560" w:val="left"/>
        </w:tabs>
        <w:spacing w:after="120" w:before="120"/>
        <w:ind w:firstLine="567"/>
        <w:jc w:val="both"/>
        <w:outlineLvl w:val="0"/>
        <w:rPr>
          <w:rFonts w:ascii="PT Astra Serif" w:hAnsi="PT Astra Serif"/>
          <w:b w:val="1"/>
          <w:caps w:val="1"/>
          <w:sz w:val="26"/>
        </w:rPr>
      </w:pPr>
      <w:r>
        <w:rPr>
          <w:rFonts w:ascii="PT Astra Serif" w:hAnsi="PT Astra Serif"/>
          <w:b w:val="1"/>
          <w:caps w:val="1"/>
          <w:sz w:val="26"/>
        </w:rPr>
        <w:t>ОБЩИЕ СВЕДЕНИЯ</w:t>
      </w:r>
    </w:p>
    <w:p w14:paraId="47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Полное наименование системы</w:t>
      </w:r>
    </w:p>
    <w:p w14:paraId="48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Цифровая платформа Минэкономразвития Алтайского края</w:t>
      </w:r>
    </w:p>
    <w:p w14:paraId="49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</w:p>
    <w:p w14:paraId="4A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Условное обозначение системы</w:t>
      </w:r>
    </w:p>
    <w:p w14:paraId="4B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АИС «ИС Мониторинг», Система</w:t>
      </w:r>
    </w:p>
    <w:p w14:paraId="4C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</w:p>
    <w:p w14:paraId="4D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Пользователи системы</w:t>
      </w:r>
    </w:p>
    <w:p w14:paraId="4E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Пользователями Системы являются сотрудники Министерства экономического развития Алтайского края и подведомственных ему учреждений, ответственные исполнители и соисполнители государственных программ, при необходимости сотрудники органов исполнительной власти и муниципальных образований Алтайского края.</w:t>
      </w:r>
    </w:p>
    <w:p w14:paraId="4F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b w:val="1"/>
          <w:sz w:val="26"/>
        </w:rPr>
      </w:pPr>
    </w:p>
    <w:p w14:paraId="50000000">
      <w:pPr>
        <w:widowControl w:val="1"/>
        <w:tabs>
          <w:tab w:leader="none" w:pos="1276" w:val="left"/>
        </w:tabs>
        <w:ind/>
        <w:jc w:val="both"/>
        <w:rPr>
          <w:sz w:val="26"/>
        </w:rPr>
      </w:pPr>
      <w:r>
        <w:rPr>
          <w:rFonts w:ascii="PT Astra Serif" w:hAnsi="PT Astra Serif"/>
          <w:sz w:val="26"/>
        </w:rPr>
        <w:t>Основанием для выполнения услуг являются следующие документы:</w:t>
      </w:r>
    </w:p>
    <w:p w14:paraId="51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 РФ от 30 июня 2015 № 658</w:t>
      </w:r>
      <w:r>
        <w:rPr>
          <w:rFonts w:ascii="PT Astra Serif" w:hAnsi="PT Astra Serif"/>
          <w:sz w:val="26"/>
        </w:rPr>
        <w:br/>
      </w:r>
      <w:r>
        <w:rPr>
          <w:rFonts w:ascii="PT Astra Serif" w:hAnsi="PT Astra Serif"/>
          <w:sz w:val="26"/>
        </w:rPr>
        <w:t>«О государственной интегрированной информационной системе управления общественными финансами «Электронный бюджет»;</w:t>
      </w:r>
    </w:p>
    <w:p w14:paraId="52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Закон Алтайского края от 03.04.2015 </w:t>
      </w:r>
      <w:r>
        <w:rPr>
          <w:rFonts w:ascii="PT Astra Serif" w:hAnsi="PT Astra Serif"/>
          <w:sz w:val="26"/>
        </w:rPr>
        <w:t>№</w:t>
      </w:r>
      <w:r>
        <w:rPr>
          <w:rFonts w:ascii="PT Astra Serif" w:hAnsi="PT Astra Serif"/>
          <w:sz w:val="26"/>
        </w:rPr>
        <w:t xml:space="preserve"> 30-ЗС «О стратегическом планировании в Алтайском крае»;</w:t>
      </w:r>
    </w:p>
    <w:p w14:paraId="53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Указ Губернатора Алтайского края от 28 декабря 2016 № 176 «Положения </w:t>
      </w:r>
      <w:r>
        <w:rPr>
          <w:rFonts w:ascii="PT Astra Serif" w:hAnsi="PT Astra Serif"/>
          <w:sz w:val="26"/>
        </w:rPr>
        <w:t xml:space="preserve">                </w:t>
      </w:r>
      <w:r>
        <w:rPr>
          <w:rFonts w:ascii="PT Astra Serif" w:hAnsi="PT Astra Serif"/>
          <w:sz w:val="26"/>
        </w:rPr>
        <w:t>о Министерство экономического развития Алтайского края»;</w:t>
      </w:r>
    </w:p>
    <w:p w14:paraId="54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Администрации Алтайского края 30.12.2013 № 706                   «О государственных программах Алтайского края»;</w:t>
      </w:r>
    </w:p>
    <w:p w14:paraId="55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Постановление Правительства Алтайского края «Об утверждении порядка разработки корректировки, осуществления мониторинга и контроля реализации прогноза социально-экономического развития Алтайского края на среднесрочный период» от 25 июня 2018 г. N 224;</w:t>
      </w:r>
    </w:p>
    <w:p w14:paraId="56000000">
      <w:pPr>
        <w:widowControl w:val="1"/>
        <w:tabs>
          <w:tab w:leader="none" w:pos="709" w:val="left"/>
        </w:tabs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Постановление Правительства Алтайского края от 08.12.2023 № 477 </w:t>
      </w:r>
      <w:r>
        <w:rPr>
          <w:rFonts w:ascii="PT Astra Serif" w:hAnsi="PT Astra Serif"/>
          <w:sz w:val="26"/>
        </w:rPr>
        <w:t xml:space="preserve">                             </w:t>
      </w:r>
      <w:r>
        <w:rPr>
          <w:rFonts w:ascii="PT Astra Serif" w:hAnsi="PT Astra Serif"/>
          <w:sz w:val="26"/>
        </w:rPr>
        <w:t>«Об утверждении краевой адресной инвестиционной программы на 2024 год».</w:t>
      </w:r>
    </w:p>
    <w:p w14:paraId="57000000">
      <w:pPr>
        <w:widowControl w:val="1"/>
        <w:tabs>
          <w:tab w:leader="none" w:pos="709" w:val="left"/>
        </w:tabs>
        <w:ind w:firstLine="709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Постановление Правительства Алтайского края от 07.09.2020 № 384 (ред. от 21.10.2021) «Об утверждении Порядка формирования и реализации краевой адресной инвестиционной программы, оценки бюджетной и социальной эффективности (результативности) проектов, планируемых к реализации </w:t>
      </w:r>
      <w:r>
        <w:rPr>
          <w:rFonts w:ascii="PT Astra Serif" w:hAnsi="PT Astra Serif"/>
          <w:sz w:val="26"/>
        </w:rPr>
        <w:t xml:space="preserve">                          </w:t>
      </w:r>
      <w:r>
        <w:rPr>
          <w:rFonts w:ascii="PT Astra Serif" w:hAnsi="PT Astra Serif"/>
          <w:sz w:val="26"/>
        </w:rPr>
        <w:t>с участием средств бюджета Алтайского края».</w:t>
      </w:r>
    </w:p>
    <w:p w14:paraId="58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Постановление Правительства Алтайского края от 09.08.2023 № 302   </w:t>
      </w:r>
      <w:r>
        <w:rPr>
          <w:rFonts w:ascii="PT Astra Serif" w:hAnsi="PT Astra Serif"/>
          <w:sz w:val="26"/>
        </w:rPr>
        <w:t xml:space="preserve">                   </w:t>
      </w:r>
      <w:r>
        <w:rPr>
          <w:rFonts w:ascii="PT Astra Serif" w:hAnsi="PT Astra Serif"/>
          <w:sz w:val="26"/>
        </w:rPr>
        <w:t>«Об утверждении порядка разработки и реализации государственных программ Алтайского края»;</w:t>
      </w:r>
    </w:p>
    <w:p w14:paraId="59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Распоряжение Правительства Алтайского края от 09.08.2023 № 276-р </w:t>
      </w:r>
      <w:r>
        <w:rPr>
          <w:rFonts w:ascii="PT Astra Serif" w:hAnsi="PT Astra Serif"/>
          <w:sz w:val="26"/>
        </w:rPr>
        <w:t xml:space="preserve">                      </w:t>
      </w:r>
      <w:r>
        <w:rPr>
          <w:rFonts w:ascii="PT Astra Serif" w:hAnsi="PT Astra Serif"/>
          <w:sz w:val="26"/>
        </w:rPr>
        <w:t xml:space="preserve">«Об утверждении перечня государственных программ Алтайского края на период 2024 - 2030 годов и признании </w:t>
      </w:r>
      <w:r>
        <w:rPr>
          <w:rFonts w:ascii="PT Astra Serif" w:hAnsi="PT Astra Serif"/>
          <w:sz w:val="26"/>
        </w:rPr>
        <w:t>утратившими</w:t>
      </w:r>
      <w:r>
        <w:rPr>
          <w:rFonts w:ascii="PT Astra Serif" w:hAnsi="PT Astra Serif"/>
          <w:sz w:val="26"/>
        </w:rPr>
        <w:t xml:space="preserve"> силу некоторых распоряжении Алтайского края».</w:t>
      </w:r>
    </w:p>
    <w:p w14:paraId="5A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Приказ Министерства экономического развития Алтайского края от 02.04.2021 № 4 «Об утверждении требований к перечню и формам документов, необходимых для подготовки (корректировки), а также </w:t>
      </w:r>
      <w:r>
        <w:rPr>
          <w:rFonts w:ascii="PT Astra Serif" w:hAnsi="PT Astra Serif"/>
          <w:sz w:val="26"/>
        </w:rPr>
        <w:t>контроля за</w:t>
      </w:r>
      <w:r>
        <w:rPr>
          <w:rFonts w:ascii="PT Astra Serif" w:hAnsi="PT Astra Serif"/>
          <w:sz w:val="26"/>
        </w:rPr>
        <w:t xml:space="preserve"> ходом исполнения краевой адресной инвестиционной программы».</w:t>
      </w:r>
    </w:p>
    <w:p w14:paraId="5B000000">
      <w:pPr>
        <w:rPr>
          <w:rFonts w:ascii="PT Astra Serif" w:hAnsi="PT Astra Serif"/>
          <w:sz w:val="26"/>
        </w:rPr>
      </w:pPr>
    </w:p>
    <w:p w14:paraId="5C000000">
      <w:pPr>
        <w:widowControl w:val="1"/>
        <w:tabs>
          <w:tab w:leader="none" w:pos="993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Целями сопровождения и обслуживания Системы являются:</w:t>
      </w:r>
    </w:p>
    <w:p w14:paraId="5D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обеспечение непрерывности и корректности функционирования программного обеспечения Системы, его доработка под специфику Заказчика, реализация предложений Заказчика, в том числе обеспечивающих повышение удобства и скорости работы Системы, а также актуализация действующему законодательству.</w:t>
      </w:r>
    </w:p>
    <w:p w14:paraId="5E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обновление системного программного обеспечения;</w:t>
      </w:r>
    </w:p>
    <w:p w14:paraId="5F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обновление прикладного программного обеспечения;</w:t>
      </w:r>
    </w:p>
    <w:p w14:paraId="60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оказание технической и консультационной поддержки ответственных сотрудников Заказчика по вопросам эксплуатации Системы.</w:t>
      </w:r>
      <w:r>
        <w:rPr>
          <w:rFonts w:ascii="PT Astra Serif" w:hAnsi="PT Astra Serif"/>
          <w:sz w:val="26"/>
        </w:rPr>
        <w:br/>
      </w:r>
    </w:p>
    <w:p w14:paraId="61000000">
      <w:pPr>
        <w:widowControl w:val="1"/>
        <w:tabs>
          <w:tab w:leader="none" w:pos="993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bookmarkStart w:id="1" w:name="_Ref110251122"/>
      <w:r>
        <w:rPr>
          <w:rFonts w:ascii="PT Astra Serif" w:hAnsi="PT Astra Serif"/>
          <w:b w:val="1"/>
          <w:caps w:val="1"/>
          <w:sz w:val="26"/>
        </w:rPr>
        <w:t xml:space="preserve">ХАРАКТЕРИСТИКА ОБЪЕКТА </w:t>
      </w:r>
      <w:bookmarkEnd w:id="1"/>
    </w:p>
    <w:p w14:paraId="62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Общая характеристика</w:t>
      </w:r>
    </w:p>
    <w:p w14:paraId="63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предназначена для повышения эффективности процесса приема и обработки в электронном виде данных, поступающих от муниципальных районов и городских округов Алтайского края, а также для автоматизации процессов обработки информационных массивов, сбора, хранения, поиска информации, предназначенных для решения государственных задач.</w:t>
      </w:r>
    </w:p>
    <w:p w14:paraId="64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Система функционирует и создана на базе информационной системы «Прометей» (в реестре программ для ЭВМ от 14.10.2021 года свидетельство </w:t>
      </w:r>
      <w:r>
        <w:rPr>
          <w:rFonts w:ascii="PT Astra Serif" w:hAnsi="PT Astra Serif"/>
          <w:sz w:val="26"/>
        </w:rPr>
        <w:t xml:space="preserve">                   </w:t>
      </w:r>
      <w:r>
        <w:rPr>
          <w:rFonts w:ascii="PT Astra Serif" w:hAnsi="PT Astra Serif"/>
          <w:sz w:val="26"/>
        </w:rPr>
        <w:t>№ 2021666455, реестровая запись №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13071 от 21.03.2022 в реестре российского </w:t>
      </w:r>
      <w:r>
        <w:rPr>
          <w:rFonts w:ascii="PT Astra Serif" w:hAnsi="PT Astra Serif"/>
          <w:sz w:val="26"/>
        </w:rPr>
        <w:t>ПО</w:t>
      </w:r>
      <w:r>
        <w:rPr>
          <w:rFonts w:ascii="PT Astra Serif" w:hAnsi="PT Astra Serif"/>
          <w:sz w:val="26"/>
        </w:rPr>
        <w:t xml:space="preserve">). Заказчик располагает неисключительным правом на использование программного обеспечения в соответствии Государственным контрактом </w:t>
      </w:r>
      <w:r>
        <w:rPr>
          <w:rFonts w:ascii="PT Astra Serif" w:hAnsi="PT Astra Serif"/>
          <w:sz w:val="26"/>
        </w:rPr>
        <w:t xml:space="preserve">                          </w:t>
      </w:r>
      <w:r>
        <w:rPr>
          <w:rFonts w:ascii="PT Astra Serif" w:hAnsi="PT Astra Serif"/>
          <w:sz w:val="26"/>
        </w:rPr>
        <w:t xml:space="preserve">№ Ф.2022.017 от 31.10.2022 (ИКЗ 222222101731022210100100260026201244). </w:t>
      </w:r>
    </w:p>
    <w:p w14:paraId="65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Архитектура Системы представлена клиент-серверным приложением </w:t>
      </w:r>
      <w:r>
        <w:rPr>
          <w:rFonts w:ascii="PT Astra Serif" w:hAnsi="PT Astra Serif"/>
          <w:sz w:val="26"/>
        </w:rPr>
        <w:t xml:space="preserve">                      </w:t>
      </w:r>
      <w:r>
        <w:rPr>
          <w:rFonts w:ascii="PT Astra Serif" w:hAnsi="PT Astra Serif"/>
          <w:sz w:val="26"/>
        </w:rPr>
        <w:t xml:space="preserve">с использованием «тонкого» клиента (браузера). Система разработана </w:t>
      </w:r>
      <w:r>
        <w:rPr>
          <w:rFonts w:ascii="PT Astra Serif" w:hAnsi="PT Astra Serif"/>
          <w:sz w:val="26"/>
        </w:rPr>
        <w:t xml:space="preserve">                                </w:t>
      </w:r>
      <w:r>
        <w:rPr>
          <w:rFonts w:ascii="PT Astra Serif" w:hAnsi="PT Astra Serif"/>
          <w:sz w:val="26"/>
        </w:rPr>
        <w:t xml:space="preserve">с использованием языка программирования </w:t>
      </w:r>
      <w:r>
        <w:rPr>
          <w:rFonts w:ascii="PT Astra Serif" w:hAnsi="PT Astra Serif"/>
          <w:sz w:val="26"/>
        </w:rPr>
        <w:t>Java</w:t>
      </w:r>
      <w:r>
        <w:rPr>
          <w:rFonts w:ascii="PT Astra Serif" w:hAnsi="PT Astra Serif"/>
          <w:sz w:val="26"/>
        </w:rPr>
        <w:t xml:space="preserve"> и функционирует на платформе </w:t>
      </w:r>
      <w:r>
        <w:rPr>
          <w:rFonts w:ascii="PT Astra Serif" w:hAnsi="PT Astra Serif"/>
          <w:sz w:val="26"/>
        </w:rPr>
        <w:t>Liferay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Portal</w:t>
      </w:r>
      <w:r>
        <w:rPr>
          <w:rFonts w:ascii="PT Astra Serif" w:hAnsi="PT Astra Serif"/>
          <w:sz w:val="26"/>
        </w:rPr>
        <w:t xml:space="preserve"> 7.3. Для организации работы базы данных используется СУБД </w:t>
      </w:r>
      <w:r>
        <w:rPr>
          <w:rFonts w:ascii="PT Astra Serif" w:hAnsi="PT Astra Serif"/>
          <w:sz w:val="26"/>
        </w:rPr>
        <w:t>PostgreSQL</w:t>
      </w:r>
      <w:r>
        <w:rPr>
          <w:rFonts w:ascii="PT Astra Serif" w:hAnsi="PT Astra Serif"/>
          <w:sz w:val="26"/>
        </w:rPr>
        <w:t xml:space="preserve"> версии 12.х. При работе с подсистемой используются следующие протоколы: </w:t>
      </w:r>
      <w:r>
        <w:rPr>
          <w:rFonts w:ascii="PT Astra Serif" w:hAnsi="PT Astra Serif"/>
          <w:sz w:val="26"/>
        </w:rPr>
        <w:t>http</w:t>
      </w:r>
      <w:r>
        <w:rPr>
          <w:rFonts w:ascii="PT Astra Serif" w:hAnsi="PT Astra Serif"/>
          <w:sz w:val="26"/>
        </w:rPr>
        <w:t xml:space="preserve">, </w:t>
      </w:r>
      <w:r>
        <w:rPr>
          <w:rFonts w:ascii="PT Astra Serif" w:hAnsi="PT Astra Serif"/>
          <w:sz w:val="26"/>
        </w:rPr>
        <w:t>xml</w:t>
      </w:r>
      <w:r>
        <w:rPr>
          <w:rFonts w:ascii="PT Astra Serif" w:hAnsi="PT Astra Serif"/>
          <w:sz w:val="26"/>
        </w:rPr>
        <w:t xml:space="preserve">, SOAP, REST, FTP, </w:t>
      </w:r>
      <w:r>
        <w:rPr>
          <w:rFonts w:ascii="PT Astra Serif" w:hAnsi="PT Astra Serif"/>
          <w:sz w:val="26"/>
        </w:rPr>
        <w:t>oauth</w:t>
      </w:r>
      <w:r>
        <w:rPr>
          <w:rFonts w:ascii="PT Astra Serif" w:hAnsi="PT Astra Serif"/>
          <w:sz w:val="26"/>
        </w:rPr>
        <w:t xml:space="preserve"> 2.0. Для разработки Системы использованы такие </w:t>
      </w:r>
      <w:r>
        <w:rPr>
          <w:rFonts w:ascii="PT Astra Serif" w:hAnsi="PT Astra Serif"/>
          <w:sz w:val="26"/>
        </w:rPr>
        <w:t>фреймворки</w:t>
      </w:r>
      <w:r>
        <w:rPr>
          <w:rFonts w:ascii="PT Astra Serif" w:hAnsi="PT Astra Serif"/>
          <w:sz w:val="26"/>
        </w:rPr>
        <w:t xml:space="preserve"> как </w:t>
      </w:r>
      <w:r>
        <w:rPr>
          <w:rFonts w:ascii="PT Astra Serif" w:hAnsi="PT Astra Serif"/>
          <w:sz w:val="26"/>
        </w:rPr>
        <w:t>bootstrap</w:t>
      </w:r>
      <w:r>
        <w:rPr>
          <w:rFonts w:ascii="PT Astra Serif" w:hAnsi="PT Astra Serif"/>
          <w:sz w:val="26"/>
        </w:rPr>
        <w:t xml:space="preserve">, </w:t>
      </w:r>
      <w:r>
        <w:rPr>
          <w:rFonts w:ascii="PT Astra Serif" w:hAnsi="PT Astra Serif"/>
          <w:sz w:val="26"/>
        </w:rPr>
        <w:t>Spring</w:t>
      </w:r>
      <w:r>
        <w:rPr>
          <w:rFonts w:ascii="PT Astra Serif" w:hAnsi="PT Astra Serif"/>
          <w:sz w:val="26"/>
        </w:rPr>
        <w:t xml:space="preserve"> , а также библиотека </w:t>
      </w:r>
      <w:r>
        <w:rPr>
          <w:rFonts w:ascii="PT Astra Serif" w:hAnsi="PT Astra Serif"/>
          <w:sz w:val="26"/>
        </w:rPr>
        <w:t>jQuery</w:t>
      </w:r>
      <w:r>
        <w:rPr>
          <w:sz w:val="26"/>
        </w:rPr>
        <w:t>.</w:t>
      </w:r>
    </w:p>
    <w:p w14:paraId="66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Функционально-блочный принцип построения системы позволяет интегрировать блоки с новой функциональностью в ядро с сохранением принципов навигации подсистемы.</w:t>
      </w:r>
    </w:p>
    <w:p w14:paraId="67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состоит из набора внутренних подсистем и компонентов, доступных только авторизованным пользователям.</w:t>
      </w:r>
    </w:p>
    <w:p w14:paraId="68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состоит из следующих взаимосвязанных компонентов:</w:t>
      </w:r>
    </w:p>
    <w:p w14:paraId="69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аутентификации и авторизации;</w:t>
      </w:r>
    </w:p>
    <w:p w14:paraId="6A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подсистема администрирования: </w:t>
      </w:r>
    </w:p>
    <w:p w14:paraId="6B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управления пользователями и организациями;</w:t>
      </w:r>
    </w:p>
    <w:p w14:paraId="6C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«Конфигурация системы».</w:t>
      </w:r>
    </w:p>
    <w:p w14:paraId="6D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подсистема конструктор бизнес-процессов: </w:t>
      </w:r>
    </w:p>
    <w:p w14:paraId="6E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модели бизнес-процесса»;</w:t>
      </w:r>
    </w:p>
    <w:p w14:paraId="6F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действий»;</w:t>
      </w:r>
    </w:p>
    <w:p w14:paraId="70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отчетов»;</w:t>
      </w:r>
    </w:p>
    <w:p w14:paraId="71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событий»;</w:t>
      </w:r>
    </w:p>
    <w:p w14:paraId="72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«Конструктор экранных форм»;</w:t>
      </w:r>
    </w:p>
    <w:p w14:paraId="73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печатных форм.</w:t>
      </w:r>
    </w:p>
    <w:p w14:paraId="74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Мониторинг социально-экономического развития МО АК:</w:t>
      </w:r>
    </w:p>
    <w:p w14:paraId="75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«Социально-экономическое развитие МО;</w:t>
      </w:r>
    </w:p>
    <w:p w14:paraId="76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«Реализация государственных программ Алтайского края</w:t>
      </w:r>
    </w:p>
    <w:p w14:paraId="77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«Выполнение соглашений»;</w:t>
      </w:r>
    </w:p>
    <w:p w14:paraId="78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Прогноз социально-экономического развития района (города);</w:t>
      </w:r>
    </w:p>
    <w:p w14:paraId="79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Краевая адресная инвестиционная программа КАИП;</w:t>
      </w:r>
    </w:p>
    <w:p w14:paraId="7A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Реестр программ;</w:t>
      </w:r>
    </w:p>
    <w:p w14:paraId="7B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Справочники;</w:t>
      </w:r>
    </w:p>
    <w:p w14:paraId="7C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подсистема Отчетность;</w:t>
      </w:r>
    </w:p>
    <w:p w14:paraId="7D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подсистема </w:t>
      </w:r>
      <w:r>
        <w:rPr>
          <w:rFonts w:ascii="PT Astra Serif" w:hAnsi="PT Astra Serif"/>
          <w:sz w:val="26"/>
        </w:rPr>
        <w:t>Журналирование</w:t>
      </w:r>
      <w:r>
        <w:rPr>
          <w:rFonts w:ascii="PT Astra Serif" w:hAnsi="PT Astra Serif"/>
          <w:sz w:val="26"/>
        </w:rPr>
        <w:t>:</w:t>
      </w:r>
    </w:p>
    <w:p w14:paraId="7E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 «Журнал действий»;</w:t>
      </w:r>
    </w:p>
    <w:p w14:paraId="7F000000">
      <w:pPr>
        <w:widowControl w:val="1"/>
        <w:numPr>
          <w:ilvl w:val="0"/>
          <w:numId w:val="2"/>
        </w:numPr>
        <w:tabs>
          <w:tab w:leader="none" w:pos="993" w:val="left"/>
        </w:tabs>
        <w:ind w:firstLine="567" w:left="0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6"/>
        </w:rPr>
        <w:t>модуль «Журнал активности».</w:t>
      </w:r>
    </w:p>
    <w:p w14:paraId="80000000">
      <w:pPr>
        <w:widowControl w:val="1"/>
        <w:tabs>
          <w:tab w:leader="none" w:pos="993" w:val="left"/>
        </w:tabs>
        <w:ind w:left="567"/>
        <w:contextualSpacing w:val="1"/>
        <w:jc w:val="both"/>
        <w:rPr>
          <w:rFonts w:ascii="PT Astra Serif" w:hAnsi="PT Astra Serif"/>
          <w:sz w:val="28"/>
        </w:rPr>
      </w:pPr>
    </w:p>
    <w:p w14:paraId="81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sz w:val="26"/>
        </w:rPr>
        <w:t>Требования к оказываемым услугам</w:t>
      </w:r>
      <w:r>
        <w:rPr>
          <w:rFonts w:ascii="PT Astra Serif" w:hAnsi="PT Astra Serif"/>
          <w:sz w:val="26"/>
        </w:rPr>
        <w:t>.</w:t>
      </w:r>
    </w:p>
    <w:p w14:paraId="82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Порядок оказания услуг по сопровождению АИС «ИС Мониторинг» должен представлять собой следующую последовательность действий Исполнителя:</w:t>
      </w:r>
    </w:p>
    <w:p w14:paraId="83000000">
      <w:pPr>
        <w:widowControl w:val="1"/>
        <w:tabs>
          <w:tab w:leader="none" w:pos="1276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Доработка программных модулей Системы и/или создание новых (при наличии соответствующих требований). Доработки должны быть проведены </w:t>
      </w:r>
      <w:r>
        <w:rPr>
          <w:rFonts w:ascii="PT Astra Serif" w:hAnsi="PT Astra Serif"/>
          <w:sz w:val="26"/>
        </w:rPr>
        <w:t xml:space="preserve">                        </w:t>
      </w:r>
      <w:r>
        <w:rPr>
          <w:rFonts w:ascii="PT Astra Serif" w:hAnsi="PT Astra Serif"/>
          <w:sz w:val="26"/>
        </w:rPr>
        <w:t xml:space="preserve">в строгом соответствии с требованиями настоящего Технического задания. </w:t>
      </w:r>
    </w:p>
    <w:p w14:paraId="8400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На данном этапе должны быть актуализированы документы в составе:</w:t>
      </w:r>
    </w:p>
    <w:p w14:paraId="85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пользователя;</w:t>
      </w:r>
    </w:p>
    <w:p w14:paraId="86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администратора.</w:t>
      </w:r>
    </w:p>
    <w:p w14:paraId="87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 завершению оказания услуг Исполнитель должен обеспечить инсталляцию доработанного программного обеспечения Системы на технических средствах Заказчика.</w:t>
      </w:r>
    </w:p>
    <w:p w14:paraId="88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функционированию системы</w:t>
      </w:r>
    </w:p>
    <w:p w14:paraId="89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Функционирование Системы должно удовлетворять следующим требованиям:</w:t>
      </w:r>
    </w:p>
    <w:p w14:paraId="8A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модульная структура программной реализации;</w:t>
      </w:r>
    </w:p>
    <w:p w14:paraId="8B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многопользовательский режим работы;</w:t>
      </w:r>
    </w:p>
    <w:p w14:paraId="8C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пользовательский интерфейс веб-страниц;</w:t>
      </w:r>
    </w:p>
    <w:p w14:paraId="8D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хранение </w:t>
      </w:r>
      <w:r>
        <w:rPr>
          <w:rFonts w:ascii="PT Astra Serif" w:hAnsi="PT Astra Serif"/>
          <w:sz w:val="26"/>
        </w:rPr>
        <w:t>web</w:t>
      </w:r>
      <w:r>
        <w:rPr>
          <w:rFonts w:ascii="PT Astra Serif" w:hAnsi="PT Astra Serif"/>
          <w:sz w:val="26"/>
        </w:rPr>
        <w:t xml:space="preserve">-страниц в древовидном виде с возможностью создания «дочерних» страниц, настройкой ролевого доступа отображения определенных </w:t>
      </w:r>
      <w:r>
        <w:rPr>
          <w:rFonts w:ascii="PT Astra Serif" w:hAnsi="PT Astra Serif"/>
          <w:sz w:val="26"/>
        </w:rPr>
        <w:t>web</w:t>
      </w:r>
      <w:r>
        <w:rPr>
          <w:rFonts w:ascii="PT Astra Serif" w:hAnsi="PT Astra Serif"/>
          <w:sz w:val="26"/>
        </w:rPr>
        <w:t>-страниц;</w:t>
      </w:r>
    </w:p>
    <w:p w14:paraId="8E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взаимодействие пользователей с Системой осуществляется с помощью браузера по общепринятым протоколам HTTP;</w:t>
      </w:r>
    </w:p>
    <w:p w14:paraId="8F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использование </w:t>
      </w:r>
      <w:r>
        <w:rPr>
          <w:rFonts w:ascii="PT Astra Serif" w:hAnsi="PT Astra Serif"/>
          <w:sz w:val="26"/>
        </w:rPr>
        <w:t>портлетов</w:t>
      </w:r>
      <w:r>
        <w:rPr>
          <w:rFonts w:ascii="PT Astra Serif" w:hAnsi="PT Astra Serif"/>
          <w:sz w:val="26"/>
        </w:rPr>
        <w:t xml:space="preserve"> по стандарту JSR-286 в качестве веб-компонентов пользовательского интерфейса, выполняющих определенные функции подсистем / модулей системы.</w:t>
      </w:r>
    </w:p>
    <w:p w14:paraId="90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способам и средствам обеспечения информационного взаимодействия компонентов системы</w:t>
      </w:r>
    </w:p>
    <w:p w14:paraId="91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 транспортно-сетевом уровне для взаимодействия компонентов АИС «ИС Мониторинг» должен использоваться стек протоколов TCP/IP. </w:t>
      </w:r>
      <w:r>
        <w:rPr>
          <w:rFonts w:ascii="PT Astra Serif" w:hAnsi="PT Astra Serif"/>
          <w:sz w:val="26"/>
        </w:rPr>
        <w:t xml:space="preserve">Взаимодействие клиентской части с серверной должно осуществляться посредством HTTP/HTTPS. </w:t>
      </w:r>
    </w:p>
    <w:p w14:paraId="92000000">
      <w:pPr>
        <w:widowControl w:val="1"/>
        <w:tabs>
          <w:tab w:leader="none" w:pos="709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Информационный обмен между подсистемами АИС «ИС Мониторинг» должен быть осуществлён через публикуемые параметры отображения, что позволит совместно использовать параметры запроса в различных </w:t>
      </w:r>
      <w:r>
        <w:rPr>
          <w:rFonts w:ascii="PT Astra Serif" w:hAnsi="PT Astra Serif"/>
          <w:sz w:val="26"/>
        </w:rPr>
        <w:t>портлетах</w:t>
      </w:r>
      <w:r>
        <w:rPr>
          <w:rFonts w:ascii="PT Astra Serif" w:hAnsi="PT Astra Serif"/>
          <w:sz w:val="26"/>
        </w:rPr>
        <w:t xml:space="preserve"> или других артефактах. Должна быть обеспечена возможность вызова команд </w:t>
      </w:r>
      <w:r>
        <w:rPr>
          <w:rFonts w:ascii="PT Astra Serif" w:hAnsi="PT Astra Serif"/>
          <w:sz w:val="26"/>
        </w:rPr>
        <w:t>forward</w:t>
      </w:r>
      <w:r>
        <w:rPr>
          <w:rFonts w:ascii="PT Astra Serif" w:hAnsi="PT Astra Serif"/>
          <w:sz w:val="26"/>
        </w:rPr>
        <w:t xml:space="preserve"> и </w:t>
      </w:r>
      <w:r>
        <w:rPr>
          <w:rFonts w:ascii="PT Astra Serif" w:hAnsi="PT Astra Serif"/>
          <w:sz w:val="26"/>
        </w:rPr>
        <w:t>include</w:t>
      </w:r>
      <w:r>
        <w:rPr>
          <w:rFonts w:ascii="PT Astra Serif" w:hAnsi="PT Astra Serif"/>
          <w:sz w:val="26"/>
        </w:rPr>
        <w:t xml:space="preserve"> из всех методов жизненного цикла </w:t>
      </w:r>
      <w:r>
        <w:rPr>
          <w:rFonts w:ascii="PT Astra Serif" w:hAnsi="PT Astra Serif"/>
          <w:sz w:val="26"/>
        </w:rPr>
        <w:t>портлета</w:t>
      </w:r>
      <w:r>
        <w:rPr>
          <w:rFonts w:ascii="PT Astra Serif" w:hAnsi="PT Astra Serif"/>
          <w:sz w:val="26"/>
        </w:rPr>
        <w:t xml:space="preserve">. Информационный обмен должен осуществляться в автоматическом режиме. </w:t>
      </w:r>
      <w:r>
        <w:rPr>
          <w:rFonts w:ascii="PT Astra Serif" w:hAnsi="PT Astra Serif"/>
          <w:sz w:val="26"/>
        </w:rPr>
        <w:t xml:space="preserve">Использование AJAX </w:t>
      </w:r>
      <w:r>
        <w:rPr>
          <w:rFonts w:ascii="PT Astra Serif" w:hAnsi="PT Astra Serif"/>
          <w:sz w:val="26"/>
        </w:rPr>
        <w:t xml:space="preserve">(технология обращения к серверу без перезагрузки страницы) с прохождением запроса непосредственно через портальный </w:t>
      </w:r>
      <w:r>
        <w:rPr>
          <w:rFonts w:ascii="PT Astra Serif" w:hAnsi="PT Astra Serif"/>
          <w:sz w:val="26"/>
        </w:rPr>
        <w:t>сервлет</w:t>
      </w:r>
      <w:r>
        <w:rPr>
          <w:rFonts w:ascii="PT Astra Serif" w:hAnsi="PT Astra Serif"/>
          <w:sz w:val="26"/>
        </w:rPr>
        <w:t xml:space="preserve"> (является интерфейсом, реализация которого расширяет функциональные возможности сервера.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Сервлет</w:t>
      </w:r>
      <w:r>
        <w:rPr>
          <w:rFonts w:ascii="PT Astra Serif" w:hAnsi="PT Astra Serif"/>
          <w:sz w:val="26"/>
        </w:rPr>
        <w:t xml:space="preserve"> взаимодействует с клиентами посредством принципа запрос-ответ) и, как следствие, получение полного доступа к контексту </w:t>
      </w:r>
      <w:r>
        <w:rPr>
          <w:rFonts w:ascii="PT Astra Serif" w:hAnsi="PT Astra Serif"/>
          <w:sz w:val="26"/>
        </w:rPr>
        <w:t>портлета</w:t>
      </w:r>
      <w:r>
        <w:rPr>
          <w:rFonts w:ascii="PT Astra Serif" w:hAnsi="PT Astra Serif"/>
          <w:sz w:val="26"/>
        </w:rPr>
        <w:t xml:space="preserve"> - параметрам отображения, режиму работы, состоянию окна, настройкам </w:t>
      </w:r>
      <w:r>
        <w:rPr>
          <w:rFonts w:ascii="PT Astra Serif" w:hAnsi="PT Astra Serif"/>
          <w:sz w:val="26"/>
        </w:rPr>
        <w:t>портлета</w:t>
      </w:r>
      <w:r>
        <w:rPr>
          <w:rFonts w:ascii="PT Astra Serif" w:hAnsi="PT Astra Serif"/>
          <w:sz w:val="26"/>
        </w:rPr>
        <w:t xml:space="preserve"> и </w:t>
      </w:r>
      <w:r>
        <w:rPr>
          <w:rFonts w:ascii="PT Astra Serif" w:hAnsi="PT Astra Serif"/>
          <w:sz w:val="26"/>
        </w:rPr>
        <w:t>портлетной</w:t>
      </w:r>
      <w:r>
        <w:rPr>
          <w:rFonts w:ascii="PT Astra Serif" w:hAnsi="PT Astra Serif"/>
          <w:sz w:val="26"/>
        </w:rPr>
        <w:t xml:space="preserve"> сессии.</w:t>
      </w:r>
    </w:p>
    <w:p w14:paraId="93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режимам функционирования системы</w:t>
      </w:r>
    </w:p>
    <w:p w14:paraId="94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Режим функционирования – круглосуточно, исключая согласованные периоды времени на выполнение регламентных работ по обслуживанию оборудования или обновление программного обеспечения Системы. Технические работы необходимо выполнять в часы минимальной пользовательской активности.</w:t>
      </w:r>
    </w:p>
    <w:p w14:paraId="95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по диагностированию системы</w:t>
      </w:r>
    </w:p>
    <w:p w14:paraId="96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диагностики состояния Системы и выявления возможных сбоев в ходе ее эксплуатации должно быть реализовано </w:t>
      </w:r>
      <w:r>
        <w:rPr>
          <w:rFonts w:ascii="PT Astra Serif" w:hAnsi="PT Astra Serif"/>
          <w:sz w:val="26"/>
        </w:rPr>
        <w:t>журналирование</w:t>
      </w:r>
      <w:r>
        <w:rPr>
          <w:rFonts w:ascii="PT Astra Serif" w:hAnsi="PT Astra Serif"/>
          <w:sz w:val="26"/>
        </w:rPr>
        <w:t xml:space="preserve"> системных событий.</w:t>
      </w:r>
    </w:p>
    <w:p w14:paraId="97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предоставлять интерфейс для возможности просмотра диагностических событий, включая события по действиям пользователей и мониторинга процесса выполнения программ.</w:t>
      </w:r>
    </w:p>
    <w:p w14:paraId="98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Перспективы развития </w:t>
      </w:r>
      <w:r>
        <w:rPr>
          <w:rFonts w:ascii="PT Astra Serif" w:hAnsi="PT Astra Serif"/>
          <w:b w:val="1"/>
          <w:sz w:val="26"/>
        </w:rPr>
        <w:t>системы</w:t>
      </w:r>
    </w:p>
    <w:p w14:paraId="99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предоставлять возможность функционального расширения путем разработки и включения дополнительных подсистем, модулей.</w:t>
      </w:r>
    </w:p>
    <w:p w14:paraId="9A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Услуги </w:t>
      </w:r>
      <w:r>
        <w:rPr>
          <w:rFonts w:ascii="PT Astra Serif" w:hAnsi="PT Astra Serif"/>
          <w:sz w:val="26"/>
        </w:rPr>
        <w:t xml:space="preserve">по сопровождению и техническому обслуживанию </w:t>
      </w:r>
      <w:r>
        <w:rPr>
          <w:rFonts w:ascii="PT Astra Serif" w:hAnsi="PT Astra Serif"/>
          <w:sz w:val="26"/>
        </w:rPr>
        <w:t xml:space="preserve">АИС «ИС Мониторинг», описание которых приведено в техническом задании на </w:t>
      </w:r>
      <w:r>
        <w:rPr>
          <w:rFonts w:ascii="PT Astra Serif" w:hAnsi="PT Astra Serif"/>
          <w:sz w:val="26"/>
        </w:rPr>
        <w:t xml:space="preserve"> сопровождени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и техническо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обслуживани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АИС «ИС Мониторинг», должны выполняться с учетом требования совместимости с ранее созданными компонентами АИС «ИС Мониторинг».</w:t>
      </w:r>
    </w:p>
    <w:p w14:paraId="9B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sz w:val="26"/>
        </w:rPr>
        <w:t>Требования к информационному обеспечению</w:t>
      </w:r>
    </w:p>
    <w:p w14:paraId="9C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Хранение данных в Системе должно быть обеспечено функциями СУБД, относящихся к Единому реестру российских программ для электронных вычислительных машин и баз данных или свободно-распространяемому </w:t>
      </w:r>
      <w:r>
        <w:rPr>
          <w:rFonts w:ascii="PT Astra Serif" w:hAnsi="PT Astra Serif"/>
          <w:sz w:val="26"/>
        </w:rPr>
        <w:t>ПО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                     </w:t>
      </w:r>
      <w:r>
        <w:rPr>
          <w:rFonts w:ascii="PT Astra Serif" w:hAnsi="PT Astra Serif"/>
          <w:sz w:val="26"/>
        </w:rPr>
        <w:t>с открытым исходным кодом. Для обеспечения целостности данных должны использоваться встроенные механизмы СУБД.</w:t>
      </w:r>
    </w:p>
    <w:p w14:paraId="9D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Средства СУБД, а также средства используемых операционных систем должны обеспечивать протоколирование обрабатываемой в Системе информации.</w:t>
      </w:r>
    </w:p>
    <w:p w14:paraId="9E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Доступ к данным должен быть предоставлен только авторизованным пользователям, а также с учетом категории запрашиваемой информации.</w:t>
      </w:r>
    </w:p>
    <w:p w14:paraId="9F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лингвистическому обеспечению</w:t>
      </w:r>
    </w:p>
    <w:p w14:paraId="A0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</w:t>
      </w:r>
      <w:r>
        <w:rPr>
          <w:rFonts w:ascii="PT Astra Serif" w:hAnsi="PT Astra Serif"/>
          <w:sz w:val="26"/>
        </w:rPr>
        <w:t xml:space="preserve"> сопровождени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и техническом обслуживани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Системы Исполнитель должен учитывать язык программирования, на котором создан исходный код АИС «ИС Мониторинг» </w:t>
      </w:r>
      <w:r>
        <w:rPr>
          <w:rFonts w:ascii="PT Astra Serif" w:hAnsi="PT Astra Serif"/>
          <w:sz w:val="26"/>
        </w:rPr>
        <w:t>сопровождаемой</w:t>
      </w:r>
      <w:r>
        <w:rPr>
          <w:rFonts w:ascii="PT Astra Serif" w:hAnsi="PT Astra Serif"/>
          <w:sz w:val="26"/>
        </w:rPr>
        <w:t xml:space="preserve"> Системы.</w:t>
      </w:r>
    </w:p>
    <w:p w14:paraId="A1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поддерживать использование для текстовых полей кодировки UTF-8.</w:t>
      </w:r>
    </w:p>
    <w:p w14:paraId="A2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диалогах с пользователями в текстах сообщений должен применяться русский язык, за исключением сообщений общесистемного ПО, которые могут не подлежать переводу на русский язык, а также системных сообщений и интерфейсов администратора Системы. Способ организации диалога </w:t>
      </w:r>
      <w:r>
        <w:rPr>
          <w:rFonts w:ascii="PT Astra Serif" w:hAnsi="PT Astra Serif"/>
          <w:sz w:val="26"/>
        </w:rPr>
        <w:t xml:space="preserve">                                </w:t>
      </w:r>
      <w:r>
        <w:rPr>
          <w:rFonts w:ascii="PT Astra Serif" w:hAnsi="PT Astra Serif"/>
          <w:sz w:val="26"/>
        </w:rPr>
        <w:t>с пользователем должен обеспечивать:</w:t>
      </w:r>
    </w:p>
    <w:p w14:paraId="A3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уменьшение вероятности совершения оператором случайных ошибочных действий;</w:t>
      </w:r>
    </w:p>
    <w:p w14:paraId="A4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логический контроль ввода данных;</w:t>
      </w:r>
    </w:p>
    <w:p w14:paraId="A5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контроль ввода данных на непротиворечивость;</w:t>
      </w:r>
    </w:p>
    <w:p w14:paraId="A6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возможность корректировки вводимого текста.</w:t>
      </w:r>
    </w:p>
    <w:p w14:paraId="A7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Все экранные и выходные формы, инструкции по работе, вся документация должны быть выполнены на русском языке. Исключения могут составлять только системные сообщения, не подлежащие русификации.</w:t>
      </w:r>
    </w:p>
    <w:p w14:paraId="A8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программному обеспечению</w:t>
      </w:r>
    </w:p>
    <w:p w14:paraId="A9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Оказание услуг </w:t>
      </w:r>
      <w:r>
        <w:rPr>
          <w:rFonts w:ascii="PT Astra Serif" w:hAnsi="PT Astra Serif"/>
          <w:sz w:val="26"/>
        </w:rPr>
        <w:t xml:space="preserve">по сопровождению и техническому обслуживанию </w:t>
      </w:r>
      <w:r>
        <w:rPr>
          <w:rFonts w:ascii="PT Astra Serif" w:hAnsi="PT Astra Serif"/>
          <w:sz w:val="26"/>
        </w:rPr>
        <w:t>АИС «ИС Мониторинг» должно осуществляться с учетом обеспечения дальнейшей возможности масштабирования и перспективного развития Системы. В состав АИС «ИС Мониторинг» не должно входить ПО иностранного происхождения, использование которого требует обязательной закупки лицензий или технической поддержки иностранных производителей.</w:t>
      </w:r>
    </w:p>
    <w:p w14:paraId="AA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  <w:highlight w:val="yellow"/>
        </w:rPr>
      </w:pPr>
      <w:r>
        <w:rPr>
          <w:rFonts w:ascii="PT Astra Serif" w:hAnsi="PT Astra Serif"/>
          <w:sz w:val="26"/>
        </w:rPr>
        <w:t xml:space="preserve">Программные средства, используемые в Системе, должны поддерживать многопользовательскую работу. Графический пользовательский интерфейс должен быть реализован как веб-приложение, </w:t>
      </w:r>
      <w:r>
        <w:rPr>
          <w:rFonts w:ascii="PT Astra Serif" w:hAnsi="PT Astra Serif"/>
          <w:sz w:val="26"/>
        </w:rPr>
        <w:t>используемое</w:t>
      </w:r>
      <w:r>
        <w:rPr>
          <w:rFonts w:ascii="PT Astra Serif" w:hAnsi="PT Astra Serif"/>
          <w:sz w:val="26"/>
        </w:rPr>
        <w:t xml:space="preserve"> пользователями с помощью веб-браузеров.</w:t>
      </w:r>
    </w:p>
    <w:p w14:paraId="AB00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Программные компоненты Систем функционируют:</w:t>
      </w:r>
    </w:p>
    <w:p w14:paraId="AC000000">
      <w:pPr>
        <w:widowControl w:val="1"/>
        <w:tabs>
          <w:tab w:leader="none" w:pos="1276" w:val="left"/>
          <w:tab w:leader="none" w:pos="1418" w:val="left"/>
          <w:tab w:leader="none" w:pos="1560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сервер БД под управлением СУБД типа </w:t>
      </w:r>
      <w:r>
        <w:rPr>
          <w:rFonts w:ascii="PT Astra Serif" w:hAnsi="PT Astra Serif"/>
          <w:sz w:val="26"/>
        </w:rPr>
        <w:t>Postgres</w:t>
      </w:r>
      <w:r>
        <w:rPr>
          <w:rFonts w:ascii="PT Astra Serif" w:hAnsi="PT Astra Serif"/>
          <w:sz w:val="26"/>
        </w:rPr>
        <w:t xml:space="preserve"> (версия не ранее 2018 года);</w:t>
      </w:r>
    </w:p>
    <w:p w14:paraId="AD000000">
      <w:pPr>
        <w:widowControl w:val="1"/>
        <w:tabs>
          <w:tab w:leader="none" w:pos="1276" w:val="left"/>
          <w:tab w:leader="none" w:pos="1418" w:val="left"/>
          <w:tab w:leader="none" w:pos="1560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сервер приложений под управлением ОС на базе </w:t>
      </w:r>
      <w:r>
        <w:rPr>
          <w:rFonts w:ascii="PT Astra Serif" w:hAnsi="PT Astra Serif"/>
          <w:sz w:val="26"/>
        </w:rPr>
        <w:t>Linux</w:t>
      </w:r>
      <w:r>
        <w:rPr>
          <w:rFonts w:ascii="PT Astra Serif" w:hAnsi="PT Astra Serif"/>
          <w:sz w:val="26"/>
        </w:rPr>
        <w:t xml:space="preserve"> (версия не ниже </w:t>
      </w:r>
      <w:r>
        <w:rPr>
          <w:rFonts w:ascii="PT Astra Serif" w:hAnsi="PT Astra Serif"/>
          <w:sz w:val="26"/>
        </w:rPr>
        <w:t>ubuntu</w:t>
      </w:r>
      <w:r>
        <w:rPr>
          <w:rFonts w:ascii="PT Astra Serif" w:hAnsi="PT Astra Serif"/>
          <w:sz w:val="26"/>
        </w:rPr>
        <w:t xml:space="preserve"> 18.04).</w:t>
      </w:r>
    </w:p>
    <w:p w14:paraId="AE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 обеспечению клиентских рабочих мест предъявляются следующие требования:</w:t>
      </w:r>
    </w:p>
    <w:p w14:paraId="AF000000">
      <w:pPr>
        <w:widowControl w:val="1"/>
        <w:tabs>
          <w:tab w:leader="none" w:pos="1276" w:val="left"/>
          <w:tab w:leader="none" w:pos="1418" w:val="left"/>
          <w:tab w:leader="none" w:pos="1560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Операционные системы:</w:t>
      </w:r>
    </w:p>
    <w:p w14:paraId="B0000000">
      <w:pPr>
        <w:widowControl w:val="1"/>
        <w:tabs>
          <w:tab w:leader="none" w:pos="1211" w:val="left"/>
          <w:tab w:leader="none" w:pos="1276" w:val="left"/>
          <w:tab w:leader="none" w:pos="1560" w:val="left"/>
          <w:tab w:leader="none" w:pos="1701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Windows</w:t>
      </w:r>
      <w:r>
        <w:rPr>
          <w:rFonts w:ascii="PT Astra Serif" w:hAnsi="PT Astra Serif"/>
          <w:sz w:val="26"/>
        </w:rPr>
        <w:t xml:space="preserve"> 7 и выше;</w:t>
      </w:r>
    </w:p>
    <w:p w14:paraId="B1000000">
      <w:pPr>
        <w:widowControl w:val="1"/>
        <w:tabs>
          <w:tab w:leader="none" w:pos="1211" w:val="left"/>
          <w:tab w:leader="none" w:pos="1276" w:val="left"/>
          <w:tab w:leader="none" w:pos="1560" w:val="left"/>
          <w:tab w:leader="none" w:pos="1701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Linux</w:t>
      </w:r>
      <w:r>
        <w:rPr>
          <w:rFonts w:ascii="PT Astra Serif" w:hAnsi="PT Astra Serif"/>
          <w:sz w:val="26"/>
        </w:rPr>
        <w:t xml:space="preserve"> для рабочих станций и серверов.</w:t>
      </w:r>
    </w:p>
    <w:p w14:paraId="B2000000">
      <w:pPr>
        <w:widowControl w:val="1"/>
        <w:tabs>
          <w:tab w:leader="none" w:pos="1276" w:val="left"/>
          <w:tab w:leader="none" w:pos="1418" w:val="left"/>
          <w:tab w:leader="none" w:pos="1560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web</w:t>
      </w:r>
      <w:r>
        <w:rPr>
          <w:rFonts w:ascii="PT Astra Serif" w:hAnsi="PT Astra Serif"/>
          <w:sz w:val="26"/>
        </w:rPr>
        <w:t xml:space="preserve">-браузеры: </w:t>
      </w:r>
    </w:p>
    <w:p w14:paraId="B3000000">
      <w:pPr>
        <w:widowControl w:val="1"/>
        <w:tabs>
          <w:tab w:leader="none" w:pos="1211" w:val="left"/>
          <w:tab w:leader="none" w:pos="1276" w:val="left"/>
          <w:tab w:leader="none" w:pos="1560" w:val="left"/>
          <w:tab w:leader="none" w:pos="1701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Яндекс. Браузер версии 21 и выше;</w:t>
      </w:r>
    </w:p>
    <w:p w14:paraId="B4000000">
      <w:pPr>
        <w:widowControl w:val="1"/>
        <w:tabs>
          <w:tab w:leader="none" w:pos="1211" w:val="left"/>
          <w:tab w:leader="none" w:pos="1276" w:val="left"/>
          <w:tab w:leader="none" w:pos="1560" w:val="left"/>
          <w:tab w:leader="none" w:pos="1701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Chromium-Gost</w:t>
      </w:r>
      <w:r>
        <w:rPr>
          <w:rFonts w:ascii="PT Astra Serif" w:hAnsi="PT Astra Serif"/>
          <w:sz w:val="26"/>
        </w:rPr>
        <w:t xml:space="preserve"> версии 99 и выше.</w:t>
      </w:r>
    </w:p>
    <w:p w14:paraId="B5000000">
      <w:pPr>
        <w:widowControl w:val="1"/>
        <w:tabs>
          <w:tab w:leader="none" w:pos="1211" w:val="left"/>
          <w:tab w:leader="none" w:pos="1276" w:val="left"/>
          <w:tab w:leader="none" w:pos="1560" w:val="left"/>
          <w:tab w:leader="none" w:pos="1701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</w:p>
    <w:p w14:paraId="B6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методическому обеспечению</w:t>
      </w:r>
    </w:p>
    <w:p w14:paraId="B7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рамках </w:t>
      </w:r>
      <w:r>
        <w:rPr>
          <w:rFonts w:ascii="PT Astra Serif" w:hAnsi="PT Astra Serif"/>
          <w:sz w:val="26"/>
        </w:rPr>
        <w:t>по сопровождению и техническому обслуживанию</w:t>
      </w:r>
      <w:r>
        <w:rPr>
          <w:rFonts w:ascii="PT Astra Serif" w:hAnsi="PT Astra Serif"/>
          <w:sz w:val="26"/>
        </w:rPr>
        <w:t xml:space="preserve"> общих функций Системы Исполнителем должны быть актуализированы следующие эксплуатационные документы: </w:t>
      </w:r>
    </w:p>
    <w:p w14:paraId="B8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пользователя (при оказании услуг, включающих функциональные изменения процесса использования Системы);</w:t>
      </w:r>
    </w:p>
    <w:p w14:paraId="B9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администратора (при оказании услуг, включающих функциональные изменения процесса администрирования Системы).</w:t>
      </w:r>
    </w:p>
    <w:p w14:paraId="BA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Общие технические требования к системе</w:t>
      </w:r>
    </w:p>
    <w:p w14:paraId="BB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эргономике и технической эстетике</w:t>
      </w:r>
    </w:p>
    <w:p w14:paraId="BC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Взаимодействие пользователей с АИС «ИС Мониторинг» должно осуществляться посредством визуального графического интерфейса. Интерфейс АИС «ИС Мониторинг» должен быть понятным и удобным, не должен быть перегружен графическими элементами и должен обеспечивать быстрое отображение экранных форм. Ввод-вывод данных АИС «ИС Мониторинг», прием управляющих команд и отображение результатов их исполнения должны выполняться в интерактивном режиме.</w:t>
      </w:r>
    </w:p>
    <w:p w14:paraId="BD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Пользовательский интерфейс должен соответствовать современным эргономическим требованиям и обеспечивать удобный доступ к основным функциям и операциям АИС «ИС Мониторинг». </w:t>
      </w:r>
    </w:p>
    <w:p w14:paraId="BE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Интерфейс должен быть рассчитан на преимущественное использование манипулятора типа «мышь», то есть управление должно осуществляться </w:t>
      </w:r>
      <w:r>
        <w:rPr>
          <w:rFonts w:ascii="PT Astra Serif" w:hAnsi="PT Astra Serif"/>
          <w:sz w:val="26"/>
        </w:rPr>
        <w:t xml:space="preserve">                          </w:t>
      </w:r>
      <w:r>
        <w:rPr>
          <w:rFonts w:ascii="PT Astra Serif" w:hAnsi="PT Astra Serif"/>
          <w:sz w:val="26"/>
        </w:rPr>
        <w:t>с помощью набора экранных меню, кнопок, значков и т.п. элементов. Клавиатурный режим ввода должен использоваться главным образом при заполнении и/или редактировании текстовых и числовых полей экранных форм. Все надписи экранных форм, а также сообщения, выдаваемые пользователю (кроме системных сообщений) должны быть на русском языке.</w:t>
      </w:r>
    </w:p>
    <w:p w14:paraId="BF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Эргономика Системы достигается путем соответствия интерфейса следующим критериям:</w:t>
      </w:r>
    </w:p>
    <w:p w14:paraId="C0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должен быть обеспечен удобный, простой и интуитивно понятный интерфейс для пользователя, который хорошо знает свою предметную область и не является специалистом в области информационных технологий;</w:t>
      </w:r>
    </w:p>
    <w:p w14:paraId="C1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функциональная полнота, обеспечение доступа ко всем функциональным возможностям АИС «ИС Мониторинг»;</w:t>
      </w:r>
    </w:p>
    <w:p w14:paraId="C2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корректность реализации функциональных возможностей и соответствие автоматизируемым задачам и обеспечению достоверности результатов;</w:t>
      </w:r>
    </w:p>
    <w:p w14:paraId="C3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информативность, адекватное отображение информации и состояние исполняемых процессов;</w:t>
      </w:r>
    </w:p>
    <w:p w14:paraId="C4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минимизация и оптимизация действий пользователя при выполнении операций;</w:t>
      </w:r>
    </w:p>
    <w:p w14:paraId="C5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должна быть обеспечена корректная обработка ситуаций, вызванных неверными действиями пользователей, неверным форматом или недопустимыми значениями входных данных. В указанных случаях Система должна выдавать пользователю сообщения, отражающие проблему и содержащие рекомендации по ее устранению, после чего возвращаться в рабочее состояние, предшествовавшее неверной (недопустимой) команде или некорректному вводу данных;</w:t>
      </w:r>
    </w:p>
    <w:p w14:paraId="C6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сокращение длительности операций чтения, редактирования и поиска информации;</w:t>
      </w:r>
    </w:p>
    <w:p w14:paraId="C7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отображении многострочных массивов информации должна показываться полоса прокрутки;</w:t>
      </w:r>
    </w:p>
    <w:p w14:paraId="C8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комфортность работы;</w:t>
      </w:r>
    </w:p>
    <w:p w14:paraId="C9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ясность и четкость текстов, значений пиктограмм и прочих элементов управления;</w:t>
      </w:r>
    </w:p>
    <w:p w14:paraId="CA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6"/>
        </w:rPr>
        <w:t>стандартизация управляющих элементов, экранных форм и информационных панелей.</w:t>
      </w:r>
      <w:r>
        <w:rPr>
          <w:rFonts w:ascii="PT Astra Serif" w:hAnsi="PT Astra Serif"/>
          <w:b w:val="1"/>
          <w:sz w:val="28"/>
        </w:rPr>
        <w:br w:type="page"/>
      </w:r>
    </w:p>
    <w:p w14:paraId="CB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эксплуатации, техническому обслуживанию, ремонту и хранению компонентов системы</w:t>
      </w:r>
    </w:p>
    <w:p w14:paraId="CC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должна быть рассчитана на эксплуатацию в составе программно–технического комплекса Заказчика. Техническая и физическая защита аппаратных компонентов Системы, носителей данных, бесперебойное энергоснабжение, резервирование ресурсов, текущее обслуживание реализуется техническими и организационными средствами Заказчика.</w:t>
      </w:r>
    </w:p>
    <w:p w14:paraId="CD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Система не должна требовать регулярного администрирования. Штатные средства системы должны позволять проводить удаленное администрирование базы данных и настройку Системы (при наличии технической возможности доступа к серверу, на котором установлена Система).</w:t>
      </w:r>
    </w:p>
    <w:p w14:paraId="CE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защите информации от несанкционированного доступа</w:t>
      </w:r>
    </w:p>
    <w:p w14:paraId="CF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рамках оказания услуг </w:t>
      </w:r>
      <w:r>
        <w:rPr>
          <w:rFonts w:ascii="PT Astra Serif" w:hAnsi="PT Astra Serif"/>
          <w:sz w:val="26"/>
        </w:rPr>
        <w:t xml:space="preserve">по сопровождению и техническому обслуживанию </w:t>
      </w:r>
      <w:r>
        <w:rPr>
          <w:rFonts w:ascii="PT Astra Serif" w:hAnsi="PT Astra Serif"/>
          <w:sz w:val="26"/>
        </w:rPr>
        <w:t xml:space="preserve">АИС «ИС Мониторинг» должна обеспечиваться защита информации от несанкционированного доступа в соответствии с мерами защиты информации, установленными в Приложении № 2 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к приказу Федеральной службы по техническому и экспортному контролю РФ от 11 февраля 2013 г. № 17 «Об утверждении Требований о защите информации, не составляющей государственную тайну, содержащейся в государственных информационных системах</w:t>
      </w:r>
      <w:r>
        <w:rPr>
          <w:rFonts w:ascii="PT Astra Serif" w:hAnsi="PT Astra Serif"/>
          <w:sz w:val="26"/>
        </w:rPr>
        <w:t xml:space="preserve">», </w:t>
      </w:r>
      <w:r>
        <w:rPr>
          <w:rFonts w:ascii="PT Astra Serif" w:hAnsi="PT Astra Serif"/>
          <w:sz w:val="26"/>
        </w:rPr>
        <w:t>согласно классу защищённости</w:t>
      </w:r>
      <w:r>
        <w:rPr>
          <w:rFonts w:ascii="PT Astra Serif" w:hAnsi="PT Astra Serif"/>
          <w:sz w:val="26"/>
        </w:rPr>
        <w:t xml:space="preserve">, </w:t>
      </w:r>
      <w:r>
        <w:rPr>
          <w:rFonts w:ascii="PT Astra Serif" w:hAnsi="PT Astra Serif"/>
          <w:sz w:val="26"/>
        </w:rPr>
        <w:t xml:space="preserve">установленном </w:t>
      </w:r>
      <w:r>
        <w:rPr>
          <w:rFonts w:ascii="PT Astra Serif" w:hAnsi="PT Astra Serif"/>
          <w:sz w:val="26"/>
        </w:rPr>
        <w:t xml:space="preserve">                   </w:t>
      </w:r>
      <w:r>
        <w:rPr>
          <w:rFonts w:ascii="PT Astra Serif" w:hAnsi="PT Astra Serif"/>
          <w:sz w:val="26"/>
        </w:rPr>
        <w:t>в техническом задании на создание АИС «ИС Мониторинг».</w:t>
      </w:r>
    </w:p>
    <w:p w14:paraId="D0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обработке в Системе информации, содержащей персональные данные, должны обеспечиваться требования к защите персональных данных при их обработке в информационных системах, утвержденных постановлением Правительства Российской Федерации от 1 ноября 2012 года № 1119, согласно уровню защищенности, персональных данных, установленных в техническом задании на создание АИС «ИС Мониторинг».</w:t>
      </w:r>
    </w:p>
    <w:p w14:paraId="D1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состав мер по обеспечению безопасности информации также должны входить:</w:t>
      </w:r>
    </w:p>
    <w:p w14:paraId="D2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идентификация и аутентификация пользователей; </w:t>
      </w:r>
    </w:p>
    <w:p w14:paraId="D3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гибкая ролевая модель, в том числе возможность настройки для каждой пользовательской роли прав доступа к информационным ресурсам и выполнения определенных операций;</w:t>
      </w:r>
    </w:p>
    <w:p w14:paraId="D4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функция по регистрации событий, определению (выбору) регистрируемых событий, обеспечиваться запись и хранение информации о событиях в течение устанавливаемого времени хранения. </w:t>
      </w:r>
    </w:p>
    <w:p w14:paraId="D5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выполнении оказании услуг должны быть соблюдены условия конфиденциальности при создании учетной записи пользователя. Так в случае использования пароля для аутентификации (или других кодов доступа), Системы должна предусматривать процедуры управления паролями (и другими кодами доступа), не допускающими передачу пароля в каком-либо виде между пользователями и обслуживающим персоналом (администраторами) системы. Все данные о средствах и системах защиты информации Системы, полученные сотрудниками Исполнителя при оказании услуг в рамках настоящего ТЗ, являются конфиденциальной информацией, принадлежащей Заказчику, и не подлежат разглашению третьим лицам.</w:t>
      </w:r>
    </w:p>
    <w:p w14:paraId="D6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Аттестация безопасности ИС не входит в услуги </w:t>
      </w:r>
      <w:r>
        <w:rPr>
          <w:rFonts w:ascii="PT Astra Serif" w:hAnsi="PT Astra Serif"/>
          <w:sz w:val="26"/>
        </w:rPr>
        <w:t>текущего</w:t>
      </w:r>
      <w:r>
        <w:rPr>
          <w:rFonts w:ascii="PT Astra Serif" w:hAnsi="PT Astra Serif"/>
          <w:sz w:val="26"/>
        </w:rPr>
        <w:t xml:space="preserve"> ТЗ и осуществляется по необходимости Заказчиком самостоятельно.</w:t>
      </w:r>
    </w:p>
    <w:p w14:paraId="D7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патентной чистоте и патентоспособности</w:t>
      </w:r>
    </w:p>
    <w:p w14:paraId="D8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Патентная чистота Системы и ее частей должна быть обеспечена в отношении патентов, действующих на территории Российской Федерации.</w:t>
      </w:r>
    </w:p>
    <w:p w14:paraId="D9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оказании услуг по настоящему Техническому заданию Исполнитель должен гарантировать соблюдение авторских, исключительных и иных прав на объекты интеллектуальной собственности третьих лиц.</w:t>
      </w:r>
    </w:p>
    <w:p w14:paraId="DA000000">
      <w:pPr>
        <w:widowControl w:val="1"/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Заказчик располагает правом на использование программного обеспечения, на условиях не исключительной лицензии.</w:t>
      </w:r>
    </w:p>
    <w:p w14:paraId="DB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использовании в Системе программ (программных комплексов или модулей), разработанных третьими лицами и/или принадлежащих Исполнителю, условия, на которых передается право на использование (исполнение) этих программ, не должны накладывать ограничений, препятствующих использованию Системы по ее прямому назначению. Использование вышеуказанных программ, допускается по согласованию с Заказчиком.</w:t>
      </w:r>
    </w:p>
    <w:p w14:paraId="DC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Требования к стандартизации и унификации</w:t>
      </w:r>
    </w:p>
    <w:p w14:paraId="DD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Оказываемые услуги должны соответствовать следующим требованиям: </w:t>
      </w:r>
    </w:p>
    <w:p w14:paraId="DE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взаимодействие пользователей с программным обеспечением, входящим </w:t>
      </w:r>
      <w:r>
        <w:rPr>
          <w:rFonts w:ascii="PT Astra Serif" w:hAnsi="PT Astra Serif"/>
          <w:sz w:val="26"/>
        </w:rPr>
        <w:t xml:space="preserve">                  </w:t>
      </w:r>
      <w:r>
        <w:rPr>
          <w:rFonts w:ascii="PT Astra Serif" w:hAnsi="PT Astra Serif"/>
          <w:sz w:val="26"/>
        </w:rPr>
        <w:t>в состав системы, должно осуществляться посредством визуального графического интерфейса (GUI);</w:t>
      </w:r>
    </w:p>
    <w:p w14:paraId="DF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 интерфейс Системы должен быть понятным и удобным, не должен быть перегружен графическими элементами и должен обеспечивать быстрое отображение экранных форм;</w:t>
      </w:r>
    </w:p>
    <w:p w14:paraId="E0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навигационные элементы должны быть выполнены в удобной для пользователя форме; </w:t>
      </w:r>
    </w:p>
    <w:p w14:paraId="E1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применяемые при </w:t>
      </w:r>
      <w:r>
        <w:rPr>
          <w:rFonts w:ascii="PT Astra Serif" w:hAnsi="PT Astra Serif"/>
          <w:sz w:val="26"/>
        </w:rPr>
        <w:t>сопровождени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и </w:t>
      </w:r>
      <w:r>
        <w:rPr>
          <w:rFonts w:ascii="PT Astra Serif" w:hAnsi="PT Astra Serif"/>
          <w:sz w:val="26"/>
        </w:rPr>
        <w:t>техническом</w:t>
      </w:r>
      <w:r>
        <w:rPr>
          <w:rFonts w:ascii="PT Astra Serif" w:hAnsi="PT Astra Serif"/>
          <w:sz w:val="26"/>
        </w:rPr>
        <w:t xml:space="preserve"> обслуживани</w:t>
      </w:r>
      <w:r>
        <w:rPr>
          <w:rFonts w:ascii="PT Astra Serif" w:hAnsi="PT Astra Serif"/>
          <w:sz w:val="26"/>
        </w:rPr>
        <w:t>е</w:t>
      </w:r>
      <w:r>
        <w:rPr>
          <w:rFonts w:ascii="PT Astra Serif" w:hAnsi="PT Astra Serif"/>
          <w:sz w:val="26"/>
        </w:rPr>
        <w:t xml:space="preserve"> Системы средства редактирования информации должны удовлетворять принятым соглашениям в части использования функциональных клавиш, режимов работы, поиска, использования оконной системы; </w:t>
      </w:r>
    </w:p>
    <w:p w14:paraId="E2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все надписи экранных форм, а также сообщения, выдаваемые пользователю (кроме системных сообщений) должны быть на русском языке.</w:t>
      </w:r>
    </w:p>
    <w:p w14:paraId="E3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Унификации подлежат все составляющие пользовательского интерфейса: система меню, формы отображения информации на экране, типы и формы сообщений и запросов пользователю, системные сообщения. Экранные формы должны проектироваться с учетом следующих требований унификации:</w:t>
      </w:r>
    </w:p>
    <w:p w14:paraId="E4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14:paraId="E5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обозначения сходных операций должны использоваться сходные графические значки, кнопки и другие управляющие (навигационные) элементы. </w:t>
      </w:r>
    </w:p>
    <w:p w14:paraId="E6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термины, используемые для обозначения типовых операций (добавление информационной сущности, редактирование поля данных), а также последовательности действий пользователя при их выполнении, должны быть унифицированы;</w:t>
      </w:r>
    </w:p>
    <w:p w14:paraId="E7000000">
      <w:pPr>
        <w:widowControl w:val="1"/>
        <w:tabs>
          <w:tab w:leader="none" w:pos="1134" w:val="left"/>
        </w:tabs>
        <w:ind w:firstLine="567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внешнее поведение сходных элементов интерфейса (реакция на наведение указателя «мыши», переключение фокуса, нажатие кнопки) должны реализовываться одинаково для однотипных элементов.</w:t>
      </w:r>
    </w:p>
    <w:p w14:paraId="E8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 вводе однотипных данных в Системе должны использоваться единые </w:t>
      </w:r>
      <w:r>
        <w:rPr>
          <w:rFonts w:ascii="PT Astra Serif" w:hAnsi="PT Astra Serif"/>
          <w:sz w:val="26"/>
        </w:rPr>
        <w:t xml:space="preserve">                 </w:t>
      </w:r>
      <w:r>
        <w:rPr>
          <w:rFonts w:ascii="PT Astra Serif" w:hAnsi="PT Astra Serif"/>
          <w:sz w:val="26"/>
        </w:rPr>
        <w:t>(в рамках Системы) справочники для различных видов текстовой информации.</w:t>
      </w:r>
    </w:p>
    <w:p w14:paraId="E9000000">
      <w:pPr>
        <w:rPr>
          <w:rFonts w:ascii="PT Astra Serif" w:hAnsi="PT Astra Serif"/>
          <w:sz w:val="26"/>
        </w:rPr>
      </w:pPr>
    </w:p>
    <w:p w14:paraId="EA000000">
      <w:pPr>
        <w:rPr>
          <w:rFonts w:ascii="PT Astra Serif" w:hAnsi="PT Astra Serif"/>
          <w:sz w:val="26"/>
        </w:rPr>
      </w:pPr>
    </w:p>
    <w:p w14:paraId="EB000000">
      <w:pPr>
        <w:keepNext w:val="1"/>
        <w:widowControl w:val="1"/>
        <w:tabs>
          <w:tab w:leader="none" w:pos="1560" w:val="left"/>
        </w:tabs>
        <w:spacing w:after="120" w:before="120"/>
        <w:ind w:firstLine="567"/>
        <w:jc w:val="both"/>
        <w:outlineLvl w:val="0"/>
        <w:rPr>
          <w:rFonts w:ascii="PT Astra Serif" w:hAnsi="PT Astra Serif"/>
          <w:b w:val="1"/>
          <w:caps w:val="1"/>
          <w:sz w:val="26"/>
        </w:rPr>
      </w:pPr>
      <w:r>
        <w:rPr>
          <w:rFonts w:ascii="PT Astra Serif" w:hAnsi="PT Astra Serif"/>
          <w:b w:val="1"/>
          <w:caps w:val="1"/>
          <w:sz w:val="26"/>
        </w:rPr>
        <w:t>ПОРЯДОК КОНТРОЛЯ И ПРИЕМКИ СИСТЕМЫ</w:t>
      </w:r>
    </w:p>
    <w:p w14:paraId="EC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Виды и объем испытаний системы </w:t>
      </w:r>
    </w:p>
    <w:p w14:paraId="ED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Проведение приемочных испытаний Системы</w:t>
      </w:r>
    </w:p>
    <w:p w14:paraId="EE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Проведение приемочных испытаний включает:</w:t>
      </w:r>
    </w:p>
    <w:p w14:paraId="EF000000">
      <w:pPr>
        <w:widowControl w:val="1"/>
        <w:numPr>
          <w:ilvl w:val="0"/>
          <w:numId w:val="3"/>
        </w:numPr>
        <w:tabs>
          <w:tab w:leader="none" w:pos="1276" w:val="left"/>
        </w:tabs>
        <w:spacing w:after="160"/>
        <w:ind w:firstLine="709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Испытания Системы на соответствие техническому заданию на ее </w:t>
      </w:r>
      <w:r>
        <w:rPr>
          <w:rFonts w:ascii="PT Astra Serif" w:hAnsi="PT Astra Serif"/>
          <w:sz w:val="26"/>
        </w:rPr>
        <w:t>сопровождени</w:t>
      </w:r>
      <w:r>
        <w:rPr>
          <w:rFonts w:ascii="PT Astra Serif" w:hAnsi="PT Astra Serif"/>
          <w:sz w:val="26"/>
        </w:rPr>
        <w:t>е</w:t>
      </w:r>
      <w:bookmarkStart w:id="2" w:name="_GoBack"/>
      <w:bookmarkEnd w:id="2"/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в соответствии с программой и методикой приемочных испытаний, разработанной Исполнителем и утвержденной Заказчиком.</w:t>
      </w:r>
    </w:p>
    <w:p w14:paraId="F0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Оформление Исполнителем и подписание Заказчиком акта о приемке Системы в эксплуатацию и документа о приемке.</w:t>
      </w:r>
    </w:p>
    <w:p w14:paraId="F1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</w:p>
    <w:p w14:paraId="F2000000">
      <w:pPr>
        <w:keepNext w:val="1"/>
        <w:widowControl w:val="1"/>
        <w:tabs>
          <w:tab w:leader="none" w:pos="1560" w:val="left"/>
        </w:tabs>
        <w:spacing w:after="120" w:before="120"/>
        <w:ind w:firstLine="567"/>
        <w:jc w:val="both"/>
        <w:outlineLvl w:val="0"/>
        <w:rPr>
          <w:rFonts w:ascii="PT Astra Serif" w:hAnsi="PT Astra Serif"/>
          <w:b w:val="1"/>
          <w:caps w:val="1"/>
          <w:sz w:val="26"/>
        </w:rPr>
      </w:pPr>
      <w:r>
        <w:rPr>
          <w:rFonts w:ascii="PT Astra Serif" w:hAnsi="PT Astra Serif"/>
          <w:b w:val="1"/>
          <w:caps w:val="1"/>
          <w:sz w:val="26"/>
        </w:rPr>
        <w:t>ТРЕБОВАНИЯ К ДОКУМЕНТИРОВАНИЮ</w:t>
      </w:r>
    </w:p>
    <w:p w14:paraId="F3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в рамках оказания услуг </w:t>
      </w:r>
      <w:r>
        <w:rPr>
          <w:rFonts w:ascii="PT Astra Serif" w:hAnsi="PT Astra Serif"/>
          <w:sz w:val="26"/>
        </w:rPr>
        <w:t xml:space="preserve">по сопровождению и техническому обслуживанию </w:t>
      </w:r>
      <w:r>
        <w:rPr>
          <w:rFonts w:ascii="PT Astra Serif" w:hAnsi="PT Astra Serif"/>
          <w:sz w:val="26"/>
        </w:rPr>
        <w:t xml:space="preserve">АИС «ИС Мониторинг» должен актуализировать/разработать комплект документации. Документация должна разрабатываться в соответствии с требованиями ГОСТ </w:t>
      </w:r>
      <w:r>
        <w:rPr>
          <w:rFonts w:ascii="PT Astra Serif" w:hAnsi="PT Astra Serif"/>
          <w:sz w:val="26"/>
        </w:rPr>
        <w:t>Р</w:t>
      </w:r>
      <w:r>
        <w:rPr>
          <w:rFonts w:ascii="PT Astra Serif" w:hAnsi="PT Astra Serif"/>
          <w:sz w:val="26"/>
        </w:rPr>
        <w:t xml:space="preserve"> 59792-2021, ГОСТ 34.201-2020, ГОСТ Р 59853-2021.</w:t>
      </w:r>
    </w:p>
    <w:p w14:paraId="F4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Документы, предъявляемые после оказания соответствующих услуг разделены</w:t>
      </w:r>
      <w:r>
        <w:rPr>
          <w:rFonts w:ascii="PT Astra Serif" w:hAnsi="PT Astra Serif"/>
          <w:sz w:val="26"/>
        </w:rPr>
        <w:t xml:space="preserve"> на два типа:</w:t>
      </w:r>
    </w:p>
    <w:p w14:paraId="F5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Рабочая документация на Систему, в составе:</w:t>
      </w:r>
    </w:p>
    <w:p w14:paraId="F6000000">
      <w:pPr>
        <w:widowControl w:val="1"/>
        <w:tabs>
          <w:tab w:leader="none" w:pos="1276" w:val="left"/>
          <w:tab w:leader="none" w:pos="1418" w:val="left"/>
          <w:tab w:leader="none" w:pos="1560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администратора;</w:t>
      </w:r>
    </w:p>
    <w:p w14:paraId="F7000000">
      <w:pPr>
        <w:widowControl w:val="1"/>
        <w:tabs>
          <w:tab w:leader="none" w:pos="1276" w:val="left"/>
          <w:tab w:leader="none" w:pos="1418" w:val="left"/>
          <w:tab w:leader="none" w:pos="1560" w:val="left"/>
          <w:tab w:leader="none" w:pos="1843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Руководство пользователя.</w:t>
      </w:r>
    </w:p>
    <w:p w14:paraId="F800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Итоговая документация: </w:t>
      </w:r>
    </w:p>
    <w:p w14:paraId="F9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Программа и методика приемочных испытаний;</w:t>
      </w:r>
    </w:p>
    <w:p w14:paraId="FA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Протокол проведения приемочных испытаний;</w:t>
      </w:r>
    </w:p>
    <w:p w14:paraId="FB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Акт о приемке Системы в эксплуатации:</w:t>
      </w:r>
    </w:p>
    <w:p w14:paraId="FC000000">
      <w:pPr>
        <w:widowControl w:val="1"/>
        <w:tabs>
          <w:tab w:leader="none" w:pos="1134" w:val="left"/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Протокол инструктажа;</w:t>
      </w:r>
    </w:p>
    <w:p w14:paraId="FD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Рабочая документация на Систему предоставляется Заказчику в электронном виде</w:t>
      </w:r>
      <w:r>
        <w:rPr>
          <w:rFonts w:ascii="PT Astra Serif" w:hAnsi="PT Astra Serif"/>
          <w:spacing w:val="2"/>
          <w:sz w:val="26"/>
          <w:highlight w:val="white"/>
        </w:rPr>
        <w:t xml:space="preserve"> (передана ссылка для скачивания). Документация </w:t>
      </w:r>
      <w:r>
        <w:rPr>
          <w:rFonts w:ascii="PT Astra Serif" w:hAnsi="PT Astra Serif"/>
          <w:sz w:val="26"/>
        </w:rPr>
        <w:t xml:space="preserve">должна быть выполнена </w:t>
      </w:r>
      <w:r>
        <w:rPr>
          <w:rFonts w:ascii="PT Astra Serif" w:hAnsi="PT Astra Serif"/>
          <w:sz w:val="26"/>
        </w:rPr>
        <w:t xml:space="preserve">              </w:t>
      </w:r>
      <w:r>
        <w:rPr>
          <w:rFonts w:ascii="PT Astra Serif" w:hAnsi="PT Astra Serif"/>
          <w:sz w:val="26"/>
        </w:rPr>
        <w:t>в формате *.</w:t>
      </w:r>
      <w:r>
        <w:rPr>
          <w:rFonts w:ascii="PT Astra Serif" w:hAnsi="PT Astra Serif"/>
          <w:sz w:val="26"/>
        </w:rPr>
        <w:t>pdf</w:t>
      </w:r>
      <w:r>
        <w:rPr>
          <w:rFonts w:ascii="PT Astra Serif" w:hAnsi="PT Astra Serif"/>
          <w:sz w:val="26"/>
        </w:rPr>
        <w:t>, *.</w:t>
      </w:r>
      <w:r>
        <w:rPr>
          <w:rFonts w:ascii="PT Astra Serif" w:hAnsi="PT Astra Serif"/>
          <w:sz w:val="26"/>
        </w:rPr>
        <w:t>doc</w:t>
      </w:r>
      <w:r>
        <w:rPr>
          <w:rFonts w:ascii="PT Astra Serif" w:hAnsi="PT Astra Serif"/>
          <w:sz w:val="26"/>
        </w:rPr>
        <w:t>/*.</w:t>
      </w:r>
      <w:r>
        <w:rPr>
          <w:rFonts w:ascii="PT Astra Serif" w:hAnsi="PT Astra Serif"/>
          <w:sz w:val="26"/>
        </w:rPr>
        <w:t>docx</w:t>
      </w:r>
      <w:r>
        <w:rPr>
          <w:rFonts w:ascii="PT Astra Serif" w:hAnsi="PT Astra Serif"/>
          <w:sz w:val="26"/>
        </w:rPr>
        <w:t>, требования к формату не предъявляются.</w:t>
      </w:r>
    </w:p>
    <w:p w14:paraId="FE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Итоговая документация предоставляется Заказчику в 2 экземплярах на бумажном носителе, заверенная подписью и печатью уполномоченного лица, и в 1 экземпляре на электронном носителе в формате *.</w:t>
      </w:r>
      <w:r>
        <w:rPr>
          <w:rFonts w:ascii="PT Astra Serif" w:hAnsi="PT Astra Serif"/>
          <w:sz w:val="26"/>
        </w:rPr>
        <w:t>doc</w:t>
      </w:r>
      <w:r>
        <w:rPr>
          <w:rFonts w:ascii="PT Astra Serif" w:hAnsi="PT Astra Serif"/>
          <w:sz w:val="26"/>
        </w:rPr>
        <w:t>/*.</w:t>
      </w:r>
      <w:r>
        <w:rPr>
          <w:rFonts w:ascii="PT Astra Serif" w:hAnsi="PT Astra Serif"/>
          <w:sz w:val="26"/>
        </w:rPr>
        <w:t>docx</w:t>
      </w:r>
      <w:r>
        <w:rPr>
          <w:rFonts w:ascii="PT Astra Serif" w:hAnsi="PT Astra Serif"/>
          <w:sz w:val="26"/>
        </w:rPr>
        <w:t>.</w:t>
      </w:r>
    </w:p>
    <w:p w14:paraId="FF000000">
      <w:pPr>
        <w:widowControl w:val="1"/>
        <w:tabs>
          <w:tab w:leader="none" w:pos="1560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Документация должна быть выполнена на русском языке, за исключением официальных наименований используемого программного и технического обеспечения.</w:t>
      </w:r>
    </w:p>
    <w:p w14:paraId="00010000">
      <w:pPr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br w:type="page"/>
      </w:r>
    </w:p>
    <w:p w14:paraId="0101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sz w:val="26"/>
        </w:rPr>
        <w:t>Требования к оказываемым услугам</w:t>
      </w:r>
    </w:p>
    <w:p w14:paraId="02010000">
      <w:pPr>
        <w:widowControl w:val="1"/>
        <w:tabs>
          <w:tab w:leader="none" w:pos="709" w:val="left"/>
        </w:tabs>
        <w:ind w:left="720"/>
        <w:jc w:val="both"/>
        <w:outlineLvl w:val="1"/>
        <w:rPr>
          <w:rFonts w:ascii="PT Astra Serif" w:hAnsi="PT Astra Serif"/>
          <w:sz w:val="26"/>
        </w:rPr>
      </w:pPr>
    </w:p>
    <w:p w14:paraId="03010000">
      <w:pPr>
        <w:widowControl w:val="1"/>
        <w:numPr>
          <w:ilvl w:val="0"/>
          <w:numId w:val="4"/>
        </w:numPr>
        <w:tabs>
          <w:tab w:leader="none" w:pos="851" w:val="left"/>
        </w:tabs>
        <w:ind w:firstLine="567" w:left="0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Услуги по сопровождению и техническому обслуживанию</w:t>
      </w:r>
    </w:p>
    <w:p w14:paraId="0401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sz w:val="26"/>
        </w:rPr>
      </w:pPr>
    </w:p>
    <w:p w14:paraId="05010000">
      <w:pPr>
        <w:widowControl w:val="1"/>
        <w:tabs>
          <w:tab w:leader="none" w:pos="709" w:val="left"/>
        </w:tabs>
        <w:ind w:firstLine="567"/>
        <w:jc w:val="both"/>
        <w:outlineLvl w:val="1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предоставляет Заказчику соответствующий наименованию услуги сертификат технической поддержки с указанием срока действия сертификата. </w:t>
      </w:r>
      <w:r>
        <w:rPr>
          <w:rFonts w:ascii="PT Astra Serif" w:hAnsi="PT Astra Serif"/>
          <w:sz w:val="26"/>
        </w:rPr>
        <w:t>Срок действия сертификата на услуги по сопровождению и техническому обслуживанию системы составляет 12 месяцев</w:t>
      </w:r>
      <w:r>
        <w:rPr>
          <w:rFonts w:ascii="PT Astra Serif" w:hAnsi="PT Astra Serif"/>
          <w:sz w:val="26"/>
        </w:rPr>
        <w:t>.</w:t>
      </w:r>
    </w:p>
    <w:p w14:paraId="0601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рамках оказания услуг по сопровождению и техническому обслуживанию Исполнитель должен обеспечить бесперебойную работу Системы в режиме </w:t>
      </w:r>
      <w:r>
        <w:rPr>
          <w:rFonts w:ascii="PT Astra Serif" w:hAnsi="PT Astra Serif"/>
          <w:sz w:val="26"/>
        </w:rPr>
        <w:t xml:space="preserve">                 </w:t>
      </w:r>
      <w:r>
        <w:rPr>
          <w:rFonts w:ascii="PT Astra Serif" w:hAnsi="PT Astra Serif"/>
          <w:sz w:val="26"/>
        </w:rPr>
        <w:t>«24 часа в сутки 7 дней в неделю» с соблюдением требований к временным параметрам обработки обращений пользователей Системы.</w:t>
      </w:r>
    </w:p>
    <w:p w14:paraId="0701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Мероприятия по сопровождению Системы должны проводиться в соответствии с требованиями настоящего ТЗ.</w:t>
      </w:r>
    </w:p>
    <w:p w14:paraId="0801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Услуги должны быть оказаны в следующем порядке:</w:t>
      </w:r>
    </w:p>
    <w:p w14:paraId="0901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Обращениям Заказчика должен присваиваться соответствующий уровень приоритета:</w:t>
      </w:r>
    </w:p>
    <w:p w14:paraId="0A010000">
      <w:pPr>
        <w:widowControl w:val="1"/>
        <w:ind w:firstLine="567" w:right="-1"/>
        <w:jc w:val="both"/>
        <w:rPr>
          <w:rFonts w:ascii="PT Astra Serif" w:hAnsi="PT Astra Serif"/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4"/>
        <w:gridCol w:w="2388"/>
        <w:gridCol w:w="6443"/>
      </w:tblGrid>
      <w:tr>
        <w:trPr>
          <w:trHeight w:hRule="atLeast" w:val="36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widowControl w:val="1"/>
              <w:ind/>
              <w:jc w:val="center"/>
            </w:pPr>
            <w:r>
              <w:t>№</w:t>
            </w:r>
          </w:p>
        </w:tc>
        <w:tc>
          <w:tcPr>
            <w:tcW w:type="dxa" w:w="2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widowControl w:val="1"/>
              <w:ind/>
              <w:jc w:val="center"/>
            </w:pPr>
            <w:r>
              <w:t>Уровень</w:t>
            </w:r>
          </w:p>
        </w:tc>
        <w:tc>
          <w:tcPr>
            <w:tcW w:type="dxa" w:w="6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widowControl w:val="1"/>
              <w:ind/>
              <w:jc w:val="center"/>
            </w:pPr>
            <w:r>
              <w:t>Пояснение</w:t>
            </w:r>
          </w:p>
        </w:tc>
      </w:tr>
      <w:tr>
        <w:trPr>
          <w:trHeight w:hRule="atLeast" w:val="36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r>
              <w:t>1</w:t>
            </w:r>
          </w:p>
        </w:tc>
        <w:tc>
          <w:tcPr>
            <w:tcW w:type="dxa" w:w="2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r>
              <w:rPr>
                <w:rFonts w:ascii="PT Astra Serif" w:hAnsi="PT Astra Serif"/>
              </w:rPr>
              <w:t>«Нормальный»</w:t>
            </w:r>
          </w:p>
        </w:tc>
        <w:tc>
          <w:tcPr>
            <w:tcW w:type="dxa" w:w="6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r>
              <w:rPr>
                <w:rFonts w:ascii="PT Astra Serif" w:hAnsi="PT Astra Serif"/>
              </w:rPr>
              <w:t>Обращение, не связанное с нарушением работы Системы</w:t>
            </w:r>
          </w:p>
        </w:tc>
      </w:tr>
      <w:tr>
        <w:trPr>
          <w:trHeight w:hRule="atLeast" w:val="36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r>
              <w:t>2</w:t>
            </w:r>
          </w:p>
        </w:tc>
        <w:tc>
          <w:tcPr>
            <w:tcW w:type="dxa" w:w="2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10000">
            <w:r>
              <w:rPr>
                <w:rFonts w:ascii="PT Astra Serif" w:hAnsi="PT Astra Serif"/>
              </w:rPr>
              <w:t>«Высокий»</w:t>
            </w:r>
          </w:p>
        </w:tc>
        <w:tc>
          <w:tcPr>
            <w:tcW w:type="dxa" w:w="6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r>
              <w:rPr>
                <w:rFonts w:ascii="PT Astra Serif" w:hAnsi="PT Astra Serif"/>
              </w:rPr>
              <w:t>Обращение, вызванное частичной недоступностью функциональных возможностей Системы или замедлением доступа</w:t>
            </w:r>
          </w:p>
        </w:tc>
      </w:tr>
      <w:tr>
        <w:trPr>
          <w:trHeight w:hRule="atLeast" w:val="36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r>
              <w:t>3</w:t>
            </w:r>
          </w:p>
        </w:tc>
        <w:tc>
          <w:tcPr>
            <w:tcW w:type="dxa" w:w="2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r>
              <w:rPr>
                <w:rFonts w:ascii="PT Astra Serif" w:hAnsi="PT Astra Serif"/>
              </w:rPr>
              <w:t>«Срочный»</w:t>
            </w:r>
          </w:p>
        </w:tc>
        <w:tc>
          <w:tcPr>
            <w:tcW w:type="dxa" w:w="6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r>
              <w:rPr>
                <w:rFonts w:ascii="PT Astra Serif" w:hAnsi="PT Astra Serif"/>
              </w:rPr>
              <w:t>Обращение, вызванное критически важными для работы Системы или пользователей отклонениями;</w:t>
            </w:r>
          </w:p>
        </w:tc>
      </w:tr>
      <w:tr>
        <w:trPr>
          <w:trHeight w:hRule="atLeast" w:val="360"/>
        </w:trPr>
        <w:tc>
          <w:tcPr>
            <w:tcW w:type="dxa" w:w="5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r>
              <w:t>4</w:t>
            </w:r>
          </w:p>
        </w:tc>
        <w:tc>
          <w:tcPr>
            <w:tcW w:type="dxa" w:w="23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r>
              <w:rPr>
                <w:rFonts w:ascii="PT Astra Serif" w:hAnsi="PT Astra Serif"/>
              </w:rPr>
              <w:t>«Критический»</w:t>
            </w:r>
          </w:p>
        </w:tc>
        <w:tc>
          <w:tcPr>
            <w:tcW w:type="dxa" w:w="64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r>
              <w:rPr>
                <w:rFonts w:ascii="PT Astra Serif" w:hAnsi="PT Astra Serif"/>
              </w:rPr>
              <w:t>Отказ работоспособности Системы в целом, полное отсутствие доступа.</w:t>
            </w:r>
          </w:p>
        </w:tc>
      </w:tr>
    </w:tbl>
    <w:p w14:paraId="1A010000">
      <w:pPr>
        <w:widowControl w:val="1"/>
        <w:ind w:firstLine="709" w:right="-1"/>
        <w:jc w:val="both"/>
        <w:rPr>
          <w:rFonts w:ascii="PT Astra Serif" w:hAnsi="PT Astra Serif"/>
          <w:sz w:val="28"/>
        </w:rPr>
      </w:pPr>
    </w:p>
    <w:p w14:paraId="1B010000">
      <w:pPr>
        <w:widowControl w:val="1"/>
        <w:ind w:firstLine="567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Обращения Заказчика должны иметь следующие предметы обращения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/ </w:t>
      </w:r>
      <w:r>
        <w:rPr>
          <w:rFonts w:ascii="PT Astra Serif" w:hAnsi="PT Astra Serif"/>
          <w:sz w:val="26"/>
        </w:rPr>
        <w:t>трекер</w:t>
      </w:r>
      <w:r>
        <w:rPr>
          <w:rFonts w:ascii="PT Astra Serif" w:hAnsi="PT Astra Serif"/>
          <w:sz w:val="26"/>
        </w:rPr>
        <w:t>: Инцидент, Консультация, Запрос на обслуживание.</w:t>
      </w:r>
    </w:p>
    <w:p w14:paraId="1C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Время решения проблемы, изложенной в Обращении, в зависимости от критичности и сложности возникшей проблемы, должно соответствовать требованиям:</w:t>
      </w:r>
    </w:p>
    <w:p w14:paraId="1D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8"/>
        </w:rPr>
      </w:pP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231"/>
        <w:gridCol w:w="1911"/>
        <w:gridCol w:w="5212"/>
      </w:tblGrid>
      <w:tr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E010000">
            <w:pPr>
              <w:widowControl w:val="1"/>
              <w:tabs>
                <w:tab w:leader="none" w:pos="993" w:val="left"/>
              </w:tabs>
              <w:ind w:right="17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 xml:space="preserve">Предмет Обращения / </w:t>
            </w:r>
            <w:r>
              <w:rPr>
                <w:rFonts w:ascii="PT Astra Serif" w:hAnsi="PT Astra Serif"/>
                <w:b w:val="1"/>
              </w:rPr>
              <w:t>трекер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Приоритет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10000">
            <w:pPr>
              <w:widowControl w:val="1"/>
              <w:tabs>
                <w:tab w:leader="none" w:pos="993" w:val="left"/>
              </w:tabs>
              <w:ind w:firstLine="720" w:right="17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Время решения</w:t>
            </w:r>
          </w:p>
          <w:p w14:paraId="21010000">
            <w:pPr>
              <w:widowControl w:val="1"/>
              <w:tabs>
                <w:tab w:leader="none" w:pos="993" w:val="left"/>
              </w:tabs>
              <w:ind w:firstLine="720" w:right="17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(в рабочих днях)</w:t>
            </w:r>
          </w:p>
        </w:tc>
      </w:tr>
      <w:tr>
        <w:tc>
          <w:tcPr>
            <w:tcW w:type="dxa" w:w="22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Инцидент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Нормальный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Следующая версия (обновление) Системы</w:t>
            </w:r>
          </w:p>
        </w:tc>
      </w:tr>
      <w:tr>
        <w:tc>
          <w:tcPr>
            <w:tcW w:type="dxa" w:w="2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Высокий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10000">
            <w:pPr>
              <w:widowControl w:val="1"/>
              <w:tabs>
                <w:tab w:leader="none" w:pos="993" w:val="left"/>
              </w:tabs>
              <w:spacing w:line="360" w:lineRule="auto"/>
              <w:ind w:firstLine="720"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5 дней</w:t>
            </w:r>
          </w:p>
        </w:tc>
      </w:tr>
      <w:tr>
        <w:tc>
          <w:tcPr>
            <w:tcW w:type="dxa" w:w="2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Срочный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10000">
            <w:pPr>
              <w:widowControl w:val="1"/>
              <w:tabs>
                <w:tab w:leader="none" w:pos="993" w:val="left"/>
              </w:tabs>
              <w:spacing w:line="360" w:lineRule="auto"/>
              <w:ind w:firstLine="720"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2 дней</w:t>
            </w:r>
          </w:p>
        </w:tc>
      </w:tr>
      <w:tr>
        <w:tc>
          <w:tcPr>
            <w:tcW w:type="dxa" w:w="22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Критический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10000">
            <w:pPr>
              <w:widowControl w:val="1"/>
              <w:tabs>
                <w:tab w:leader="none" w:pos="993" w:val="left"/>
              </w:tabs>
              <w:spacing w:line="360" w:lineRule="auto"/>
              <w:ind w:firstLine="720"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8 часов</w:t>
            </w:r>
          </w:p>
        </w:tc>
      </w:tr>
      <w:tr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Консультация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Нормальный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10000">
            <w:pPr>
              <w:widowControl w:val="1"/>
              <w:tabs>
                <w:tab w:leader="none" w:pos="993" w:val="left"/>
              </w:tabs>
              <w:spacing w:line="360" w:lineRule="auto"/>
              <w:ind w:firstLine="720"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24 часов</w:t>
            </w:r>
          </w:p>
        </w:tc>
      </w:tr>
      <w:tr>
        <w:tc>
          <w:tcPr>
            <w:tcW w:type="dxa" w:w="22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обслуживание</w:t>
            </w:r>
          </w:p>
        </w:tc>
        <w:tc>
          <w:tcPr>
            <w:tcW w:type="dxa" w:w="19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10000">
            <w:pPr>
              <w:widowControl w:val="1"/>
              <w:tabs>
                <w:tab w:leader="none" w:pos="993" w:val="left"/>
              </w:tabs>
              <w:spacing w:line="360" w:lineRule="auto"/>
              <w:ind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Нормальный</w:t>
            </w:r>
          </w:p>
        </w:tc>
        <w:tc>
          <w:tcPr>
            <w:tcW w:type="dxa" w:w="52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10000">
            <w:pPr>
              <w:widowControl w:val="1"/>
              <w:tabs>
                <w:tab w:leader="none" w:pos="993" w:val="left"/>
              </w:tabs>
              <w:spacing w:line="360" w:lineRule="auto"/>
              <w:ind w:firstLine="720" w:right="17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 24 часов</w:t>
            </w:r>
          </w:p>
        </w:tc>
      </w:tr>
    </w:tbl>
    <w:p w14:paraId="31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Вне зависимости от способа поступления обращения в службу технической поддержки, регистрируемое обращение должно содержать контактные данные </w:t>
      </w:r>
      <w:r>
        <w:rPr>
          <w:rFonts w:ascii="PT Astra Serif" w:hAnsi="PT Astra Serif"/>
          <w:sz w:val="26"/>
        </w:rPr>
        <w:t>заявителя (ФИО, организация), а также подробное описание проблемы. Зарегистрированное обращение помимо описания сути инцидента должна содержать сведения о способе и этапах решения, факт исполнения.</w:t>
      </w:r>
    </w:p>
    <w:p w14:paraId="32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Требования к службе технической поддержки</w:t>
      </w:r>
    </w:p>
    <w:p w14:paraId="33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Для надлежащего оказания Услуг Исполнитель собственными силами и за свой счет должен организовать свою службу технической поддержки.</w:t>
      </w:r>
    </w:p>
    <w:p w14:paraId="34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обязан обеспечить прием и обработку Обращений Заказчика. </w:t>
      </w:r>
    </w:p>
    <w:p w14:paraId="35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Персонал Исполнителя должен свободно ориентироваться в содержании эксплуатационной, методической и регламентной документации Системы. </w:t>
      </w:r>
    </w:p>
    <w:p w14:paraId="36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должен осуществлять управление доступом к Системе, путем разграничения прав доступа и ведения реестра пользователей, обладающих правами. </w:t>
      </w:r>
    </w:p>
    <w:p w14:paraId="37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Доступ в Систему реализован на основе ролевых моделей, принципов разделения обязанностей и минимизации полномочий.</w:t>
      </w:r>
    </w:p>
    <w:p w14:paraId="38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Одобрение доступа или его изъятие к функциональным возможностям Системы должно осуществляться Исполнителем на основании обращения пользователя Системы.</w:t>
      </w:r>
    </w:p>
    <w:p w14:paraId="39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Исполнитель должен обеспечивать сохранность учетных записей пользователей, в </w:t>
      </w:r>
      <w:r>
        <w:rPr>
          <w:rFonts w:ascii="PT Astra Serif" w:hAnsi="PT Astra Serif"/>
          <w:sz w:val="26"/>
        </w:rPr>
        <w:t>т.ч</w:t>
      </w:r>
      <w:r>
        <w:rPr>
          <w:rFonts w:ascii="PT Astra Serif" w:hAnsi="PT Astra Serif"/>
          <w:sz w:val="26"/>
        </w:rPr>
        <w:t xml:space="preserve">. заблокированных. </w:t>
      </w:r>
    </w:p>
    <w:p w14:paraId="3A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Исполнитель должен обеспечить работу службы техподдержки в рабочее время с 09:00 до 18:00 по времени Заказчика, с понедельника по пятницу включительно (с учетом переносов выходных и праздничных дней) для оказания консультаций.</w:t>
      </w:r>
    </w:p>
    <w:p w14:paraId="3B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Требования к порядку взаимодействия</w:t>
      </w:r>
    </w:p>
    <w:p w14:paraId="3C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обеспечения взаимодействия с Заказчиком, Исполнитель в 10дневный срок </w:t>
      </w:r>
      <w:r>
        <w:rPr>
          <w:rFonts w:ascii="PT Astra Serif" w:hAnsi="PT Astra Serif"/>
          <w:sz w:val="26"/>
        </w:rPr>
        <w:t>с даты заключения</w:t>
      </w:r>
      <w:r>
        <w:rPr>
          <w:rFonts w:ascii="PT Astra Serif" w:hAnsi="PT Astra Serif"/>
          <w:sz w:val="26"/>
        </w:rPr>
        <w:t xml:space="preserve"> государственного контракта определяет перечень лиц, уполномоченных в структуре Исполнителя принимать решения оперативного характера о порядке и способе оказания Услуг, и несущих ответственность за качество и полноту ее оказания.</w:t>
      </w:r>
    </w:p>
    <w:p w14:paraId="3D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Заказчик в течение 10 рабочих дней </w:t>
      </w:r>
      <w:r>
        <w:rPr>
          <w:rFonts w:ascii="PT Astra Serif" w:hAnsi="PT Astra Serif"/>
          <w:sz w:val="26"/>
        </w:rPr>
        <w:t>с даты заключения</w:t>
      </w:r>
      <w:r>
        <w:rPr>
          <w:rFonts w:ascii="PT Astra Serif" w:hAnsi="PT Astra Serif"/>
          <w:sz w:val="26"/>
        </w:rPr>
        <w:t xml:space="preserve"> государственного контракта предоставляет Исполнителю перечень и контактные данные уполномоченных лиц для взаимодействия по организационным вопросам, а также по вопросам сопровождения и поддержки Системы.</w:t>
      </w:r>
    </w:p>
    <w:p w14:paraId="3E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Если имеются Обращения, по которым не оказаны услуги со стороны Исполнителя в срок, либо имеются обоснованные претензии по объему, качеству оказанных услуг, Исполнитель обязан предоставить разъяснения, порядок и сроки устранения замечаний.</w:t>
      </w:r>
    </w:p>
    <w:p w14:paraId="3F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Планово-профилактические работы, проводимые Исполнителем, предварительно согласовываются с Заказчиком не позднее, чем за 1 (один) рабочий день до планируемой даты начала таких работ.</w:t>
      </w:r>
    </w:p>
    <w:p w14:paraId="40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случае выявления необходимости остановки серверного оборудования для проведения планово-профилактических или аварийно-восстановительных работ, Исполнитель согласовывает с Заказчиком и Пользователем время остановки/перезагрузки серверного оборудования не менее чем за 1 (один) рабочий день. Предпочтительное время остановки серверного оборудования с 18:00 до 23:59 и 00:00 до 08:00 местного времени.</w:t>
      </w:r>
    </w:p>
    <w:p w14:paraId="41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Проведение аварийно-восстановительных работ Исполнитель должен производить после уведомления Заказчика по электронной почте о начале и </w:t>
      </w:r>
      <w:r>
        <w:rPr>
          <w:rFonts w:ascii="PT Astra Serif" w:hAnsi="PT Astra Serif"/>
          <w:sz w:val="26"/>
        </w:rPr>
        <w:t>окончании аварийно-восстановительных работ не позднее, чем за 5 (пять) минут до начала и окончания.</w:t>
      </w:r>
    </w:p>
    <w:p w14:paraId="42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Требования к защите от ошибочных действий персонала</w:t>
      </w:r>
    </w:p>
    <w:p w14:paraId="43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Исполнитель обязан при устранении проблемных ситуаций, возникающих в Системе, анализировать действия Пользователей для исключения из числа причин проблемных ситуаций некорректные действия Пользователей, а также для предотвращения повторения проблемных ситуаций, произошедших по причинам, связанным с действиями Пользователей.</w:t>
      </w:r>
    </w:p>
    <w:p w14:paraId="44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Исполнителем должно быть обеспечено бесперебойное функционирование Системы, в том числе за счёт выполнения перечня действий:</w:t>
      </w:r>
    </w:p>
    <w:p w14:paraId="45010000">
      <w:pPr>
        <w:widowControl w:val="1"/>
        <w:tabs>
          <w:tab w:leader="none" w:pos="1276" w:val="left"/>
        </w:tabs>
        <w:ind w:firstLine="567"/>
        <w:jc w:val="right"/>
        <w:rPr>
          <w:sz w:val="28"/>
        </w:rPr>
      </w:pPr>
    </w:p>
    <w:tbl>
      <w:tblPr>
        <w:tblStyle w:val="Style_1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40"/>
        <w:gridCol w:w="5185"/>
        <w:gridCol w:w="3630"/>
      </w:tblGrid>
      <w:tr>
        <w:tc>
          <w:tcPr>
            <w:tcW w:type="dxa" w:w="540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6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№</w:t>
            </w:r>
          </w:p>
        </w:tc>
        <w:tc>
          <w:tcPr>
            <w:tcW w:type="dxa" w:w="5185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7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Действие</w:t>
            </w:r>
          </w:p>
        </w:tc>
        <w:tc>
          <w:tcPr>
            <w:tcW w:type="dxa" w:w="3630"/>
            <w:tcBorders>
              <w:top w:color="00000A" w:sz="8" w:val="single"/>
              <w:left w:color="00000A" w:sz="8" w:val="single"/>
              <w:bottom w:color="00000A" w:sz="8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48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Периодичность</w:t>
            </w:r>
          </w:p>
        </w:tc>
      </w:tr>
      <w:tr>
        <w:tc>
          <w:tcPr>
            <w:tcW w:type="dxa" w:w="540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9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1</w:t>
            </w:r>
          </w:p>
        </w:tc>
        <w:tc>
          <w:tcPr>
            <w:tcW w:type="dxa" w:w="5185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A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Отслеживание состояния операционной системы и СУБД посредством системы автоматического контроля функциональности и работоспособности </w:t>
            </w:r>
            <w:r>
              <w:rPr>
                <w:rFonts w:ascii="PT Astra Serif" w:hAnsi="PT Astra Serif"/>
              </w:rPr>
              <w:t>ПО</w:t>
            </w:r>
          </w:p>
        </w:tc>
        <w:tc>
          <w:tcPr>
            <w:tcW w:type="dxa" w:w="3630"/>
            <w:tcBorders>
              <w:top w:color="00000A" w:sz="8" w:val="single"/>
              <w:left w:color="00000A" w:sz="8" w:val="single"/>
              <w:bottom w:color="00000A" w:sz="8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4B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Круглосуточно</w:t>
            </w:r>
          </w:p>
        </w:tc>
      </w:tr>
      <w:tr>
        <w:tc>
          <w:tcPr>
            <w:tcW w:type="dxa" w:w="540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C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2</w:t>
            </w:r>
          </w:p>
        </w:tc>
        <w:tc>
          <w:tcPr>
            <w:tcW w:type="dxa" w:w="5185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D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Устранение обнаруженных ошибок/нештатных ситуаций в работе Системы</w:t>
            </w:r>
          </w:p>
        </w:tc>
        <w:tc>
          <w:tcPr>
            <w:tcW w:type="dxa" w:w="3630"/>
            <w:tcBorders>
              <w:top w:color="00000A" w:sz="8" w:val="single"/>
              <w:left w:color="00000A" w:sz="8" w:val="single"/>
              <w:bottom w:color="00000A" w:sz="8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4E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факту возникновения ошибок (нарушение работы базового функционала Системы)</w:t>
            </w:r>
          </w:p>
        </w:tc>
      </w:tr>
      <w:tr>
        <w:tc>
          <w:tcPr>
            <w:tcW w:type="dxa" w:w="540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4F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3</w:t>
            </w:r>
          </w:p>
        </w:tc>
        <w:tc>
          <w:tcPr>
            <w:tcW w:type="dxa" w:w="5185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0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Оптимизация баз данных / системных журналов:</w:t>
            </w:r>
          </w:p>
          <w:p w14:paraId="51010000">
            <w:pPr>
              <w:widowControl w:val="1"/>
              <w:numPr>
                <w:ilvl w:val="0"/>
                <w:numId w:val="5"/>
              </w:numPr>
              <w:ind w:right="84"/>
              <w:contextualSpacing w:val="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выполняется сжатие (окончательное удаление ненужных и отмеченных для удаления записей);</w:t>
            </w:r>
          </w:p>
          <w:p w14:paraId="52010000">
            <w:pPr>
              <w:widowControl w:val="1"/>
              <w:numPr>
                <w:ilvl w:val="0"/>
                <w:numId w:val="6"/>
              </w:numPr>
              <w:ind w:right="84"/>
              <w:contextualSpacing w:val="1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дефрагментация системного реестра.</w:t>
            </w:r>
          </w:p>
        </w:tc>
        <w:tc>
          <w:tcPr>
            <w:tcW w:type="dxa" w:w="3630"/>
            <w:tcBorders>
              <w:top w:color="00000A" w:sz="8" w:val="single"/>
              <w:left w:color="00000A" w:sz="8" w:val="single"/>
              <w:bottom w:color="00000A" w:sz="8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53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Ежемесячно</w:t>
            </w:r>
          </w:p>
        </w:tc>
      </w:tr>
      <w:tr>
        <w:tc>
          <w:tcPr>
            <w:tcW w:type="dxa" w:w="540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4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4</w:t>
            </w:r>
          </w:p>
        </w:tc>
        <w:tc>
          <w:tcPr>
            <w:tcW w:type="dxa" w:w="5185"/>
            <w:tcBorders>
              <w:top w:color="00000A" w:sz="8" w:val="single"/>
              <w:left w:color="00000A" w:sz="8" w:val="single"/>
              <w:bottom w:color="00000A" w:sz="8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5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Проверка и, при необходимости, настройка межсетевого экрана Системы с применением правил фильтрации доступа только к необходимым используемым службам</w:t>
            </w:r>
          </w:p>
        </w:tc>
        <w:tc>
          <w:tcPr>
            <w:tcW w:type="dxa" w:w="3630"/>
            <w:tcBorders>
              <w:top w:color="00000A" w:sz="8" w:val="single"/>
              <w:left w:color="00000A" w:sz="8" w:val="single"/>
              <w:bottom w:color="00000A" w:sz="8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56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Разово в течение срока действия договора (в течение 5 (пяти) дней после заключения контракта)</w:t>
            </w:r>
          </w:p>
        </w:tc>
      </w:tr>
      <w:tr>
        <w:tc>
          <w:tcPr>
            <w:tcW w:type="dxa" w:w="540"/>
            <w:tcBorders>
              <w:top w:color="00000A" w:sz="8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7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5</w:t>
            </w:r>
          </w:p>
        </w:tc>
        <w:tc>
          <w:tcPr>
            <w:tcW w:type="dxa" w:w="5185"/>
            <w:tcBorders>
              <w:top w:color="00000A" w:sz="8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8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Проведение детального анализа ошибок в файле логов приложения (ошибки SQL в запросах к СУБД, которые потенциально могут привести к потере согласованности данных в Системе), осуществление необходимых доработок системы на устранение ошибок</w:t>
            </w:r>
          </w:p>
        </w:tc>
        <w:tc>
          <w:tcPr>
            <w:tcW w:type="dxa" w:w="3630"/>
            <w:tcBorders>
              <w:top w:color="00000A" w:sz="8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59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После каждого обновления ПО Системы (в течение 5 (пяти) рабочих дней)</w:t>
            </w:r>
          </w:p>
        </w:tc>
      </w:tr>
      <w:t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A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6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B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Предоставление информации в случае необходимости внесения изменений в Паспорт Системы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5C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течение 3 (трех) рабочих дней после проведения обновления.</w:t>
            </w:r>
          </w:p>
        </w:tc>
      </w:tr>
      <w:t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D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7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5E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Перенос Системы на иной сервер, предоставленный Заказчиком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5F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 необходимости, но не более 1 раза за срок действия ГК</w:t>
            </w:r>
          </w:p>
        </w:tc>
      </w:tr>
      <w:t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0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8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1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Проведение обновления операционной системы 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62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 необходимости</w:t>
            </w:r>
          </w:p>
        </w:tc>
      </w:tr>
      <w:tr>
        <w:trPr>
          <w:trHeight w:hRule="atLeast" w:val="414"/>
        </w:trP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3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 9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4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Оперативное восстановление работоспособности при сбоях в соответствии с приоритетами неисправностей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65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При необходимости</w:t>
            </w:r>
          </w:p>
        </w:tc>
      </w:tr>
      <w:t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6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10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7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Организация приема Обращений Заказчика через службу техподдержки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68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факту Обращения</w:t>
            </w:r>
          </w:p>
        </w:tc>
      </w:tr>
      <w:t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9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11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A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Составление отчёта об оказанных услугах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6B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окончании этапа исполнения ГК</w:t>
            </w:r>
          </w:p>
        </w:tc>
      </w:tr>
      <w:tr>
        <w:tc>
          <w:tcPr>
            <w:tcW w:type="dxa" w:w="540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C010000">
            <w:pPr>
              <w:widowControl w:val="1"/>
              <w:ind/>
              <w:contextualSpacing w:val="1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 12</w:t>
            </w:r>
          </w:p>
        </w:tc>
        <w:tc>
          <w:tcPr>
            <w:tcW w:type="dxa" w:w="5185"/>
            <w:tcBorders>
              <w:top w:color="00000A" w:sz="6" w:val="single"/>
              <w:left w:color="00000A" w:sz="8" w:val="single"/>
              <w:bottom w:color="00000A" w:sz="6" w:val="single"/>
              <w:right w:sz="4" w:val="nil"/>
            </w:tcBorders>
            <w:tcMar>
              <w:top w:type="dxa" w:w="0"/>
              <w:left w:type="dxa" w:w="96"/>
              <w:bottom w:type="dxa" w:w="0"/>
              <w:right w:type="dxa" w:w="0"/>
            </w:tcMar>
            <w:vAlign w:val="center"/>
          </w:tcPr>
          <w:p w14:paraId="6D010000">
            <w:pPr>
              <w:widowControl w:val="1"/>
              <w:ind w:right="84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Доработка Системы</w:t>
            </w:r>
          </w:p>
        </w:tc>
        <w:tc>
          <w:tcPr>
            <w:tcW w:type="dxa" w:w="3630"/>
            <w:tcBorders>
              <w:top w:color="00000A" w:sz="6" w:val="single"/>
              <w:left w:color="00000A" w:sz="8" w:val="single"/>
              <w:bottom w:color="00000A" w:sz="6" w:val="single"/>
              <w:right w:color="00000A" w:sz="8" w:val="single"/>
            </w:tcBorders>
            <w:tcMar>
              <w:top w:type="dxa" w:w="0"/>
              <w:left w:type="dxa" w:w="96"/>
              <w:bottom w:type="dxa" w:w="0"/>
              <w:right w:type="dxa" w:w="108"/>
            </w:tcMar>
            <w:vAlign w:val="center"/>
          </w:tcPr>
          <w:p w14:paraId="6E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 соответствии с  настоящим ТЗ</w:t>
            </w:r>
          </w:p>
        </w:tc>
      </w:tr>
    </w:tbl>
    <w:p w14:paraId="6F010000">
      <w:pPr>
        <w:widowControl w:val="1"/>
        <w:tabs>
          <w:tab w:leader="none" w:pos="1276" w:val="left"/>
        </w:tabs>
        <w:ind w:firstLine="567"/>
        <w:jc w:val="both"/>
        <w:rPr>
          <w:sz w:val="28"/>
        </w:rPr>
      </w:pPr>
    </w:p>
    <w:p w14:paraId="70010000">
      <w:pPr>
        <w:widowControl w:val="1"/>
        <w:tabs>
          <w:tab w:leader="none" w:pos="1276" w:val="left"/>
        </w:tabs>
        <w:ind w:firstLine="567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В рамках оказания Услуг приведены временные ограничения, которые Исполнитель может затрачивать на обработку Обращений (Запроса на обслуживание и Консультации):</w:t>
      </w:r>
    </w:p>
    <w:p w14:paraId="71010000">
      <w:pPr>
        <w:widowControl w:val="1"/>
        <w:tabs>
          <w:tab w:leader="none" w:pos="1276" w:val="left"/>
        </w:tabs>
        <w:ind w:firstLine="567"/>
        <w:jc w:val="both"/>
        <w:rPr>
          <w:sz w:val="28"/>
        </w:rPr>
      </w:pPr>
    </w:p>
    <w:tbl>
      <w:tblPr>
        <w:tblStyle w:val="Style_1"/>
        <w:tblW w:type="auto" w:w="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10"/>
        <w:gridCol w:w="5544"/>
        <w:gridCol w:w="1617"/>
        <w:gridCol w:w="1684"/>
      </w:tblGrid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72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№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73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Услуги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74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Единица измерения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  <w:vAlign w:val="center"/>
          </w:tcPr>
          <w:p w14:paraId="75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Параметр</w:t>
            </w:r>
          </w:p>
          <w:p w14:paraId="76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 w:val="1"/>
              </w:rPr>
              <w:t>(макс. значение)</w:t>
            </w:r>
          </w:p>
        </w:tc>
      </w:tr>
      <w:tr>
        <w:trPr>
          <w:trHeight w:hRule="atLeast" w:val="322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7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8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Консультация (Вопросы, возникающие при работе с Системой и по эксплуатационной документации)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9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>
        <w:trPr>
          <w:trHeight w:hRule="atLeast" w:val="322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B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C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обслуживание: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D010000">
            <w:pPr>
              <w:rPr>
                <w:rFonts w:ascii="PT Astra Serif" w:hAnsi="PT Astra Serif"/>
              </w:rPr>
            </w:pP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E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7F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2.1.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0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подключение новых пользователей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1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  <w:tr>
        <w:trPr>
          <w:trHeight w:hRule="atLeast" w:val="322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3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2.2.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4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Запрос на актуализацию ВС при изменении форматов 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5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По согласованию сторон</w:t>
            </w:r>
          </w:p>
        </w:tc>
      </w:tr>
      <w:tr>
        <w:trPr>
          <w:trHeight w:hRule="atLeast" w:val="322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7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2.3.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8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Доработка Системы </w:t>
            </w:r>
            <w:r>
              <w:rPr>
                <w:rFonts w:ascii="PT Astra Serif" w:hAnsi="PT Astra Serif"/>
              </w:rPr>
              <w:t>в рамках обновления процессов по мерам государственной поддержки в связи с вносимыми изменениями в нормативно-правовые акты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9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A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</w:tr>
      <w:tr>
        <w:trPr>
          <w:trHeight w:hRule="atLeast" w:val="322"/>
        </w:trP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B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2.4.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C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выполнение операций по администрированию и настройке Системы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D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8F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2.5.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0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наполнение справочников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1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3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2.6.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4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удаление пользователей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5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6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7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2.7.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8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Запрос на внесение изменений в печатные формы документов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9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</w:tr>
      <w:tr>
        <w:tc>
          <w:tcPr>
            <w:tcW w:type="dxa" w:w="5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B010000">
            <w:pPr>
              <w:widowControl w:val="1"/>
              <w:ind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2.8.</w:t>
            </w:r>
          </w:p>
        </w:tc>
        <w:tc>
          <w:tcPr>
            <w:tcW w:type="dxa" w:w="55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C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Восстановление БД из резервной копии </w:t>
            </w:r>
          </w:p>
        </w:tc>
        <w:tc>
          <w:tcPr>
            <w:tcW w:type="dxa" w:w="16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0"/>
            </w:tcMar>
            <w:vAlign w:val="center"/>
          </w:tcPr>
          <w:p w14:paraId="9D010000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Рабочие дни</w:t>
            </w:r>
          </w:p>
        </w:tc>
        <w:tc>
          <w:tcPr>
            <w:tcW w:type="dxa" w:w="16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10000">
            <w:pPr>
              <w:widowControl w:val="1"/>
              <w:ind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</w:tbl>
    <w:p w14:paraId="9F010000">
      <w:pPr>
        <w:rPr>
          <w:rFonts w:ascii="PT Astra Serif" w:hAnsi="PT Astra Serif"/>
          <w:sz w:val="28"/>
        </w:rPr>
      </w:pPr>
    </w:p>
    <w:sectPr>
      <w:pgSz w:h="16838" w:orient="portrait" w:w="11906"/>
      <w:pgMar w:bottom="1134" w:footer="708" w:gutter="0" w:header="708" w:left="1701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644"/>
      </w:pPr>
    </w:lvl>
    <w:lvl w:ilvl="1">
      <w:start w:val="1"/>
      <w:numFmt w:val="lowerLetter"/>
      <w:lvlText w:val="%2."/>
      <w:lvlJc w:val="left"/>
      <w:pPr>
        <w:widowControl w:val="1"/>
        <w:ind w:hanging="360" w:left="1474"/>
      </w:pPr>
    </w:lvl>
    <w:lvl w:ilvl="2">
      <w:start w:val="1"/>
      <w:numFmt w:val="lowerRoman"/>
      <w:lvlText w:val="%3."/>
      <w:lvlJc w:val="right"/>
      <w:pPr>
        <w:widowControl w:val="1"/>
        <w:ind w:hanging="180" w:left="2194"/>
      </w:pPr>
    </w:lvl>
    <w:lvl w:ilvl="3">
      <w:start w:val="1"/>
      <w:numFmt w:val="decimal"/>
      <w:lvlText w:val="%4."/>
      <w:lvlJc w:val="left"/>
      <w:pPr>
        <w:widowControl w:val="1"/>
        <w:ind w:hanging="360" w:left="2914"/>
      </w:pPr>
    </w:lvl>
    <w:lvl w:ilvl="4">
      <w:start w:val="1"/>
      <w:numFmt w:val="lowerLetter"/>
      <w:lvlText w:val="%5."/>
      <w:lvlJc w:val="left"/>
      <w:pPr>
        <w:widowControl w:val="1"/>
        <w:ind w:hanging="360" w:left="3634"/>
      </w:pPr>
    </w:lvl>
    <w:lvl w:ilvl="5">
      <w:start w:val="1"/>
      <w:numFmt w:val="lowerRoman"/>
      <w:lvlText w:val="%6."/>
      <w:lvlJc w:val="right"/>
      <w:pPr>
        <w:widowControl w:val="1"/>
        <w:ind w:hanging="180" w:left="4354"/>
      </w:pPr>
    </w:lvl>
    <w:lvl w:ilvl="6">
      <w:start w:val="1"/>
      <w:numFmt w:val="decimal"/>
      <w:lvlText w:val="%7."/>
      <w:lvlJc w:val="left"/>
      <w:pPr>
        <w:widowControl w:val="1"/>
        <w:ind w:hanging="360" w:left="5074"/>
      </w:pPr>
    </w:lvl>
    <w:lvl w:ilvl="7">
      <w:start w:val="1"/>
      <w:numFmt w:val="lowerLetter"/>
      <w:lvlText w:val="%8."/>
      <w:lvlJc w:val="left"/>
      <w:pPr>
        <w:widowControl w:val="1"/>
        <w:ind w:hanging="360" w:left="5794"/>
      </w:pPr>
    </w:lvl>
    <w:lvl w:ilvl="8">
      <w:start w:val="1"/>
      <w:numFmt w:val="lowerRoman"/>
      <w:lvlText w:val="%9."/>
      <w:lvlJc w:val="right"/>
      <w:pPr>
        <w:widowControl w:val="1"/>
        <w:ind w:hanging="180" w:left="6514"/>
      </w:pPr>
    </w:lvl>
  </w:abstractNum>
  <w:abstractNum w:abstractNumId="1">
    <w:lvl w:ilvl="0">
      <w:start w:val="1"/>
      <w:numFmt w:val="bullet"/>
      <w:lvlText w:val=""/>
      <w:lvlJc w:val="left"/>
      <w:pPr>
        <w:widowControl w:val="1"/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ind w:hanging="360" w:left="1571"/>
      </w:pPr>
    </w:lvl>
    <w:lvl w:ilvl="1">
      <w:start w:val="1"/>
      <w:numFmt w:val="lowerLetter"/>
      <w:lvlText w:val="%2."/>
      <w:lvlJc w:val="left"/>
      <w:pPr>
        <w:widowControl w:val="1"/>
        <w:ind w:hanging="360" w:left="2291"/>
      </w:pPr>
    </w:lvl>
    <w:lvl w:ilvl="2">
      <w:start w:val="1"/>
      <w:numFmt w:val="lowerRoman"/>
      <w:lvlText w:val="%3."/>
      <w:lvlJc w:val="right"/>
      <w:pPr>
        <w:widowControl w:val="1"/>
        <w:ind w:hanging="180" w:left="3011"/>
      </w:pPr>
    </w:lvl>
    <w:lvl w:ilvl="3">
      <w:start w:val="1"/>
      <w:numFmt w:val="decimal"/>
      <w:lvlText w:val="%4."/>
      <w:lvlJc w:val="left"/>
      <w:pPr>
        <w:widowControl w:val="1"/>
        <w:ind w:hanging="360" w:left="3731"/>
      </w:pPr>
    </w:lvl>
    <w:lvl w:ilvl="4">
      <w:start w:val="1"/>
      <w:numFmt w:val="lowerLetter"/>
      <w:lvlText w:val="%5."/>
      <w:lvlJc w:val="left"/>
      <w:pPr>
        <w:widowControl w:val="1"/>
        <w:ind w:hanging="360" w:left="4451"/>
      </w:pPr>
    </w:lvl>
    <w:lvl w:ilvl="5">
      <w:start w:val="1"/>
      <w:numFmt w:val="lowerRoman"/>
      <w:lvlText w:val="%6."/>
      <w:lvlJc w:val="right"/>
      <w:pPr>
        <w:widowControl w:val="1"/>
        <w:ind w:hanging="180" w:left="5171"/>
      </w:pPr>
    </w:lvl>
    <w:lvl w:ilvl="6">
      <w:start w:val="1"/>
      <w:numFmt w:val="decimal"/>
      <w:lvlText w:val="%7."/>
      <w:lvlJc w:val="left"/>
      <w:pPr>
        <w:widowControl w:val="1"/>
        <w:ind w:hanging="360" w:left="5891"/>
      </w:pPr>
    </w:lvl>
    <w:lvl w:ilvl="7">
      <w:start w:val="1"/>
      <w:numFmt w:val="lowerLetter"/>
      <w:lvlText w:val="%8."/>
      <w:lvlJc w:val="left"/>
      <w:pPr>
        <w:widowControl w:val="1"/>
        <w:ind w:hanging="360" w:left="6611"/>
      </w:pPr>
    </w:lvl>
    <w:lvl w:ilvl="8">
      <w:start w:val="1"/>
      <w:numFmt w:val="lowerRoman"/>
      <w:lvlText w:val="%9."/>
      <w:lvlJc w:val="right"/>
      <w:pPr>
        <w:widowControl w:val="1"/>
        <w:ind w:hanging="180" w:left="7331"/>
      </w:p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4">
    <w:lvl w:ilvl="0"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lvlJc w:val="left"/>
      <w:pPr>
        <w:widowControl w:val="1"/>
        <w:ind w:hanging="360" w:left="720"/>
      </w:pPr>
      <w:rPr>
        <w:rFonts w:ascii="Symbol" w:hAnsi="Symbol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"/>
      <w:lvlJc w:val="left"/>
      <w:pPr>
        <w:widowControl w:val="1"/>
        <w:ind w:hanging="360" w:left="2880"/>
      </w:pPr>
      <w:rPr>
        <w:rFonts w:ascii="Symbol" w:hAnsi="Symbol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"/>
      <w:lvlJc w:val="left"/>
      <w:pPr>
        <w:widowControl w:val="1"/>
        <w:ind w:hanging="360" w:left="5040"/>
      </w:pPr>
      <w:rPr>
        <w:rFonts w:ascii="Symbol" w:hAnsi="Symbol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2_ch" w:type="character">
    <w:name w:val="Normal"/>
    <w:link w:val="Style_2"/>
    <w:rPr>
      <w:rFonts w:ascii="Times New Roman" w:hAnsi="Times New Roman"/>
      <w:sz w:val="24"/>
    </w:rPr>
  </w:style>
  <w:style w:styleId="Style_3" w:type="paragraph">
    <w:name w:val="toc 2"/>
    <w:next w:val="Style_2"/>
    <w:link w:val="Style_3_ch"/>
    <w:uiPriority w:val="39"/>
    <w:pPr>
      <w:widowControl w:val="1"/>
      <w:ind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/>
      <w:jc w:val="both"/>
    </w:pPr>
    <w:rPr>
      <w:rFonts w:ascii="XO Thames" w:hAnsi="XO Thames"/>
    </w:rPr>
  </w:style>
  <w:style w:styleId="Style_7_ch" w:type="character">
    <w:name w:val="Endnote"/>
    <w:link w:val="Style_7"/>
    <w:rPr>
      <w:rFonts w:ascii="XO Thames" w:hAnsi="XO Thames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Гиперссылка1"/>
    <w:link w:val="Style_9_ch"/>
    <w:rPr>
      <w:color w:val="0000FF"/>
      <w:u w:val="single"/>
    </w:rPr>
  </w:style>
  <w:style w:styleId="Style_9_ch" w:type="character">
    <w:name w:val="Гиперссылка1"/>
    <w:link w:val="Style_9"/>
    <w:rPr>
      <w:color w:val="0000FF"/>
      <w:u w:val="single"/>
    </w:rPr>
  </w:style>
  <w:style w:styleId="Style_10" w:type="paragraph">
    <w:name w:val="toc 3"/>
    <w:next w:val="Style_2"/>
    <w:link w:val="Style_10_ch"/>
    <w:uiPriority w:val="39"/>
    <w:pPr>
      <w:widowControl w:val="1"/>
      <w:ind w:left="400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Обычный1"/>
    <w:link w:val="Style_11_ch"/>
    <w:rPr>
      <w:rFonts w:ascii="Times New Roman" w:hAnsi="Times New Roman"/>
      <w:sz w:val="24"/>
    </w:rPr>
  </w:style>
  <w:style w:styleId="Style_11_ch" w:type="character">
    <w:name w:val="Обычный1"/>
    <w:link w:val="Style_11"/>
    <w:rPr>
      <w:rFonts w:ascii="Times New Roman" w:hAnsi="Times New Roman"/>
      <w:sz w:val="24"/>
    </w:rPr>
  </w:style>
  <w:style w:styleId="Style_12" w:type="paragraph">
    <w:name w:val="heading 5"/>
    <w:next w:val="Style_2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2_ch" w:type="character">
    <w:name w:val="heading 5"/>
    <w:link w:val="Style_12"/>
    <w:rPr>
      <w:rFonts w:ascii="XO Thames" w:hAnsi="XO Thames"/>
      <w:b w:val="1"/>
    </w:rPr>
  </w:style>
  <w:style w:styleId="Style_13" w:type="paragraph">
    <w:name w:val="heading 1"/>
    <w:next w:val="Style_2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/>
      <w:jc w:val="both"/>
    </w:pPr>
    <w:rPr>
      <w:rFonts w:ascii="XO Thames" w:hAnsi="XO Thames"/>
    </w:rPr>
  </w:style>
  <w:style w:styleId="Style_15_ch" w:type="character">
    <w:name w:val="Footnote"/>
    <w:link w:val="Style_15"/>
    <w:rPr>
      <w:rFonts w:ascii="XO Thames" w:hAnsi="XO Thames"/>
    </w:rPr>
  </w:style>
  <w:style w:styleId="Style_16" w:type="paragraph">
    <w:name w:val="toc 1"/>
    <w:next w:val="Style_2"/>
    <w:link w:val="Style_16_ch"/>
    <w:uiPriority w:val="39"/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Основной шрифт абзаца2"/>
    <w:link w:val="Style_18_ch"/>
  </w:style>
  <w:style w:styleId="Style_18_ch" w:type="character">
    <w:name w:val="Основной шрифт абзаца2"/>
    <w:link w:val="Style_18"/>
  </w:style>
  <w:style w:styleId="Style_19" w:type="paragraph">
    <w:name w:val="Основной шрифт абзаца1"/>
    <w:link w:val="Style_19_ch"/>
  </w:style>
  <w:style w:styleId="Style_19_ch" w:type="character">
    <w:name w:val="Основной шрифт абзаца1"/>
    <w:link w:val="Style_19"/>
  </w:style>
  <w:style w:styleId="Style_20" w:type="paragraph">
    <w:name w:val="toc 9"/>
    <w:next w:val="Style_2"/>
    <w:link w:val="Style_20_ch"/>
    <w:uiPriority w:val="39"/>
    <w:pPr>
      <w:widowControl w:val="1"/>
      <w:ind w:left="1600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widowControl w:val="1"/>
      <w:ind w:left="1400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toc 5"/>
    <w:next w:val="Style_2"/>
    <w:link w:val="Style_23_ch"/>
    <w:uiPriority w:val="39"/>
    <w:pPr>
      <w:widowControl w:val="1"/>
      <w:ind w:left="800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Обычный1"/>
    <w:link w:val="Style_24_ch"/>
    <w:rPr>
      <w:rFonts w:ascii="Times New Roman" w:hAnsi="Times New Roman"/>
      <w:sz w:val="24"/>
    </w:rPr>
  </w:style>
  <w:style w:styleId="Style_24_ch" w:type="character">
    <w:name w:val="Обычный1"/>
    <w:link w:val="Style_24"/>
    <w:rPr>
      <w:rFonts w:ascii="Times New Roman" w:hAnsi="Times New Roman"/>
      <w:sz w:val="24"/>
    </w:rPr>
  </w:style>
  <w:style w:styleId="Style_25" w:type="paragraph">
    <w:name w:val="Гиперссылка1"/>
    <w:link w:val="Style_25_ch"/>
    <w:rPr>
      <w:color w:val="0000FF"/>
      <w:u w:val="single"/>
    </w:rPr>
  </w:style>
  <w:style w:styleId="Style_25_ch" w:type="character">
    <w:name w:val="Гиперссылка1"/>
    <w:link w:val="Style_25"/>
    <w:rPr>
      <w:color w:val="0000FF"/>
      <w:u w:val="single"/>
    </w:rPr>
  </w:style>
  <w:style w:styleId="Style_26" w:type="paragraph">
    <w:name w:val="Subtitle"/>
    <w:next w:val="Style_2"/>
    <w:link w:val="Style_2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2"/>
    <w:link w:val="Style_27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2"/>
    <w:link w:val="Style_28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heading 2"/>
    <w:next w:val="Style_2"/>
    <w:link w:val="Style_29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9_ch" w:type="character">
    <w:name w:val="heading 2"/>
    <w:link w:val="Style_29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MyOffice-CoreFramework-Windows/38-1384.1107.10199.1019.1@2600cfe5f4b542ca5f3c0e142379f873658cd812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2025-10-31T06:03:00Z</dcterms:created>
  <dcterms:modified xsi:type="dcterms:W3CDTF">2025-11-07T08:51:14Z</dcterms:modified>
</cp:coreProperties>
</file>