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color w:val="000000"/>
          <w:sz w:val="20"/>
        </w:rPr>
      </w:pPr>
    </w:p>
    <w:p w14:paraId="02000000">
      <w:pPr>
        <w:widowControl w:val="1"/>
        <w:tabs>
          <w:tab w:leader="none" w:pos="3690" w:val="left"/>
          <w:tab w:leader="none" w:pos="4677" w:val="center"/>
        </w:tabs>
        <w:ind/>
        <w:jc w:val="center"/>
        <w:rPr>
          <w:sz w:val="28"/>
        </w:rPr>
      </w:pPr>
      <w:r>
        <w:rPr>
          <w:sz w:val="28"/>
        </w:rPr>
        <w:t>Ответ по запросу  на разъяснение положений извещения</w:t>
      </w:r>
    </w:p>
    <w:p w14:paraId="03000000">
      <w:pPr>
        <w:widowControl w:val="1"/>
        <w:tabs>
          <w:tab w:leader="none" w:pos="3690" w:val="left"/>
          <w:tab w:leader="none" w:pos="4677" w:val="center"/>
        </w:tabs>
        <w:ind/>
        <w:jc w:val="center"/>
        <w:rPr>
          <w:sz w:val="28"/>
        </w:rPr>
      </w:pPr>
      <w:r>
        <w:rPr>
          <w:sz w:val="28"/>
        </w:rPr>
        <w:t>Электронный аукцион № 0818500000826006643</w:t>
      </w:r>
    </w:p>
    <w:p w14:paraId="04000000">
      <w:pPr>
        <w:widowControl w:val="1"/>
        <w:tabs>
          <w:tab w:leader="none" w:pos="3690" w:val="left"/>
          <w:tab w:leader="none" w:pos="4677" w:val="center"/>
        </w:tabs>
        <w:ind/>
        <w:jc w:val="center"/>
        <w:rPr>
          <w:sz w:val="28"/>
        </w:rPr>
      </w:pPr>
    </w:p>
    <w:p w14:paraId="05000000">
      <w:pPr>
        <w:widowControl w:val="1"/>
        <w:spacing w:after="160" w:before="200"/>
        <w:ind/>
        <w:jc w:val="center"/>
      </w:pPr>
      <w:r>
        <w:rPr>
          <w:rFonts w:ascii="Times New Roman" w:hAnsi="Times New Roman"/>
          <w:b w:val="1"/>
          <w:color w:val="1F1F1F"/>
          <w:sz w:val="30"/>
        </w:rPr>
        <w:t>ЗАПРОС</w:t>
      </w:r>
    </w:p>
    <w:p w14:paraId="06000000">
      <w:pPr>
        <w:widowControl w:val="1"/>
        <w:spacing w:after="320" w:before="0" w:line="300" w:lineRule="auto"/>
        <w:ind/>
        <w:jc w:val="center"/>
      </w:pPr>
      <w:r>
        <w:rPr>
          <w:rFonts w:ascii="Times New Roman" w:hAnsi="Times New Roman"/>
          <w:b w:val="1"/>
          <w:color w:val="1F1F1F"/>
          <w:sz w:val="24"/>
        </w:rPr>
        <w:t>о даче разъяснений положений извещения об осуществлении закупки № 0818500000826006643 на оказание услуги по сопровождению и технической поддержке базовой версии установленного программного продукта «Медицинская Информационная Система «Комплекс Программных Средств «Система Автоматизации Медико-Страхового Обслуживания Населения» «САМСОН» (конфигурация Краснодарский край)</w:t>
      </w:r>
    </w:p>
    <w:p w14:paraId="07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Государственное казенное учреждение Краснодарского края «Дирекция государственных закупок» разместило в единой информационной системе в сфере закупок (далее: ЕИС) извещение № 0818500000826006643 об электронном аукционе (далее: Извещение) для нужд Государственного бюджетного учреждения здравоохранения «Ленинградская центральная районная больница» министерства здравоохранения Краснодарского края (далее: Заказчик), идентификационный код закупки 263234100377423410100106160016202244.</w:t>
      </w:r>
    </w:p>
    <w:p w14:paraId="08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Объект закупки: «Оказание услуги по сопровождению и технической поддержке базовой версии установленного программного продукта «Медицинская Информационная Система «Комплекс Программных Средств «Система Автоматизации Медико-Страхового Обслуживания Населения» «САМСОН» (конфигурация Краснодарский край)». Начальная (максимальная) цена контракта: 1 171 800,00 рублей.</w:t>
      </w:r>
    </w:p>
    <w:p w14:paraId="09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Дата и время окончания срока подачи заявок: 16.10.2026, 10 часов 00 минут по московскому времени.</w:t>
      </w:r>
    </w:p>
    <w:p w14:paraId="0A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В составе Извещения размещены файлы «Описание объекта закупки» (далее: Описание объекта закупки), «Проект контракта» (далее: проект контракта), «Требования к заявке на участие в закупке и инструкция по её заполнению» (далее: Требования к заявке) и «Обоснование НМЦК» (далее: Обоснование НМЦК).</w:t>
      </w:r>
    </w:p>
    <w:p w14:paraId="0B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Участник запроса (....) является потенциальным участником закупки. Настоящий запрос направлен в порядке части 4 статьи 42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(далее: Закон № 44-ФЗ) до истечения срока, установленного указанной нормой.</w:t>
      </w:r>
    </w:p>
    <w:p w14:paraId="0C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Положения Извещения, приведенные ниже, не позволяют определить режим и сроки оказания услуг, условия допуска исполнителя к исполнению контракта, объем обязательств в пределах твердой цены, размер ответственности исполнителя и реквизиты для внесения обеспечения исполнения контракта. Прошу дать разъяснения по следующим вопросам.</w:t>
      </w:r>
    </w:p>
    <w:p w14:paraId="0D000000">
      <w:pPr>
        <w:keepNext w:val="1"/>
        <w:keepLines w:val="1"/>
        <w:widowControl w:val="1"/>
        <w:spacing w:after="120" w:before="240" w:line="240" w:lineRule="auto"/>
        <w:ind/>
        <w:jc w:val="left"/>
        <w:rPr>
          <w:b w:val="1"/>
          <w:sz w:val="28"/>
        </w:rPr>
      </w:pPr>
    </w:p>
    <w:p w14:paraId="0E000000">
      <w:pPr>
        <w:keepNext w:val="1"/>
        <w:keepLines w:val="1"/>
        <w:widowControl w:val="1"/>
        <w:spacing w:after="120" w:before="240" w:line="240" w:lineRule="auto"/>
        <w:ind/>
        <w:jc w:val="left"/>
        <w:rPr>
          <w:b w:val="1"/>
          <w:sz w:val="28"/>
        </w:rPr>
      </w:pPr>
      <w:r>
        <w:rPr>
          <w:rStyle w:val="Style_1_ch"/>
          <w:b w:val="1"/>
          <w:sz w:val="28"/>
        </w:rPr>
        <w:t>Вопрос первый. Режим оказания услуг: ежедневно, включая выходные и праздничные дни, или по рабочим дням</w:t>
      </w:r>
    </w:p>
    <w:p w14:paraId="0F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4.1 проекта контракта устанавливает: «Оказание услуг осуществляется: с 01.01.2027 года по 31.12.2027 года включительно, ежедневно, включая праздничные и выходные дни.»</w:t>
      </w:r>
    </w:p>
    <w:p w14:paraId="10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Таблица «Требования, установленные к функциональным, техническим, качественным характеристикам товара, входящего в объект закупки» Описания объекта закупки содержит строку: «Услуги по сопровождению и технической поддержки МИС. Ежедневно с 9:00 до 17:00 по рабочим дням.»</w:t>
      </w:r>
    </w:p>
    <w:p w14:paraId="11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Следующие за ней строки той же таблицы («Обновление компонентов ПО МИС», «Поддержка пользователей ПО МИС», «Поддержка интеграционных решений МИС») определяют состав этих услуг. Пункт 4.1 проекта контракта и указанная строка Описания объекта закупки устанавливают разные дни оказания услуг, проект контракта не устанавливает часы оказания услуг в выходные и нерабочие праздничные дни.</w:t>
      </w:r>
    </w:p>
    <w:p w14:paraId="12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1.1. Прошу указать, какой из двух режимов применяется при исполнении контракта: режим пункта 4.1 проекта контракта (ежедневно, включая праздничные и выходные дни) или режим Описания объекта закупки (ежедневно с 9:00 до 17:00 по рабочим дням).</w:t>
      </w:r>
    </w:p>
    <w:p w14:paraId="13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1.2. Если применяется режим пункта 4.1 проекта контракта, прошу указать время начала и время окончания оказания услуг (в часах и минутах, с указанием часового пояса) в выходные и нерабочие праздничные дни, включая 01.01.2027 - 08.01.2027.</w:t>
      </w:r>
    </w:p>
    <w:p w14:paraId="14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1.3. Прошу указать пункт проекта контракта или Описания объекта закупки, который устанавливает приоритет одного из указанных положений над другим при их расхождении.</w:t>
      </w:r>
    </w:p>
    <w:p w14:paraId="15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1.4. Прошу указать, будут ли внесены изменения в Извещение для устранения указанного расхождения, и дату размещения таких изменений в ЕИС.</w:t>
      </w:r>
    </w:p>
    <w:p w14:paraId="16000000">
      <w:pPr>
        <w:widowControl w:val="1"/>
        <w:tabs>
          <w:tab w:leader="none" w:pos="3690" w:val="left"/>
          <w:tab w:leader="none" w:pos="4677" w:val="center"/>
        </w:tabs>
        <w:spacing w:line="240" w:lineRule="auto"/>
        <w:ind/>
        <w:jc w:val="left"/>
        <w:rPr>
          <w:b w:val="1"/>
          <w:sz w:val="28"/>
        </w:rPr>
      </w:pPr>
      <w:r>
        <w:rPr>
          <w:b w:val="1"/>
          <w:sz w:val="28"/>
        </w:rPr>
        <w:t>Ответ на первый  вопрос:</w:t>
      </w:r>
    </w:p>
    <w:p w14:paraId="17000000">
      <w:pPr>
        <w:widowControl w:val="1"/>
        <w:spacing w:after="120" w:line="240" w:lineRule="auto"/>
        <w:ind/>
        <w:jc w:val="both"/>
        <w:rPr>
          <w:sz w:val="28"/>
        </w:rPr>
      </w:pPr>
      <w:r>
        <w:rPr>
          <w:rStyle w:val="Style_1_ch"/>
          <w:sz w:val="28"/>
        </w:rPr>
        <w:t xml:space="preserve">        1.1. Указанные положения регулируют разные вопросы и применяются совместно. </w:t>
      </w:r>
    </w:p>
    <w:p w14:paraId="18000000">
      <w:pPr>
        <w:widowControl w:val="1"/>
        <w:spacing w:after="120" w:line="240" w:lineRule="auto"/>
        <w:ind/>
        <w:jc w:val="both"/>
        <w:rPr>
          <w:sz w:val="28"/>
        </w:rPr>
      </w:pPr>
      <w:r>
        <w:rPr>
          <w:rStyle w:val="Style_1_ch"/>
          <w:sz w:val="28"/>
        </w:rPr>
        <w:t xml:space="preserve">       1.2.  Пункт 4.1 проекта контракта определяет период (срок) оказания услуг: сопровождение осуществляется в течение всего срока с 01.01.2027 по 31.12.2027 включительно, то есть охватывает все календарные дни, поскольку медицинская информационная система эксплуатируется Заказчиком непрерывно. </w:t>
      </w:r>
    </w:p>
    <w:p w14:paraId="19000000">
      <w:pPr>
        <w:widowControl w:val="1"/>
        <w:spacing w:after="120" w:line="240" w:lineRule="auto"/>
        <w:ind/>
        <w:jc w:val="both"/>
        <w:rPr>
          <w:sz w:val="28"/>
        </w:rPr>
      </w:pPr>
      <w:r>
        <w:rPr>
          <w:rStyle w:val="Style_1_ch"/>
          <w:sz w:val="28"/>
        </w:rPr>
        <w:t xml:space="preserve">      1.3. Строка Описания объекта закупки «Услуги по сопровождению и технической поддержки МИС. Ежедневно с 9:00 до 17:00 по рабочим дням» часть услуг, которые определяют режим работы службы </w:t>
      </w:r>
      <w:r>
        <w:rPr>
          <w:rStyle w:val="Style_1_ch"/>
          <w:b w:val="1"/>
          <w:sz w:val="28"/>
        </w:rPr>
        <w:t xml:space="preserve">технической поддержки исполнителя: </w:t>
      </w:r>
      <w:r>
        <w:rPr>
          <w:rStyle w:val="Style_1_ch"/>
          <w:b w:val="1"/>
          <w:sz w:val="28"/>
        </w:rPr>
        <w:t>прием и обработка обращений пользователей, оказание консультаций и выполнение работ, требующих взаимодействия с персоналом Заказчика</w:t>
      </w:r>
      <w:r>
        <w:rPr>
          <w:rStyle w:val="Style_1_ch"/>
          <w:sz w:val="28"/>
        </w:rPr>
        <w:t xml:space="preserve">, осуществляются в рабочие дни с 9:00 до 17:00 по московскому времени. </w:t>
      </w:r>
    </w:p>
    <w:p w14:paraId="1A000000">
      <w:pPr>
        <w:widowControl w:val="1"/>
        <w:spacing w:after="120" w:line="240" w:lineRule="auto"/>
        <w:ind w:right="0"/>
        <w:jc w:val="both"/>
        <w:rPr>
          <w:sz w:val="28"/>
        </w:rPr>
      </w:pPr>
      <w:r>
        <w:rPr>
          <w:rStyle w:val="Style_1_ch"/>
          <w:sz w:val="28"/>
        </w:rPr>
        <w:t xml:space="preserve">     1.4. Противоречие между указанными положениями отсутствует.</w:t>
      </w:r>
    </w:p>
    <w:p w14:paraId="1B000000">
      <w:pPr>
        <w:keepNext w:val="1"/>
        <w:keepLines w:val="1"/>
        <w:widowControl w:val="1"/>
        <w:spacing w:after="120" w:before="240" w:line="240" w:lineRule="auto"/>
        <w:ind/>
        <w:jc w:val="left"/>
        <w:rPr>
          <w:b w:val="1"/>
          <w:sz w:val="28"/>
        </w:rPr>
      </w:pPr>
      <w:r>
        <w:rPr>
          <w:rStyle w:val="Style_1_ch"/>
          <w:b w:val="1"/>
          <w:sz w:val="28"/>
        </w:rPr>
        <w:t>Вопрос второй. Условие проекта контракта об исключительных правах на МИС «САМСОН» или лицензионном договоре с правообладателем</w:t>
      </w:r>
    </w:p>
    <w:p w14:paraId="1C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3.2 проекта контракта содержит два подпункта, обозначенных буквой «в». Второй из них устанавливает обязанность исполнителя: «обладать исключительными правами на программное обеспечение медицинской информационной системы «Медицинская Информационная Система «Комплекс Программных Средств «Система Автоматизации Медико-Страхового Обслуживания Населения» «САМСОН»» (свидетельство о государственной регистрации программы для ЭВМ № 2012616227 от 06.07.2012), или наличие действующего лицензионного договора с обладателем исключительных прав на указанное программное обеспечение, дающий исполнителю право использования программного обеспечения на территории Краснодарского края (в соответствии с ч. 1 ст. 1225, ст. 1226, ст. 1229, ст. 1233, ст. 1235 ГК РФ);»</w:t>
      </w:r>
    </w:p>
    <w:p w14:paraId="1D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1.2 Требований к заявке устанавливает: «Требование к участнику закупки о соответствии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закупки, предусмотренным пунктом 1 части 1 статьи 31 Закона № 44-ФЗ, не установлено». Пункт 1.3 Требований к заявке: «Дополнительное требование, предусмотренное частью 2 статьи 31 Закона № 44-ФЗ, не установлено».</w:t>
      </w:r>
    </w:p>
    <w:p w14:paraId="1E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Подпункт 1 подпункта «в» пункта 3.4 проекта контракта обязывает Заказчика принять решение об одностороннем отказе от исполнения контракта, если «Исполнитель и (или) оказываемые услуги перестали соответствовать установленным извещением об осуществлении закупки требованиям к участникам закупки».</w:t>
      </w:r>
    </w:p>
    <w:p w14:paraId="1F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Описание объекта закупки включает в состав услуг «Усовершенствование Продукта, в соответствии с письменной задачей Пользователя, в рамках сопровождаемых сервисов и функциональных механизмов МИС, требующее внесение изменений в программный код.» Пункт 9.3 проекта контракта устанавливает: «Гарантийные обязательства распространяются на все изменения, внесенные в исходные тексты МИС в течение срока оказания услуг.» При этом пункт 2.1 проекта контракта устанавливает, что при оказании услуг «передача прав и/или расширение прав не предусмотрено».</w:t>
      </w:r>
    </w:p>
    <w:p w14:paraId="20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2.1. Прошу указать, на какую дату исполнитель должен обладать исключительными правами на МИС «САМСОН» либо действующим лицензионным договором с обладателем исключительных прав: на дату подачи заявки, на дату заключения контракта или на дату начала оказания услуг (01.01.2027).</w:t>
      </w:r>
    </w:p>
    <w:p w14:paraId="21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2.2. Прошу указать наименование документа, которым исполнитель подтверждает Заказчику соответствие второму подпункту «в» пункта 3.2 проекта контракта, и срок представления такого документа.</w:t>
      </w:r>
    </w:p>
    <w:p w14:paraId="22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2.3. Прошу указать пункт части 1 статьи 31 Закона № 44-ФЗ либо иного нормативного правового акта, на основании которого установлено условие второго подпункта «в» пункта 3.2 проекта контракта, с учетом значения «не установлено» в пунктах 1.2 и 1.3 Требований к заявке.</w:t>
      </w:r>
    </w:p>
    <w:p w14:paraId="23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2.4. Прошу указать, относится ли условие второго подпункта «в» пункта 3.2 проекта контракта к «требованиям к участникам закупки», указанным в подпункте 1 подпункта «в» пункта 3.4 проекта контракта.</w:t>
      </w:r>
    </w:p>
    <w:p w14:paraId="24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2.5. Прошу указать, должен ли лицензионный договор, указанный во втором подпункте «в» пункта 3.2 проекта контракта, предоставлять исполнителю право на переработку (модификацию) программы для ЭВМ, необходимое для внесения изменений в программный код и исходные тексты МИС согласно Описанию объекта закупки и пункту 9.3 проекта контракта.</w:t>
      </w:r>
    </w:p>
    <w:p w14:paraId="25000000">
      <w:pPr>
        <w:widowControl w:val="1"/>
        <w:spacing w:after="120" w:line="240" w:lineRule="auto"/>
        <w:ind/>
        <w:jc w:val="both"/>
        <w:rPr>
          <w:b w:val="1"/>
          <w:strike w:val="0"/>
          <w:color w:val="000000"/>
          <w:sz w:val="28"/>
        </w:rPr>
      </w:pPr>
      <w:r>
        <w:rPr>
          <w:b w:val="1"/>
          <w:strike w:val="0"/>
          <w:color w:val="000000"/>
          <w:sz w:val="28"/>
        </w:rPr>
        <w:t>Ответ на второй вопрос:</w:t>
      </w:r>
    </w:p>
    <w:p w14:paraId="26000000">
      <w:pPr>
        <w:widowControl w:val="1"/>
        <w:spacing w:after="120" w:line="240" w:lineRule="auto"/>
        <w:ind/>
        <w:jc w:val="both"/>
        <w:rPr>
          <w:sz w:val="28"/>
        </w:rPr>
      </w:pPr>
      <w:r>
        <w:rPr>
          <w:sz w:val="28"/>
        </w:rPr>
        <w:t xml:space="preserve">          Требование к участникам закупки о наличии исключительных прав либо лицензионного договора Извещением не установлено (пункты 1.2, 1.3 Требований к заявке), на дату подачи заявки наличие таких прав не требуется, и заявка на участие в закупке по данному основанию отклонению не подлежит. </w:t>
      </w:r>
    </w:p>
    <w:p w14:paraId="27000000">
      <w:pPr>
        <w:widowControl w:val="1"/>
        <w:spacing w:after="120" w:line="240" w:lineRule="auto"/>
        <w:ind/>
        <w:jc w:val="both"/>
        <w:rPr>
          <w:sz w:val="28"/>
        </w:rPr>
      </w:pPr>
      <w:r>
        <w:rPr>
          <w:sz w:val="28"/>
        </w:rPr>
        <w:t xml:space="preserve">      2.1. Обязанность, предусмотренная вторым подпунктом «в» пункта 3.2 проекта контракта, относится к исполнению контракта, она должна быть исполнена к дате начала оказания услуг (01.01.2027) и соблюдаться в течение всего срока оказания услуг.</w:t>
      </w:r>
    </w:p>
    <w:p w14:paraId="28000000">
      <w:pPr>
        <w:widowControl w:val="1"/>
        <w:spacing w:after="120" w:line="240" w:lineRule="auto"/>
        <w:ind w:firstLine="0" w:left="0"/>
        <w:jc w:val="both"/>
        <w:rPr>
          <w:b w:val="0"/>
          <w:color w:val="000000"/>
          <w:sz w:val="28"/>
        </w:rPr>
      </w:pPr>
      <w:r>
        <w:rPr>
          <w:b w:val="1"/>
          <w:sz w:val="28"/>
        </w:rPr>
        <w:t xml:space="preserve">     </w:t>
      </w:r>
      <w:r>
        <w:rPr>
          <w:b w:val="0"/>
          <w:sz w:val="28"/>
        </w:rPr>
        <w:t xml:space="preserve"> 2.2</w:t>
      </w:r>
      <w:r>
        <w:rPr>
          <w:b w:val="1"/>
          <w:sz w:val="28"/>
        </w:rPr>
        <w:t xml:space="preserve"> </w:t>
      </w:r>
      <w:r>
        <w:rPr>
          <w:sz w:val="28"/>
        </w:rPr>
        <w:t>Представление отдельного документа в составе заявки либо при заключении контракта Извещением не предусмотрено. В ходе исполнения контракта документы, подтверждающие правомерность использования программного обеспечения (лицензионный договор либо документ о принадлежности исключительных прав), представляются исполнителем по требованию Заказчика на основании подпункта «г» пункта 3.2 проекта контракта (обязанность предоставлять Заказчику по его требованию документы, относящиеся к предмету контракта) в срок, указанный в с</w:t>
      </w:r>
      <w:r>
        <w:rPr>
          <w:b w:val="0"/>
          <w:color w:val="000000"/>
          <w:sz w:val="28"/>
        </w:rPr>
        <w:t>оответствующем требовании.</w:t>
      </w:r>
    </w:p>
    <w:p w14:paraId="29000000">
      <w:pPr>
        <w:widowControl w:val="1"/>
        <w:spacing w:after="120" w:line="240" w:lineRule="auto"/>
        <w:ind w:firstLine="567" w:left="-142"/>
        <w:jc w:val="both"/>
        <w:rPr>
          <w:sz w:val="28"/>
        </w:rPr>
      </w:pPr>
      <w:r>
        <w:rPr>
          <w:b w:val="0"/>
          <w:color w:val="000000"/>
          <w:sz w:val="28"/>
        </w:rPr>
        <w:t>2.3.</w:t>
      </w:r>
      <w:r>
        <w:rPr>
          <w:b w:val="1"/>
          <w:sz w:val="28"/>
        </w:rPr>
        <w:t xml:space="preserve"> </w:t>
      </w:r>
      <w:r>
        <w:rPr>
          <w:sz w:val="28"/>
        </w:rPr>
        <w:t>Условие второго подпункта «в» пункта 3.2 проекта контракта не является требованием к участникам закупки и установлено не на основании статьи 31 Закона № 44-ФЗ, в связи с чем указание «не установлено» в пунктах 1.2 и 1.3 Требований к заявке ему не противоречит. Данное условие является условием исполнения контракта и обусловлено гражданским законодательством. Состав услуг включает использование программы для ЭВМ, а отдельные услуги - внесение изменений в программный код, то есть переработку (модификацию) программы, что в силу статей 1229, 1233, 1235 и подпункта 9 пункта 2 статьи 1270 Гражданского кодекса Российской Федерации в той мере, в какой такие изменения выходят за пределы, допускаемые статьей 1280 Гражданского кодекса Российской Федерации, осуществляется с согласия правообладателя.</w:t>
      </w:r>
    </w:p>
    <w:p w14:paraId="2A000000">
      <w:pPr>
        <w:widowControl w:val="1"/>
        <w:spacing w:after="120" w:line="240" w:lineRule="auto"/>
        <w:ind w:firstLine="0" w:left="-142"/>
        <w:jc w:val="both"/>
        <w:rPr>
          <w:sz w:val="28"/>
        </w:rPr>
      </w:pPr>
      <w:r>
        <w:rPr>
          <w:b w:val="1"/>
          <w:sz w:val="28"/>
        </w:rPr>
        <w:t xml:space="preserve">    </w:t>
      </w:r>
      <w:r>
        <w:rPr>
          <w:b w:val="0"/>
          <w:sz w:val="28"/>
        </w:rPr>
        <w:t xml:space="preserve">    2.4</w:t>
      </w:r>
      <w:r>
        <w:rPr>
          <w:b w:val="1"/>
          <w:sz w:val="28"/>
        </w:rPr>
        <w:t xml:space="preserve"> </w:t>
      </w:r>
      <w:r>
        <w:rPr>
          <w:sz w:val="28"/>
        </w:rPr>
        <w:t>Не относится. Подпункт 1 подпункта «в» пункта 3.4 проекта контракта воспроизводит основание принятия решения об одностороннем отказе от исполнения контракта, предусмотренное частью 15 статьи 95 Закона № 44-ФЗ, и применяется в отношении требований к участникам закупки, установленных Извещением. Условие второго подпункта «в» пункта 3.2 проекта контракта к требованиям, установленным Извещением в соответствии со статьей 31 Закона № 44-ФЗ, не относится и под действие указанного основания не подпадает. Последствия неисполнения данной обязанности определяются общими положениями контракта и гражданского законодательства об ответственности за неисполнение обязательств.</w:t>
      </w:r>
    </w:p>
    <w:p w14:paraId="2B000000">
      <w:pPr>
        <w:widowControl w:val="1"/>
        <w:spacing w:after="120" w:line="240" w:lineRule="auto"/>
        <w:ind w:firstLine="0" w:left="-142"/>
        <w:jc w:val="both"/>
        <w:rPr>
          <w:sz w:val="28"/>
        </w:rPr>
      </w:pPr>
      <w:r>
        <w:rPr>
          <w:sz w:val="28"/>
        </w:rPr>
        <w:t xml:space="preserve">       2.5. </w:t>
      </w:r>
      <w:r>
        <w:rPr>
          <w:b w:val="1"/>
          <w:sz w:val="28"/>
        </w:rPr>
        <w:t xml:space="preserve"> </w:t>
      </w:r>
      <w:r>
        <w:rPr>
          <w:sz w:val="28"/>
        </w:rPr>
        <w:t>Да. Объем прав исполнителя должен быть достаточным для оказания услуг в полном объеме, предусмотренном Описанием объекта закупки, включая услуги, требующие внесения изменений в программный код (переработку (модификацию) программы для ЭВМ, подпункт 9 пункта 2 статьи 1270 Гражданского кодекса Российской Федерации), в той мере, в какой такие изменения выходят за пределы, допускаемые статьей 1280 Гражданского кодекса Российской Федерации.</w:t>
      </w:r>
      <w:r>
        <w:rPr>
          <w:sz w:val="28"/>
        </w:rPr>
        <w:t xml:space="preserve"> Положение раздела 2 проекта контракта о том, что «передача прав и/или расширение прав не предусмотрено», регулирует отношения Заказчика и исполнителя (права использования программного обеспечения Заказчику по контракту не передаются и не расширяются) и не ограничивает объем прав, приобретаемых исполнителем у правообладателя.</w:t>
      </w:r>
    </w:p>
    <w:p w14:paraId="2C000000">
      <w:pPr>
        <w:keepNext w:val="1"/>
        <w:keepLines w:val="1"/>
        <w:widowControl w:val="1"/>
        <w:spacing w:after="120" w:before="240" w:line="240" w:lineRule="auto"/>
        <w:ind/>
        <w:jc w:val="left"/>
        <w:rPr>
          <w:b w:val="1"/>
          <w:sz w:val="28"/>
        </w:rPr>
      </w:pPr>
      <w:r>
        <w:rPr>
          <w:rStyle w:val="Style_1_ch"/>
          <w:b w:val="1"/>
          <w:sz w:val="28"/>
        </w:rPr>
        <w:t>Вопрос третий. Срок оказания услуг по третьему этапу и ссылки внутри проекта контракта</w:t>
      </w:r>
    </w:p>
    <w:p w14:paraId="2D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4.1 проекта контракта устанавливает: «3 этап: «01» июля 2027 года по «30» сентября 2027 года (включительно)».</w:t>
      </w:r>
    </w:p>
    <w:p w14:paraId="2E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Таблица Спецификации (Приложение №1 к Контракту) в строке «3 этап» в графе «Срок оказания услуг» содержит: «с «01» июля 2027 года по «30» сентября 2026 года (включительно)».</w:t>
      </w:r>
    </w:p>
    <w:p w14:paraId="2F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1.1 проекта контракта определяет объем и характеристики услуг «согласно Описанию объекта закупки (Приложение №2 к Контракту)», подпункт «б» пункта 3.2 обязывает исполнителя «оказать услуги в соответствии с описанием объекта закупки (Приложение №2 к Контракту)». Пункт 2.1 проекта контракта устанавливает: «Услуги оказываются Исполнителем в соответствии с требованиями описания объекта закупки (Приложение №1 к Контракту)». Пункт 14.1 проекта контракта называет приложениями «Спецификация (Приложение №1 к Контракту)» и «Описание объекта закупки (Приложение №2 к Контракту)».</w:t>
      </w:r>
    </w:p>
    <w:p w14:paraId="30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6.2 проекта контракта устанавливает: «Цена контракта, указанная в пункте 2.1 раздела 2 настоящего контракта, является твёрдой и определяется на весь срок его исполнения.» Пункт 2.1 раздела II проекта контракта цену контракта не содержит, цена контракта указывается в пункте 6.1.</w:t>
      </w:r>
    </w:p>
    <w:p w14:paraId="31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3.1. Прошу указать дату окончания срока оказания услуг по третьему этапу: 30.09.2027 (пункт 4.1 проекта контракта) или 30.09.2026 (Спецификация).</w:t>
      </w:r>
    </w:p>
    <w:p w14:paraId="32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3.2. Прошу указать номер приложения к контракту, которым является Описание объекта закупки: Приложение № 1 (пункт 2.1 проекта контракта) или Приложение № 2 (пункты 1.1, 14.1 и подпункт «б» пункта 3.2 проекта контракта).</w:t>
      </w:r>
    </w:p>
    <w:p w14:paraId="33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3.3. Прошу указать пункт проекта контракта, которым устанавливается цена контракта, признаваемая твердой в соответствии с пунктом 6.2 проекта контракта: пункт 2.1 раздела II или пункт 6.1.</w:t>
      </w:r>
    </w:p>
    <w:p w14:paraId="34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3.4. Прошу указать, будут ли внесены изменения в Извещение в части указанных расхождений, и дату размещения таких изменений в ЕИС.</w:t>
      </w:r>
    </w:p>
    <w:p w14:paraId="35000000">
      <w:pPr>
        <w:widowControl w:val="1"/>
        <w:spacing w:after="120" w:line="240" w:lineRule="auto"/>
        <w:ind w:firstLine="0" w:left="-142"/>
        <w:jc w:val="both"/>
        <w:rPr>
          <w:b w:val="1"/>
          <w:sz w:val="28"/>
        </w:rPr>
      </w:pPr>
      <w:r>
        <w:rPr>
          <w:b w:val="1"/>
          <w:sz w:val="28"/>
        </w:rPr>
        <w:t>Ответ по третьему вопросу:</w:t>
      </w:r>
    </w:p>
    <w:p w14:paraId="36000000">
      <w:pPr>
        <w:widowControl w:val="1"/>
        <w:tabs>
          <w:tab w:leader="none" w:pos="1276" w:val="left"/>
        </w:tabs>
        <w:spacing w:line="240" w:lineRule="auto"/>
        <w:ind/>
        <w:jc w:val="both"/>
        <w:rPr>
          <w:sz w:val="28"/>
        </w:rPr>
      </w:pPr>
      <w:r>
        <w:rPr>
          <w:color w:val="000000"/>
          <w:sz w:val="28"/>
        </w:rPr>
        <w:t xml:space="preserve">        3.1. </w:t>
      </w:r>
      <w:r>
        <w:rPr>
          <w:color w:val="000000"/>
          <w:sz w:val="28"/>
        </w:rPr>
        <w:t xml:space="preserve">В проект контракта, Приложение №1 «Спецификация» будут внесены изменения. </w:t>
      </w:r>
    </w:p>
    <w:p w14:paraId="37000000">
      <w:pPr>
        <w:widowControl w:val="1"/>
        <w:tabs>
          <w:tab w:leader="none" w:pos="1276" w:val="left"/>
        </w:tabs>
        <w:spacing w:line="240" w:lineRule="auto"/>
        <w:ind/>
        <w:jc w:val="both"/>
        <w:rPr>
          <w:sz w:val="28"/>
        </w:rPr>
      </w:pPr>
      <w:r>
        <w:rPr>
          <w:color w:val="000000"/>
          <w:sz w:val="28"/>
        </w:rPr>
        <w:t xml:space="preserve">        3.2.  </w:t>
      </w:r>
      <w:r>
        <w:rPr>
          <w:color w:val="000000"/>
          <w:sz w:val="28"/>
        </w:rPr>
        <w:t xml:space="preserve">В пункт 2.1 Проекта контракта будут внесены изменения. </w:t>
      </w:r>
    </w:p>
    <w:p w14:paraId="38000000">
      <w:pPr>
        <w:widowControl w:val="1"/>
        <w:tabs>
          <w:tab w:leader="none" w:pos="1276" w:val="left"/>
        </w:tabs>
        <w:spacing w:line="240" w:lineRule="auto"/>
        <w:ind/>
        <w:jc w:val="both"/>
        <w:rPr>
          <w:sz w:val="28"/>
        </w:rPr>
      </w:pPr>
      <w:r>
        <w:rPr>
          <w:color w:val="000000"/>
          <w:sz w:val="28"/>
        </w:rPr>
        <w:t xml:space="preserve">        3.3. </w:t>
      </w:r>
      <w:r>
        <w:rPr>
          <w:sz w:val="28"/>
        </w:rPr>
        <w:t>В пункт 6.2 Проекта контракта будут внесены изменения.</w:t>
      </w:r>
    </w:p>
    <w:p w14:paraId="39000000">
      <w:pPr>
        <w:widowControl w:val="1"/>
        <w:tabs>
          <w:tab w:leader="none" w:pos="1276" w:val="left"/>
        </w:tabs>
        <w:spacing w:line="240" w:lineRule="auto"/>
        <w:ind/>
        <w:jc w:val="both"/>
        <w:rPr>
          <w:sz w:val="28"/>
        </w:rPr>
      </w:pPr>
      <w:r>
        <w:rPr>
          <w:color w:val="000000"/>
          <w:sz w:val="28"/>
        </w:rPr>
        <w:t xml:space="preserve">        3.4. Изменения будут внесены Заказчиком, в срок, согласно действующего законодательства на территории РФ.</w:t>
      </w:r>
    </w:p>
    <w:p w14:paraId="3A000000">
      <w:pPr>
        <w:keepNext w:val="1"/>
        <w:keepLines w:val="1"/>
        <w:widowControl w:val="1"/>
        <w:spacing w:after="120" w:before="240" w:line="240" w:lineRule="auto"/>
        <w:ind/>
        <w:jc w:val="left"/>
        <w:rPr>
          <w:b w:val="1"/>
          <w:sz w:val="28"/>
        </w:rPr>
      </w:pPr>
      <w:r>
        <w:rPr>
          <w:rStyle w:val="Style_1_ch"/>
          <w:b w:val="1"/>
          <w:sz w:val="28"/>
        </w:rPr>
        <w:t>Вопрос четвертый. Количеств</w:t>
      </w:r>
      <w:r>
        <w:rPr>
          <w:rStyle w:val="Style_1_ch"/>
          <w:b w:val="1"/>
          <w:sz w:val="28"/>
        </w:rPr>
        <w:t>енные пределы обязательств исполнителя при твердой цене контракта</w:t>
      </w:r>
    </w:p>
    <w:p w14:paraId="3B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Описание объекта закупки в строке «Поддержка пользователей ПО МИС» устанавливает: «Усовершенствование Продукта, в соответствии с письменной задачей Пользователя, в рамках сопровождаемых сервисов и функциональных механизмов МИС, требующее внесение изменений в программный код. Объем изменений не превышать 100 строк программного кода.» и «Предоставление данных: Предоставление информации из базы данных МИС по запросу, в соответствии с письменной заявкой Пользователя.»</w:t>
      </w:r>
    </w:p>
    <w:p w14:paraId="3C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В строке «Поддержка интеграционных решений МИС» Описание объекта закупки устанавливает: «Актуализация интеграционного решения: Поддержка изменений интеграционного решения на основании предоставленного технического задания, в рамках эксплуатируемой версии интеграционного решения.» Строка «Протоколы интеграции, реализация взаимодействия с WEB-сервисами» содержит 33 наименования, начинающихся словами «Web-Сервис».</w:t>
      </w:r>
    </w:p>
    <w:p w14:paraId="3D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Обоснование НМЦК в графе наименования услуги указывает: «обновление МИС, связанная с поддержкой текущих требований информационного обмена в рамках региональных интеграционных сервисов ТФОМС, выполняется после передачи Исполнителю соответствующего технического задания со стороны Заказчика;» и «обновление МИС, связанная с изменением предметной области, появлением потребности в новых функциональных механизмах, учетной политики, выполняется по отдельному договору и техническому заданию Заказчика.»</w:t>
      </w:r>
    </w:p>
    <w:p w14:paraId="3E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6.3 проекта контракта устанавливает: «Цена контракта включает в себя все расходы Исполнителя, связанные с исполнением настоящего контракта, в том числе расходы Исполнителя прямо не предусмотренные, но которые могут возникнуть в ходе исполнения контракта.»</w:t>
      </w:r>
    </w:p>
    <w:p w14:paraId="3F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4.1. Прошу указать, к какой величине относится предел «100 строк программного кода»: к одной письменной задаче Пользователя, к календарному месяцу, к этапу исполнения контракта или ко всему сроку оказания услуг.</w:t>
      </w:r>
    </w:p>
    <w:p w14:paraId="40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4.2. Прошу указать числовое значение максимального количества письменных задач Пользователя на усовершенствование Продукта, подлежащих исполнению в пределах цены контракта за один этап.</w:t>
      </w:r>
    </w:p>
    <w:p w14:paraId="41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4.3. Прошу указать числовое значение максимального количества технических заданий на актуализацию интеграционных решений, подлежащих исполнению в пределах цены контракта за весь срок оказания услуг.</w:t>
      </w:r>
    </w:p>
    <w:p w14:paraId="42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4.4. Прошу указать числовое значение максимального количества письменных заявок Пользователя на предоставление информации из базы данных МИС, подлежащих исполнению в пределах цены контракта за календарный месяц.</w:t>
      </w:r>
    </w:p>
    <w:p w14:paraId="43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4.5. Прошу указать пункт Описания объекта закупки или проекта контракта, которым предусмотрено выполнение по отдельному договору обновления МИС в связи с изменением предметной области, появлением потребности в новых функциональных механизмах, учетной политики, как указано в Обосновании НМЦК.</w:t>
      </w:r>
    </w:p>
    <w:p w14:paraId="44000000">
      <w:pPr>
        <w:widowControl w:val="1"/>
        <w:tabs>
          <w:tab w:leader="none" w:pos="1276" w:val="left"/>
        </w:tabs>
        <w:spacing w:line="240" w:lineRule="auto"/>
        <w:ind w:left="720"/>
        <w:jc w:val="both"/>
        <w:rPr>
          <w:b w:val="1"/>
          <w:sz w:val="28"/>
        </w:rPr>
      </w:pPr>
      <w:r>
        <w:rPr>
          <w:b w:val="1"/>
          <w:color w:val="000000"/>
          <w:sz w:val="28"/>
        </w:rPr>
        <w:t xml:space="preserve"> Ответ на четвертый вопрос:</w:t>
      </w:r>
    </w:p>
    <w:p w14:paraId="45000000">
      <w:pPr>
        <w:widowControl w:val="1"/>
        <w:spacing w:after="12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4.1.</w:t>
      </w:r>
      <w:r>
        <w:rPr>
          <w:b w:val="1"/>
          <w:sz w:val="28"/>
        </w:rPr>
        <w:t xml:space="preserve">  </w:t>
      </w:r>
      <w:r>
        <w:rPr>
          <w:sz w:val="28"/>
        </w:rPr>
        <w:t xml:space="preserve">Предел «не превышать 100 строк программного кода» относится к объему изменений, выполняемых по одной письменной задаче Пользователя на </w:t>
      </w:r>
      <w:r>
        <w:rPr>
          <w:b w:val="0"/>
          <w:sz w:val="28"/>
        </w:rPr>
        <w:t>усовершенствование Продукта.</w:t>
      </w:r>
    </w:p>
    <w:p w14:paraId="46000000">
      <w:pPr>
        <w:widowControl w:val="1"/>
        <w:spacing w:after="120" w:line="240" w:lineRule="auto"/>
        <w:ind w:firstLine="709"/>
        <w:jc w:val="both"/>
        <w:rPr>
          <w:sz w:val="28"/>
        </w:rPr>
      </w:pPr>
      <w:r>
        <w:rPr>
          <w:b w:val="0"/>
          <w:sz w:val="28"/>
        </w:rPr>
        <w:t xml:space="preserve">4.2. </w:t>
      </w:r>
      <w:r>
        <w:rPr>
          <w:b w:val="1"/>
          <w:sz w:val="28"/>
        </w:rPr>
        <w:t xml:space="preserve"> </w:t>
      </w:r>
      <w:r>
        <w:rPr>
          <w:sz w:val="28"/>
        </w:rPr>
        <w:t>Числовое ограничение количества письменных задач Извещением не установлено. Услуги оказываются по мере возникновения потребности Заказчика в течение срока оказания услуг. Объем обязательств исполнителя при этом ограничен составом услуг, определенным Описанием объекта закупки.  Усовершенствования выполняются только в рамках сопровождаемых сервисов и функциональных механизмов МИС с ограничением объема изменений по одной задаче, указанным в ответе на вопрос 4.1.</w:t>
      </w:r>
    </w:p>
    <w:p w14:paraId="47000000">
      <w:pPr>
        <w:widowControl w:val="1"/>
        <w:spacing w:after="120" w:line="240" w:lineRule="auto"/>
        <w:ind w:firstLine="709"/>
        <w:jc w:val="both"/>
        <w:rPr>
          <w:sz w:val="28"/>
        </w:rPr>
      </w:pPr>
      <w:r>
        <w:rPr>
          <w:b w:val="0"/>
          <w:sz w:val="28"/>
        </w:rPr>
        <w:t>4.3.</w:t>
      </w:r>
      <w:r>
        <w:rPr>
          <w:b w:val="1"/>
          <w:sz w:val="28"/>
        </w:rPr>
        <w:t xml:space="preserve"> </w:t>
      </w:r>
      <w:r>
        <w:rPr>
          <w:sz w:val="28"/>
        </w:rPr>
        <w:t>Числовое ограничение количества технических заданий Извещением не установлено. Актуализация интеграционных решений выполняется по мере возникновения потребности Заказчика в рамках эксплуатируемой версии интеграционного решения и перечня сервисов, приведенного в Описании объекта закупки.</w:t>
      </w:r>
    </w:p>
    <w:p w14:paraId="48000000">
      <w:pPr>
        <w:widowControl w:val="1"/>
        <w:spacing w:after="120" w:line="240" w:lineRule="auto"/>
        <w:ind w:firstLine="709"/>
        <w:jc w:val="both"/>
        <w:rPr>
          <w:b w:val="0"/>
          <w:sz w:val="28"/>
        </w:rPr>
      </w:pPr>
      <w:r>
        <w:rPr>
          <w:b w:val="0"/>
          <w:sz w:val="28"/>
        </w:rPr>
        <w:t>4.4.</w:t>
      </w:r>
      <w:r>
        <w:rPr>
          <w:b w:val="1"/>
          <w:sz w:val="28"/>
        </w:rPr>
        <w:t xml:space="preserve"> </w:t>
      </w:r>
      <w:r>
        <w:rPr>
          <w:sz w:val="28"/>
        </w:rPr>
        <w:t>Числовое ограничение количества заявок на предоставление информации из базы данных МИС Извещением не установлено, услуга оказ</w:t>
      </w:r>
      <w:r>
        <w:rPr>
          <w:b w:val="0"/>
          <w:sz w:val="28"/>
        </w:rPr>
        <w:t>ывается по мере поступления письменных заявок Пользователя.</w:t>
      </w:r>
    </w:p>
    <w:p w14:paraId="49000000">
      <w:pPr>
        <w:widowControl w:val="1"/>
        <w:spacing w:line="240" w:lineRule="auto"/>
        <w:ind w:firstLine="0" w:left="0"/>
        <w:jc w:val="both"/>
        <w:rPr>
          <w:color w:val="FF0000"/>
          <w:sz w:val="28"/>
        </w:rPr>
      </w:pPr>
      <w:r>
        <w:rPr>
          <w:b w:val="0"/>
          <w:sz w:val="28"/>
        </w:rPr>
        <w:t xml:space="preserve">         4.5.</w:t>
      </w:r>
      <w:r>
        <w:rPr>
          <w:b w:val="1"/>
          <w:sz w:val="28"/>
        </w:rPr>
        <w:t xml:space="preserve"> </w:t>
      </w:r>
      <w:r>
        <w:rPr>
          <w:sz w:val="28"/>
        </w:rPr>
        <w:t xml:space="preserve">Такой пункт в Описании объекта закупки и проекте контракта отсутствует, поскольку указанные работы в объект настоящей закупки не входят. Приведенное положение Обоснования НМЦК </w:t>
      </w:r>
      <w:r>
        <w:rPr>
          <w:b w:val="1"/>
          <w:sz w:val="28"/>
        </w:rPr>
        <w:t>описывает границы состава услуг,</w:t>
      </w:r>
      <w:r>
        <w:rPr>
          <w:sz w:val="28"/>
        </w:rPr>
        <w:t xml:space="preserve"> </w:t>
      </w:r>
      <w:r>
        <w:rPr>
          <w:b w:val="1"/>
          <w:sz w:val="28"/>
        </w:rPr>
        <w:t>учтенных при формировании начальной (максимальной) цены контракта.</w:t>
      </w:r>
      <w:r>
        <w:rPr>
          <w:sz w:val="28"/>
        </w:rPr>
        <w:t xml:space="preserve"> Обоснование НМЦК частью проекта контракта не является, объем обязательств исполнителя определяется Описанием объекта закупки и контрактом</w:t>
      </w:r>
    </w:p>
    <w:p w14:paraId="4A000000">
      <w:pPr>
        <w:keepNext w:val="1"/>
        <w:keepLines w:val="1"/>
        <w:widowControl w:val="1"/>
        <w:spacing w:after="120" w:before="240" w:line="240" w:lineRule="auto"/>
        <w:ind/>
        <w:jc w:val="both"/>
        <w:rPr>
          <w:b w:val="1"/>
          <w:sz w:val="28"/>
        </w:rPr>
      </w:pPr>
      <w:r>
        <w:rPr>
          <w:rStyle w:val="Style_1_ch"/>
          <w:b w:val="1"/>
          <w:sz w:val="28"/>
        </w:rPr>
        <w:t>Вопрос пятый. Ограничение участия субъектами малого предпринимательства и размер штрафа для исполнителя</w:t>
      </w:r>
    </w:p>
    <w:p w14:paraId="4B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8.4 проекта контракта устанавливает: «За каждый факт неисполнения или ненадлежащего исполнения Исполнителем обязательств, предусмотренных контрактом, заключенным по результатам определения Исполнителя в соответствии с пунктом 1 части 1 статьи 30 Федерального закона № 44-ФЗ за исключением просрочки исполнения обязательств (в том числе гарантийного обязательства), предусмотренных Контрактом, а также случаев, предусмотренных пунктами 6.4, 6.5 Контракта) взыскивается штраф в размере 1 процента цены Контракта (этапа), но не более 5 тыс. рублей и не менее 1 тыс. рублей.»</w:t>
      </w:r>
    </w:p>
    <w:p w14:paraId="4C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Иного размера штрафа за неисполнение или ненадлежащее исполнение исполнителем обязательств, имеющих стоимостное выражение, проект контракта не содержит. Пункт 6.4 проекта контракта устанавливает «Источник финансирования», пункт 6.5 устанавливает порядок и срок оплаты Заказчиком оказанных услуг. Требования к заявке не содержат указания на часть 3 статьи 30 Закона № 44-ФЗ.</w:t>
      </w:r>
    </w:p>
    <w:p w14:paraId="4D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5.1. Прошу указать, установлено ли в Извещении ограничение в соответствии с частью 3 статьи 30 Закона № 44-ФЗ, в силу которого участниками закупки могут быть только субъекты малого предпринимательства и социально ориентированные некоммерческие организации.</w:t>
      </w:r>
    </w:p>
    <w:p w14:paraId="4E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5.2. Если указанное ограничение не установлено, прошу указать размер штрафа (в процентах цены контракта) за неисполнение или ненадлежащее исполнение исполнителем обязательств, предусмотренных контрактом, за исключением просрочки исполнения обязательств, и пункт Правил, утвержденных постановлением Правительства Российской Федерации от 30.08.2017 № 1042, на основании которого этот размер установлен.</w:t>
      </w:r>
    </w:p>
    <w:p w14:paraId="4F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5.3. Прошу указать, какие обязательства исполнителя установлены пунктами 6.4 и 6.5 проекта контракта, на которые пункт 8.4 проекта контракта ссылается как на случаи, исключающие применение штрафа.</w:t>
      </w:r>
    </w:p>
    <w:p w14:paraId="50000000">
      <w:pPr>
        <w:widowControl w:val="1"/>
        <w:spacing w:line="240" w:lineRule="auto"/>
        <w:ind w:left="720"/>
        <w:jc w:val="both"/>
        <w:rPr>
          <w:b w:val="1"/>
          <w:color w:val="000000"/>
          <w:sz w:val="28"/>
        </w:rPr>
      </w:pPr>
      <w:r>
        <w:rPr>
          <w:b w:val="1"/>
          <w:color w:val="000000"/>
          <w:sz w:val="28"/>
        </w:rPr>
        <w:t>Ответ на пятый вопрос:</w:t>
      </w:r>
    </w:p>
    <w:p w14:paraId="51000000">
      <w:pPr>
        <w:widowControl w:val="1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        5.1. В извещении установлено </w:t>
      </w:r>
      <w:r>
        <w:rPr>
          <w:b w:val="1"/>
          <w:sz w:val="28"/>
        </w:rPr>
        <w:t>преимущество</w:t>
      </w:r>
      <w:r>
        <w:rPr>
          <w:sz w:val="28"/>
        </w:rPr>
        <w:t xml:space="preserve"> </w:t>
      </w:r>
      <w:r>
        <w:rPr>
          <w:rStyle w:val="Style_1_ch"/>
          <w:sz w:val="28"/>
        </w:rPr>
        <w:t xml:space="preserve"> в соответствии с частью 3 статьи 30 Закона № 44-ФЗ, в силу которого участниками закупки могут быть только субъекты малого предпринимательства и социально ориентированные некоммерческие организации.</w:t>
      </w:r>
    </w:p>
    <w:p w14:paraId="52000000">
      <w:pPr>
        <w:widowControl w:val="1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        5.2. </w:t>
      </w:r>
      <w:r>
        <w:rPr>
          <w:b w:val="1"/>
          <w:sz w:val="28"/>
        </w:rPr>
        <w:t>Преимущество</w:t>
      </w:r>
      <w:r>
        <w:rPr>
          <w:sz w:val="28"/>
        </w:rPr>
        <w:t xml:space="preserve"> </w:t>
      </w:r>
      <w:r>
        <w:rPr>
          <w:rStyle w:val="Style_1_ch"/>
          <w:sz w:val="28"/>
        </w:rPr>
        <w:t>в соответствии с частью 3 статьи 30 Закона № 44-ФЗ</w:t>
      </w:r>
      <w:r>
        <w:rPr>
          <w:sz w:val="28"/>
        </w:rPr>
        <w:t xml:space="preserve">  Заказчиком в извещении  установлено.</w:t>
      </w:r>
    </w:p>
    <w:p w14:paraId="53000000">
      <w:pPr>
        <w:widowControl w:val="1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        5.3. Заказчиком будут внесены изменения.</w:t>
      </w:r>
    </w:p>
    <w:p w14:paraId="54000000">
      <w:pPr>
        <w:widowControl w:val="1"/>
        <w:spacing w:line="240" w:lineRule="auto"/>
        <w:ind/>
        <w:jc w:val="both"/>
        <w:rPr>
          <w:sz w:val="28"/>
        </w:rPr>
      </w:pPr>
      <w:r>
        <w:rPr>
          <w:rStyle w:val="Style_1_ch"/>
          <w:sz w:val="28"/>
        </w:rPr>
        <w:t xml:space="preserve"> </w:t>
      </w:r>
    </w:p>
    <w:p w14:paraId="55000000">
      <w:pPr>
        <w:widowControl w:val="1"/>
        <w:spacing w:line="240" w:lineRule="auto"/>
        <w:ind/>
        <w:jc w:val="both"/>
        <w:rPr>
          <w:b w:val="1"/>
          <w:sz w:val="28"/>
        </w:rPr>
      </w:pPr>
      <w:r>
        <w:rPr>
          <w:rStyle w:val="Style_1_ch"/>
          <w:b w:val="1"/>
          <w:sz w:val="28"/>
        </w:rPr>
        <w:t>Вопрос шестой. Место оказания услуг и реквизиты для внесения обеспечения исполнения контракта</w:t>
      </w:r>
    </w:p>
    <w:p w14:paraId="56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4.3 проекта контракта устанавливает: «Место оказания услуг: оказание услуг осуществляется Исполнителем по адресу: 353915 РФ, Краснодарский край, Ленинградский район, ст. Ленинградская, ул. 302 Дивизии, 24». Раздел «Адреса и банковские реквизиты Сторон» проекта контракта указывает адрес Заказчика: «353740, Краснодарский край, ст. Ленинградская, ул. 302 Дивизии, 24».</w:t>
      </w:r>
    </w:p>
    <w:p w14:paraId="57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Пункт 7.1 проекта контракта в платежных реквизитах для внесения денежных средств в качестве обеспечения исполнения контракта указывает «л/с 828.52.771.0». Раздел «Адреса и банковские реквизиты Сторон» проекта контракта при том же получателе «Минфин КК (ГБУЗ «Ленинградская ЦРБ» МЗ КК)» и том же казначейском счете 03224643030000001800 указывает «Лицевой счет 828.54.771.0».</w:t>
      </w:r>
    </w:p>
    <w:p w14:paraId="58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6.1. Прошу указать почтовый индекс места оказания услуг: 353915 (пункт 4.3 проекта контракта) или 353740 (раздел «Адреса и банковские реквизиты Сторон»).</w:t>
      </w:r>
    </w:p>
    <w:p w14:paraId="59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6.2. Прошу указать номер лицевого счета, на который вносятся денежные средства в качестве обеспечения исполнения контракта: 828.52.771.0 (пункт 7.1 проекта контракта) или 828.54.771.0 (раздел «Адреса и банковские реквизиты Сторон»).</w:t>
      </w:r>
    </w:p>
    <w:p w14:paraId="5A000000">
      <w:pPr>
        <w:widowControl w:val="1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</w:t>
      </w:r>
      <w:r>
        <w:rPr>
          <w:b w:val="1"/>
          <w:sz w:val="28"/>
        </w:rPr>
        <w:t>Ответ на шестой вопрос:</w:t>
      </w:r>
    </w:p>
    <w:p w14:paraId="5B000000">
      <w:pPr>
        <w:widowControl w:val="1"/>
        <w:spacing w:line="240" w:lineRule="auto"/>
        <w:ind/>
        <w:jc w:val="both"/>
        <w:rPr>
          <w:sz w:val="28"/>
        </w:rPr>
      </w:pPr>
      <w:r>
        <w:rPr>
          <w:sz w:val="28"/>
        </w:rPr>
        <w:t xml:space="preserve">          6.1. </w:t>
      </w:r>
      <w:r>
        <w:rPr>
          <w:sz w:val="28"/>
        </w:rPr>
        <w:t>В п. 4.3 Проекта контракта будут внесены изменения, а именно: «Место оказания услуг: оказание услуг осуществляется Исполнителем по адресу: 353740 РФ, Краснодарский край, Ленинградский район, ст. Ленинградская, ул. 302 Дивизии, 24»</w:t>
      </w:r>
    </w:p>
    <w:p w14:paraId="5C000000">
      <w:pPr>
        <w:widowControl w:val="1"/>
        <w:spacing w:line="240" w:lineRule="auto"/>
        <w:ind w:firstLine="0" w:left="0"/>
        <w:jc w:val="both"/>
        <w:rPr>
          <w:sz w:val="28"/>
        </w:rPr>
      </w:pPr>
      <w:r>
        <w:rPr>
          <w:sz w:val="28"/>
        </w:rPr>
        <w:t xml:space="preserve">         6.2.  Денежные средства в качестве обеспечения вносятся по реквизитам, указанным в п. 7.1 Проекта контракта, а именно:</w:t>
      </w:r>
    </w:p>
    <w:p w14:paraId="5D000000">
      <w:pPr>
        <w:widowControl w:val="1"/>
        <w:tabs>
          <w:tab w:leader="none" w:pos="10308" w:val="left"/>
        </w:tabs>
        <w:spacing w:line="240" w:lineRule="auto"/>
        <w:ind/>
        <w:rPr>
          <w:b w:val="1"/>
          <w:sz w:val="28"/>
        </w:rPr>
      </w:pPr>
      <w:r>
        <w:rPr>
          <w:b w:val="1"/>
          <w:sz w:val="28"/>
        </w:rPr>
        <w:t>л/с 828.52.771.0</w:t>
      </w:r>
    </w:p>
    <w:p w14:paraId="5E000000">
      <w:pPr>
        <w:widowControl w:val="1"/>
        <w:tabs>
          <w:tab w:leader="none" w:pos="10308" w:val="left"/>
        </w:tabs>
        <w:spacing w:line="240" w:lineRule="auto"/>
        <w:ind/>
        <w:rPr>
          <w:sz w:val="28"/>
        </w:rPr>
      </w:pPr>
      <w:r>
        <w:rPr>
          <w:sz w:val="28"/>
        </w:rPr>
        <w:t>Банк получателя: ОКЦ №1 ЮГУ Банка России // УФК по Краснодарскому краю  г. Краснодар</w:t>
      </w:r>
    </w:p>
    <w:p w14:paraId="5F000000">
      <w:pPr>
        <w:widowControl w:val="1"/>
        <w:tabs>
          <w:tab w:leader="none" w:pos="10308" w:val="left"/>
        </w:tabs>
        <w:spacing w:line="240" w:lineRule="auto"/>
        <w:ind/>
        <w:rPr>
          <w:sz w:val="28"/>
        </w:rPr>
      </w:pPr>
      <w:r>
        <w:rPr>
          <w:sz w:val="28"/>
        </w:rPr>
        <w:t>Счет получателя/р/счет (казначейский счет): 03224643030000001800</w:t>
      </w:r>
    </w:p>
    <w:p w14:paraId="60000000">
      <w:pPr>
        <w:widowControl w:val="1"/>
        <w:tabs>
          <w:tab w:leader="none" w:pos="10308" w:val="left"/>
        </w:tabs>
        <w:spacing w:line="240" w:lineRule="auto"/>
        <w:ind/>
        <w:rPr>
          <w:sz w:val="28"/>
        </w:rPr>
      </w:pPr>
      <w:r>
        <w:rPr>
          <w:sz w:val="28"/>
        </w:rPr>
        <w:t>Счет банка (единый казначейский счет): 40102810945370000010</w:t>
      </w:r>
    </w:p>
    <w:p w14:paraId="61000000">
      <w:pPr>
        <w:widowControl w:val="1"/>
        <w:tabs>
          <w:tab w:leader="none" w:pos="10308" w:val="left"/>
        </w:tabs>
        <w:spacing w:line="240" w:lineRule="auto"/>
        <w:ind/>
        <w:rPr>
          <w:sz w:val="28"/>
        </w:rPr>
      </w:pPr>
      <w:r>
        <w:rPr>
          <w:sz w:val="28"/>
        </w:rPr>
        <w:t>БИК ТОФК 010349001</w:t>
      </w:r>
    </w:p>
    <w:p w14:paraId="62000000">
      <w:pPr>
        <w:widowControl w:val="1"/>
        <w:tabs>
          <w:tab w:leader="none" w:pos="10308" w:val="left"/>
        </w:tabs>
        <w:spacing w:line="240" w:lineRule="auto"/>
        <w:ind/>
        <w:rPr>
          <w:sz w:val="28"/>
        </w:rPr>
      </w:pPr>
      <w:r>
        <w:rPr>
          <w:sz w:val="28"/>
        </w:rPr>
        <w:t>ИНН 2341003774</w:t>
      </w:r>
    </w:p>
    <w:p w14:paraId="63000000">
      <w:pPr>
        <w:widowControl w:val="1"/>
        <w:tabs>
          <w:tab w:leader="none" w:pos="10308" w:val="left"/>
        </w:tabs>
        <w:spacing w:line="240" w:lineRule="auto"/>
        <w:ind/>
        <w:rPr>
          <w:sz w:val="28"/>
        </w:rPr>
      </w:pPr>
      <w:r>
        <w:rPr>
          <w:sz w:val="28"/>
        </w:rPr>
        <w:t>КПП 234101001</w:t>
      </w:r>
    </w:p>
    <w:p w14:paraId="64000000">
      <w:pPr>
        <w:widowControl w:val="1"/>
        <w:spacing w:line="240" w:lineRule="auto"/>
        <w:ind/>
        <w:rPr>
          <w:sz w:val="28"/>
        </w:rPr>
      </w:pPr>
      <w:r>
        <w:rPr>
          <w:sz w:val="28"/>
        </w:rPr>
        <w:t>КБК 82800000000000000510</w:t>
      </w:r>
    </w:p>
    <w:p w14:paraId="65000000">
      <w:pPr>
        <w:widowControl w:val="1"/>
        <w:spacing w:line="240" w:lineRule="auto"/>
        <w:ind/>
        <w:rPr>
          <w:sz w:val="28"/>
        </w:rPr>
      </w:pPr>
      <w:r>
        <w:rPr>
          <w:sz w:val="28"/>
        </w:rPr>
        <w:t>Тип средств 35.00.00</w:t>
      </w:r>
    </w:p>
    <w:p w14:paraId="66000000">
      <w:pPr>
        <w:widowControl w:val="1"/>
        <w:spacing w:line="240" w:lineRule="auto"/>
        <w:ind/>
        <w:rPr>
          <w:sz w:val="28"/>
        </w:rPr>
      </w:pPr>
      <w:r>
        <w:rPr>
          <w:sz w:val="28"/>
        </w:rPr>
        <w:t>КОСГУ 510</w:t>
      </w:r>
    </w:p>
    <w:p w14:paraId="67000000">
      <w:pPr>
        <w:widowControl w:val="1"/>
        <w:spacing w:after="12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>Указание разных лицевых счетов противоречием не является, счета имеют разное назначение. Денежные средства в качестве обеспечения исполнения контракта вносятся по реквизитам, указанным в пункте 7.1 прое</w:t>
      </w:r>
      <w:bookmarkStart w:id="1" w:name="_GoBack"/>
      <w:bookmarkEnd w:id="1"/>
      <w:r>
        <w:rPr>
          <w:sz w:val="28"/>
        </w:rPr>
        <w:t>кта контракта, - на лицевой счет</w:t>
      </w:r>
      <w:r>
        <w:rPr>
          <w:b w:val="1"/>
          <w:sz w:val="28"/>
        </w:rPr>
        <w:t xml:space="preserve"> 828.52.771.0</w:t>
      </w:r>
      <w:r>
        <w:rPr>
          <w:sz w:val="28"/>
        </w:rPr>
        <w:t xml:space="preserve"> (счет для учета средств, поступающих во временное распоряжение). Лицевой счет</w:t>
      </w:r>
      <w:r>
        <w:rPr>
          <w:b w:val="1"/>
          <w:sz w:val="28"/>
        </w:rPr>
        <w:t xml:space="preserve"> 828.54.771.0</w:t>
      </w:r>
      <w:r>
        <w:rPr>
          <w:sz w:val="28"/>
        </w:rPr>
        <w:t>, указанный в разделе «Адреса и банковские реквизиты Сторон», использу</w:t>
      </w:r>
      <w:r>
        <w:rPr>
          <w:sz w:val="28"/>
        </w:rPr>
        <w:t>ется для расчетов по контракту.</w:t>
      </w:r>
    </w:p>
    <w:p w14:paraId="68000000">
      <w:pPr>
        <w:widowControl w:val="1"/>
        <w:ind/>
        <w:jc w:val="both"/>
        <w:rPr>
          <w:color w:val="000000"/>
          <w:spacing w:val="2"/>
          <w:sz w:val="20"/>
        </w:rPr>
      </w:pPr>
      <w:r>
        <w:rPr>
          <w:color w:val="000000"/>
          <w:spacing w:val="2"/>
          <w:sz w:val="20"/>
        </w:rPr>
        <w:t>.</w:t>
      </w:r>
    </w:p>
    <w:p w14:paraId="69000000">
      <w:pPr>
        <w:keepNext w:val="1"/>
        <w:keepLines w:val="1"/>
        <w:widowControl w:val="1"/>
        <w:spacing w:after="120" w:before="240" w:line="240" w:lineRule="auto"/>
        <w:ind/>
        <w:jc w:val="left"/>
        <w:rPr>
          <w:sz w:val="28"/>
        </w:rPr>
      </w:pPr>
      <w:r>
        <w:rPr>
          <w:rStyle w:val="Style_1_ch"/>
          <w:sz w:val="28"/>
        </w:rPr>
        <w:t>Заключительные положения</w:t>
      </w:r>
    </w:p>
    <w:p w14:paraId="6A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Настоящий запрос направлен участником закупки до истечения срока, установленного частью 4 статьи 42 Закона № 44-ФЗ.</w:t>
      </w:r>
    </w:p>
    <w:p w14:paraId="6B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Прошу разместить разъяснения положений Извещения в ЕИС в срок, установленный частью 5 статьи 42 Закона № 44-ФЗ, с указанием предмета запроса и без указания участника закупки, от которого поступил запрос.</w:t>
      </w:r>
    </w:p>
    <w:p w14:paraId="6C000000">
      <w:pPr>
        <w:widowControl w:val="1"/>
        <w:spacing w:after="100" w:before="0" w:line="240" w:lineRule="auto"/>
        <w:ind w:firstLine="709"/>
        <w:jc w:val="both"/>
        <w:rPr>
          <w:sz w:val="28"/>
        </w:rPr>
      </w:pPr>
      <w:r>
        <w:rPr>
          <w:rStyle w:val="Style_1_ch"/>
          <w:sz w:val="28"/>
        </w:rPr>
        <w:t>Прошу дать ответ отдельно по каждому вопросу в нумерации настоящего запроса.</w:t>
      </w:r>
    </w:p>
    <w:p w14:paraId="6D000000">
      <w:pPr>
        <w:rPr>
          <w:sz w:val="20"/>
        </w:rPr>
      </w:pPr>
    </w:p>
    <w:p w14:paraId="6E000000">
      <w:pPr>
        <w:rPr>
          <w:sz w:val="28"/>
        </w:rPr>
      </w:pPr>
      <w:r>
        <w:rPr>
          <w:rStyle w:val="Style_1_ch"/>
          <w:sz w:val="28"/>
        </w:rPr>
        <w:t>Ответы указаны</w:t>
      </w:r>
      <w:r>
        <w:rPr>
          <w:sz w:val="20"/>
        </w:rPr>
        <w:t xml:space="preserve"> </w:t>
      </w:r>
      <w:r>
        <w:rPr>
          <w:rStyle w:val="Style_1_ch"/>
          <w:sz w:val="28"/>
        </w:rPr>
        <w:t>по каждому вопросу в нумерации настоящего запроса.</w:t>
      </w:r>
    </w:p>
    <w:p w14:paraId="6F000000">
      <w:pPr>
        <w:rPr>
          <w:sz w:val="20"/>
        </w:rPr>
      </w:pPr>
    </w:p>
    <w:p w14:paraId="70000000">
      <w:pPr>
        <w:rPr>
          <w:sz w:val="20"/>
        </w:rPr>
      </w:pPr>
    </w:p>
    <w:p w14:paraId="71000000">
      <w:pPr>
        <w:rPr>
          <w:color w:val="000000"/>
          <w:sz w:val="20"/>
        </w:rPr>
      </w:pPr>
    </w:p>
    <w:sectPr>
      <w:pgSz w:h="16838" w:orient="portrait" w:w="11906"/>
      <w:pgMar w:bottom="568" w:footer="709" w:gutter="0" w:header="709" w:left="1276" w:right="56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sz w:val="25"/>
    </w:rPr>
  </w:style>
  <w:style w:default="1" w:styleId="Style_1_ch" w:type="character">
    <w:name w:val="Normal"/>
    <w:link w:val="Style_1"/>
    <w:rPr>
      <w:sz w:val="25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basedOn w:val="Style_1"/>
    <w:next w:val="Style_1"/>
    <w:link w:val="Style_7_ch"/>
    <w:uiPriority w:val="9"/>
    <w:qFormat/>
    <w:pPr>
      <w:keepNext w:val="1"/>
      <w:widowControl w:val="1"/>
      <w:spacing w:after="60" w:before="240"/>
      <w:ind/>
      <w:outlineLvl w:val="2"/>
    </w:pPr>
    <w:rPr>
      <w:rFonts w:ascii="Cambria" w:hAnsi="Cambria"/>
      <w:b w:val="1"/>
      <w:sz w:val="26"/>
    </w:rPr>
  </w:style>
  <w:style w:styleId="Style_7_ch" w:type="character">
    <w:name w:val="heading 3"/>
    <w:basedOn w:val="Style_1_ch"/>
    <w:link w:val="Style_7"/>
    <w:rPr>
      <w:rFonts w:ascii="Cambria" w:hAnsi="Cambria"/>
      <w:b w:val="1"/>
      <w:sz w:val="26"/>
    </w:rPr>
  </w:style>
  <w:style w:styleId="Style_8" w:type="paragraph">
    <w:name w:val="List Paragraph"/>
    <w:basedOn w:val="Style_1"/>
    <w:link w:val="Style_8_ch"/>
    <w:pPr>
      <w:widowControl w:val="0"/>
      <w:spacing w:before="36"/>
      <w:ind w:hanging="182" w:left="741"/>
    </w:pPr>
    <w:rPr>
      <w:rFonts w:ascii="Trebuchet MS" w:hAnsi="Trebuchet MS"/>
      <w:sz w:val="22"/>
    </w:rPr>
  </w:style>
  <w:style w:styleId="Style_8_ch" w:type="character">
    <w:name w:val="List Paragraph"/>
    <w:basedOn w:val="Style_1_ch"/>
    <w:link w:val="Style_8"/>
    <w:rPr>
      <w:rFonts w:ascii="Trebuchet MS" w:hAnsi="Trebuchet MS"/>
      <w:sz w:val="22"/>
    </w:rPr>
  </w:style>
  <w:style w:styleId="Style_9" w:type="paragraph">
    <w:name w:val="FollowedHyperlink"/>
    <w:link w:val="Style_9_ch"/>
    <w:rPr>
      <w:color w:val="954F72"/>
      <w:u w:val="single"/>
    </w:rPr>
  </w:style>
  <w:style w:styleId="Style_9_ch" w:type="character">
    <w:name w:val="FollowedHyperlink"/>
    <w:link w:val="Style_9"/>
    <w:rPr>
      <w:color w:val="954F72"/>
      <w:u w:val="single"/>
    </w:rPr>
  </w:style>
  <w:style w:styleId="Style_10" w:type="paragraph">
    <w:name w:val="Body Text"/>
    <w:basedOn w:val="Style_1"/>
    <w:link w:val="Style_10_ch"/>
    <w:pPr>
      <w:widowControl w:val="1"/>
      <w:ind/>
      <w:jc w:val="center"/>
    </w:pPr>
    <w:rPr>
      <w:b w:val="1"/>
      <w:caps w:val="1"/>
      <w:sz w:val="28"/>
    </w:rPr>
  </w:style>
  <w:style w:styleId="Style_10_ch" w:type="character">
    <w:name w:val="Body Text"/>
    <w:basedOn w:val="Style_1_ch"/>
    <w:link w:val="Style_10"/>
    <w:rPr>
      <w:b w:val="1"/>
      <w:caps w:val="1"/>
      <w:sz w:val="28"/>
    </w:rPr>
  </w:style>
  <w:style w:styleId="Style_11" w:type="paragraph">
    <w:name w:val="4. Текст"/>
    <w:basedOn w:val="Style_12"/>
    <w:link w:val="Style_11_ch"/>
    <w:pPr>
      <w:widowControl w:val="0"/>
      <w:spacing w:after="60" w:before="60" w:line="288" w:lineRule="auto"/>
      <w:ind/>
      <w:jc w:val="both"/>
    </w:pPr>
    <w:rPr>
      <w:color w:val="000000"/>
      <w:spacing w:val="2"/>
      <w:sz w:val="24"/>
    </w:rPr>
  </w:style>
  <w:style w:styleId="Style_11_ch" w:type="character">
    <w:name w:val="4. Текст"/>
    <w:basedOn w:val="Style_12_ch"/>
    <w:link w:val="Style_11"/>
    <w:rPr>
      <w:color w:val="000000"/>
      <w:spacing w:val="2"/>
      <w:sz w:val="24"/>
    </w:rPr>
  </w:style>
  <w:style w:styleId="Style_13" w:type="paragraph">
    <w:name w:val="Emphasis"/>
    <w:link w:val="Style_13_ch"/>
    <w:rPr>
      <w:i w:val="1"/>
    </w:rPr>
  </w:style>
  <w:style w:styleId="Style_13_ch" w:type="character">
    <w:name w:val="Emphasis"/>
    <w:link w:val="Style_13"/>
    <w:rPr>
      <w:i w:val="1"/>
    </w:rPr>
  </w:style>
  <w:style w:styleId="Style_14" w:type="paragraph">
    <w:name w:val="Balloon Text"/>
    <w:basedOn w:val="Style_1"/>
    <w:link w:val="Style_14_ch"/>
    <w:rPr>
      <w:rFonts w:ascii="Tahoma" w:hAnsi="Tahoma"/>
      <w:sz w:val="16"/>
    </w:rPr>
  </w:style>
  <w:style w:styleId="Style_14_ch" w:type="character">
    <w:name w:val="Balloon Text"/>
    <w:basedOn w:val="Style_1_ch"/>
    <w:link w:val="Style_14"/>
    <w:rPr>
      <w:rFonts w:ascii="Tahoma" w:hAnsi="Tahoma"/>
      <w:sz w:val="16"/>
    </w:rPr>
  </w:style>
  <w:style w:styleId="Style_15" w:type="paragraph">
    <w:name w:val="toc 3"/>
    <w:next w:val="Style_1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modificationinforenovation__optionvalue-m7uiw"/>
    <w:basedOn w:val="Style_17"/>
    <w:link w:val="Style_16_ch"/>
  </w:style>
  <w:style w:styleId="Style_16_ch" w:type="character">
    <w:name w:val="modificationinforenovation__optionvalue-m7uiw"/>
    <w:basedOn w:val="Style_17_ch"/>
    <w:link w:val="Style_16"/>
  </w:style>
  <w:style w:styleId="Style_18" w:type="paragraph">
    <w:name w:val="Table Paragraph"/>
    <w:basedOn w:val="Style_1"/>
    <w:link w:val="Style_18_ch"/>
    <w:pPr>
      <w:widowControl w:val="0"/>
      <w:spacing w:before="61"/>
      <w:ind/>
    </w:pPr>
    <w:rPr>
      <w:rFonts w:ascii="Trebuchet MS" w:hAnsi="Trebuchet MS"/>
      <w:sz w:val="22"/>
    </w:rPr>
  </w:style>
  <w:style w:styleId="Style_18_ch" w:type="character">
    <w:name w:val="Table Paragraph"/>
    <w:basedOn w:val="Style_1_ch"/>
    <w:link w:val="Style_18"/>
    <w:rPr>
      <w:rFonts w:ascii="Trebuchet MS" w:hAnsi="Trebuchet MS"/>
      <w:sz w:val="22"/>
    </w:rPr>
  </w:style>
  <w:style w:styleId="Style_19" w:type="paragraph">
    <w:name w:val="Table Contents"/>
    <w:basedOn w:val="Style_1"/>
    <w:link w:val="Style_19_ch"/>
    <w:rPr>
      <w:rFonts w:ascii="Liberation Serif" w:hAnsi="Liberation Serif"/>
      <w:sz w:val="24"/>
    </w:rPr>
  </w:style>
  <w:style w:styleId="Style_19_ch" w:type="character">
    <w:name w:val="Table Contents"/>
    <w:basedOn w:val="Style_1_ch"/>
    <w:link w:val="Style_19"/>
    <w:rPr>
      <w:rFonts w:ascii="Liberation Serif" w:hAnsi="Liberation Serif"/>
      <w:sz w:val="24"/>
    </w:rPr>
  </w:style>
  <w:style w:styleId="Style_20" w:type="paragraph">
    <w:name w:val="Гипертекстовая ссылка"/>
    <w:basedOn w:val="Style_1"/>
    <w:link w:val="Style_20_ch"/>
    <w:rPr>
      <w:color w:val="106BBE"/>
      <w:sz w:val="20"/>
    </w:rPr>
  </w:style>
  <w:style w:styleId="Style_20_ch" w:type="character">
    <w:name w:val="Гипертекстовая ссылка"/>
    <w:basedOn w:val="Style_1_ch"/>
    <w:link w:val="Style_20"/>
    <w:rPr>
      <w:color w:val="106BBE"/>
      <w:sz w:val="20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1" w:type="paragraph">
    <w:name w:val="Strong"/>
    <w:link w:val="Style_21_ch"/>
    <w:rPr>
      <w:b w:val="1"/>
    </w:rPr>
  </w:style>
  <w:style w:styleId="Style_21_ch" w:type="character">
    <w:name w:val="Strong"/>
    <w:link w:val="Style_21"/>
    <w:rPr>
      <w:b w:val="1"/>
    </w:rPr>
  </w:style>
  <w:style w:styleId="Style_22" w:type="paragraph">
    <w:name w:val="modificationinforenovation__optionname-der3e"/>
    <w:basedOn w:val="Style_17"/>
    <w:link w:val="Style_22_ch"/>
  </w:style>
  <w:style w:styleId="Style_22_ch" w:type="character">
    <w:name w:val="modificationinforenovation__optionname-der3e"/>
    <w:basedOn w:val="Style_17_ch"/>
    <w:link w:val="Style_22"/>
  </w:style>
  <w:style w:styleId="Style_23" w:type="paragraph">
    <w:name w:val="heading 5"/>
    <w:next w:val="Style_1"/>
    <w:link w:val="Style_2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basedOn w:val="Style_1"/>
    <w:next w:val="Style_1"/>
    <w:link w:val="Style_24_ch"/>
    <w:uiPriority w:val="9"/>
    <w:qFormat/>
    <w:pPr>
      <w:keepNext w:val="1"/>
      <w:widowControl w:val="1"/>
      <w:tabs>
        <w:tab w:leader="none" w:pos="7655" w:val="left"/>
      </w:tabs>
      <w:ind/>
      <w:jc w:val="center"/>
      <w:outlineLvl w:val="0"/>
    </w:pPr>
    <w:rPr>
      <w:b w:val="1"/>
      <w:sz w:val="28"/>
    </w:rPr>
  </w:style>
  <w:style w:styleId="Style_24_ch" w:type="character">
    <w:name w:val="heading 1"/>
    <w:basedOn w:val="Style_1_ch"/>
    <w:link w:val="Style_24"/>
    <w:rPr>
      <w:b w:val="1"/>
      <w:sz w:val="28"/>
    </w:rPr>
  </w:style>
  <w:style w:styleId="Style_25" w:type="paragraph">
    <w:name w:val="annotation reference"/>
    <w:link w:val="Style_25_ch"/>
    <w:rPr>
      <w:sz w:val="16"/>
    </w:rPr>
  </w:style>
  <w:style w:styleId="Style_25_ch" w:type="character">
    <w:name w:val="annotation reference"/>
    <w:link w:val="Style_25"/>
    <w:rPr>
      <w:sz w:val="16"/>
    </w:rPr>
  </w:style>
  <w:style w:styleId="Style_26" w:type="paragraph">
    <w:name w:val="Hyperlink"/>
    <w:link w:val="Style_26_ch"/>
    <w:rPr>
      <w:color w:val="0000FF"/>
      <w:u w:val="single"/>
    </w:rPr>
  </w:style>
  <w:style w:styleId="Style_26_ch" w:type="character">
    <w:name w:val="Hyperlink"/>
    <w:link w:val="Style_26"/>
    <w:rPr>
      <w:color w:val="0000FF"/>
      <w:u w:val="single"/>
    </w:rPr>
  </w:style>
  <w:style w:styleId="Style_27" w:type="paragraph">
    <w:name w:val="Footnote"/>
    <w:link w:val="Style_2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7_ch" w:type="character">
    <w:name w:val="Footnote"/>
    <w:link w:val="Style_27"/>
    <w:rPr>
      <w:rFonts w:ascii="XO Thames" w:hAnsi="XO Thames"/>
      <w:sz w:val="22"/>
    </w:rPr>
  </w:style>
  <w:style w:styleId="Style_28" w:type="paragraph">
    <w:name w:val="toc 1"/>
    <w:next w:val="Style_1"/>
    <w:link w:val="Style_2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toc 9"/>
    <w:next w:val="Style_1"/>
    <w:link w:val="Style_3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1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toc 5"/>
    <w:next w:val="Style_1"/>
    <w:link w:val="Style_3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2_ch" w:type="character">
    <w:name w:val="toc 5"/>
    <w:link w:val="Style_32"/>
    <w:rPr>
      <w:rFonts w:ascii="XO Thames" w:hAnsi="XO Thames"/>
      <w:sz w:val="28"/>
    </w:rPr>
  </w:style>
  <w:style w:styleId="Style_33" w:type="paragraph">
    <w:name w:val="Subtitle"/>
    <w:next w:val="Style_1"/>
    <w:link w:val="Style_3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_ch" w:type="character">
    <w:name w:val="Subtitle"/>
    <w:link w:val="Style_33"/>
    <w:rPr>
      <w:rFonts w:ascii="XO Thames" w:hAnsi="XO Thames"/>
      <w:i w:val="1"/>
      <w:sz w:val="24"/>
    </w:rPr>
  </w:style>
  <w:style w:styleId="Style_12" w:type="paragraph">
    <w:name w:val="annotation text"/>
    <w:basedOn w:val="Style_1"/>
    <w:link w:val="Style_12_ch"/>
    <w:rPr>
      <w:sz w:val="20"/>
    </w:rPr>
  </w:style>
  <w:style w:styleId="Style_12_ch" w:type="character">
    <w:name w:val="annotation text"/>
    <w:basedOn w:val="Style_1_ch"/>
    <w:link w:val="Style_12"/>
    <w:rPr>
      <w:sz w:val="20"/>
    </w:rPr>
  </w:style>
  <w:style w:styleId="Style_34" w:type="paragraph">
    <w:name w:val="Title"/>
    <w:next w:val="Style_1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1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basedOn w:val="Style_1"/>
    <w:link w:val="Style_36_ch"/>
    <w:uiPriority w:val="9"/>
    <w:qFormat/>
    <w:pPr>
      <w:widowControl w:val="0"/>
      <w:spacing w:before="37"/>
      <w:ind w:left="741"/>
      <w:outlineLvl w:val="1"/>
    </w:pPr>
    <w:rPr>
      <w:rFonts w:ascii="Trebuchet MS" w:hAnsi="Trebuchet MS"/>
      <w:b w:val="1"/>
      <w:sz w:val="22"/>
    </w:rPr>
  </w:style>
  <w:style w:styleId="Style_36_ch" w:type="character">
    <w:name w:val="heading 2"/>
    <w:basedOn w:val="Style_1_ch"/>
    <w:link w:val="Style_36"/>
    <w:rPr>
      <w:rFonts w:ascii="Trebuchet MS" w:hAnsi="Trebuchet MS"/>
      <w:b w:val="1"/>
      <w:sz w:val="22"/>
    </w:rPr>
  </w:style>
  <w:style w:styleId="Style_37" w:type="paragraph">
    <w:name w:val="footer"/>
    <w:basedOn w:val="Style_1"/>
    <w:link w:val="Style_37_ch"/>
    <w:pPr>
      <w:widowControl w:val="1"/>
      <w:tabs>
        <w:tab w:leader="none" w:pos="4153" w:val="center"/>
        <w:tab w:leader="none" w:pos="8306" w:val="right"/>
      </w:tabs>
      <w:ind/>
    </w:pPr>
    <w:rPr>
      <w:sz w:val="24"/>
    </w:rPr>
  </w:style>
  <w:style w:styleId="Style_37_ch" w:type="character">
    <w:name w:val="footer"/>
    <w:basedOn w:val="Style_1_ch"/>
    <w:link w:val="Style_37"/>
    <w:rPr>
      <w:sz w:val="24"/>
    </w:rPr>
  </w:style>
  <w:style w:styleId="Style_38" w:type="table">
    <w:name w:val="Table Grid"/>
    <w:basedOn w:val="Style_3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2026-10-12T12:36:01Z</dcterms:created>
  <dcterms:modified xsi:type="dcterms:W3CDTF">2026-10-12T12:36:01Z</dcterms:modified>
</cp:coreProperties>
</file>