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31272" w14:textId="77777777" w:rsidR="00A435EE" w:rsidRDefault="00A435EE">
      <w:pPr>
        <w:pStyle w:val="12"/>
        <w:jc w:val="center"/>
        <w:rPr>
          <w:b/>
          <w:sz w:val="24"/>
        </w:rPr>
      </w:pPr>
    </w:p>
    <w:p w14:paraId="78577DE5" w14:textId="77777777" w:rsidR="00A435EE" w:rsidRDefault="00A435EE">
      <w:pPr>
        <w:pStyle w:val="12"/>
        <w:jc w:val="center"/>
        <w:rPr>
          <w:b/>
          <w:sz w:val="24"/>
        </w:rPr>
      </w:pPr>
    </w:p>
    <w:p w14:paraId="4F85BC44" w14:textId="77777777" w:rsidR="00A435EE" w:rsidRDefault="00370CC3">
      <w:pPr>
        <w:pStyle w:val="12"/>
        <w:jc w:val="center"/>
        <w:rPr>
          <w:b/>
          <w:sz w:val="24"/>
        </w:rPr>
      </w:pPr>
      <w:r>
        <w:rPr>
          <w:b/>
          <w:sz w:val="24"/>
        </w:rPr>
        <w:t>ОПИСАНИЕ ОБЪЕКТА ЗАКУПКИ</w:t>
      </w:r>
    </w:p>
    <w:p w14:paraId="58946321" w14:textId="77777777" w:rsidR="00A435EE" w:rsidRDefault="00A435EE">
      <w:pPr>
        <w:pStyle w:val="12"/>
        <w:ind w:right="282"/>
        <w:rPr>
          <w:b/>
          <w:sz w:val="24"/>
        </w:rPr>
      </w:pPr>
    </w:p>
    <w:p w14:paraId="4FABCE71" w14:textId="77777777" w:rsidR="00A435EE" w:rsidRDefault="00370CC3">
      <w:pPr>
        <w:pStyle w:val="12"/>
        <w:ind w:right="282"/>
        <w:jc w:val="center"/>
        <w:rPr>
          <w:sz w:val="24"/>
        </w:rPr>
      </w:pPr>
      <w:bookmarkStart w:id="0" w:name="_Hlk239758762"/>
      <w:r>
        <w:rPr>
          <w:sz w:val="24"/>
        </w:rPr>
        <w:t>Оказание услуг по модернизации информационной системы учета производства биомедицинских продуктов «</w:t>
      </w:r>
      <w:proofErr w:type="spellStart"/>
      <w:r>
        <w:rPr>
          <w:sz w:val="24"/>
        </w:rPr>
        <w:t>Биотрек</w:t>
      </w:r>
      <w:proofErr w:type="spellEnd"/>
      <w:r>
        <w:rPr>
          <w:sz w:val="24"/>
        </w:rPr>
        <w:t>. Система учета производства биомедицинских продуктов».</w:t>
      </w:r>
      <w:bookmarkEnd w:id="0"/>
    </w:p>
    <w:p w14:paraId="0D1B9CA5" w14:textId="77777777" w:rsidR="00A435EE" w:rsidRDefault="00A435EE">
      <w:pPr>
        <w:pStyle w:val="12"/>
        <w:ind w:right="282"/>
        <w:rPr>
          <w:sz w:val="24"/>
        </w:rPr>
      </w:pPr>
    </w:p>
    <w:tbl>
      <w:tblPr>
        <w:tblW w:w="1063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0"/>
        <w:gridCol w:w="2383"/>
        <w:gridCol w:w="1456"/>
        <w:gridCol w:w="1985"/>
        <w:gridCol w:w="1845"/>
        <w:gridCol w:w="985"/>
        <w:gridCol w:w="1424"/>
      </w:tblGrid>
      <w:tr w:rsidR="00A435EE" w14:paraId="1252C2A3" w14:textId="7777777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2660" w14:textId="77777777" w:rsidR="00A435EE" w:rsidRDefault="00370CC3">
            <w:pPr>
              <w:pStyle w:val="12"/>
              <w:tabs>
                <w:tab w:val="left" w:pos="7649"/>
              </w:tabs>
              <w:ind w:firstLine="2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 w14:paraId="18AE392C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100B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65A3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Код по </w:t>
            </w:r>
            <w:hyperlink r:id="rId7" w:tooltip="http://internet.garant.ru/document/redirect/70650730/0">
              <w:r>
                <w:rPr>
                  <w:sz w:val="23"/>
                  <w:szCs w:val="23"/>
                </w:rPr>
                <w:t>ОКПД 2</w:t>
              </w:r>
            </w:hyperlink>
            <w:r>
              <w:rPr>
                <w:sz w:val="23"/>
                <w:szCs w:val="23"/>
              </w:rPr>
              <w:t>/Код позиции КТРУ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10EF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Требования, установленные к функциональным, техническим характеристикам закупаемых услуг, входящих в объект закупки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57D3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Требования, установленные к качественным характеристикам закупаемых услуг, входящих в объект закупки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F992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Ед. изм.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731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Необходимый объем, количество</w:t>
            </w:r>
          </w:p>
        </w:tc>
      </w:tr>
      <w:tr w:rsidR="00A435EE" w14:paraId="2DA7F0A1" w14:textId="77777777">
        <w:trPr>
          <w:trHeight w:val="40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B25F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A11B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644B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8922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A8CF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BD4E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2456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A435EE" w14:paraId="77584D68" w14:textId="77777777">
        <w:trPr>
          <w:trHeight w:val="2557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0DDB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5B55" w14:textId="77777777" w:rsidR="00A435EE" w:rsidRDefault="00370CC3">
            <w:pPr>
              <w:outlineLvl w:val="0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Модернизация информационной системы учета производства биомедицинских продуктов «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. Система учета производства биомедицинских продуктов»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9E61" w14:textId="77777777" w:rsidR="00A435EE" w:rsidRDefault="00370CC3">
            <w:pPr>
              <w:pStyle w:val="12"/>
              <w:tabs>
                <w:tab w:val="left" w:pos="7649"/>
              </w:tabs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62.01.11.000/-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A230" w14:textId="77777777" w:rsidR="00A435EE" w:rsidRDefault="00370CC3">
            <w:pPr>
              <w:outlineLvl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Согласно Приложению №1 к описанию объекта закупки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5F90E" w14:textId="77777777" w:rsidR="00A435EE" w:rsidRDefault="00370CC3">
            <w:pPr>
              <w:outlineLvl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Согласно Приложению №1 к описанию объекта закупки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8466" w14:textId="77777777" w:rsidR="00A435EE" w:rsidRDefault="00370CC3">
            <w:pPr>
              <w:pStyle w:val="12"/>
              <w:tabs>
                <w:tab w:val="left" w:pos="7649"/>
              </w:tabs>
              <w:ind w:firstLine="29"/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усл</w:t>
            </w:r>
            <w:proofErr w:type="spellEnd"/>
            <w:r>
              <w:rPr>
                <w:sz w:val="23"/>
                <w:szCs w:val="23"/>
              </w:rPr>
              <w:t>. ед.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0FA0" w14:textId="77777777" w:rsidR="00A435EE" w:rsidRDefault="00370CC3">
            <w:pPr>
              <w:pStyle w:val="12"/>
              <w:tabs>
                <w:tab w:val="left" w:pos="7649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</w:tbl>
    <w:p w14:paraId="119E7849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07793269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4F8F87DD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505BF915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736F85A0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186633A7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23D85022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3C86E040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1D55BE0F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7D6911DF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42DFA2B4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1871B5A0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5D51739F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18CD72F4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1CBFCC77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0513B232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5FA7EE25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4867F44E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57143FA2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3EDA07E3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4D6D67BB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793149B8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72E62169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019CA5DF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7193FEB3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559F1D0D" w14:textId="77777777" w:rsidR="00A435EE" w:rsidRDefault="00A435EE">
      <w:pPr>
        <w:pStyle w:val="12"/>
        <w:tabs>
          <w:tab w:val="left" w:pos="0"/>
          <w:tab w:val="left" w:pos="2694"/>
          <w:tab w:val="left" w:pos="3261"/>
        </w:tabs>
        <w:ind w:left="4025"/>
        <w:jc w:val="center"/>
        <w:rPr>
          <w:sz w:val="24"/>
        </w:rPr>
      </w:pPr>
    </w:p>
    <w:p w14:paraId="542A630C" w14:textId="77777777" w:rsidR="00A435EE" w:rsidRDefault="00A435EE">
      <w:pPr>
        <w:pStyle w:val="12"/>
        <w:tabs>
          <w:tab w:val="left" w:pos="0"/>
          <w:tab w:val="left" w:pos="2694"/>
          <w:tab w:val="left" w:pos="3261"/>
        </w:tabs>
        <w:ind w:left="4025"/>
        <w:jc w:val="center"/>
        <w:rPr>
          <w:sz w:val="24"/>
        </w:rPr>
      </w:pPr>
    </w:p>
    <w:p w14:paraId="7926AFB4" w14:textId="77777777" w:rsidR="00A435EE" w:rsidRDefault="00A435EE">
      <w:pPr>
        <w:pStyle w:val="12"/>
        <w:tabs>
          <w:tab w:val="left" w:pos="0"/>
          <w:tab w:val="left" w:pos="2694"/>
          <w:tab w:val="left" w:pos="3261"/>
        </w:tabs>
        <w:ind w:left="4025"/>
        <w:jc w:val="center"/>
        <w:rPr>
          <w:sz w:val="24"/>
        </w:rPr>
      </w:pPr>
    </w:p>
    <w:p w14:paraId="5C2F7F41" w14:textId="77777777" w:rsidR="00A435EE" w:rsidRDefault="00370CC3">
      <w:pPr>
        <w:pStyle w:val="12"/>
        <w:tabs>
          <w:tab w:val="left" w:pos="2552"/>
          <w:tab w:val="left" w:pos="2694"/>
          <w:tab w:val="left" w:pos="3261"/>
        </w:tabs>
        <w:jc w:val="right"/>
        <w:rPr>
          <w:sz w:val="24"/>
        </w:rPr>
      </w:pPr>
      <w:r>
        <w:rPr>
          <w:sz w:val="24"/>
        </w:rPr>
        <w:lastRenderedPageBreak/>
        <w:t xml:space="preserve">Приложение №1 </w:t>
      </w:r>
    </w:p>
    <w:p w14:paraId="2531CBFD" w14:textId="77777777" w:rsidR="00A435EE" w:rsidRDefault="00370CC3">
      <w:pPr>
        <w:pStyle w:val="12"/>
        <w:tabs>
          <w:tab w:val="left" w:pos="2552"/>
          <w:tab w:val="left" w:pos="2694"/>
          <w:tab w:val="left" w:pos="3261"/>
        </w:tabs>
        <w:jc w:val="right"/>
        <w:rPr>
          <w:sz w:val="24"/>
        </w:rPr>
      </w:pPr>
      <w:r>
        <w:rPr>
          <w:sz w:val="24"/>
        </w:rPr>
        <w:t>к описанию объекта закупки</w:t>
      </w:r>
    </w:p>
    <w:p w14:paraId="026B678E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p w14:paraId="6D70605D" w14:textId="77777777" w:rsidR="00A435EE" w:rsidRDefault="00370CC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  <w:r>
        <w:rPr>
          <w:sz w:val="24"/>
        </w:rPr>
        <w:t xml:space="preserve">Требования, установленные к функциональным, техническим, качественным </w:t>
      </w:r>
    </w:p>
    <w:p w14:paraId="0B2DCF52" w14:textId="77777777" w:rsidR="00A435EE" w:rsidRDefault="00370CC3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  <w:r>
        <w:rPr>
          <w:sz w:val="24"/>
        </w:rPr>
        <w:t>характеристикам закупаемых услуг, входящих в объект закупки</w:t>
      </w:r>
    </w:p>
    <w:p w14:paraId="777726D2" w14:textId="77777777" w:rsidR="00A435EE" w:rsidRDefault="00A435EE">
      <w:pPr>
        <w:pStyle w:val="12"/>
        <w:tabs>
          <w:tab w:val="left" w:pos="2552"/>
          <w:tab w:val="left" w:pos="2694"/>
          <w:tab w:val="left" w:pos="3261"/>
        </w:tabs>
        <w:jc w:val="center"/>
        <w:rPr>
          <w:sz w:val="24"/>
        </w:rPr>
      </w:pPr>
    </w:p>
    <w:tbl>
      <w:tblPr>
        <w:tblStyle w:val="af5"/>
        <w:tblW w:w="10632" w:type="dxa"/>
        <w:tblInd w:w="-856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737"/>
        <w:gridCol w:w="2043"/>
        <w:gridCol w:w="7852"/>
      </w:tblGrid>
      <w:tr w:rsidR="00A435EE" w14:paraId="646411B8" w14:textId="77777777">
        <w:trPr>
          <w:tblHeader/>
        </w:trPr>
        <w:tc>
          <w:tcPr>
            <w:tcW w:w="737" w:type="dxa"/>
            <w:shd w:val="clear" w:color="auto" w:fill="auto"/>
          </w:tcPr>
          <w:p w14:paraId="311942AC" w14:textId="77777777" w:rsidR="00A435EE" w:rsidRDefault="00370CC3">
            <w:pPr>
              <w:spacing w:after="60"/>
              <w:jc w:val="center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№ п/п</w:t>
            </w:r>
          </w:p>
        </w:tc>
        <w:tc>
          <w:tcPr>
            <w:tcW w:w="2043" w:type="dxa"/>
            <w:shd w:val="clear" w:color="auto" w:fill="auto"/>
            <w:vAlign w:val="center"/>
          </w:tcPr>
          <w:p w14:paraId="311F880B" w14:textId="77777777" w:rsidR="00A435EE" w:rsidRDefault="00370CC3">
            <w:pPr>
              <w:spacing w:after="60"/>
              <w:jc w:val="center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Наименование показателя</w:t>
            </w:r>
          </w:p>
        </w:tc>
        <w:tc>
          <w:tcPr>
            <w:tcW w:w="7852" w:type="dxa"/>
            <w:shd w:val="clear" w:color="auto" w:fill="auto"/>
            <w:vAlign w:val="center"/>
          </w:tcPr>
          <w:p w14:paraId="21B2D362" w14:textId="77777777" w:rsidR="00A435EE" w:rsidRDefault="00370CC3">
            <w:pPr>
              <w:spacing w:after="60"/>
              <w:jc w:val="center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Требования, установленные к функциональным, техническим и качественным характеристикам закупаемых услуг, входящих в объект закупки</w:t>
            </w:r>
          </w:p>
        </w:tc>
      </w:tr>
      <w:tr w:rsidR="00A435EE" w14:paraId="26A74489" w14:textId="77777777">
        <w:tc>
          <w:tcPr>
            <w:tcW w:w="737" w:type="dxa"/>
          </w:tcPr>
          <w:p w14:paraId="6E08A5BE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2043" w:type="dxa"/>
          </w:tcPr>
          <w:p w14:paraId="5CCB6B6C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Наименование оказываемых услуг</w:t>
            </w:r>
          </w:p>
        </w:tc>
        <w:tc>
          <w:tcPr>
            <w:tcW w:w="7852" w:type="dxa"/>
          </w:tcPr>
          <w:p w14:paraId="02E502C0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Оказание услуг по модернизации информационной системы учета производства биомедицинских продуктов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. Система учета производства биомедицинских продуктов».</w:t>
            </w:r>
          </w:p>
        </w:tc>
      </w:tr>
      <w:tr w:rsidR="00A435EE" w14:paraId="3244D119" w14:textId="77777777">
        <w:tc>
          <w:tcPr>
            <w:tcW w:w="737" w:type="dxa"/>
          </w:tcPr>
          <w:p w14:paraId="79FD0BDE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2043" w:type="dxa"/>
          </w:tcPr>
          <w:p w14:paraId="7BBD3B28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Цель оказания услуг</w:t>
            </w:r>
          </w:p>
        </w:tc>
        <w:tc>
          <w:tcPr>
            <w:tcW w:w="7852" w:type="dxa"/>
          </w:tcPr>
          <w:p w14:paraId="259362F2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Целью оказания услуг является развитие функций информационной системы учета производства биомедицинских продуктов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. Система учета производства биомедицинских продуктов»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для сквозного представления производственного процесса биомедицинского клеточного препарата и получения аналитических данных.</w:t>
            </w:r>
          </w:p>
          <w:p w14:paraId="2247A9AB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Целевой результат: сотрудники получают единые рабочие разделы для технологических инструкций, контроля качества, учета продуктов, хранения, выдачи, учета расходных материалов и учета биомедицинских продуктов.</w:t>
            </w:r>
          </w:p>
        </w:tc>
      </w:tr>
      <w:tr w:rsidR="00A435EE" w14:paraId="7FC7AC44" w14:textId="77777777">
        <w:tc>
          <w:tcPr>
            <w:tcW w:w="737" w:type="dxa"/>
          </w:tcPr>
          <w:p w14:paraId="15168CF8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2043" w:type="dxa"/>
          </w:tcPr>
          <w:p w14:paraId="1D2AB441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Срок оказания услуг</w:t>
            </w:r>
          </w:p>
        </w:tc>
        <w:tc>
          <w:tcPr>
            <w:tcW w:w="7852" w:type="dxa"/>
          </w:tcPr>
          <w:p w14:paraId="0A51D0E6" w14:textId="77777777" w:rsidR="00A435EE" w:rsidRDefault="00370CC3" w:rsidP="00836AFE">
            <w:pPr>
              <w:pStyle w:val="110"/>
              <w:ind w:firstLine="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 даты заключения контракта по 19.11.2026 включительно.</w:t>
            </w:r>
          </w:p>
        </w:tc>
      </w:tr>
      <w:tr w:rsidR="00A435EE" w14:paraId="4AA8CF0B" w14:textId="77777777">
        <w:tc>
          <w:tcPr>
            <w:tcW w:w="737" w:type="dxa"/>
          </w:tcPr>
          <w:p w14:paraId="2A28AD0F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2043" w:type="dxa"/>
          </w:tcPr>
          <w:p w14:paraId="7583D1C4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Место оказания услуг </w:t>
            </w:r>
          </w:p>
        </w:tc>
        <w:tc>
          <w:tcPr>
            <w:tcW w:w="7852" w:type="dxa"/>
            <w:shd w:val="clear" w:color="auto" w:fill="auto"/>
          </w:tcPr>
          <w:p w14:paraId="5D134AAE" w14:textId="77777777" w:rsidR="00A435EE" w:rsidRDefault="00370CC3">
            <w:pPr>
              <w:pStyle w:val="110"/>
              <w:rPr>
                <w:rFonts w:ascii="Times New Roman" w:hAnsi="Times New Roman" w:cs="Times New Roman"/>
                <w:color w:val="000000"/>
                <w:sz w:val="22"/>
                <w:szCs w:val="18"/>
                <w:shd w:val="clear" w:color="auto" w:fill="F9F9F9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9F9F9"/>
              </w:rPr>
              <w:t xml:space="preserve">350086, г. Краснодар, ул. 1 Мая, 167, Государственное бюджетное учреждение здравоохранения «НИИ-Краевая клиническая больница №1 имени профессора С. В.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9F9F9"/>
              </w:rPr>
              <w:t>Очаповского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9F9F9"/>
              </w:rPr>
              <w:t>» министерства здравоохранения Краснодарского края, по месту нахождения Заказчика или удаленно по месту нахождения Исполнителя;</w:t>
            </w:r>
          </w:p>
          <w:p w14:paraId="4824E66D" w14:textId="27345C74" w:rsidR="00A435EE" w:rsidRDefault="00F13335">
            <w:pPr>
              <w:pStyle w:val="110"/>
              <w:rPr>
                <w:rFonts w:ascii="Times New Roman" w:hAnsi="Times New Roman" w:cs="Times New Roman"/>
                <w:color w:val="000000"/>
                <w:sz w:val="22"/>
                <w:szCs w:val="23"/>
              </w:rPr>
            </w:pPr>
            <w:r w:rsidRPr="00F13335"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5F5F5"/>
              </w:rPr>
              <w:t xml:space="preserve">г Краснодар, </w:t>
            </w:r>
            <w:proofErr w:type="spellStart"/>
            <w:r w:rsidRPr="00F13335"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5F5F5"/>
              </w:rPr>
              <w:t>пр</w:t>
            </w:r>
            <w:proofErr w:type="spellEnd"/>
            <w:r w:rsidRPr="00F13335"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5F5F5"/>
              </w:rPr>
              <w:t>-д 3-й Тихорецкий, д. 15, по месту размещения серверной инфраструктуры информационной системы учета производства биомедицинских продуктов «</w:t>
            </w:r>
            <w:proofErr w:type="spellStart"/>
            <w:r w:rsidRPr="00F13335"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5F5F5"/>
              </w:rPr>
              <w:t>Биотрек</w:t>
            </w:r>
            <w:proofErr w:type="spellEnd"/>
            <w:r w:rsidRPr="00F13335">
              <w:rPr>
                <w:rFonts w:ascii="Times New Roman" w:eastAsia="Calibri" w:hAnsi="Times New Roman" w:cs="Times New Roman"/>
                <w:color w:val="000000"/>
                <w:sz w:val="22"/>
                <w:szCs w:val="18"/>
                <w:shd w:val="clear" w:color="auto" w:fill="F5F5F5"/>
              </w:rPr>
              <w:t>. Система учета производства биомедицинских продуктов» или удаленно по месту нахождения Исполнителя.</w:t>
            </w:r>
            <w:bookmarkStart w:id="1" w:name="_GoBack"/>
            <w:bookmarkEnd w:id="1"/>
          </w:p>
        </w:tc>
      </w:tr>
      <w:tr w:rsidR="00A435EE" w14:paraId="3AC3B135" w14:textId="77777777">
        <w:tc>
          <w:tcPr>
            <w:tcW w:w="737" w:type="dxa"/>
          </w:tcPr>
          <w:p w14:paraId="491BC4F8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2043" w:type="dxa"/>
          </w:tcPr>
          <w:p w14:paraId="49602E1E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Термины и сокращения</w:t>
            </w:r>
          </w:p>
        </w:tc>
        <w:tc>
          <w:tcPr>
            <w:tcW w:w="7852" w:type="dxa"/>
          </w:tcPr>
          <w:p w14:paraId="09D60E71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AMQP RPC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— механизм обмена сообщениями, используемый для выполнения удаленных вызовов между серверными компонентами Системы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через брокер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сообщений.</w:t>
            </w:r>
          </w:p>
          <w:p w14:paraId="73F4BAD9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PBAC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Permission-Based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Access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Control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)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применяемая в Системе модель управления доступом на основании набора разрешений.</w:t>
            </w:r>
          </w:p>
          <w:p w14:paraId="0EB100B6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REST API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Representational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State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Transfer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Application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Programming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Interface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)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программный интерфейс взаимодействия между клиентской и серверной частями Системы, основанный на архитектурных принципах REST и использующий протокол HTTP для передачи запросов и получения ответов.</w:t>
            </w:r>
          </w:p>
          <w:p w14:paraId="3774EC8E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JWT (JSON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Web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Token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— формат токена, используемого для подтверждения аутентификации сотрудника при обращении к функциям Системы.</w:t>
            </w:r>
          </w:p>
          <w:p w14:paraId="1BA3E465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Авторизация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— определение доступных сотруднику разделов, данных и операций после успешной аутентификации.</w:t>
            </w:r>
          </w:p>
          <w:p w14:paraId="797DC43D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Аликвота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учитываемая порция готового продукта, связанная с производственным заказом. </w:t>
            </w:r>
          </w:p>
          <w:p w14:paraId="68DE5849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Аутентификация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— проверка подлинности сотрудника на основании предоставленных учетных данных для предоставления доступа к Системе.</w:t>
            </w:r>
          </w:p>
          <w:p w14:paraId="34EDD9BD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Биомедицинский продукт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результат выполнения предусмотренного технологического процесса, учитываемый в Системе и предназначенный для последующего хранения, разделения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или выдачи.</w:t>
            </w:r>
          </w:p>
          <w:p w14:paraId="23C6ECB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БМКП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биомедицинский клеточный препарат. </w:t>
            </w:r>
          </w:p>
          <w:p w14:paraId="217520F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lastRenderedPageBreak/>
              <w:t>Клеточная линия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совокупность клеток, полученных из одного исходного биологического материала и культивируемых в рамках последовательных этапов технологического процесса.</w:t>
            </w:r>
          </w:p>
          <w:p w14:paraId="257FA6A9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Клиентская часть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компонент Системы, работающий в веб-браузере и обеспечивающий отображение информации и взаимодействие сотрудника с функциональными возможностями Системы.</w:t>
            </w:r>
          </w:p>
          <w:p w14:paraId="2D297AE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Производственный заказ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сущность Системы, создаваемая на основании шаблона продукта и проходящая этапы регистрации, производства, хранения (если включено шаблоном) и выдачи. </w:t>
            </w:r>
          </w:p>
          <w:p w14:paraId="2B5DFEFD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Серверная часть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— совокупность компонентов Системы, обеспечивающих обработку запросов, выполнение бизнес-правил, проверку полномочий и работу с данными.</w:t>
            </w:r>
          </w:p>
          <w:p w14:paraId="500BF36B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Система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информационная система учета производства биомедицинских продуктов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Система учета производства биомедицинских продуктов». </w:t>
            </w:r>
          </w:p>
          <w:p w14:paraId="758642F5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Технологический процесс —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установленная последовательность взаимосвязанных этапов и операций, выполняемых в отношении клеточной линии для получения готового биомедицинского продукт</w:t>
            </w:r>
          </w:p>
        </w:tc>
      </w:tr>
      <w:tr w:rsidR="00A435EE" w14:paraId="1D10B79D" w14:textId="77777777">
        <w:tc>
          <w:tcPr>
            <w:tcW w:w="737" w:type="dxa"/>
          </w:tcPr>
          <w:p w14:paraId="00721001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6</w:t>
            </w:r>
          </w:p>
        </w:tc>
        <w:tc>
          <w:tcPr>
            <w:tcW w:w="2043" w:type="dxa"/>
          </w:tcPr>
          <w:p w14:paraId="32DCB05C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Нормативно-правовая база оказания услуг</w:t>
            </w:r>
          </w:p>
        </w:tc>
        <w:tc>
          <w:tcPr>
            <w:tcW w:w="7852" w:type="dxa"/>
          </w:tcPr>
          <w:p w14:paraId="57668387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оказании услуг необходимо учитывать требования следующих нормативных правовых актов:</w:t>
            </w:r>
          </w:p>
          <w:p w14:paraId="12D0A9AD" w14:textId="77777777" w:rsidR="00A435EE" w:rsidRDefault="00370CC3">
            <w:pPr>
              <w:pStyle w:val="110"/>
              <w:numPr>
                <w:ilvl w:val="0"/>
                <w:numId w:val="2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Приказ Министерства здравоохранения Российской Федерации от 08.08.2018 № 512н «Об утверждении Правил надлежащей практики по работе с биомедицинскими клеточными продуктами».</w:t>
            </w:r>
          </w:p>
          <w:p w14:paraId="6A0A028C" w14:textId="77777777" w:rsidR="00A435EE" w:rsidRDefault="00370CC3">
            <w:pPr>
              <w:pStyle w:val="110"/>
              <w:numPr>
                <w:ilvl w:val="0"/>
                <w:numId w:val="2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Федеральный закон от 23.06.2016 № 180-ФЗ «О биомедицинских клеточных продуктах».</w:t>
            </w:r>
          </w:p>
        </w:tc>
      </w:tr>
      <w:tr w:rsidR="00A435EE" w14:paraId="05150CF5" w14:textId="77777777">
        <w:tc>
          <w:tcPr>
            <w:tcW w:w="737" w:type="dxa"/>
          </w:tcPr>
          <w:p w14:paraId="2560B417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2043" w:type="dxa"/>
          </w:tcPr>
          <w:p w14:paraId="09E996B9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Описание информационной системы учета производства биомедицинских продуктов «</w:t>
            </w:r>
            <w:proofErr w:type="spellStart"/>
            <w:r>
              <w:rPr>
                <w:rFonts w:ascii="Times New Roman" w:hAnsi="Times New Roman"/>
                <w:bCs/>
                <w:sz w:val="23"/>
                <w:szCs w:val="23"/>
              </w:rPr>
              <w:t>Биотрек</w:t>
            </w:r>
            <w:proofErr w:type="spellEnd"/>
            <w:r>
              <w:rPr>
                <w:rFonts w:ascii="Times New Roman" w:hAnsi="Times New Roman"/>
                <w:bCs/>
                <w:sz w:val="23"/>
                <w:szCs w:val="23"/>
              </w:rPr>
              <w:t>. Система учета производства биомедицинских продуктов»</w:t>
            </w:r>
          </w:p>
        </w:tc>
        <w:tc>
          <w:tcPr>
            <w:tcW w:w="7852" w:type="dxa"/>
          </w:tcPr>
          <w:p w14:paraId="6147EBCE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Система представляет собой браузерную клиент-серверную информационную систему для ведения справочников, складского учета и учета производства биомедицинских продуктов. Функциональность распределена между разделами «Администрирование», «Справочники», «Склад» и «Производство». Состав доступных разделов, страниц, операций и данных зависит от PBAC-разрешений сотрудника. Правообладателем Системы является ГБУЗ «НИИ – ККБ № 1 им. проф. С.В.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Очаповского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» Минздрава Краснодарского края.</w:t>
            </w:r>
          </w:p>
          <w:p w14:paraId="1F2E2B4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Система обеспечивает сквозную связь между справочниками, номенклатурой и остатками, складскими документами, шаблонами производственных процессов, производственными заказами, продуктами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аликвотами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 Для изменяющих операций фиксируются автор и время изменения; для контролируемых процессов используются статусы, этапы и серверная валидация.</w:t>
            </w:r>
          </w:p>
          <w:p w14:paraId="494037A3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Аутентификация и управление доступом</w:t>
            </w:r>
          </w:p>
          <w:p w14:paraId="3FA33C0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Вход в Систему: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сотрудник проходит аутентификацию по учетным данным. Сервер формирует пару JWT-токенов доступа и обновления; клиентская часть передает токен доступа в заголовке запросов и обновляет сессию при истечении токена доступа.</w:t>
            </w:r>
          </w:p>
          <w:p w14:paraId="7443EF1A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Управление доступом: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доступ к разделам, страницам, действиям и отдельным полям определяется PBAC-разрешениями. Клиентская часть скрывает недоступные элементы интерфейса, а серверная часть независимо проверяет разрешения и исключает недоступные данные из ответа.</w:t>
            </w:r>
          </w:p>
          <w:p w14:paraId="6D38A89C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Раздел «Администрирование»</w:t>
            </w:r>
          </w:p>
          <w:p w14:paraId="31A965BA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Пользователи: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ведение списка сотрудников, создание и редактирование учетных записей, активация и деактивация, мягкое удаление, назначение и изменение набора PBAC-разрешений. Система предотвращает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действия сотрудника, способные лишить его собственного административного доступа.</w:t>
            </w:r>
          </w:p>
          <w:p w14:paraId="4AB0708E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Типы материалов: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ведение наименования, кода и настраиваемых полей забора и входного контроля. Для полей поддерживаются текстовые, числовые,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датовые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, логические и списочные значения, обязательность, значения по умолчанию, единицы измерения, подсказки и критерии положительного результата.</w:t>
            </w:r>
          </w:p>
          <w:p w14:paraId="6DDAC536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Продукты: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ведение шаблонов производственных процессов. Шаблон связывается с типом материала и содержит настройки регистрации, производственные шаги, действия и поля, расходные материалы, оборудование, PDF-инструкции, признак хранения и параметры контроля качества.</w:t>
            </w:r>
          </w:p>
          <w:p w14:paraId="7CCC8959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Раздел «Справочники»</w:t>
            </w:r>
          </w:p>
          <w:p w14:paraId="4DBE085A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Система обеспечивает ведение и использование следующих справочников:</w:t>
            </w:r>
          </w:p>
          <w:p w14:paraId="0E5349A1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оборудование;</w:t>
            </w:r>
          </w:p>
          <w:p w14:paraId="2C3C4C4D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помещения;</w:t>
            </w:r>
          </w:p>
          <w:p w14:paraId="20480343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места хранения;</w:t>
            </w:r>
          </w:p>
          <w:p w14:paraId="05B1DA4A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расходники и материалы;</w:t>
            </w:r>
          </w:p>
          <w:p w14:paraId="130FFE29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подразделения;</w:t>
            </w:r>
          </w:p>
          <w:p w14:paraId="679623FD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типы хранения;</w:t>
            </w:r>
          </w:p>
          <w:p w14:paraId="05EF8A7D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температурные режимы;</w:t>
            </w:r>
          </w:p>
          <w:p w14:paraId="51A08E43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единицы измерения;</w:t>
            </w:r>
          </w:p>
          <w:p w14:paraId="177E8AAA" w14:textId="77777777" w:rsidR="00A435EE" w:rsidRDefault="00370CC3">
            <w:pPr>
              <w:pStyle w:val="110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справочник Международной классификации болезней (МКБ).</w:t>
            </w:r>
          </w:p>
          <w:p w14:paraId="6C9A6BEE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Для справочников применяются списки с серверной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постраничностью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, поиском, фильтрацией и предусмотренными операциями создания, редактирования и удаления. Конкретный набор операций зависит от PBAC-разрешений сотрудника.</w:t>
            </w:r>
          </w:p>
          <w:p w14:paraId="7B2B70E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Справочник МКБ используется как иерархический классификатор для выбора диагноза в производственном заказе. Для него поддерживаются просмотр дерева и поиск; изменение состава классификатора через пользовательский интерфейс не выполняется. Администратор с соответствующим разрешением может управлять видимостью узлов, при этом изменение видимости распространяется на дочерние элементы.</w:t>
            </w:r>
          </w:p>
          <w:p w14:paraId="4C987B2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Раздел «Склад»</w:t>
            </w:r>
          </w:p>
          <w:p w14:paraId="10BA8561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Номенклатура: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ведение номенклатурных позиций, их наименований, каталожных номеров, производителей, групп, типов и связанных характеристик. Для номенклатуры используются спецификации и шаблоны спецификаций; спецификации могут связываться с позициями поступления и содержать результаты контроля.</w:t>
            </w:r>
          </w:p>
          <w:p w14:paraId="5E9BA2C4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Поступление: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создание и ведение документов поступления и их позиций, заполнение сведений о поставке и номенклатуре, проведение входного контроля, прикрепление файлов и приемка документа. При приемке Система формирует или изменяет складские остатки в соответствии с позициями поступления.</w:t>
            </w:r>
          </w:p>
          <w:p w14:paraId="13C032D1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Остатки: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просмотр агрегированных остатков и остатков по местам хранения, партий и сроков годности, статусов и истории операций. Из карточки остатка доступны предусмотренные разрешениями операции перемещения, списания, работы с карантином и просмотра спецификаций.</w:t>
            </w:r>
          </w:p>
          <w:p w14:paraId="4F6A27D5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Перемещение: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создание, редактирование и проведение документов перемещения между местами хранения. Документ содержит позиции перемещения; после приемки изменяются соответствующие складские остатки.</w:t>
            </w:r>
          </w:p>
          <w:p w14:paraId="36870127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Инвентаризация: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создание и проведение документов инвентаризации, добавление проверяемых позиций, фиксация фактического количества и формирование результатов сопоставления с учетными данными.</w:t>
            </w:r>
          </w:p>
          <w:p w14:paraId="744408C9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Списание: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создание, редактирование и проведение документов списания с указанием позиций, количества и причины. Система поддерживает печатное представление документа с настраиваемым составом подписантов.</w:t>
            </w:r>
          </w:p>
          <w:p w14:paraId="7111FC21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Карантин: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просмотр остатков, помещенных на карантин, снятие карантина либо списание с указанием причины и предусмотренных данных операции.</w:t>
            </w:r>
          </w:p>
          <w:p w14:paraId="5A027A98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Все складские документы используют статусы жизненного цикла, серверную проверку возможности изменения и проведения, фиксацию ответственного сотрудника и времени операции.</w:t>
            </w:r>
          </w:p>
          <w:p w14:paraId="2C25F5C2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Раздел «Производство»</w:t>
            </w:r>
          </w:p>
          <w:p w14:paraId="4751D377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Производственные заказы: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раздел содержит журнал заказов и карточку заказа. Заказ создается из шаблона продукта. При создании фиксируется снимок настроек, поэтому последующее изменение шаблона не изменяет ранее созданный заказ.</w:t>
            </w:r>
          </w:p>
          <w:p w14:paraId="292A5AB7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Жизненный цикл заказа: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регистрация биоматериала → производство → хранение (если включено шаблоном) → выдача. Контроль качества ведется в отдельной вкладке карточки заказа и не является самостоятельным этапом последовательности.</w:t>
            </w:r>
          </w:p>
          <w:p w14:paraId="58E6FA31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Регистрация: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ввод данных пациента и образца, диагноза по справочнику МКБ, параметров материала и входного контроля, а также плановых и фактических значений расходных материалов. Поддерживаются обязательные поля, проверка уникальности ID входящего образца и фиксация отклонений.</w:t>
            </w:r>
          </w:p>
          <w:p w14:paraId="3019103B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Производство: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выполнение одного или нескольких упорядоченных технологических шагов. Для шага отображаются PDF-инструкции, действия и поля ввода, расходные материалы, оборудование и отклонения. Система проверяет обязательные данные перед завершением и фиксирует исполнителя и время.</w:t>
            </w:r>
          </w:p>
          <w:p w14:paraId="4C906686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Хранение: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при включенном хранении учитываются место, условия и период хранения, контейнер и ответственный сотрудник. Для готового продукта поддерживается учет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, их объема и состояния.</w:t>
            </w:r>
          </w:p>
          <w:p w14:paraId="5AB9FA45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Выдача: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заполнение сведений о выдаче, одобрение технологического процесса, указание отделения и данных медицинской карты, завершение выдачи и перевод заказа в завершенное состояние. Система содержит журнал выданных продуктов 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со ссылкой на исходный заказ.</w:t>
            </w:r>
          </w:p>
          <w:p w14:paraId="2BC30FD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Контроль качества: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ввод фактических значений по показателям шаблона, сопоставление с нормативными значениями и диапазонами, фиксация примечаний и визуальное выделение отклонений.</w:t>
            </w:r>
          </w:p>
          <w:p w14:paraId="75449994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Брак и отклонения: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заказ или отдельная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могут быть отмечены как брак с указанием этапа, причины, пояснения и предусмотренных вложений. Отклонения учитываются в карточке заказа и итоговых данных выдачи.</w:t>
            </w:r>
          </w:p>
          <w:p w14:paraId="63C4AC1D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Текущая архитектура и технические характеристики</w:t>
            </w:r>
          </w:p>
          <w:p w14:paraId="0B0BBD5D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Клиентская часть: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React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19,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TypeScript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Vite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Material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UI и MUI X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Grid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React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Router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Zustand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Axios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; работа выполняется через веб-браузер.</w:t>
            </w:r>
          </w:p>
          <w:p w14:paraId="5C6C50AE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Серверная часть: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набор сервисов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Go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версий 1.20–1.22: HTTP-шлюз, сервис аутентификации, сервис бизнес-логики и сервис файлов. Общие функции доступа к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PostgreSQL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AMQP RPC, HTTP, журналированию, валидации и транзакциям предоставляет библиотека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biotrack-lib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42601062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Интеграция сервисов: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HTTP-запросы клиентской части принимает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val="en-US"/>
              </w:rPr>
              <w:t>HTTP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-шлюз; внутренние вызовы выполняются преимущественно по модели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AMQP RPC 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RabbitMQ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 Загрузка файлов передается сервису контента по HTTP.</w:t>
            </w:r>
          </w:p>
          <w:p w14:paraId="7A614C06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Хранение данных: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PostgreSQL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используется для прикладных данных и метаданных файлов; содержимое вложений размещается в файловом хранилище.</w:t>
            </w:r>
          </w:p>
          <w:p w14:paraId="01AE8CE0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Инфраструктура: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компоненты запускаются в контейнерах под управлением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Docker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Compose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nginx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edge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является внешней точкой входа и направляет запросы к клиентской части и REST API. Для локальной разработки предусмотрены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hot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reload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 удаленная отладка серверных сервисов.</w:t>
            </w:r>
          </w:p>
          <w:p w14:paraId="205F293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Безопасность: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JWT-аутентификация, проверка PBAC-разрешений на шлюзе, маскирование недоступных полей ответа и серверные проверки операций.</w:t>
            </w:r>
          </w:p>
          <w:p w14:paraId="7DBE0E62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Совместимость и требования к техническим средствам</w:t>
            </w:r>
          </w:p>
          <w:p w14:paraId="7F3AB4CB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Система совместима со следующими программными и техническими средствами:</w:t>
            </w:r>
          </w:p>
          <w:p w14:paraId="0A36BEDE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Требования к рабочему месту: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операционная 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Windows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; оперативная память — не менее 8 ГБ; процессор — не ниже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Intel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Core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i3 либо AMD с тактовой частотой не менее 3,2 ГГц; веб-браузер — Яндекс Браузер,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Google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Chrome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Microsoft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Edge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Mozilla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Firefox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Opera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71450C82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Требования к серверу: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процессор — не менее 4 ядер; оперативная память — не менее 16 ГБ; накопитель HDD — не менее 100 ГБ; операционная система —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00FDCA78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Не позднее 5 (пяти) рабочих дней с даты заключения государственного контракта Исполнитель направляет Заказчику запрос на предоставление исходного кода Системы. На основании запроса Заказчик предоставляет Исполнителю исходные коды и дистрибутивы Системы на машиночитаемом носителе.</w:t>
            </w:r>
          </w:p>
          <w:p w14:paraId="234D1F28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Тестовый и продуктивный контуры предоставляет Заказчик, включая необходимые для работы вычислительные ресурсы и доступы. Настройку контуров, развертывание и запуск доработанной Системы выполняет Исполнитель.</w:t>
            </w:r>
          </w:p>
          <w:p w14:paraId="60B118E6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оформлении изменений исходного кода Исполнитель соблюдает структуру и соглашения, принятые в переданных репозиториях Системы. Новые компоненты оформляются единообразно с существующим кодом, без включения учетных данных и иных секретов в исходные файлы.</w:t>
            </w:r>
          </w:p>
        </w:tc>
      </w:tr>
      <w:tr w:rsidR="00A435EE" w14:paraId="4D60AF01" w14:textId="77777777">
        <w:tc>
          <w:tcPr>
            <w:tcW w:w="737" w:type="dxa"/>
          </w:tcPr>
          <w:p w14:paraId="139EC343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8</w:t>
            </w:r>
          </w:p>
        </w:tc>
        <w:tc>
          <w:tcPr>
            <w:tcW w:w="2043" w:type="dxa"/>
          </w:tcPr>
          <w:p w14:paraId="4CB593EA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Объем оказания услуг</w:t>
            </w:r>
          </w:p>
        </w:tc>
        <w:tc>
          <w:tcPr>
            <w:tcW w:w="7852" w:type="dxa"/>
          </w:tcPr>
          <w:p w14:paraId="6CF86926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 рамках модернизации Системы необходимо обеспечить развитие следующих функциональных направлений:</w:t>
            </w:r>
          </w:p>
          <w:p w14:paraId="10E6BB49" w14:textId="77777777" w:rsidR="00A435EE" w:rsidRDefault="00370CC3">
            <w:pPr>
              <w:pStyle w:val="110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учет и сопровождение клеточных линий в разделе «Производство»;</w:t>
            </w:r>
          </w:p>
          <w:p w14:paraId="7EABA952" w14:textId="77777777" w:rsidR="00A435EE" w:rsidRDefault="00370CC3">
            <w:pPr>
              <w:pStyle w:val="110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представление производственных данных в разделе «Отчетность и Аналитика».</w:t>
            </w:r>
          </w:p>
          <w:p w14:paraId="1A8BABC6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Оказание услуг включает создание и изменение пользовательских интерфейсов, операций обработки данных и настроек доступа, необходимых для реализации указанных функциональных направлений.</w:t>
            </w:r>
          </w:p>
          <w:p w14:paraId="7B497D81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Результаты модернизации интегрируются в информационную модель Системы, обеспечивать связанность производственных данных и использовать единую русскоязычную терминологию.</w:t>
            </w:r>
          </w:p>
        </w:tc>
      </w:tr>
      <w:tr w:rsidR="00A435EE" w14:paraId="6BAA7357" w14:textId="77777777">
        <w:tc>
          <w:tcPr>
            <w:tcW w:w="737" w:type="dxa"/>
          </w:tcPr>
          <w:p w14:paraId="11269DFF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8.1</w:t>
            </w:r>
          </w:p>
        </w:tc>
        <w:tc>
          <w:tcPr>
            <w:tcW w:w="2043" w:type="dxa"/>
          </w:tcPr>
          <w:p w14:paraId="1187F0F1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Раздел «Производство»</w:t>
            </w:r>
          </w:p>
        </w:tc>
        <w:tc>
          <w:tcPr>
            <w:tcW w:w="7852" w:type="dxa"/>
          </w:tcPr>
          <w:p w14:paraId="273314F6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 разделе «Производство» необходимо предусмотреть доступ к функциональности учета клеточных линий.</w:t>
            </w:r>
          </w:p>
          <w:p w14:paraId="6DB7D8D0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Состав доступных элементов навигации определяется полномочиями сотрудника.</w:t>
            </w:r>
          </w:p>
          <w:p w14:paraId="41058D49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Раздел дополняется средствами учета и сопровождения клеточных линий на протяжении их жизненного цикла.</w:t>
            </w:r>
          </w:p>
          <w:p w14:paraId="0D0A0EC0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Необходимо обеспечить представление зарегистрированных клеточных линий с возможностью поиска, отбора и перехода к детальным сведениям.</w:t>
            </w:r>
          </w:p>
          <w:p w14:paraId="55E49E6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Состав отображаемых данных позволяет идентифицировать клеточную линию, определить ее состояние и положение в технологическом процессе.</w:t>
            </w:r>
          </w:p>
          <w:p w14:paraId="3E9EFB7D" w14:textId="77777777" w:rsidR="00A435EE" w:rsidRDefault="00370CC3">
            <w:pPr>
              <w:pStyle w:val="110"/>
              <w:rPr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Карточка клеточной линии</w:t>
            </w:r>
          </w:p>
          <w:p w14:paraId="7422CB37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Карточка объединяет идентификационные сведения, текущее состояние клеточной линии, сведения о ходе технологического процесса и результаты выполненных операций.</w:t>
            </w:r>
          </w:p>
          <w:p w14:paraId="75DAF0E4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Состав доступных сведений и действий определяется состоянием клеточной линии и полномочиями сотрудника.</w:t>
            </w:r>
          </w:p>
          <w:p w14:paraId="6B585B07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Технологический процесс клеточной линии</w:t>
            </w:r>
          </w:p>
          <w:p w14:paraId="37A913A7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Необходимо обеспечить инструмент сопровождения многоэтапного технологического процесса, включающего получение клеточной культуры, последовательное выполнение предусмотренных технологией операций и формирование готового продукта.</w:t>
            </w:r>
          </w:p>
          <w:p w14:paraId="6C63CE19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Система позволяет определить текущее положение клеточной линии в технологическом процессе, выполненные и предстоящие этапы, а также соотношение плановых и фактических сроков.</w:t>
            </w:r>
          </w:p>
          <w:p w14:paraId="4BE68C84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Последовательность, продолжительность и состав этапов определяются утвержденной технологической документацией и настройками соответствующего процесса.</w:t>
            </w:r>
          </w:p>
          <w:p w14:paraId="66A99278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Действия по дням технологического процесса</w:t>
            </w:r>
          </w:p>
          <w:p w14:paraId="126502BA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Необходимо разработать инструмент для планирования и регистрации действий, выполняемых в рамках технологического процесса, с учетом этапа, календарного периода и полномочий сотрудника.</w:t>
            </w:r>
          </w:p>
          <w:p w14:paraId="48265A15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Для действий поддерживается связь с применимой технологической документацией, используемыми материалами, оборудованием и мероприятиями контроля качества.</w:t>
            </w:r>
          </w:p>
          <w:p w14:paraId="025AC088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Система обеспечивает внесение фактических результатов и контроль полноты выполнения операций, влияющих на дальнейшее продвижение клеточной линии по технологическому процессу.</w:t>
            </w:r>
          </w:p>
          <w:p w14:paraId="6E98E045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Типы действий определяются согласно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СОПам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.</w:t>
            </w:r>
          </w:p>
          <w:p w14:paraId="79E0A01D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История работы с клеточной линией</w:t>
            </w:r>
          </w:p>
          <w:p w14:paraId="396B82C7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Необходимо обеспечить хронологическое представление сведений о работе с клеточной линией, включая выполненные действия, зафиксированные результаты и ответственных сотрудников.</w:t>
            </w:r>
          </w:p>
          <w:p w14:paraId="6C84EB13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История позволяет восстановить ход технологического процесса за выбранный период.</w:t>
            </w:r>
          </w:p>
          <w:p w14:paraId="423B2F7D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Формирование и учет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готового продукта</w:t>
            </w:r>
          </w:p>
          <w:p w14:paraId="7399A45A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Необходимо обеспечить учет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готового продукта с сохранением их связи с исходной клеточной линией.</w:t>
            </w:r>
          </w:p>
          <w:p w14:paraId="6842F7A5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Функциональность поддерживает количественные характеристики, состояние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и операции, предусмотренные их дальнейшим обращением.</w:t>
            </w:r>
          </w:p>
          <w:p w14:paraId="6C2364F5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Хранение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аликвот</w:t>
            </w:r>
            <w:proofErr w:type="spellEnd"/>
          </w:p>
          <w:p w14:paraId="24E4FA0D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Необходимо обеспечить учет условий и параметров хранения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, мест их размещения, периодов хранения и ответственных сотрудников.</w:t>
            </w:r>
          </w:p>
          <w:p w14:paraId="7F597FB0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Система контролирует полноту сведений, необходимых для фиксации хранения, поддерживать регистрацию отклонений и изменение состояния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в соответствии с выполненными операциями.</w:t>
            </w:r>
          </w:p>
          <w:p w14:paraId="27848145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Выдача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аликвот</w:t>
            </w:r>
            <w:proofErr w:type="spellEnd"/>
          </w:p>
          <w:p w14:paraId="215FF123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lastRenderedPageBreak/>
              <w:t xml:space="preserve">Необходимо обеспечить хранение информации о выдаче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с фиксацией связанных участников, результатов, отклонений и подтверждающих сведений.</w:t>
            </w:r>
          </w:p>
          <w:p w14:paraId="78B2809C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Функциональность поддерживает согласование выдачи, изменение состояния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, обработку случаев невозможности дальнейшего использования и формирование документов по результатам выдачи.</w:t>
            </w:r>
          </w:p>
          <w:p w14:paraId="72FCEA03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Завершение выдачи учитывает полноту предусмотренных операций по всем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клеточной линии. Выполненные действия включаются в историю работы с клеточной линией.</w:t>
            </w:r>
          </w:p>
        </w:tc>
      </w:tr>
      <w:tr w:rsidR="00A435EE" w14:paraId="5C72318D" w14:textId="77777777">
        <w:tc>
          <w:tcPr>
            <w:tcW w:w="737" w:type="dxa"/>
          </w:tcPr>
          <w:p w14:paraId="0517D35C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8.2</w:t>
            </w:r>
          </w:p>
        </w:tc>
        <w:tc>
          <w:tcPr>
            <w:tcW w:w="2043" w:type="dxa"/>
          </w:tcPr>
          <w:p w14:paraId="7E14228C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Раздел «Отчетность и Аналитика»</w:t>
            </w:r>
          </w:p>
        </w:tc>
        <w:tc>
          <w:tcPr>
            <w:tcW w:w="7852" w:type="dxa"/>
          </w:tcPr>
          <w:p w14:paraId="657E428D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В основной навигации предусмотреть раздел «Отчетность и Аналитика», объединяющий сведения об использовании расходных материалов и обращении биомедицинских продуктов.</w:t>
            </w:r>
          </w:p>
          <w:p w14:paraId="37CC186E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Состав доступных элементов навигации определяется полномочиями сотрудника.</w:t>
            </w:r>
          </w:p>
          <w:p w14:paraId="2BD1FB72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Раздел предназначен для обобщенного представления и анализа производственных данных в пределах полномочий сотрудника.</w:t>
            </w:r>
          </w:p>
          <w:p w14:paraId="31A802D5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Функциональность обеспечивает формирование выборок, применение условий отбора, получение обобщенных показателей и переход к связанным детальным сведениям.</w:t>
            </w:r>
          </w:p>
          <w:p w14:paraId="1581649F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Учет расходного материала</w:t>
            </w:r>
          </w:p>
          <w:p w14:paraId="1FFDE6EE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Необходимо обеспечить представление сведений об использовании расходных материалов в производственных процессах.</w:t>
            </w:r>
          </w:p>
          <w:p w14:paraId="6A90F0A8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В системе поддерживаться оценка плановых и фактических показателей, формирование выборок в необходимых разрезах и получение детализации по операциям, повлиявшим на итоговые значения.</w:t>
            </w:r>
          </w:p>
          <w:p w14:paraId="556D3FB6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Учет биомедицинских продуктов</w:t>
            </w:r>
          </w:p>
          <w:p w14:paraId="5B320B6C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Необходимо обеспечить сводное представление сведений о произведенных биомедицинских продуктах и связанных с ними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аликвотах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  <w:p w14:paraId="29ED1410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Журнал выданных продуктов</w:t>
            </w:r>
          </w:p>
          <w:p w14:paraId="07277DE3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Необходимо обеспечить представление сведений о выданных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аликвотах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с возможностью их идентификации, поиска, отбора и перехода к связанным данным клеточной линии.</w:t>
            </w:r>
          </w:p>
          <w:p w14:paraId="1115194D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Журнал отражает существенные сведения о продукте и факте выдачи и использоваться в режиме просмотра.</w:t>
            </w:r>
          </w:p>
          <w:p w14:paraId="71785C69" w14:textId="77777777" w:rsidR="00A435EE" w:rsidRDefault="00370CC3">
            <w:pPr>
              <w:pStyle w:val="110"/>
              <w:rPr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Аналитические показатели</w:t>
            </w:r>
          </w:p>
          <w:p w14:paraId="317E2640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Необходимо обеспечить формирование обобщенных показателей по жизненному циклу биомедицинских продуктов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аликвот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, включая сведения об их создании, состоянии, хранении, выдаче, отклонениях и прекращении дальнейшего использования.</w:t>
            </w:r>
          </w:p>
          <w:p w14:paraId="4F8E33B3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Аналитическое представление поддерживает отбор данных по значимым производственным признакам и детализацию до записей, на основании которых сформированы показатели.</w:t>
            </w:r>
          </w:p>
          <w:p w14:paraId="1D623AB0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Типы действий, перечень отчётных показателей, форматы отчётности, а также параметры фильтрации и выборки данных определяются в ходе исполнения работ по Контракту и подлежат согласованию с Заказчиком. Не позднее 5 рабочих дней с даты заключения Контракта Исполнитель направляет указанные сведения на согласование в письменном виде на адрес электронной почты Заказчика. Заказчик направляет Исполнителю своё решение не позднее 3 рабочих дней с даты получения запроса на согласование.</w:t>
            </w:r>
          </w:p>
        </w:tc>
      </w:tr>
      <w:tr w:rsidR="00A435EE" w14:paraId="6F4A86B8" w14:textId="77777777">
        <w:tc>
          <w:tcPr>
            <w:tcW w:w="737" w:type="dxa"/>
          </w:tcPr>
          <w:p w14:paraId="23E3D03B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9</w:t>
            </w:r>
          </w:p>
        </w:tc>
        <w:tc>
          <w:tcPr>
            <w:tcW w:w="2043" w:type="dxa"/>
          </w:tcPr>
          <w:p w14:paraId="75B83163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Роли и разграничение доступа</w:t>
            </w:r>
          </w:p>
        </w:tc>
        <w:tc>
          <w:tcPr>
            <w:tcW w:w="7852" w:type="dxa"/>
          </w:tcPr>
          <w:p w14:paraId="364B8785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Доступ к новым функциям, данным и операциям определяется набором PBAC-разрешений сотрудника.</w:t>
            </w:r>
          </w:p>
          <w:p w14:paraId="0A9ACA2B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Администрирование доступа выполняется средствами Системы. Для производственного и аналитического направлений предусмотрена возможность независимого предоставления полномочий с учетом выполняемых сотрудниками функций.</w:t>
            </w:r>
          </w:p>
        </w:tc>
      </w:tr>
      <w:tr w:rsidR="00A435EE" w14:paraId="0D49DE28" w14:textId="77777777">
        <w:tc>
          <w:tcPr>
            <w:tcW w:w="737" w:type="dxa"/>
          </w:tcPr>
          <w:p w14:paraId="191F3C67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2043" w:type="dxa"/>
          </w:tcPr>
          <w:p w14:paraId="5E5D031F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Требования к качеству и совместимости</w:t>
            </w:r>
          </w:p>
        </w:tc>
        <w:tc>
          <w:tcPr>
            <w:tcW w:w="7852" w:type="dxa"/>
          </w:tcPr>
          <w:p w14:paraId="314DB5F2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Функции Системы, не затронутые настоящим описанием объекта закупки, после модернизации остаются работоспособными. Доработка обеспечивает устойчивую работу с производственными данными, сохранение их целостности и согласованности, а также прослеживаемость значимых операций. Информационно-аналитические функции не изменяют исходные производственные данные.</w:t>
            </w:r>
          </w:p>
        </w:tc>
      </w:tr>
      <w:tr w:rsidR="00A435EE" w14:paraId="2AA4856C" w14:textId="77777777">
        <w:tc>
          <w:tcPr>
            <w:tcW w:w="737" w:type="dxa"/>
          </w:tcPr>
          <w:p w14:paraId="65DC64D1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2043" w:type="dxa"/>
          </w:tcPr>
          <w:p w14:paraId="5314A048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Требования к патентной чистоте</w:t>
            </w:r>
          </w:p>
        </w:tc>
        <w:tc>
          <w:tcPr>
            <w:tcW w:w="7852" w:type="dxa"/>
          </w:tcPr>
          <w:p w14:paraId="5955DBBF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Патентная чистота оказанных услуг соответствует требованиям к патентной чистоте, установленным действующим законодательством Российской Федерации.</w:t>
            </w:r>
          </w:p>
          <w:p w14:paraId="4DDC1650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Исполнитель использует только объекты интеллектуальной собственности, права на которые приобретены (получены) и используются без нарушения прав на интеллектуальную собственность третьих лиц, с соблюдением авторских, смежных, патентных и иных прав разработчиков используемых сторонних компонентов.</w:t>
            </w:r>
          </w:p>
          <w:p w14:paraId="0F50D26F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В случае если при оказании услуг по модернизации Системы использованы объекты интеллектуальной собственности, исключительные права на которые принадлежат третьим лицам, Исполнитель обязуется получить необходимые права на использование данных объектов и передать указанные права Заказчику.</w:t>
            </w:r>
          </w:p>
          <w:p w14:paraId="2AA597DC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Оказание услуг по модернизации подразумевает передачу Заказчику прав на модернизированную Систему со всей необходимой документацией в соответствии с действующим законодательством, которое будет использоваться при модернизации.</w:t>
            </w:r>
          </w:p>
          <w:p w14:paraId="2DBF9ADB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Исключительные права на результаты интеллектуальной деятельности, созданные в рамках исполнения Контракта, передаются Исполнителем Заказчику по факту оказания услуг путём заключения договора об отчуждении исключительного права. К таким результатам относятся в том числе, но не ограничиваясь: изобретения, полезные модели, промышленные образцы, программы для электронных вычислительных машин, базы данных, топологии интегральных микросхем, результаты оказанных услуг, включая объекты авторских прав и потенциально патентоспособные технические решения, а также секреты производства (ноу-хау).</w:t>
            </w:r>
          </w:p>
        </w:tc>
      </w:tr>
      <w:tr w:rsidR="00A435EE" w14:paraId="49D715C8" w14:textId="77777777">
        <w:tc>
          <w:tcPr>
            <w:tcW w:w="737" w:type="dxa"/>
          </w:tcPr>
          <w:p w14:paraId="049F4D1D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2043" w:type="dxa"/>
          </w:tcPr>
          <w:p w14:paraId="6E5E12F2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Требования к проведению консультационных мероприятий с пользователями и администраторами</w:t>
            </w:r>
          </w:p>
        </w:tc>
        <w:tc>
          <w:tcPr>
            <w:tcW w:w="7852" w:type="dxa"/>
          </w:tcPr>
          <w:p w14:paraId="2A09BDB5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Исполнитель проводит одно очное консультационное мероприятие для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администраторов и пользователей Системы продолжительностью не менее 2-х часов для демонстрации новых функций. В ходе мероприятия рассматриваются приемы оказанных услуг с новыми функциями Системы.</w:t>
            </w:r>
          </w:p>
          <w:p w14:paraId="52BFA2E4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Площадку для проведения консультационного мероприятия предоставляет Заказчик.</w:t>
            </w:r>
          </w:p>
          <w:p w14:paraId="1CD8F260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Уведомление пользователей и администраторов Системы о предстоящем консультационном мероприятии осуществляет Заказчик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A435EE" w14:paraId="60FC67EE" w14:textId="77777777">
        <w:tc>
          <w:tcPr>
            <w:tcW w:w="737" w:type="dxa"/>
          </w:tcPr>
          <w:p w14:paraId="5B6B6961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2043" w:type="dxa"/>
          </w:tcPr>
          <w:p w14:paraId="42B69245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 xml:space="preserve">Требования к порядку приемо-сдаточных испытаний оказанных услуг 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lastRenderedPageBreak/>
              <w:t>по модернизации Системы</w:t>
            </w:r>
          </w:p>
        </w:tc>
        <w:tc>
          <w:tcPr>
            <w:tcW w:w="7852" w:type="dxa"/>
          </w:tcPr>
          <w:p w14:paraId="71162759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Исполнитель осуществляет разработку документа «Программа и методика приемо-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сдаточных испытаний».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предоставляет Заказчику на утверждение программу и методику приемо-сдаточных испытаний оказанных услуг по модернизации Системы и форму протокола 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lastRenderedPageBreak/>
              <w:t>приемо-сдаточных испытаний оказанных услуг по модернизации Системы не позднее 12.11.2026.</w:t>
            </w:r>
          </w:p>
          <w:p w14:paraId="79F069B4" w14:textId="77777777" w:rsidR="00A435EE" w:rsidRDefault="00370CC3">
            <w:pPr>
              <w:pStyle w:val="110"/>
              <w:rPr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Заказчик утверждает программу и методику приемо-сдаточных испытаний оказанных услуг по модернизации Системы и форму протокола приемо-сдаточных испытаний оказанных услуг по модернизации Системы в течение 5 (пяти) рабочих дней с даты их предоставления Исполнителем.</w:t>
            </w:r>
          </w:p>
          <w:p w14:paraId="17141FA5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В процессе приемо-сдаточных испытаний оказанных услуг по модернизации Системы Исполнитель осуществляет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7A0EBD27" w14:textId="77777777" w:rsidR="00A435EE" w:rsidRDefault="00370CC3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совместно с представителями Заказчика проверку работоспособности результата оказанных услуг по модернизации и его соответствия требованиям настоящего описания объекта закупки в соответствии с разработанной программой и методикой приемо-сдаточных испытаний;</w:t>
            </w:r>
          </w:p>
          <w:p w14:paraId="227B748F" w14:textId="77777777" w:rsidR="00A435EE" w:rsidRDefault="00370CC3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устранение неисправностей модернизированной Системы, выявленных при проведении приемо-сдаточных испытаний, внесение изменений в эксплуатационную документацию и повторное проведение проверки при необходимости;</w:t>
            </w:r>
          </w:p>
          <w:p w14:paraId="7533614C" w14:textId="77777777" w:rsidR="00A435EE" w:rsidRDefault="00370CC3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оформление протокола или протоколов приемо-сдаточных испытаний оказанных услуг по модернизации Системы.</w:t>
            </w:r>
          </w:p>
          <w:p w14:paraId="4F288829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До передачи результата Исполнитель выполняет необходимые проверки работоспособности, взаимодействия доработанных функций и основных пользовательских сценариев. Проверке подлежит корректность предоставления доступа к функциям и данным в соответствии с полномочиями сотрудников. Обнаруженные несоответствия требованиям настоящего описания объекта закупки устраняются до приемки результата оказанных услуг.</w:t>
            </w:r>
          </w:p>
        </w:tc>
      </w:tr>
      <w:tr w:rsidR="00A435EE" w14:paraId="3DFE7CD1" w14:textId="77777777">
        <w:tc>
          <w:tcPr>
            <w:tcW w:w="737" w:type="dxa"/>
          </w:tcPr>
          <w:p w14:paraId="4E2C09E6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14</w:t>
            </w:r>
          </w:p>
        </w:tc>
        <w:tc>
          <w:tcPr>
            <w:tcW w:w="2043" w:type="dxa"/>
          </w:tcPr>
          <w:p w14:paraId="0A84A0BD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Срок и объем предоставления гарантийного периода</w:t>
            </w:r>
          </w:p>
        </w:tc>
        <w:tc>
          <w:tcPr>
            <w:tcW w:w="7852" w:type="dxa"/>
          </w:tcPr>
          <w:p w14:paraId="1D172085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Срок гарантийного периода составляет 12 (двенадцать) месяцев с даты подписания Заказчиком документа о приемке.</w:t>
            </w:r>
          </w:p>
          <w:p w14:paraId="1B474817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Гарантийное обслуживание не распространяется на случаи, когда Заказчиком или третьими лицами были внесены изменения в код программного обеспечения Системы в части оказания услуг по модернизации Системы.</w:t>
            </w:r>
          </w:p>
          <w:p w14:paraId="18A54F8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Для обеспечения взаимодействия в рамках гарантийного периода Исполнитель предоставляет Заказчику:</w:t>
            </w:r>
          </w:p>
          <w:p w14:paraId="18E9D314" w14:textId="77777777" w:rsidR="00A435EE" w:rsidRDefault="00370CC3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контактные данные специалистов, доступных для связи;</w:t>
            </w:r>
          </w:p>
          <w:p w14:paraId="5D536D99" w14:textId="77777777" w:rsidR="00A435EE" w:rsidRDefault="00370CC3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адрес электронной почты для направления официальных писем;</w:t>
            </w:r>
          </w:p>
          <w:p w14:paraId="64A05D6C" w14:textId="77777777" w:rsidR="00A435EE" w:rsidRDefault="00370CC3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телефонный номер для оперативной связи;</w:t>
            </w:r>
          </w:p>
          <w:p w14:paraId="772CE614" w14:textId="77777777" w:rsidR="00A435EE" w:rsidRDefault="00370CC3">
            <w:pPr>
              <w:numPr>
                <w:ilvl w:val="0"/>
                <w:numId w:val="1"/>
              </w:numPr>
              <w:spacing w:after="40"/>
              <w:ind w:left="312" w:hanging="17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почтовый адрес для направления официальных писем.</w:t>
            </w:r>
          </w:p>
          <w:p w14:paraId="1083720C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обнаружении в течение гарантийного периода несоответствия результата оказанных услуг требованиям настоящего описания объекта закупки Исполнитель обязуется безвозмездно оказать услуги по устранению выявленных несоответствий в срок, согласованный с Заказчиком.</w:t>
            </w:r>
          </w:p>
          <w:p w14:paraId="1DBAF5AD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Порядок устранения выявленных несоответствий</w:t>
            </w:r>
          </w:p>
          <w:p w14:paraId="286FB3FB" w14:textId="77777777" w:rsidR="00A435EE" w:rsidRDefault="00370CC3">
            <w:pPr>
              <w:pStyle w:val="1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При выявлении несоответствия Заказчик направляет Исполнителю письменное уведомление с описанием несоответствия, условий его обнаружения и, при наличии, подтверждающими материалами.</w:t>
            </w:r>
          </w:p>
          <w:p w14:paraId="60587E9F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Исполнитель в течение 3 (трех) рабочих дней со дня получения уведомления подтверждает его получение и при необходимости запрашивает сведения или доступ, необходимые для диагностики. В течение 5 (пяти) рабочих дней со дня получения уведомления Исполнитель направляет Заказчику заключение о причинах несоответствия и предложение о порядке и сроке его устранения. Если для подготовки заключения необходимы дополнительные сведения или доступ, Исполнитель указывает это в ответе на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уведомление, а срок направления заключения исчисляется со дня их предоставления.</w:t>
            </w:r>
          </w:p>
        </w:tc>
      </w:tr>
      <w:tr w:rsidR="00A435EE" w14:paraId="7D1B1FCF" w14:textId="77777777">
        <w:tc>
          <w:tcPr>
            <w:tcW w:w="737" w:type="dxa"/>
          </w:tcPr>
          <w:p w14:paraId="67073CB5" w14:textId="77777777" w:rsidR="00A435EE" w:rsidRDefault="00370CC3">
            <w:pPr>
              <w:spacing w:after="60"/>
              <w:jc w:val="center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15</w:t>
            </w:r>
          </w:p>
        </w:tc>
        <w:tc>
          <w:tcPr>
            <w:tcW w:w="2043" w:type="dxa"/>
          </w:tcPr>
          <w:p w14:paraId="1BB0E358" w14:textId="77777777" w:rsidR="00A435EE" w:rsidRDefault="00370CC3">
            <w:pPr>
              <w:spacing w:after="60"/>
              <w:rPr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Cs/>
                <w:sz w:val="23"/>
                <w:szCs w:val="23"/>
              </w:rPr>
              <w:t>Результат оказания услуг</w:t>
            </w:r>
          </w:p>
        </w:tc>
        <w:tc>
          <w:tcPr>
            <w:tcW w:w="7852" w:type="dxa"/>
          </w:tcPr>
          <w:p w14:paraId="6C0E568C" w14:textId="77777777" w:rsidR="00A435EE" w:rsidRDefault="00370CC3">
            <w:pPr>
              <w:pStyle w:val="110"/>
              <w:rPr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Результатом оказанных услуг является доработанная Система, в которой реализованы описанные в настоящем описании объекта закупки изменения производственного раздела и раздела аналитической отчетности. В состав результата входит комплекс изменений программного обеспечения, настроек и документации, необходимый для работы предусмотренных настоящим описанием объекта закупки функций. Доработанная Система разворачивается и запускается в тестовом контуре. При предоставлении Заказчиком необходимого доступа доработанная Система также разворачивается и запускается в продуктивном контуре.</w:t>
            </w:r>
          </w:p>
        </w:tc>
      </w:tr>
    </w:tbl>
    <w:p w14:paraId="14A03838" w14:textId="315EECB0" w:rsidR="00A435EE" w:rsidRDefault="00A435EE"/>
    <w:p w14:paraId="21AAF76D" w14:textId="36E2E21F" w:rsidR="00F450BD" w:rsidRDefault="00F450BD"/>
    <w:p w14:paraId="39098AB7" w14:textId="77777777" w:rsidR="00F450BD" w:rsidRDefault="00F450BD"/>
    <w:p w14:paraId="61998519" w14:textId="2100A8F8" w:rsidR="00A435EE" w:rsidRDefault="00F450BD">
      <w:proofErr w:type="gramStart"/>
      <w:r>
        <w:t xml:space="preserve">Согласовано:   </w:t>
      </w:r>
      <w:proofErr w:type="gramEnd"/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</w:t>
      </w:r>
    </w:p>
    <w:sectPr w:rsidR="00A435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454" w:left="1701" w:header="284" w:footer="397" w:gutter="0"/>
      <w:pgNumType w:start="1"/>
      <w:cols w:space="720"/>
      <w:formProt w:val="0"/>
      <w:titlePg/>
      <w:docGrid w:linePitch="10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D579B" w14:textId="77777777" w:rsidR="00222B4F" w:rsidRDefault="00222B4F">
      <w:r>
        <w:separator/>
      </w:r>
    </w:p>
  </w:endnote>
  <w:endnote w:type="continuationSeparator" w:id="0">
    <w:p w14:paraId="1C254958" w14:textId="77777777" w:rsidR="00222B4F" w:rsidRDefault="00222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F6EF9" w14:textId="77777777" w:rsidR="00A435EE" w:rsidRDefault="00A435EE">
    <w:pPr>
      <w:pStyle w:val="1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B2617" w14:textId="77777777" w:rsidR="00A435EE" w:rsidRDefault="00A435EE">
    <w:pPr>
      <w:pStyle w:val="a4"/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8B187" w14:textId="77777777" w:rsidR="00A435EE" w:rsidRDefault="00A435EE">
    <w:pPr>
      <w:pStyle w:val="a4"/>
      <w:jc w:val="center"/>
      <w:rPr>
        <w:sz w:val="22"/>
      </w:rPr>
    </w:pPr>
  </w:p>
  <w:p w14:paraId="3EDF5B97" w14:textId="77777777" w:rsidR="00A435EE" w:rsidRDefault="00A435EE">
    <w:pPr>
      <w:pStyle w:val="a4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29216" w14:textId="77777777" w:rsidR="00222B4F" w:rsidRDefault="00222B4F">
      <w:r>
        <w:separator/>
      </w:r>
    </w:p>
  </w:footnote>
  <w:footnote w:type="continuationSeparator" w:id="0">
    <w:p w14:paraId="6318B729" w14:textId="77777777" w:rsidR="00222B4F" w:rsidRDefault="00222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52E9E" w14:textId="77777777" w:rsidR="00A435EE" w:rsidRDefault="00A435EE">
    <w:pPr>
      <w:pStyle w:val="1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6BA5D" w14:textId="77777777" w:rsidR="00A435EE" w:rsidRDefault="00A435E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182BA" w14:textId="77777777" w:rsidR="00A435EE" w:rsidRDefault="00A435E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922B5"/>
    <w:multiLevelType w:val="multilevel"/>
    <w:tmpl w:val="4132A6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40415E"/>
    <w:multiLevelType w:val="multilevel"/>
    <w:tmpl w:val="C6C63ED0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" w15:restartNumberingAfterBreak="0">
    <w:nsid w:val="44110EE5"/>
    <w:multiLevelType w:val="multilevel"/>
    <w:tmpl w:val="431CEC74"/>
    <w:lvl w:ilvl="0">
      <w:start w:val="1"/>
      <w:numFmt w:val="bullet"/>
      <w:pStyle w:val="2"/>
      <w:lvlText w:val=""/>
      <w:lvlJc w:val="left"/>
      <w:pPr>
        <w:tabs>
          <w:tab w:val="num" w:pos="500"/>
        </w:tabs>
        <w:ind w:left="50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AC200D9"/>
    <w:multiLevelType w:val="multilevel"/>
    <w:tmpl w:val="790417C8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27C0575"/>
    <w:multiLevelType w:val="multilevel"/>
    <w:tmpl w:val="05C808D0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EE"/>
    <w:rsid w:val="00074DD2"/>
    <w:rsid w:val="00222B4F"/>
    <w:rsid w:val="00370CC3"/>
    <w:rsid w:val="00836AFE"/>
    <w:rsid w:val="00A435EE"/>
    <w:rsid w:val="00A77D19"/>
    <w:rsid w:val="00F02F01"/>
    <w:rsid w:val="00F13335"/>
    <w:rsid w:val="00F4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E7B37"/>
  <w15:docId w15:val="{01F2F84B-E493-473C-B5D3-91E32733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4033"/>
    <w:rPr>
      <w:rFonts w:ascii="Calibri" w:eastAsia="Tahoma" w:hAnsi="Calibri" w:cs="Noto Sans"/>
      <w:color w:val="000000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link w:val="12"/>
    <w:qFormat/>
    <w:rsid w:val="00504033"/>
    <w:rPr>
      <w:rFonts w:ascii="Times New Roman" w:hAnsi="Times New Roman"/>
    </w:rPr>
  </w:style>
  <w:style w:type="character" w:customStyle="1" w:styleId="a3">
    <w:name w:val="Нижний колонтитул Знак"/>
    <w:basedOn w:val="a0"/>
    <w:link w:val="a4"/>
    <w:qFormat/>
    <w:rsid w:val="00504033"/>
    <w:rPr>
      <w:rFonts w:ascii="Times New Roman" w:hAnsi="Times New Roman"/>
      <w:sz w:val="20"/>
    </w:rPr>
  </w:style>
  <w:style w:type="character" w:customStyle="1" w:styleId="a5">
    <w:name w:val="Верхний колонтитул Знак"/>
    <w:basedOn w:val="a0"/>
    <w:link w:val="a6"/>
    <w:qFormat/>
    <w:rsid w:val="00504033"/>
  </w:style>
  <w:style w:type="character" w:customStyle="1" w:styleId="11">
    <w:name w:val="11 обыч Знак"/>
    <w:basedOn w:val="a0"/>
    <w:link w:val="110"/>
    <w:qFormat/>
    <w:rsid w:val="00504033"/>
    <w:rPr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qFormat/>
    <w:rsid w:val="00504033"/>
    <w:rPr>
      <w:rFonts w:ascii="Calibri" w:eastAsia="Tahoma" w:hAnsi="Calibri" w:cs="Mangal"/>
      <w:color w:val="000000"/>
      <w:sz w:val="20"/>
      <w:szCs w:val="18"/>
      <w:lang w:eastAsia="zh-CN" w:bidi="hi-IN"/>
    </w:rPr>
  </w:style>
  <w:style w:type="character" w:styleId="a9">
    <w:name w:val="annotation reference"/>
    <w:basedOn w:val="a0"/>
    <w:uiPriority w:val="99"/>
    <w:semiHidden/>
    <w:unhideWhenUsed/>
    <w:qFormat/>
    <w:rsid w:val="00504033"/>
    <w:rPr>
      <w:sz w:val="16"/>
      <w:szCs w:val="16"/>
    </w:rPr>
  </w:style>
  <w:style w:type="character" w:customStyle="1" w:styleId="10">
    <w:name w:val="Нижний колонтитул Знак1"/>
    <w:basedOn w:val="a0"/>
    <w:uiPriority w:val="99"/>
    <w:semiHidden/>
    <w:qFormat/>
    <w:rsid w:val="00504033"/>
    <w:rPr>
      <w:rFonts w:ascii="Calibri" w:eastAsia="Tahoma" w:hAnsi="Calibri" w:cs="Mangal"/>
      <w:color w:val="000000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qFormat/>
    <w:rsid w:val="00504033"/>
    <w:rPr>
      <w:rFonts w:ascii="Calibri" w:eastAsia="Tahoma" w:hAnsi="Calibri" w:cs="Mangal"/>
      <w:color w:val="000000"/>
      <w:szCs w:val="20"/>
      <w:lang w:eastAsia="zh-CN" w:bidi="hi-IN"/>
    </w:rPr>
  </w:style>
  <w:style w:type="character" w:customStyle="1" w:styleId="14">
    <w:name w:val="Текст примечания Знак1"/>
    <w:basedOn w:val="a0"/>
    <w:uiPriority w:val="99"/>
    <w:semiHidden/>
    <w:qFormat/>
    <w:rsid w:val="00504033"/>
    <w:rPr>
      <w:rFonts w:ascii="Calibri" w:eastAsia="Tahoma" w:hAnsi="Calibri" w:cs="Mangal"/>
      <w:color w:val="000000"/>
      <w:sz w:val="20"/>
      <w:szCs w:val="18"/>
      <w:lang w:eastAsia="zh-CN" w:bidi="hi-IN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504033"/>
    <w:rPr>
      <w:rFonts w:ascii="Segoe UI" w:eastAsia="Tahoma" w:hAnsi="Segoe UI" w:cs="Mangal"/>
      <w:color w:val="000000"/>
      <w:sz w:val="18"/>
      <w:szCs w:val="16"/>
      <w:lang w:eastAsia="zh-CN" w:bidi="hi-IN"/>
    </w:rPr>
  </w:style>
  <w:style w:type="character" w:styleId="ac">
    <w:name w:val="Hyperlink"/>
    <w:rPr>
      <w:color w:val="00008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af2">
    <w:name w:val="Колонтитулы"/>
    <w:basedOn w:val="a"/>
    <w:qFormat/>
  </w:style>
  <w:style w:type="paragraph" w:styleId="a4">
    <w:name w:val="footer"/>
    <w:basedOn w:val="12"/>
    <w:link w:val="a3"/>
    <w:rsid w:val="00504033"/>
    <w:pPr>
      <w:tabs>
        <w:tab w:val="center" w:pos="4677"/>
        <w:tab w:val="right" w:pos="9355"/>
      </w:tabs>
    </w:pPr>
    <w:rPr>
      <w:sz w:val="20"/>
    </w:rPr>
  </w:style>
  <w:style w:type="paragraph" w:customStyle="1" w:styleId="12">
    <w:name w:val="Обычный12"/>
    <w:link w:val="1"/>
    <w:qFormat/>
    <w:rsid w:val="00504033"/>
    <w:pPr>
      <w:spacing w:line="100" w:lineRule="atLeast"/>
      <w:jc w:val="both"/>
    </w:pPr>
    <w:rPr>
      <w:rFonts w:ascii="Times New Roman" w:hAnsi="Times New Roman"/>
    </w:rPr>
  </w:style>
  <w:style w:type="paragraph" w:styleId="a6">
    <w:name w:val="header"/>
    <w:basedOn w:val="12"/>
    <w:link w:val="a5"/>
    <w:rsid w:val="00504033"/>
    <w:pPr>
      <w:tabs>
        <w:tab w:val="center" w:pos="4677"/>
        <w:tab w:val="right" w:pos="9355"/>
      </w:tabs>
      <w:jc w:val="left"/>
    </w:pPr>
    <w:rPr>
      <w:rFonts w:asciiTheme="minorHAnsi" w:hAnsiTheme="minorHAnsi"/>
    </w:rPr>
  </w:style>
  <w:style w:type="paragraph" w:customStyle="1" w:styleId="2">
    <w:name w:val="ГВ_ Заголовок 2"/>
    <w:uiPriority w:val="99"/>
    <w:qFormat/>
    <w:rsid w:val="00504033"/>
    <w:pPr>
      <w:numPr>
        <w:numId w:val="1"/>
      </w:numPr>
    </w:pPr>
    <w:rPr>
      <w:rFonts w:ascii="Times New Roman" w:eastAsia="SimSun" w:hAnsi="Times New Roman" w:cs="Times New Roman"/>
      <w:bCs/>
      <w:iCs/>
      <w:smallCaps/>
      <w:sz w:val="24"/>
      <w:szCs w:val="20"/>
      <w:lang w:eastAsia="ru-RU"/>
    </w:rPr>
  </w:style>
  <w:style w:type="paragraph" w:customStyle="1" w:styleId="110">
    <w:name w:val="11 обыч"/>
    <w:link w:val="11"/>
    <w:autoRedefine/>
    <w:qFormat/>
    <w:rsid w:val="00504033"/>
    <w:pPr>
      <w:ind w:firstLine="567"/>
      <w:jc w:val="both"/>
    </w:pPr>
    <w:rPr>
      <w:sz w:val="20"/>
      <w:szCs w:val="20"/>
    </w:rPr>
  </w:style>
  <w:style w:type="paragraph" w:styleId="a8">
    <w:name w:val="annotation text"/>
    <w:basedOn w:val="a"/>
    <w:link w:val="a7"/>
    <w:uiPriority w:val="99"/>
    <w:semiHidden/>
    <w:unhideWhenUsed/>
    <w:rsid w:val="00504033"/>
    <w:rPr>
      <w:rFonts w:cs="Mangal"/>
      <w:sz w:val="20"/>
      <w:szCs w:val="18"/>
    </w:rPr>
  </w:style>
  <w:style w:type="paragraph" w:styleId="ab">
    <w:name w:val="Balloon Text"/>
    <w:basedOn w:val="a"/>
    <w:link w:val="aa"/>
    <w:uiPriority w:val="99"/>
    <w:semiHidden/>
    <w:unhideWhenUsed/>
    <w:qFormat/>
    <w:rsid w:val="00504033"/>
    <w:rPr>
      <w:rFonts w:ascii="Segoe UI" w:hAnsi="Segoe UI" w:cs="Mangal"/>
      <w:sz w:val="18"/>
      <w:szCs w:val="16"/>
    </w:rPr>
  </w:style>
  <w:style w:type="paragraph" w:customStyle="1" w:styleId="af3">
    <w:name w:val="Комментарий"/>
    <w:basedOn w:val="a"/>
    <w:qFormat/>
    <w:pPr>
      <w:spacing w:before="56"/>
      <w:ind w:left="56" w:right="56"/>
    </w:pPr>
    <w:rPr>
      <w:sz w:val="20"/>
    </w:rPr>
  </w:style>
  <w:style w:type="numbering" w:customStyle="1" w:styleId="af4">
    <w:name w:val="Без списка"/>
    <w:uiPriority w:val="99"/>
    <w:semiHidden/>
    <w:unhideWhenUsed/>
    <w:qFormat/>
  </w:style>
  <w:style w:type="table" w:styleId="af5">
    <w:name w:val="Table Grid"/>
    <w:basedOn w:val="a1"/>
    <w:uiPriority w:val="39"/>
    <w:rsid w:val="0050403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0650730/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4195</Words>
  <Characters>23913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marketing_17</dc:creator>
  <dc:description/>
  <cp:lastModifiedBy>marketing_17</cp:lastModifiedBy>
  <cp:revision>5</cp:revision>
  <dcterms:created xsi:type="dcterms:W3CDTF">2026-10-05T13:39:00Z</dcterms:created>
  <dcterms:modified xsi:type="dcterms:W3CDTF">2026-10-13T12:05:00Z</dcterms:modified>
  <dc:language>ru-RU</dc:language>
</cp:coreProperties>
</file>