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(для электронного конкурса)</w:t>
      </w:r>
    </w:p>
    <w:p>
      <w:pPr>
        <w:pStyle w:val="Normal"/>
        <w:bidi w:val="0"/>
        <w:spacing w:lineRule="auto" w:line="240" w:before="0" w:after="0"/>
        <w:ind w:hanging="0" w:left="0" w:right="0"/>
        <w:jc w:val="both"/>
        <w:rPr/>
      </w:pPr>
      <w:r>
        <w:rPr/>
      </w:r>
    </w:p>
    <w:p>
      <w:pPr>
        <w:pStyle w:val="Normal"/>
        <w:bidi w:val="0"/>
        <w:spacing w:lineRule="auto" w:line="240" w:before="0" w:after="0"/>
        <w:ind w:hanging="0" w:left="0" w:right="0"/>
        <w:jc w:val="both"/>
        <w:rPr/>
      </w:pPr>
      <w:r>
        <w:rPr>
          <w:rFonts w:eastAsia="Times New Roman" w:cs="Times New Roman" w:ascii="Times New Roman" w:hAnsi="Times New Roman"/>
          <w:b/>
          <w:sz w:val="24"/>
          <w:u w:val="none"/>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pPr>
        <w:pStyle w:val="Normal"/>
        <w:bidi w:val="0"/>
        <w:spacing w:lineRule="auto" w:line="240" w:before="0" w:after="0"/>
        <w:ind w:hanging="0" w:left="0" w:right="0"/>
        <w:jc w:val="both"/>
        <w:rPr/>
      </w:pPr>
      <w:r>
        <w:rPr/>
      </w:r>
    </w:p>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1. СОДЕРЖАНИЕ, СОСТАВ ЗАЯВКИ НА УЧАСТИЕ В ЗАКУПКЕ</w:t>
      </w:r>
    </w:p>
    <w:p>
      <w:pPr>
        <w:pStyle w:val="Normal"/>
        <w:bidi w:val="0"/>
        <w:spacing w:lineRule="auto" w:line="240" w:before="0" w:after="0"/>
        <w:ind w:hanging="0" w:left="0" w:right="0"/>
        <w:jc w:val="center"/>
        <w:rPr/>
      </w:pPr>
      <w:r>
        <w:rPr/>
      </w:r>
    </w:p>
    <w:tbl>
      <w:tblPr>
        <w:tblW w:w="9623" w:type="dxa"/>
        <w:jc w:val="left"/>
        <w:tblInd w:w="118" w:type="dxa"/>
        <w:tblLayout w:type="fixed"/>
        <w:tblCellMar>
          <w:top w:w="0" w:type="dxa"/>
          <w:left w:w="108" w:type="dxa"/>
          <w:bottom w:w="0" w:type="dxa"/>
          <w:right w:w="108" w:type="dxa"/>
        </w:tblCellMar>
      </w:tblPr>
      <w:tblGrid>
        <w:gridCol w:w="1015"/>
        <w:gridCol w:w="8608"/>
      </w:tblGrid>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ПЕРВАЯ ЧАСТЬ ЗАЯВКИ НА УЧАСТИЕ В ЗАКУПКЕ</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должна содержать следующие информацию и документы</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1.1</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b/>
                <w:sz w:val="24"/>
                <w:u w:val="none"/>
              </w:rPr>
              <w:t>Предложение участника закупки в отношении объекта закупки</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3) предложение по критериям: расходы на эксплуатацию и ремонт товаров, использование результатов работ и (или) качественные, функциональные и экологические характеристики объекта закупки, установленным в соответствии с пунктами 2 и (или) 3 части 1 статьи 32 Закона № 44-ФЗ (в случае установления таких критериев).</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Отсутствие такого предложения не является основанием для отклонения заявки на участие в закупке</w:t>
            </w:r>
            <w:r>
              <w:rPr>
                <w:rFonts w:eastAsia="Times New Roman" w:cs="Times New Roman" w:ascii="Times New Roman" w:hAnsi="Times New Roman"/>
                <w:sz w:val="24"/>
                <w:u w:val="none"/>
              </w:rPr>
              <w:t>.</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4) иные информация и документы, в том числе эскиз, рисунок, чертеж, фотография, иное изображение предлагаемого участником закупки товара.</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Отсутствие таких информации и документов не является основанием для отклонения заявки на участие в закупке</w:t>
            </w:r>
            <w:r>
              <w:rPr>
                <w:rFonts w:eastAsia="Times New Roman" w:cs="Times New Roman" w:ascii="Times New Roman" w:hAnsi="Times New Roman"/>
                <w:sz w:val="24"/>
                <w:u w:val="none"/>
              </w:rPr>
              <w:t>.</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ВТОРАЯ ЧАСТЬ ЗАЯВКИ НА УЧАСТИЕ В ЗАКУПКЕ</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должна содержать следующие информацию и документы</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2.1</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2.2</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В соответствии с пунктом 1 части 1 статьи 31 Закона № 44-ФЗ </w:t>
            </w:r>
            <w:r>
              <w:rPr>
                <w:rFonts w:eastAsia="Times New Roman" w:cs="Times New Roman" w:ascii="Times New Roman" w:hAnsi="Times New Roman"/>
                <w:b/>
                <w:bCs/>
                <w:color w:val="FF4000"/>
                <w:sz w:val="24"/>
                <w:u w:val="none"/>
              </w:rPr>
              <w:t xml:space="preserve">не </w:t>
            </w:r>
            <w:r>
              <w:rPr>
                <w:rFonts w:eastAsia="Times New Roman" w:cs="Times New Roman" w:ascii="Times New Roman" w:hAnsi="Times New Roman"/>
                <w:b/>
                <w:bCs/>
                <w:color w:val="FF4000"/>
                <w:sz w:val="24"/>
                <w:u w:val="none"/>
              </w:rPr>
              <w:t>установлено</w:t>
            </w:r>
            <w:r>
              <w:rPr>
                <w:rFonts w:eastAsia="Times New Roman" w:cs="Times New Roman" w:ascii="Times New Roman" w:hAnsi="Times New Roman"/>
                <w:sz w:val="24"/>
                <w:u w:val="none"/>
              </w:rPr>
              <w:t xml:space="preserve">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2.3</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Дополнительное требование, предусмотренное частью 2 статьи 31 Закона № 44-ФЗ, </w:t>
            </w:r>
            <w:r>
              <w:rPr>
                <w:rFonts w:eastAsia="Times New Roman" w:cs="Times New Roman" w:ascii="Times New Roman" w:hAnsi="Times New Roman"/>
                <w:b/>
                <w:bCs/>
                <w:color w:val="FF4000"/>
                <w:sz w:val="24"/>
                <w:u w:val="none"/>
              </w:rPr>
              <w:t>не установлено</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Информация и документы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2.4</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 xml:space="preserve">Дополнительное требование, предусмотренное частью 2.1 статьи 31 Закона № 44-ФЗ, </w:t>
            </w:r>
            <w:r>
              <w:rPr>
                <w:rFonts w:eastAsia="Times New Roman" w:cs="Times New Roman" w:ascii="Times New Roman" w:hAnsi="Times New Roman"/>
                <w:b/>
                <w:bCs/>
                <w:color w:val="FF4000"/>
                <w:sz w:val="24"/>
                <w:u w:val="none"/>
              </w:rPr>
              <w:t>не установлено</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2.5</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2.6</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2.7</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В случае установления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предусмотренного пунктом 4 части 1 статьи 32 Закона № 44-ФЗ, заявка на участие в закупке может содержать документы, подтверждающие квалификацию участника закупки.</w:t>
            </w:r>
          </w:p>
          <w:p>
            <w:pPr>
              <w:pStyle w:val="Normal"/>
              <w:bidi w:val="0"/>
              <w:spacing w:lineRule="auto" w:line="240" w:before="56" w:after="56"/>
              <w:ind w:hanging="0" w:left="56" w:right="56"/>
              <w:jc w:val="both"/>
              <w:rPr/>
            </w:pPr>
            <w:r>
              <w:rPr>
                <w:rFonts w:eastAsia="Times New Roman" w:cs="Times New Roman" w:ascii="Times New Roman" w:hAnsi="Times New Roman"/>
                <w:i/>
                <w:sz w:val="24"/>
                <w:u w:val="none"/>
              </w:rPr>
              <w:t>Отсутствие таких документов не является основанием для признания заявки не соответствующей требованиям настоящего Федерального закона</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2.8</w:t>
            </w:r>
          </w:p>
        </w:tc>
        <w:tc>
          <w:tcPr>
            <w:tcW w:w="8608" w:type="dxa"/>
            <w:tcBorders>
              <w:top w:val="single" w:sz="8" w:space="0" w:color="000000"/>
              <w:left w:val="single" w:sz="8" w:space="0" w:color="000000"/>
              <w:bottom w:val="single" w:sz="8" w:space="0" w:color="000000"/>
              <w:right w:val="single" w:sz="8" w:space="0" w:color="000000"/>
            </w:tcBorders>
          </w:tcPr>
          <w:p>
            <w:pPr>
              <w:pStyle w:val="Normal"/>
              <w:widowControl w:val="false"/>
              <w:bidi w:val="0"/>
              <w:spacing w:before="0" w:after="0"/>
              <w:ind w:hanging="0" w:left="0" w:right="0"/>
              <w:jc w:val="both"/>
              <w:rPr>
                <w:color w:val="FF0000"/>
                <w:sz w:val="24"/>
              </w:rPr>
            </w:pPr>
            <w:r>
              <w:rPr>
                <w:rFonts w:eastAsia="Times New Roman" w:cs="Times New Roman" w:ascii="Times New Roman" w:hAnsi="Times New Roman"/>
                <w:color w:val="000000"/>
                <w:spacing w:val="0"/>
                <w:kern w:val="0"/>
                <w:sz w:val="24"/>
                <w:szCs w:val="20"/>
                <w:u w:val="none"/>
              </w:rPr>
              <w:t>Т</w:t>
            </w:r>
            <w:r>
              <w:rPr>
                <w:rFonts w:eastAsia="Times New Roman" w:cs="Times New Roman" w:ascii="Times New Roman" w:hAnsi="Times New Roman"/>
                <w:color w:val="000000"/>
                <w:spacing w:val="0"/>
                <w:kern w:val="0"/>
                <w:sz w:val="24"/>
                <w:szCs w:val="20"/>
                <w:u w:val="none"/>
              </w:rPr>
              <w:t>ребован</w:t>
            </w:r>
            <w:r>
              <w:rPr>
                <w:rFonts w:eastAsia="Times New Roman" w:cs="Times New Roman" w:ascii="Times New Roman" w:hAnsi="Times New Roman"/>
                <w:color w:val="000000"/>
                <w:spacing w:val="0"/>
                <w:kern w:val="0"/>
                <w:sz w:val="24"/>
                <w:szCs w:val="20"/>
                <w:u w:val="none"/>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w:t>
            </w:r>
            <w:r>
              <w:rPr>
                <w:rFonts w:eastAsia="Times New Roman" w:cs="Times New Roman" w:ascii="Times New Roman" w:hAnsi="Times New Roman"/>
                <w:b/>
                <w:bCs/>
                <w:color w:val="FF4000"/>
                <w:spacing w:val="0"/>
                <w:kern w:val="0"/>
                <w:sz w:val="24"/>
                <w:szCs w:val="20"/>
                <w:u w:val="none"/>
              </w:rPr>
              <w:t xml:space="preserve">не установлено </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2.9</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eastAsia="Times New Roman" w:cs="Times New Roman" w:ascii="Times New Roman" w:hAnsi="Times New Roman"/>
                <w:b/>
                <w:bCs/>
                <w:color w:val="FF4000"/>
                <w:sz w:val="24"/>
                <w:u w:val="none"/>
              </w:rPr>
              <w:t>не установлены</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3</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ТРЕТЬЯ ЧАСТЬ ЗАЯВКИ НА УЧАСТИЕ В ЗАКУПКЕ</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должна содержать предложение участника закупки о цене контракта</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4</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b/>
                <w:sz w:val="24"/>
                <w:u w:val="none"/>
              </w:rPr>
              <w:t>ДОПОЛНИТЕЛЬНАЯ ИНФОРМАЦИЯ</w:t>
            </w:r>
          </w:p>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trPr/>
        <w:tc>
          <w:tcPr>
            <w:tcW w:w="101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b/>
                <w:sz w:val="24"/>
                <w:u w:val="none"/>
              </w:rPr>
              <w:t>4.1</w:t>
            </w:r>
          </w:p>
        </w:tc>
        <w:tc>
          <w:tcPr>
            <w:tcW w:w="86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both"/>
              <w:rPr/>
            </w:pPr>
            <w:r>
              <w:rPr>
                <w:rFonts w:eastAsia="Times New Roman" w:cs="Times New Roman" w:ascii="Times New Roman" w:hAnsi="Times New Roman"/>
                <w:sz w:val="24"/>
                <w:u w:val="none"/>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pPr>
        <w:pStyle w:val="Normal"/>
        <w:bidi w:val="0"/>
        <w:spacing w:lineRule="auto" w:line="240" w:before="0" w:after="0"/>
        <w:ind w:hanging="0" w:left="0" w:right="0"/>
        <w:jc w:val="center"/>
        <w:rPr/>
      </w:pPr>
      <w:r>
        <w:rPr/>
      </w:r>
    </w:p>
    <w:p>
      <w:pPr>
        <w:pStyle w:val="Normal"/>
        <w:bidi w:val="0"/>
        <w:spacing w:lineRule="auto" w:line="240" w:before="0" w:after="0"/>
        <w:ind w:hanging="0" w:left="0" w:right="0"/>
        <w:jc w:val="center"/>
        <w:rPr/>
      </w:pPr>
      <w:r>
        <w:rPr/>
      </w:r>
    </w:p>
    <w:p>
      <w:pPr>
        <w:pStyle w:val="Normal"/>
        <w:bidi w:val="0"/>
        <w:spacing w:lineRule="auto" w:line="240" w:before="0" w:after="0"/>
        <w:ind w:hanging="0" w:left="0" w:right="0"/>
        <w:jc w:val="center"/>
        <w:rPr/>
      </w:pPr>
      <w:r>
        <w:rPr>
          <w:rFonts w:eastAsia="Times New Roman" w:cs="Times New Roman" w:ascii="Times New Roman" w:hAnsi="Times New Roman"/>
          <w:b/>
          <w:sz w:val="24"/>
          <w:u w:val="none"/>
        </w:rPr>
        <w:t>2. ИНСТРУКЦИЯ ПО ЗАПОЛНЕНИЮ ЗАЯВКИ НА УЧАСТИЕ В ЗАКУПКЕ</w:t>
      </w:r>
    </w:p>
    <w:p>
      <w:pPr>
        <w:pStyle w:val="Normal"/>
        <w:bidi w:val="0"/>
        <w:spacing w:lineRule="auto" w:line="240" w:before="0" w:after="0"/>
        <w:ind w:hanging="0" w:left="0" w:right="0"/>
        <w:jc w:val="center"/>
        <w:rPr/>
      </w:pPr>
      <w:r>
        <w:rPr/>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 44-ФЗ оператору электронной площадки, оператору специализированной электронной площадки.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Заявка на участие в закупке, подготовленная участником закупки, должна быть составлена на русском языке.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Все документы, входящие в состав заявки на участие в закупке, должны иметь четко читаемый текст.</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xml:space="preserve">№ </w:t>
      </w:r>
      <w:r>
        <w:rPr>
          <w:rFonts w:eastAsia="Times New Roman" w:cs="Times New Roman" w:ascii="Times New Roman" w:hAnsi="Times New Roman"/>
          <w:sz w:val="24"/>
          <w:u w:val="none"/>
        </w:rPr>
        <w:t>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Указанные участниками значения показателей не должны противоречить положениям, 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конкретное значение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диапазон значений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только одно значение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одно или несколько значений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участник закупки указывает в заявке все значения характеристики;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 значение характеристики не может изменяться участником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tbl>
      <w:tblPr>
        <w:tblW w:w="9634" w:type="dxa"/>
        <w:jc w:val="left"/>
        <w:tblInd w:w="118" w:type="dxa"/>
        <w:tblLayout w:type="fixed"/>
        <w:tblCellMar>
          <w:top w:w="0" w:type="dxa"/>
          <w:left w:w="108" w:type="dxa"/>
          <w:bottom w:w="0" w:type="dxa"/>
          <w:right w:w="108" w:type="dxa"/>
        </w:tblCellMar>
      </w:tblPr>
      <w:tblGrid>
        <w:gridCol w:w="7708"/>
        <w:gridCol w:w="1925"/>
      </w:tblGrid>
      <w:tr>
        <w:trPr/>
        <w:tc>
          <w:tcPr>
            <w:tcW w:w="77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92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не менее 12</w:t>
            </w:r>
          </w:p>
        </w:tc>
      </w:tr>
      <w:tr>
        <w:trPr/>
        <w:tc>
          <w:tcPr>
            <w:tcW w:w="7708"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предоставления гарантии поставщика на товар с момента подписания государственным заказчиком документа о приемке товара, месяц.</w:t>
            </w:r>
          </w:p>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Срок гарантии поставщика не может быть менее срока гарантии производителя</w:t>
            </w:r>
          </w:p>
        </w:tc>
        <w:tc>
          <w:tcPr>
            <w:tcW w:w="1925" w:type="dxa"/>
            <w:tcBorders>
              <w:top w:val="single" w:sz="8" w:space="0" w:color="000000"/>
              <w:left w:val="single" w:sz="8" w:space="0" w:color="000000"/>
              <w:bottom w:val="single" w:sz="8" w:space="0" w:color="000000"/>
              <w:right w:val="single" w:sz="8" w:space="0" w:color="000000"/>
            </w:tcBorders>
          </w:tcPr>
          <w:p>
            <w:pPr>
              <w:pStyle w:val="Normal"/>
              <w:bidi w:val="0"/>
              <w:spacing w:lineRule="auto" w:line="240" w:before="56" w:after="56"/>
              <w:ind w:hanging="0" w:left="56" w:right="56"/>
              <w:jc w:val="center"/>
              <w:rPr/>
            </w:pPr>
            <w:r>
              <w:rPr>
                <w:rFonts w:eastAsia="Times New Roman" w:cs="Times New Roman" w:ascii="Times New Roman" w:hAnsi="Times New Roman"/>
                <w:sz w:val="24"/>
                <w:u w:val="none"/>
              </w:rPr>
              <w:t>не менее 12</w:t>
            </w:r>
          </w:p>
        </w:tc>
      </w:tr>
    </w:tbl>
    <w:p>
      <w:pPr>
        <w:pStyle w:val="Normal"/>
        <w:bidi w:val="0"/>
        <w:spacing w:lineRule="auto" w:line="240" w:before="0" w:after="0"/>
        <w:ind w:firstLine="708" w:left="0" w:right="0"/>
        <w:jc w:val="both"/>
        <w:rPr/>
      </w:pPr>
      <w:r>
        <w:rPr/>
      </w:r>
    </w:p>
    <w:p>
      <w:pPr>
        <w:pStyle w:val="Normal"/>
        <w:bidi w:val="0"/>
        <w:spacing w:lineRule="auto" w:line="240" w:before="0" w:after="0"/>
        <w:ind w:firstLine="708" w:left="0" w:right="0"/>
        <w:jc w:val="both"/>
        <w:rPr/>
      </w:pPr>
      <w:r>
        <w:rPr>
          <w:rFonts w:eastAsia="Times New Roman" w:cs="Times New Roman" w:ascii="Times New Roman" w:hAnsi="Times New Roman"/>
          <w:sz w:val="24"/>
          <w:u w:val="none"/>
        </w:rP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sectPr>
      <w:type w:val="nextPage"/>
      <w:pgSz w:w="11906" w:h="16838"/>
      <w:pgMar w:left="1700" w:right="566" w:gutter="0" w:header="0" w:top="1133" w:footer="0" w:bottom="85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Tahoma" w:cs="Noto Sans"/>
      <w:color w:val="auto"/>
      <w:kern w:val="2"/>
      <w:sz w:val="22"/>
      <w:szCs w:val="24"/>
      <w:lang w:val="ru-RU" w:eastAsia="zh-CN" w:bidi="hi-IN"/>
    </w:rPr>
  </w:style>
  <w:style w:type="paragraph" w:styleId="Style14">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5">
    <w:name w:val="Указатель"/>
    <w:basedOn w:val="Normal"/>
    <w:qFormat/>
    <w:pPr>
      <w:suppressLineNumbers/>
    </w:pPr>
    <w:rPr>
      <w:rFonts w:cs="Noto Sans"/>
    </w:rPr>
  </w:style>
  <w:style w:type="paragraph" w:styleId="147714034strakhovavefd5afa91bde420a9ecf847931b5291bDataSourceProviderrukristaretoolsreportingprintdoceditorRetoolsDataSourceProviderTemplateStoragerukristaretoolsreportingprintdoceditorTemplateInfoBasedStorageGenerationCacherukristaprintdoceditorgenerationInMemoryGenerationCacheFunctionProvidersrukristaprintdoceditorevaluatorInMemoryFunctionProviderrukristaretoolsreportingprintdoceditorRetoolsFunctionProviderrukristaxsltreportingprintdocXsltReportingFunctionProviderrukristarcsprintdoceditorfunctionsRcsFunctionProvider">
    <w:name w:val="Версия сервера генератора печатных документов: 14.77 Версия клиента генератора печатных документов: 14.0.34 Текущий пользователь: strakhovav_efd5afa91bde420a9ecf847931b5291b Данные о генерации: DataSourceProvider: ru.krista.retools.reporting.print.doc.editor.RetoolsDataSourceProvider TemplateStorage: ru.krista.retools.reporting.print.doc.editor.TemplateInfoBasedStorage GenerationCache: ru.krista.print.doc.editor.generation.InMemoryGenerationCache FunctionProviders:  * ru.krista.print.doc.editor.evaluator.InMemoryFunctionProvider * ru.krista.retools.reporting.print.doc.editor.RetoolsFunctionProvider * ru.krista.xsltreporting.printdoc.XsltReportingFunctionProvider * ru.krista.rcs.print.doc.editor.functions.RcsFunctionProvider "/>
    <w:qFormat/>
    <w:pPr>
      <w:widowControl w:val="false"/>
      <w:bidi w:val="0"/>
    </w:pPr>
    <w:rPr>
      <w:rFonts w:ascii="Calibri" w:hAnsi="Calibri" w:eastAsia="Tahoma" w:cs="Noto Sans"/>
      <w:color w:val="auto"/>
      <w:kern w:val="2"/>
      <w:sz w:val="22"/>
      <w:szCs w:val="24"/>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LibreOffice/24.8.7.2$Linux_X86_64 LibreOffice_project/480$Build-2</Application>
  <AppVersion>15.0000</AppVersion>
  <Pages>6</Pages>
  <Words>2245</Words>
  <Characters>15309</Characters>
  <CharactersWithSpaces>17483</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2026-10-12T06:55:07Z</dcterms:created>
  <dc:creator>Apache POI</dc:creator>
  <dc:description/>
  <dc:language>ru-RU</dc:language>
  <cp:lastModifiedBy/>
  <dcterms:modified xsi:type="dcterms:W3CDTF">2026-10-12T09:58:31Z</dcterms:modified>
  <cp:revision>1</cp:revision>
  <dc:subject/>
  <dc:title/>
</cp:coreProperties>
</file>