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0" w:before="0"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Требования к со</w:t>
      </w:r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держанию, составу заявки на участие в закупке в соответствии с Федеральным законом от 5 апреля 2013 г. № 44-ФЗ «О контрактной системе в сфере закупок товаров, работ, услуг для обеспечения государственных и муниципальных нужд» и инструкция по ее заполнению </w:t>
      </w:r>
      <w:r>
        <w:rPr>
          <w:rFonts w:ascii="Times New Roman" w:hAnsi="Times New Roman" w:eastAsia="Times New Roman" w:cs="Times New Roman"/>
          <w:i/>
          <w:sz w:val="24"/>
          <w:u w:val="none"/>
        </w:rPr>
        <w:t xml:space="preserve">(для электронного запроса котировок)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Закон № 44-ФЗ – Федеральный закон от 5 апреля 2013 г. № 44-ФЗ «О контрактной системе в сфере закупок товаров, работ, услуг для обеспечения государственных и муниципальных нужд»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1. СОДЕРЖАНИЕ, СОСТАВ ЗАЯВКИ НА УЧАСТИЕ В ЗАКУПКЕ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sz w:val="24"/>
          <w:u w:val="none"/>
        </w:rPr>
      </w:r>
      <w:r/>
    </w:p>
    <w:tbl>
      <w:tblPr>
        <w:tblW w:w="96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676"/>
        <w:gridCol w:w="8958"/>
      </w:tblGrid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ЗАЯВКА НА УЧАСТИЕ В ЗАКУПКЕ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должна содержать следующие информацию и документы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1.1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Решение о согласии на   совершение или о последующем одобрении крупной сделки, если требование о   наличии такого решения установлено законодательством Российской Федерации, учредительными   документами юридического лица и для участника закупки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 заключение контракта на   поставку товара, выполнение работы или оказание услуги, являющихся объектом   закупки, либо внесение денежных средств в качестве обеспечения заявки на участие   в закупке, обеспечения исполнения контракта является крупной сделкой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1.2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В случае уст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ановления в соответствии с пунктом 1 части 1 статьи 31 Закона № 44-ФЗ требований, установленных в соответствии с законодательством Российской Федерации к лицам, осуществляющим поставку товара, выполнение работы, оказание услуги, являющихся объектом закупки</w:t>
            </w: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>
                <w:color w:val="ff0000"/>
              </w:rPr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  <w:t xml:space="preserve">Не установлены</w:t>
            </w:r>
            <w:r>
              <w:rPr>
                <w:color w:val="ff0000"/>
              </w:rPr>
            </w:r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1.3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В случае установления дополнительных требований к участникам закупок отдельных видов товаров, работ, услуг в соответствии с частью 2 статьи 31 Закона № 44-ФЗ: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0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  <w:t xml:space="preserve">Не установлены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Докум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енты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1.4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В случае установления дополнительного требования в соответствии с частью 2.1 статьи 31 Закона № 44-ФЗ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  <w:t xml:space="preserve">Требования не установлены.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Докум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енты не включаются участником закупки в заявку на участие в закупке. Такие документы направляются (по состоянию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1.5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Декларация о соответствии участника закупки требованиям, установленным пунктами 3 - 5, 7 - 11 части 1 статьи 31 Закона № 44-ФЗ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1.6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Реквизиты счета участника закупки, на который в соответствии с законодательством Российской Федерации осуществляется перечисление денежных средств в качестве оплаты по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счет открывается после заключения контракта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1.7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Предложение участника закупки в отношении объекта закупки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1) в случае осуществления закупки товара, в том числе поставляемого заказч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ику при выполнении закупаемых работ, оказании закупаемых услуг, указываются характеристики предлагаемого участником закупки товара, соответствующие показателям, установленным в описании объекта закупки, товарный знак (при наличии у товара товарного знака).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Такая информация может не включаться в заявку на участие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 в закупке в случае указания заказчиком в описании объекта закупки товарного знака и предложения участником закупки товара, в том числе поставляемого заказчику при выполнении закупаемых работ, оказании закупаемых услуг, обозначенного таким товарным знаком.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Такая информация не включается в заявку на участи</w:t>
            </w: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2) в случае осуществления 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закупки товара, в том числе поставляемого заказчику при выполнении закупаемых работ, оказании закупаемых услуг, указывается наименование страны происхождения товара в соответствии с общероссийским классификатором, используемым для идентификации стран мира;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3) в случае установления требования о предоставлении документов, подтверждающих соответствие товара, работы или услуги требованиям, установленным в соответствии с законодательством Российской Федерации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  <w:t xml:space="preserve">Требования не установлены.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4) иные информация и документы, в том числе эскиз, рисунок, чертеж, фотография, иное изображение предлагаемого участником закупки товара.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i/>
                <w:sz w:val="24"/>
                <w:u w:val="none"/>
              </w:rPr>
              <w:t xml:space="preserve">Отсутствие таких информации и документов не является основанием для отклонения заявки на участие в закупке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.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1.8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 Предложение участника закупки о цене контракта</w:t>
            </w:r>
            <w:r/>
          </w:p>
        </w:tc>
      </w:tr>
      <w:tr>
        <w:trPr/>
        <w:tc>
          <w:tcPr>
            <w:tcBorders/>
            <w:tcW w:w="67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1.9</w:t>
            </w:r>
            <w:r/>
          </w:p>
        </w:tc>
        <w:tc>
          <w:tcPr>
            <w:tcBorders/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В соответствии с пунктом 1 части 2 статьи 14 Закона № 44-ФЗ запрет, ограничение, преимущество в отношении товара (в том числе поставляемого при выполнении закупаемой работы, оказании закупаемой услуги), работы, услуги, являющихся объектом закупки, </w:t>
            </w: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  <w:t xml:space="preserve">установлены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color w:val="ff0000"/>
                <w:sz w:val="24"/>
                <w:u w:val="none"/>
              </w:rPr>
            </w:r>
            <w:r>
              <w:t xml:space="preserve">В соответствии с постановлением Правительства РФ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</w:t>
            </w:r>
            <w:r>
              <w:t xml:space="preserve">ными видами юридических лиц» установлен: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- запрет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</w:t>
            </w:r>
            <w:r>
              <w:t xml:space="preserve">ыми лицами (установлено в отношении поз. 9, 10 описания объекта закупки);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</w:t>
            </w:r>
            <w:r>
              <w:t xml:space="preserve">но выполняемых, оказываемых иностранными лицами (установлено в отношении                    поз. 2, 3, 5, 6, 7, 8, 9 описания объекта закупки); </w:t>
            </w:r>
            <w:r/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- преимущество в отношении товаров российского происхождения (в том числе поставляемых при выполнении закупаемых работ, о</w:t>
            </w:r>
            <w:r>
              <w:t xml:space="preserve">казании закупаемых услуг) (установлено в отношении поз.4 описания объекта закупки);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b/>
                <w:bCs/>
              </w:rPr>
              <w:t xml:space="preserve">З</w:t>
            </w:r>
            <w:r>
              <w:rPr>
                <w:b/>
                <w:bCs/>
              </w:rPr>
              <w:t xml:space="preserve">А</w:t>
            </w:r>
            <w:r>
              <w:rPr>
                <w:b/>
                <w:bCs/>
              </w:rPr>
              <w:t xml:space="preserve">ПРЕТ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</w:t>
            </w:r>
            <w:r>
              <w:rPr>
                <w:b/>
                <w:bCs/>
              </w:rPr>
              <w:t xml:space="preserve">ВЕННО ВЫПОЛНЯЕМЫХ, ОКАЗЫВАЕМЫХ ИНОСТРАННЫМИ ЛИЦАМИ: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1) Для подтверждения происхождения программ для электронных вычислительных машин и (или) баз данных (далее – программное обеспечение) из Российской Федерации участник закупки предоставляет: - порядковый н</w:t>
            </w:r>
            <w:r>
              <w:t xml:space="preserve">омер реестровой записи из реестра российского программного обеспечения; - порядковый номер реестровой записи из реестра российского программного обеспечения, содержащей информацию о соответствии программного обеспечения дополнительным требованиям к програм</w:t>
            </w:r>
            <w:r>
              <w:t xml:space="preserve">мному обеспечению (для программного обеспечения, в отношении которого установлены дополнительные требования к программам для электронных вычислительных машин и базам данных, сведения о которых включены в реестр российского программного обеспечения, утвержд</w:t>
            </w:r>
            <w:r>
              <w:t xml:space="preserve">енные постановлением Правительства Российской Федерации от 23 марта 2017 г. № 325).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2) Для подтверждения происхождения программного обеспечения из государств - членов Евразийского экономического союза, за исключением Российской Федерации, участник закупки </w:t>
            </w:r>
            <w:r>
              <w:t xml:space="preserve">предоставляет: - порядковый номер реестровой записи из реестра евразийского программного обеспечения; - порядковый номер реестровой записи из реестра евразийского программного обеспечения, содержащей информацию о соответствии программного обеспечения допол</w:t>
            </w:r>
            <w:r>
              <w:t xml:space="preserve">нительным требованиям к программному обеспечению (для программного обеспечения, в отношении которого установлены дополнительные требования к программам для электронных вычислительных машин и базам данных, сведения о которых включены в реестр российского пр</w:t>
            </w:r>
            <w:r>
              <w:t xml:space="preserve">ограммного обеспечения, утвержденные постановлением Правительства Российской Федерации от 23 марта 2017 г. № 325).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3) Для подтверждения происхождения программного обеспечения из иностранного государства (за исключением государства-члена Евразийского эконом</w:t>
            </w:r>
            <w:r>
              <w:t xml:space="preserve">ического союза) участник закупки указывает наименование страны происхождения программного обеспечения в соответствии с общероссийским классификатором, используемым для идентификации стран мира.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ОГРАНИЧЕНИЕ ЗАКУПОК ТОВАРОВ (В ТОМ ЧИСЛЕ ПОСТАВЛЯЕМЫХ ПРИ ВЫПО</w:t>
            </w:r>
            <w:r>
              <w:rPr>
                <w:b/>
                <w:bCs/>
              </w:rPr>
              <w:t xml:space="preserve">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ЛИЦАМИ: </w:t>
            </w:r>
            <w:r>
              <w:rPr>
                <w:b/>
                <w:bCs/>
              </w:rPr>
            </w:r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1) Для подтверждения происхождения товаров из Российской Федерации участник закупки пред</w:t>
            </w:r>
            <w:r>
              <w:t xml:space="preserve">оставляет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РФ соответствующих операций (условий), которое составляет или превыша</w:t>
            </w:r>
            <w:r>
              <w:t xml:space="preserve">ет значение, определенное постановлением Правительства РФ от 17.07.2015 № 719 (для продукции, в отношении которой установлены такие требования); - информацию об уровне радиоэлектронной продукции (для товара, являющегося в соответствиис постановлением Прави</w:t>
            </w:r>
            <w:r>
              <w:t xml:space="preserve">тельства РФ от 17.07.2015 № 719 радиоэлектронной продукцией первого или второго уровня);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2) Для подтверждения происхождения товаров из государств - членов Евразийского экономического союза, за исключением Российской Федерации, участник закупки предоставляе</w:t>
            </w:r>
            <w:r>
              <w:t xml:space="preserve">т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Евразийского экономического союза соответствующих операций (условий), которое</w:t>
            </w:r>
            <w:r>
              <w:t xml:space="preserve"> составляет или превышает значение, определенное правом Евразийского экономического союза (для продукции, в отношении которой установлены такие требования); - информацию об уровне радиоэлектронной продукции (для товара, являющегося в соответствии с правом </w:t>
            </w:r>
            <w:r>
              <w:t xml:space="preserve">Евразийского экономического союза радиоэлектронной продукцией первого или второго уровня).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3) Для подтверждения происхождения товара из иностранного государства (за исключением государства-члена Евразийского экономического союза) участник закупки указывает</w:t>
            </w:r>
            <w:r>
              <w:t xml:space="preserve"> наименование страны происхождения товара в соответствии с общероссийским классификатором, используемым для идентификации стран мира.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ПРЕИМУЩЕСТВО В ОТНОШЕНИИ ТОВАРОВ РОССИЙСКОГО ПРОИСХОЖДЕНИЯ (В ТОМ ЧИСЛЕ ПОСТАВЛЯЕМЫХ ПРИ ВЫПОЛНЕНИИ ЗАКУПАЕМЫХ РАБОТ, ОКАЗ</w:t>
            </w:r>
            <w:r>
              <w:rPr>
                <w:b/>
                <w:bCs/>
              </w:rPr>
              <w:t xml:space="preserve">АНИИ ЗАКУПАЕМЫХ УСЛУГ): </w:t>
            </w:r>
            <w:r>
              <w:rPr>
                <w:b/>
                <w:bCs/>
              </w:rPr>
            </w:r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1) Для подтверждения происхождения товара из Российской Федерации участник закупки указывает наименование страны происхождения товара в соответствии с общероссийским классификатором, используемым для идентификации стран мира.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t xml:space="preserve">2) Для</w:t>
            </w:r>
            <w:r>
              <w:t xml:space="preserve"> подтверждения происхождения товара из иностранного государства участник закупки указывает наименование страны происхождения товара в соответствии с общероссийским классификатором, используемым для идентификации стран мира. 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>
                <w:bCs/>
                <w:i/>
              </w:rPr>
            </w:pPr>
            <w:r>
              <w:rPr>
                <w:i/>
                <w:iCs/>
              </w:rPr>
              <w:t xml:space="preserve">В случае отсутствия требуемых ин</w:t>
            </w:r>
            <w:r>
              <w:rPr>
                <w:i/>
                <w:iCs/>
              </w:rPr>
              <w:t xml:space="preserve">формации и документов в заявке 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</w:t>
            </w:r>
            <w:r>
              <w:rPr>
                <w:i/>
                <w:iCs/>
              </w:rPr>
            </w:r>
            <w:r>
              <w:rPr>
                <w:i/>
                <w:iCs/>
              </w:rPr>
            </w:r>
          </w:p>
        </w:tc>
      </w:tr>
      <w:tr>
        <w:trPr/>
        <w:tc>
          <w:tcPr>
            <w:tcBorders/>
            <w:tcW w:w="676" w:type="dxa"/>
            <w:vMerge w:val="restart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2</w:t>
            </w:r>
            <w:r/>
          </w:p>
        </w:tc>
        <w:tc>
          <w:tcPr>
            <w:tcBorders>
              <w:bottom w:val="none" w:color="000000" w:sz="0" w:space="0"/>
            </w:tcBorders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b/>
                <w:sz w:val="24"/>
                <w:u w:val="none"/>
              </w:rPr>
              <w:t xml:space="preserve">ДОПОЛНИТЕЛЬНАЯ ИНФОРМАЦИЯ</w:t>
            </w:r>
            <w:r/>
          </w:p>
        </w:tc>
      </w:tr>
      <w:tr>
        <w:trPr/>
        <w:tc>
          <w:tcPr>
            <w:tcBorders/>
            <w:tcW w:w="676" w:type="dxa"/>
            <w:vMerge w:val="continue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b w:val="0"/>
                <w:i w:val="0"/>
                <w:strike w:val="0"/>
                <w:sz w:val="24"/>
                <w:u w:val="none"/>
              </w:rPr>
            </w:r>
            <w:r/>
          </w:p>
        </w:tc>
        <w:tc>
          <w:tcPr>
            <w:tcBorders>
              <w:top w:val="none" w:color="000000" w:sz="0" w:space="0"/>
            </w:tcBorders>
            <w:tcW w:w="8958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Для участия в закупке заявка на участие в закупке должна содержать информацию и документы, предусмотренные подпунктами "а" - "л" пункта 1 части 1 статьи 43 Закона № 44-ФЗ, которые не включаются участником</w:t>
            </w: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 закупки в заявку на участие в закупке. Такие информация и документы направляются (по состоянию на дату и время их направления) заказчику оператором электронной площадки путем информационного взаимодействия с единой информационной системой в сфере закупок.</w:t>
            </w:r>
            <w:r/>
          </w:p>
        </w:tc>
      </w:tr>
    </w:tbl>
    <w:p>
      <w:pPr>
        <w:pBdr/>
        <w:spacing/>
        <w:ind/>
        <w:rPr/>
      </w:pPr>
      <w:r>
        <w:br w:type="page" w:clear="all"/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b/>
          <w:sz w:val="24"/>
          <w:u w:val="none"/>
        </w:rPr>
        <w:t xml:space="preserve">2. ИНСТРУКЦИЯ ПО ЗАПОЛНЕНИЮ ЗАЯВКИ НА УЧАСТИЕ В ЗАКУПКЕ</w:t>
      </w: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0" w:left="0"/>
        <w:jc w:val="center"/>
        <w:rPr/>
      </w:pP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Подать заявку на участие в закупке вправе только зарегистрированный в единой информационной системе в сфер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е закупок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Законом № 44-ФЗ оператору электронной площадки, оператору специализированной электронной площадки.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Заявка на участие в закупке, подготовленная участником закупки, должна быть составлена на русском языке.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Входящие в заявку на участие в закупке документы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, оригиналы которых выданы участнику закупки третьими лицами на ином языке, могут быть представлены на этом языке при условии, что к ним будет прилагаться перевод на русский язык. В случае противоречия оригинала и перевода преимущество будет иметь перевод.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Все документы, входящие в состав заявки на участие в закупке, должны иметь четко читаемый текст.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Участник закупки вправе подать толь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ко одну заявку на участие в закупке в любое время с момента размещения в единой информационной системе в сфере закупок извещения об осуществлении закупки до окончания установленного в соответствии с Законом № 44-ФЗ срока подачи заявок на участие в закупке.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Подача заявки на участие в закупке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означает согласие участника закупки, подавшего такую заявку, на поставку товара, выполнение работы, оказание услуги на условиях, предусмотренных извещением об осуществлении закупки, и в соответствии с заявкой такого участника закупки на участие в закупке.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При формировании предложения участника закупки в отношении объекта закупки, предусмотренного пунктом 2 части 1 статьи 43 Закона № 44-ФЗ, с использованием электронной площадки фо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рмируются наименование страны происхождения товара, товарный знак (при наличии у товара товарного знака), а также характеристики предлагаемого участником закупки товара в части характеристик, содержащихся в извещении об осуществлении закупки. Такие характе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ристики размещаются оператором электронной площадки в единой информационной системе (без размещения на официальном сайте единой информационной системы) одновременно с размещением протокола подведения итогов определения поставщика (подрядчика, исполнителя).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При формировании предложения участника закупки в отношении объекта закупки информация, предусмотренная подпунктами «а» и «г» пункта 2 части 1 статьи 43 Закона 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№ 44-ФЗ, не включается в заявку на участи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е в закупке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 на капитальный ремонт объекта капитального строительства.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случае, если в извещении об осуществлении закупки не установлены критерии, пре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дусмотренные пунктами 2 и 3 части 1 статьи 32 Закона № 44-ФЗ, а также в случае включения заказчиком в соответствии с пунктом 8 части 1 статьи 33 Закона № 44-ФЗ в описание объекта закупки проектной документации, или типовой проектной документации, или сметы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на капитальный ремонт объекта капитального строительства заявка на участие в электронном конкурсе состоит из второй и третьей частей. Вторая часть должна также содержать информацию, предусмотренную подпунктом «б» пункта 2 части 1 статьи 43 Закона № 44-ФЗ.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 если в качестве объекта закупки предусмотрена поставка товара, являющегося в соответствии со статьей 134 ГК РФ сложной вещью, включающей в себя различные вещи, соединенные таки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м образом, который предполагает их использование по общему назначению (в соответствии с формой описания объекта закупки - товар, включающий товары, входящие в его комплект), и такие вещи (товары) имеют разные товарные знаки, участнику закупки необходимо в 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подаваемой заявке предоставить информацию о товарных знаках (при наличии) и о стране происхождения товара в отношении каждой вещи, входящей в состав сложной вещи (т. е. в отношении каждого товара, входящего в комплект товара, являющегося объектом закупки).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Наименование страны происхо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ждения товара указывается в соответствии с общероссийским классификатором, используемым для идентификации стран мира. Ответственность за достоверность сведений о стране происхождения товара, указанного в заявке на участие в закупке, несет участник закупки.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случае, если предметом закупки являются изделия медицинского назначения, то участником заку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пки в заявке на участие в закупке должны быть указаны наименования товаров, входящих в объект закупки, в соответствии с регистрационными удостоверениями на такие изделия. Указание такой информации возможно в том числе с использованием электронной площадки.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Предложение участника в отношении объекта закупки должно содержать конкретные значения показателей. 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Не допускается наличие неопределенности в значениях или множественность значений, свойственных модельному ряду закупаемых (поставляемых) товаров. В случае, если значения показателей (функциональных, технических, качественных, эксплуатационных характеристик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), устанавливающих требование заказчика к закупаемым товарам, определены как максимальные и (или) минимальные, предложение участника закупки в отношении объекта закупки по таким показателям подается в соответствии с установленными ниже правилами описания п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редлагаемого к поставке объекта закупки. Данные правила распространяются на заполнение заявки как в части описания товаров, поставка которых является предметом контракта, так и на описание товаров, которые поставляются при выполнении работ, оказании услуг.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Если при составлении описания объекта закупки заказчиком не использованы установленные в соответствии с законодательством Российской Федерации о техническ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ом регулировании, законодательством Российской Федерации о стандартизации показатели, требования, условные обозначения и терминология, необходимость в других показателях, требованиях, условных обозначениях и терминологии обусловлена потребностью заказчика.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При описании заказчиком закупаемых/поставляемых товаров применяются характеризующие их показатели, имеющие точные или диапазонные значения, а также максимальные и (или) минимальные значения таких показателей.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При рассмотрении заявки участника комиссия вправе проверять достоверность предоставленных сведений в отношении закуп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аемого/поставляемого товара, на соответствие указанных сведений в заявке с положениями предусмотренными техническими регламентами, принятыми в соответствии с законодательством Российской Федерации о техническом регулировании, документами, разрабатываемыми 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и применяемыми в национальной системе стандартизации, принятыми в соответствии с законодательством Российской Федерации о стандартизации в случае установления требования о соответствии объекта закупки указанным нормативным документам, а также его товарного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 знака (его словесного обозначения) (при наличии), знака обслуживания (при наличии), фирменного наименования (при наличии), патента (при наличии), полезной модели (при наличии), промышленного образца (при наличии), наименования страны происхождения товара.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Указанные участниками значения показателей не должны противоречить положениям, предусмотренным техническим регламентам, принятым в соответствии с законодательством Российской Федерации о техническом регулировании, докум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ентам, разрабатываемым и применяемым в национальной системе стандартизации, принятым в соответствии с законодательством Российской Федерации о стандартизации, в случае установления требования о соответствии объекта закупки указанным нормативным документам.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Сходные объекты закупки могут иметь ряд одинаковых показателей, установленных в описании объекта закупки, но каждый объект индивидуализируется единственным образом только ему присущими параметрами (значениями).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Участник закупки указывает значения характеристик тов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ара в соответствии с информацией, указанной в столбце «Инструкция по заполнению характеристик в заявке» таблицы раздела извещения об осуществлении закупки «Объект закупки» и в «Описании объекта закупки». Такая информация может содержать следующие указания: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конкретное значение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диапазон значений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только одно значение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одно или несколько значений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- участник закупки указывает в заявке все значения характеристики;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- значение характеристики не может изменяться участником закупки.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Участниками закупки при заполнении заявки не должно допускаться искусственное приведение значений показателей товаров, предлагаемых к поставке в соответствии с требованиями описания объекта закупки. Участник зак</w:t>
      </w:r>
      <w:r>
        <w:rPr>
          <w:rFonts w:ascii="Times New Roman" w:hAnsi="Times New Roman" w:eastAsia="Times New Roman" w:cs="Times New Roman"/>
          <w:sz w:val="24"/>
          <w:u w:val="none"/>
        </w:rPr>
        <w:t xml:space="preserve">упки при указании конкретных значений показателей должен учитывать, что минимальные и (или) максимальные значения показателей, а также показатели, значения которых не могут изменяться, могут быть взаимосвязаны друг с другом исходя из их физического смысла.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Предложение участника в отношении поставляемых товаров, в том числе товаров, поставляемых при выполнении работ, оказании услуг, с любыми товарными знаками не должно сопровождаться словом «эквивалент».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Предложение участника в отношении объекта закупки должно полностью соответствовать требованиям к такому объекту, установленным заказчиком в описании объекта закупки.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Не предоставление в заявке участника закупки конкретного значения показателя по сроку гарантии на товар не является основанием для отклонения заявки.</w:t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В случае непредставления участником закупки информации о конкретном сроке гарантии заказчиком при заключении контракта включается в спецификацию конкретное значение по сроку гарантии, установленное в «Описании объекта закупки» без слов «не менее».</w:t>
      </w:r>
      <w:r/>
    </w:p>
    <w:tbl>
      <w:tblPr>
        <w:tblW w:w="9634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val="04A0" w:firstRow="1" w:lastRow="0" w:firstColumn="1" w:lastColumn="0" w:noHBand="0" w:noVBand="1"/>
      </w:tblPr>
      <w:tblGrid>
        <w:gridCol w:w="7707"/>
        <w:gridCol w:w="1926"/>
      </w:tblGrid>
      <w:tr>
        <w:trPr/>
        <w:tc>
          <w:tcPr>
            <w:tcBorders/>
            <w:tcW w:w="7707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Срок предоставления гарантии производителя на товар с момента подписания государственным заказчиком документа о приемке товара, месяц</w:t>
            </w:r>
            <w:r/>
          </w:p>
        </w:tc>
        <w:tc>
          <w:tcPr>
            <w:tcBorders/>
            <w:tcW w:w="1926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не менее 12</w:t>
            </w:r>
            <w:r/>
          </w:p>
        </w:tc>
      </w:tr>
      <w:tr>
        <w:trPr/>
        <w:tc>
          <w:tcPr>
            <w:tcBorders/>
            <w:tcW w:w="7707" w:type="dxa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Срок предоставления гарантии поставщика на товар с момента подписания государственным заказчиком документа о приемке товара, месяц.</w:t>
            </w:r>
            <w:r/>
          </w:p>
          <w:p>
            <w:pPr>
              <w:pBdr/>
              <w:spacing w:after="56" w:before="56" w:line="240" w:lineRule="auto"/>
              <w:ind w:right="56" w:firstLine="0" w:left="56"/>
              <w:jc w:val="both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Срок гарантии поставщика не может быть менее срока гарантии производителя</w:t>
            </w:r>
            <w:r/>
          </w:p>
        </w:tc>
        <w:tc>
          <w:tcPr>
            <w:tcBorders/>
            <w:tcW w:w="1926" w:type="dxa"/>
            <w:vAlign w:val="center"/>
            <w:textDirection w:val="lrTb"/>
            <w:noWrap w:val="false"/>
          </w:tcPr>
          <w:p>
            <w:pPr>
              <w:pBdr/>
              <w:spacing w:after="56" w:before="56" w:line="240" w:lineRule="auto"/>
              <w:ind w:right="56" w:firstLine="0" w:left="56"/>
              <w:jc w:val="center"/>
              <w:rPr/>
            </w:pPr>
            <w:r>
              <w:rPr>
                <w:rFonts w:ascii="Times New Roman" w:hAnsi="Times New Roman" w:eastAsia="Times New Roman" w:cs="Times New Roman"/>
                <w:sz w:val="24"/>
                <w:u w:val="none"/>
              </w:rPr>
              <w:t xml:space="preserve">не менее 12</w:t>
            </w:r>
            <w:r/>
          </w:p>
        </w:tc>
      </w:tr>
    </w:tbl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</w:r>
      <w:r/>
    </w:p>
    <w:p>
      <w:pPr>
        <w:pBdr/>
        <w:spacing w:after="0" w:before="0" w:line="240" w:lineRule="auto"/>
        <w:ind w:right="0" w:firstLine="708" w:left="0"/>
        <w:jc w:val="both"/>
        <w:rPr/>
      </w:pPr>
      <w:r>
        <w:rPr>
          <w:rFonts w:ascii="Times New Roman" w:hAnsi="Times New Roman" w:eastAsia="Times New Roman" w:cs="Times New Roman"/>
          <w:sz w:val="24"/>
          <w:u w:val="none"/>
        </w:rPr>
        <w:t xml:space="preserve">Для товаров, используемых при выполнении закупаемых работ, оказываемых услуг в заявке требуется только согласие участника. Данное согласие распространяется на указанные в закупке материалы, используемые при выполнении работ, оказании услуг.</w:t>
      </w:r>
      <w:r/>
    </w:p>
    <w:sectPr>
      <w:footnotePr/>
      <w:endnotePr/>
      <w:type w:val="nextPage"/>
      <w:pgSz w:h="16840" w:orient="portrait" w:w="11900"/>
      <w:pgMar w:top="1133" w:right="566" w:bottom="850" w:left="1700" w:header="709" w:footer="709" w:gutter="0"/>
      <w:cols w:num="1" w:sep="0" w:space="1701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9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66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7">
    <w:name w:val="Table Grid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8">
    <w:name w:val="Table Grid Light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9">
    <w:name w:val="Plain Table 1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0">
    <w:name w:val="Plain Table 2"/>
    <w:basedOn w:val="66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1">
    <w:name w:val="Plain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2">
    <w:name w:val="Plain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3">
    <w:name w:val="Plain Table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4">
    <w:name w:val="Grid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5">
    <w:name w:val="Grid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6">
    <w:name w:val="Grid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7">
    <w:name w:val="Grid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8">
    <w:name w:val="Grid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9">
    <w:name w:val="Grid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0">
    <w:name w:val="Grid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1">
    <w:name w:val="Grid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2">
    <w:name w:val="Grid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3">
    <w:name w:val="Grid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Grid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Grid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Grid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Grid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Grid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Grid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4 - Accent 1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2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4 - Accent 2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4 - Accent 3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4 - Accent 4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4 - Accent 5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4 - Accent 6"/>
    <w:basedOn w:val="66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5 Dark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be5f2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ec5e1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3dddc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2afad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bf1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e0b3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5 Dark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5b8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cd9e5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a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faa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6da5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3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879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be5f2" w:themeFill="accent1" w:themeFillTint="34"/>
        <w:tcBorders/>
      </w:tcPr>
    </w:tblStylePr>
    <w:tblStylePr w:type="band2Horz">
      <w:rPr>
        <w:rFonts w:ascii="Arial" w:hAnsi="Arial"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6da5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Horz">
      <w:rPr>
        <w:rFonts w:ascii="Arial" w:hAnsi="Arial"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3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879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Horz">
      <w:rPr>
        <w:rFonts w:ascii="Arial" w:hAnsi="Arial"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5408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List Table 1 Light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List Table 1 Light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List Table 1 Light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List Table 1 Light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List Table 1 Light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List Table 1 Light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List Table 1 Light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List Table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List Table 2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List Table 2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List Table 2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List Table 2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List Table 2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List Table 2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List Table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List Table 3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3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3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3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3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3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4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4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4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4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4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4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5 Dark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5 Dark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5 Dark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a9796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5 Dark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c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c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5 Dark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7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5 Dark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2cddd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2cddd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5 Dark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ac091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ac091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6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6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b4b72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6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f3a38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6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9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6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4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6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ba3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6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d680a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7 Colorful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7 Colorful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dfee" w:themeFill="accent1" w:themeFillTint="40"/>
        <w:tcBorders/>
      </w:tcPr>
    </w:tblStylePr>
    <w:tblStylePr w:type="band2Horz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b4b72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7 Colorful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f3a38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7 Colorful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9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7 Colorful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8" w:themeFill="accent4" w:themeFillTint="40"/>
        <w:tcBorders/>
      </w:tcPr>
    </w:tblStylePr>
    <w:tblStylePr w:type="band2Horz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4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7 Colorful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2eaf1" w:themeFill="accent5" w:themeFillTint="40"/>
        <w:tcBorders/>
      </w:tcPr>
    </w:tblStylePr>
    <w:tblStylePr w:type="band2Horz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ba3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7 Colorful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de5d1" w:themeFill="accent6" w:themeFillTint="40"/>
        <w:tcBorders/>
      </w:tcPr>
    </w:tblStylePr>
    <w:tblStylePr w:type="band2Horz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d680a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Bordered &amp; Lined - Accent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Bordered &amp; Lined - Accent 1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8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b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Bordered &amp; Lined - Accent 2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3dddc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a9796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Bordered &amp; Lined - Accent 3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bf1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b5a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Bordered &amp; Lined - Accent 4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7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Bordered &amp; Lined - Accent 5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Bordered &amp; Lined - Accent 6"/>
    <w:basedOn w:val="66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a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Bordered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Bordered - Accent 1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Bordered - Accent 2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Bordered - Accent 3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Bordered - Accent 4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Bordered - Accent 5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Bordered - Accent 6"/>
    <w:basedOn w:val="66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793" w:default="1">
    <w:name w:val="Normal"/>
    <w:qFormat/>
    <w:pPr>
      <w:pBdr/>
      <w:spacing/>
      <w:ind/>
    </w:pPr>
  </w:style>
  <w:style w:type="paragraph" w:styleId="794">
    <w:name w:val="Heading 1"/>
    <w:basedOn w:val="793"/>
    <w:next w:val="793"/>
    <w:link w:val="80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paragraph" w:styleId="795">
    <w:name w:val="Heading 2"/>
    <w:basedOn w:val="793"/>
    <w:next w:val="793"/>
    <w:link w:val="80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paragraph" w:styleId="796">
    <w:name w:val="Heading 3"/>
    <w:basedOn w:val="793"/>
    <w:next w:val="793"/>
    <w:link w:val="80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paragraph" w:styleId="797">
    <w:name w:val="Heading 4"/>
    <w:basedOn w:val="793"/>
    <w:next w:val="793"/>
    <w:link w:val="80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0f4761" w:themeColor="accent1" w:themeShade="BF"/>
    </w:rPr>
  </w:style>
  <w:style w:type="paragraph" w:styleId="798">
    <w:name w:val="Heading 5"/>
    <w:basedOn w:val="793"/>
    <w:next w:val="793"/>
    <w:link w:val="80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0f4761" w:themeColor="accent1" w:themeShade="BF"/>
    </w:rPr>
  </w:style>
  <w:style w:type="paragraph" w:styleId="799">
    <w:name w:val="Heading 6"/>
    <w:basedOn w:val="793"/>
    <w:next w:val="793"/>
    <w:link w:val="81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800">
    <w:name w:val="Heading 7"/>
    <w:basedOn w:val="793"/>
    <w:next w:val="793"/>
    <w:link w:val="81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801">
    <w:name w:val="Heading 8"/>
    <w:basedOn w:val="793"/>
    <w:next w:val="793"/>
    <w:link w:val="81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802">
    <w:name w:val="Heading 9"/>
    <w:basedOn w:val="793"/>
    <w:next w:val="793"/>
    <w:link w:val="81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803" w:default="1">
    <w:name w:val="Default Paragraph Font"/>
    <w:uiPriority w:val="1"/>
    <w:semiHidden/>
    <w:unhideWhenUsed/>
    <w:pPr>
      <w:pBdr/>
      <w:spacing/>
      <w:ind/>
    </w:pPr>
  </w:style>
  <w:style w:type="numbering" w:styleId="804" w:default="1">
    <w:name w:val="No List"/>
    <w:uiPriority w:val="99"/>
    <w:semiHidden/>
    <w:unhideWhenUsed/>
    <w:pPr>
      <w:pBdr/>
      <w:spacing/>
      <w:ind/>
    </w:pPr>
  </w:style>
  <w:style w:type="character" w:styleId="805">
    <w:name w:val="Heading 1 Char"/>
    <w:basedOn w:val="803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806">
    <w:name w:val="Heading 2 Char"/>
    <w:basedOn w:val="803"/>
    <w:link w:val="795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807">
    <w:name w:val="Heading 3 Char"/>
    <w:basedOn w:val="803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808">
    <w:name w:val="Heading 4 Char"/>
    <w:basedOn w:val="803"/>
    <w:link w:val="797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809">
    <w:name w:val="Heading 5 Char"/>
    <w:basedOn w:val="803"/>
    <w:link w:val="79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810">
    <w:name w:val="Heading 6 Char"/>
    <w:basedOn w:val="803"/>
    <w:link w:val="799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11">
    <w:name w:val="Heading 7 Char"/>
    <w:basedOn w:val="803"/>
    <w:link w:val="800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12">
    <w:name w:val="Heading 8 Char"/>
    <w:basedOn w:val="803"/>
    <w:link w:val="801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13">
    <w:name w:val="Heading 9 Char"/>
    <w:basedOn w:val="803"/>
    <w:link w:val="802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14">
    <w:name w:val="Title"/>
    <w:basedOn w:val="793"/>
    <w:next w:val="793"/>
    <w:link w:val="81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15">
    <w:name w:val="Title Char"/>
    <w:basedOn w:val="803"/>
    <w:link w:val="81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16">
    <w:name w:val="Subtitle"/>
    <w:basedOn w:val="793"/>
    <w:next w:val="793"/>
    <w:link w:val="81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17">
    <w:name w:val="Subtitle Char"/>
    <w:basedOn w:val="803"/>
    <w:link w:val="81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18">
    <w:name w:val="Quote"/>
    <w:basedOn w:val="793"/>
    <w:next w:val="793"/>
    <w:link w:val="81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19">
    <w:name w:val="Quote Char"/>
    <w:basedOn w:val="803"/>
    <w:link w:val="818"/>
    <w:uiPriority w:val="29"/>
    <w:pPr>
      <w:pBdr/>
      <w:spacing/>
      <w:ind/>
    </w:pPr>
    <w:rPr>
      <w:i/>
      <w:iCs/>
      <w:color w:val="404040" w:themeColor="text1" w:themeTint="BF"/>
    </w:rPr>
  </w:style>
  <w:style w:type="paragraph" w:styleId="820">
    <w:name w:val="List Paragraph"/>
    <w:basedOn w:val="793"/>
    <w:uiPriority w:val="34"/>
    <w:qFormat/>
    <w:pPr>
      <w:pBdr/>
      <w:spacing/>
      <w:ind w:left="720"/>
      <w:contextualSpacing w:val="true"/>
    </w:pPr>
  </w:style>
  <w:style w:type="character" w:styleId="821">
    <w:name w:val="Intense Emphasis"/>
    <w:basedOn w:val="803"/>
    <w:uiPriority w:val="21"/>
    <w:qFormat/>
    <w:pPr>
      <w:pBdr/>
      <w:spacing/>
      <w:ind/>
    </w:pPr>
    <w:rPr>
      <w:i/>
      <w:iCs/>
      <w:color w:val="0f4761" w:themeColor="accent1" w:themeShade="BF"/>
    </w:rPr>
  </w:style>
  <w:style w:type="paragraph" w:styleId="822">
    <w:name w:val="Intense Quote"/>
    <w:basedOn w:val="793"/>
    <w:next w:val="793"/>
    <w:link w:val="823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after="360" w:before="360"/>
      <w:ind w:right="864" w:left="864"/>
      <w:jc w:val="center"/>
    </w:pPr>
    <w:rPr>
      <w:i/>
      <w:iCs/>
      <w:color w:val="0f4761" w:themeColor="accent1" w:themeShade="BF"/>
    </w:rPr>
  </w:style>
  <w:style w:type="character" w:styleId="823">
    <w:name w:val="Intense Quote Char"/>
    <w:basedOn w:val="803"/>
    <w:link w:val="822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824">
    <w:name w:val="Intense Reference"/>
    <w:basedOn w:val="803"/>
    <w:uiPriority w:val="32"/>
    <w:qFormat/>
    <w:pPr>
      <w:pBdr/>
      <w:spacing/>
      <w:ind/>
    </w:pPr>
    <w:rPr>
      <w:b/>
      <w:bCs/>
      <w:smallCaps/>
      <w:color w:val="0f4761" w:themeColor="accent1" w:themeShade="BF"/>
      <w:spacing w:val="5"/>
    </w:rPr>
  </w:style>
  <w:style w:type="paragraph" w:styleId="825">
    <w:name w:val="No Spacing"/>
    <w:basedOn w:val="793"/>
    <w:uiPriority w:val="1"/>
    <w:qFormat/>
    <w:pPr>
      <w:pBdr/>
      <w:spacing w:after="0" w:line="240" w:lineRule="auto"/>
      <w:ind/>
    </w:pPr>
  </w:style>
  <w:style w:type="character" w:styleId="826">
    <w:name w:val="Subtle Emphasis"/>
    <w:basedOn w:val="803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27">
    <w:name w:val="Emphasis"/>
    <w:basedOn w:val="803"/>
    <w:uiPriority w:val="20"/>
    <w:qFormat/>
    <w:pPr>
      <w:pBdr/>
      <w:spacing/>
      <w:ind/>
    </w:pPr>
    <w:rPr>
      <w:i/>
      <w:iCs/>
    </w:rPr>
  </w:style>
  <w:style w:type="character" w:styleId="828">
    <w:name w:val="Strong"/>
    <w:basedOn w:val="803"/>
    <w:uiPriority w:val="22"/>
    <w:qFormat/>
    <w:pPr>
      <w:pBdr/>
      <w:spacing/>
      <w:ind/>
    </w:pPr>
    <w:rPr>
      <w:b/>
      <w:bCs/>
    </w:rPr>
  </w:style>
  <w:style w:type="character" w:styleId="829">
    <w:name w:val="Subtle Reference"/>
    <w:basedOn w:val="803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30">
    <w:name w:val="Book Title"/>
    <w:basedOn w:val="803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31">
    <w:name w:val="Header"/>
    <w:basedOn w:val="793"/>
    <w:link w:val="83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2">
    <w:name w:val="Header Char"/>
    <w:basedOn w:val="803"/>
    <w:link w:val="831"/>
    <w:uiPriority w:val="99"/>
    <w:pPr>
      <w:pBdr/>
      <w:spacing/>
      <w:ind/>
    </w:pPr>
  </w:style>
  <w:style w:type="paragraph" w:styleId="833">
    <w:name w:val="Footer"/>
    <w:basedOn w:val="793"/>
    <w:link w:val="834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34">
    <w:name w:val="Footer Char"/>
    <w:basedOn w:val="803"/>
    <w:link w:val="833"/>
    <w:uiPriority w:val="99"/>
    <w:pPr>
      <w:pBdr/>
      <w:spacing/>
      <w:ind/>
    </w:pPr>
  </w:style>
  <w:style w:type="paragraph" w:styleId="835">
    <w:name w:val="Caption"/>
    <w:basedOn w:val="793"/>
    <w:next w:val="793"/>
    <w:uiPriority w:val="35"/>
    <w:unhideWhenUsed/>
    <w:qFormat/>
    <w:pPr>
      <w:pBdr/>
      <w:spacing w:after="200" w:line="240" w:lineRule="auto"/>
      <w:ind/>
    </w:pPr>
    <w:rPr>
      <w:i/>
      <w:iCs/>
      <w:color w:val="0e2841" w:themeColor="text2"/>
      <w:sz w:val="18"/>
      <w:szCs w:val="18"/>
    </w:rPr>
  </w:style>
  <w:style w:type="paragraph" w:styleId="836">
    <w:name w:val="footnote text"/>
    <w:basedOn w:val="793"/>
    <w:link w:val="837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37">
    <w:name w:val="Footnote Text Char"/>
    <w:basedOn w:val="803"/>
    <w:link w:val="836"/>
    <w:uiPriority w:val="99"/>
    <w:semiHidden/>
    <w:pPr>
      <w:pBdr/>
      <w:spacing/>
      <w:ind/>
    </w:pPr>
    <w:rPr>
      <w:sz w:val="20"/>
      <w:szCs w:val="20"/>
    </w:rPr>
  </w:style>
  <w:style w:type="character" w:styleId="838">
    <w:name w:val="foot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paragraph" w:styleId="839">
    <w:name w:val="endnote text"/>
    <w:basedOn w:val="793"/>
    <w:link w:val="840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40">
    <w:name w:val="Endnote Text Char"/>
    <w:basedOn w:val="803"/>
    <w:link w:val="839"/>
    <w:uiPriority w:val="99"/>
    <w:semiHidden/>
    <w:pPr>
      <w:pBdr/>
      <w:spacing/>
      <w:ind/>
    </w:pPr>
    <w:rPr>
      <w:sz w:val="20"/>
      <w:szCs w:val="20"/>
    </w:rPr>
  </w:style>
  <w:style w:type="character" w:styleId="841">
    <w:name w:val="endnote reference"/>
    <w:basedOn w:val="803"/>
    <w:uiPriority w:val="99"/>
    <w:semiHidden/>
    <w:unhideWhenUsed/>
    <w:pPr>
      <w:pBdr/>
      <w:spacing/>
      <w:ind/>
    </w:pPr>
    <w:rPr>
      <w:vertAlign w:val="superscript"/>
    </w:rPr>
  </w:style>
  <w:style w:type="character" w:styleId="842">
    <w:name w:val="Hyperlink"/>
    <w:basedOn w:val="803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43">
    <w:name w:val="FollowedHyperlink"/>
    <w:basedOn w:val="803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44">
    <w:name w:val="TOC Heading"/>
    <w:uiPriority w:val="39"/>
    <w:unhideWhenUsed/>
    <w:pPr>
      <w:pBdr/>
      <w:spacing/>
      <w:ind/>
    </w:pPr>
  </w:style>
  <w:style w:type="paragraph" w:styleId="845">
    <w:name w:val="table of figures"/>
    <w:basedOn w:val="793"/>
    <w:next w:val="793"/>
    <w:uiPriority w:val="99"/>
    <w:unhideWhenUsed/>
    <w:pPr>
      <w:pBdr/>
      <w:spacing w:after="0" w:afterAutospacing="0"/>
      <w:ind/>
    </w:pPr>
  </w:style>
  <w:style w:type="paragraph" w:styleId="846">
    <w:name w:val="Версия сервера генератора печатных документов: 14.65 Версия клиента генератора печатных документов: 14.0.34 Текущий пользователь: riabchikovaov3_ce90d0de1480458d8ea0b01fb7604393 Данные о генерации: DataSourceProvider: ru.krista.retools.reporting.print.doc.editor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* ru.krista.xsltreporting.printdoc.XsltReportingFunctionProvider * ru.krista.rcs.print.doc.editor.functions.RcsFunctionProvider "/>
    <w:pPr>
      <w:pBdr/>
      <w:spacing/>
      <w:ind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revision>4</cp:revision>
  <dcterms:created xsi:type="dcterms:W3CDTF">2025-06-11T10:13:07Z</dcterms:created>
  <dcterms:modified xsi:type="dcterms:W3CDTF">2025-06-11T11:04:28Z</dcterms:modified>
</cp:coreProperties>
</file>