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90A23">
      <w:pPr>
        <w:jc w:val="center"/>
        <w:rPr>
          <w:b/>
          <w:lang w:val="en-US" w:eastAsia="en-US"/>
        </w:rPr>
      </w:pPr>
      <w:r>
        <w:rPr>
          <w:b/>
          <w:lang w:val="en-US" w:eastAsia="en-US"/>
        </w:rPr>
        <w:t xml:space="preserve">Проект муниципального контракта № ________________</w:t>
      </w:r>
    </w:p>
    <w:p w14:paraId="41D3261A">
      <w:pPr>
        <w:jc w:val="center"/>
        <w:rPr>
          <w:lang w:val="en-US"/>
        </w:rPr>
      </w:pPr>
    </w:p>
    <w:p w14:paraId="6A47C9EB">
      <w:pPr>
        <w:jc w:val="center"/>
        <w:rPr>
          <w:lang w:val="en-US"/>
        </w:rPr>
      </w:pPr>
      <w:r>
        <w:rPr>
          <w:lang w:val="en-US"/>
        </w:rPr>
        <w:t xml:space="preserve">Оказание услуг по сопровождению программного обеспечения для расчета среднедушевого дохода и стоимости имущества граждан сетевого программного комплекса «Малоимущие» в 2027 году</w:t>
      </w:r>
      <w:r>
        <w:rPr>
          <w:lang w:val="en-AU"/>
        </w:rPr>
        <w:t/>
      </w:r>
      <w:r>
        <w:rPr>
          <w:lang w:val="en-US"/>
        </w:rPr>
        <w:t xml:space="preserve"/>
      </w:r>
    </w:p>
    <w:p w14:paraId="0D507821">
      <w:pPr>
        <w:jc w:val="center"/>
        <w:rPr>
          <w:lang w:val="en-US"/>
        </w:rPr>
      </w:pPr>
    </w:p>
    <w:p w14:paraId="5FF64CE8">
      <w:pPr>
        <w:jc w:val="center"/>
        <w:rPr>
          <w:lang w:eastAsia="en-US"/>
        </w:rPr>
      </w:pPr>
      <w:r>
        <w:t xml:space="preserve">(идентификационный код закупки – ИКЗ: 263502418146850240100101180016202244)</w:t>
      </w:r>
    </w:p>
    <w:p w14:paraId="690F84FC">
      <w:pPr>
        <w:rPr>
          <w:lang w:eastAsia="en-US"/>
        </w:rPr>
      </w:pPr>
    </w:p>
    <w:p w14:paraId="1B4E425D">
      <w:pPr>
        <w:jc w:val="right"/>
        <w:rPr>
          <w:lang w:eastAsia="en-US"/>
        </w:rPr>
      </w:pPr>
      <w:r>
        <w:rPr>
          <w:lang w:eastAsia="en-US"/>
        </w:rPr>
        <w:tab/>
      </w:r>
      <w:r>
        <w:t xml:space="preserve">«___» _____________ 20___ год</w:t>
      </w:r>
      <w:r>
        <w:rPr>
          <w:lang w:val="en-AU"/>
        </w:rPr>
        <w:t/>
      </w:r>
      <w:r>
        <w:t xml:space="preserve"/>
      </w:r>
    </w:p>
    <w:p w14:paraId="2395B456">
      <w:pPr>
        <w:rPr>
          <w:lang w:eastAsia="en-US"/>
        </w:rPr>
      </w:pPr>
    </w:p>
    <w:p w14:paraId="644A1EAD">
      <w:pPr>
        <w:rPr>
          <w:lang w:eastAsia="en-US"/>
        </w:rPr>
      </w:pPr>
      <w:r>
        <w:rPr>
          <w:lang w:eastAsia="en-US"/>
        </w:rPr>
        <w:t xml:space="preserve">МУНИЦИПАЛЬНОЕ КАЗЕННОЕ УЧРЕЖДЕНИЕ "ЦЕНТР ОБЕСПЕЧЕНИЯ ДЕЯТЕЛЬНОСТИ ОРГАНОВ МЕСТНОГО САМОУПРАВЛЕНИЯ ГОРОДСКОГО ОКРУГА КРАСНОГОРСК"</w:t>
      </w:r>
      <w:r>
        <w:rPr>
          <w:lang w:val="en-US"/>
        </w:rPr>
        <w:t/>
      </w:r>
      <w:r>
        <w:rPr>
          <w:lang w:eastAsia="en-US"/>
        </w:rPr>
        <w:t xml:space="preserve">, именуемое(ая,ый) в дальнейшем «Заказчик</w:t>
      </w:r>
      <w:r>
        <w:rPr>
          <w:rStyle w:val="11"/>
          <w:color w:val="auto"/>
          <w:u w:val="none"/>
          <w:lang w:val="en-US" w:eastAsia="en-US"/>
        </w:rPr>
        <w:t/>
      </w:r>
      <w:r>
        <w:rPr>
          <w:rStyle w:val="11"/>
          <w:color w:val="auto"/>
          <w:u w:val="none"/>
          <w:lang w:eastAsia="en-US"/>
        </w:rPr>
        <w:t/>
      </w:r>
      <w:r>
        <w:rPr>
          <w:rStyle w:val="11"/>
          <w:color w:val="auto"/>
          <w:u w:val="none"/>
          <w:lang w:val="en-US" w:eastAsia="en-US"/>
        </w:rPr>
        <w:t/>
      </w:r>
      <w:r>
        <w:rPr>
          <w:rStyle w:val="11"/>
          <w:color w:val="auto"/>
          <w:u w:val="none"/>
          <w:lang w:eastAsia="en-US"/>
        </w:rPr>
        <w:t/>
      </w:r>
      <w:r>
        <w:rPr>
          <w:rStyle w:val="11"/>
          <w:color w:val="auto"/>
          <w:u w:val="none"/>
          <w:lang w:val="en-US" w:eastAsia="en-US"/>
        </w:rPr>
        <w:t/>
      </w:r>
      <w:r>
        <w:rPr>
          <w:lang w:eastAsia="en-US"/>
        </w:rPr>
        <w:t xml:space="preserve">», </w:t>
      </w:r>
      <w:r>
        <w:t xml:space="preserve">в лице ________________</w:t>
      </w:r>
      <w:r>
        <w:rPr>
          <w:lang w:val="en-US"/>
        </w:rPr>
        <w:t/>
      </w:r>
      <w:r>
        <w:t/>
      </w:r>
      <w:r>
        <w:rPr>
          <w:lang w:val="en-US"/>
        </w:rPr>
        <w:t/>
      </w:r>
      <w:r>
        <w:t/>
      </w:r>
      <w:r>
        <w:rPr>
          <w:lang w:val="en-US"/>
        </w:rPr>
        <w:t/>
      </w:r>
      <w:r>
        <w:t xml:space="preserve"> __________________________</w:t>
      </w:r>
      <w:r>
        <w:rPr>
          <w:lang w:val="en-US"/>
        </w:rPr>
        <w:t/>
      </w:r>
      <w:r>
        <w:t/>
      </w:r>
      <w:r>
        <w:rPr>
          <w:lang w:val="en-US"/>
        </w:rPr>
        <w:t/>
      </w:r>
      <w:r>
        <w:t/>
      </w:r>
      <w:r>
        <w:rPr>
          <w:lang w:val="en-US"/>
        </w:rPr>
        <w:t/>
      </w:r>
      <w:r>
        <w:t xml:space="preserve">, действующего на основании ________________</w:t>
      </w:r>
      <w:r>
        <w:rPr>
          <w:lang w:val="en-US"/>
        </w:rPr>
        <w:t/>
      </w:r>
      <w:r>
        <w:t/>
      </w:r>
      <w:r>
        <w:rPr>
          <w:lang w:val="en-US"/>
        </w:rPr>
        <w:t/>
      </w:r>
      <w:r>
        <w:t/>
      </w:r>
      <w:r>
        <w:rPr>
          <w:lang w:val="en-US"/>
        </w:rPr>
        <w:t/>
      </w:r>
      <w:r>
        <w:t xml:space="preserve">, с одной стороны, и </w:t>
      </w:r>
      <w:r>
        <w:rPr>
          <w:rStyle w:val="11"/>
          <w:color w:val="auto"/>
          <w:u w:val="none"/>
          <w:lang w:eastAsia="en-US"/>
        </w:rPr>
        <w:t xml:space="preserve">________________</w:t>
      </w:r>
      <w:r>
        <w:rPr>
          <w:rStyle w:val="11"/>
          <w:color w:val="auto"/>
          <w:u w:val="none"/>
          <w:lang w:val="en-US" w:eastAsia="en-US"/>
        </w:rPr>
        <w:t/>
      </w:r>
      <w:r>
        <w:rPr>
          <w:rStyle w:val="11"/>
          <w:color w:val="auto"/>
          <w:u w:val="none"/>
          <w:lang w:eastAsia="en-US"/>
        </w:rPr>
        <w:t xml:space="preserve">, </w:t>
      </w:r>
      <w:r>
        <w:t xml:space="preserve">именуемое(ая,ый) в дальнейшем «Исполнитель</w:t>
      </w:r>
      <w:r>
        <w:rPr>
          <w:rStyle w:val="11"/>
          <w:color w:val="auto"/>
          <w:u w:val="none"/>
          <w:lang w:val="en-US" w:eastAsia="en-US"/>
        </w:rPr>
        <w:t/>
      </w:r>
      <w:r>
        <w:rPr>
          <w:rStyle w:val="11"/>
          <w:color w:val="auto"/>
          <w:u w:val="none"/>
          <w:lang w:eastAsia="en-US"/>
        </w:rPr>
        <w:t/>
      </w:r>
      <w:r>
        <w:rPr>
          <w:rStyle w:val="11"/>
          <w:color w:val="auto"/>
          <w:u w:val="none"/>
          <w:lang w:val="en-US" w:eastAsia="en-US"/>
        </w:rPr>
        <w:t/>
      </w:r>
      <w:r>
        <w:rPr>
          <w:rStyle w:val="11"/>
          <w:color w:val="auto"/>
          <w:u w:val="none"/>
          <w:lang w:eastAsia="en-US"/>
        </w:rPr>
        <w:t/>
      </w:r>
      <w:r>
        <w:rPr>
          <w:rStyle w:val="11"/>
          <w:color w:val="auto"/>
          <w:u w:val="none"/>
          <w:lang w:val="en-US" w:eastAsia="en-US"/>
        </w:rPr>
        <w:t/>
      </w:r>
      <w:r>
        <w:t xml:space="preserve">», в лице ________________</w:t>
      </w:r>
      <w:r>
        <w:rPr>
          <w:lang w:val="en-US"/>
        </w:rPr>
        <w:t/>
      </w:r>
      <w:r>
        <w:t/>
      </w:r>
      <w:r>
        <w:rPr>
          <w:lang w:val="en-US"/>
        </w:rPr>
        <w:t/>
      </w:r>
      <w:r>
        <w:t/>
      </w:r>
      <w:r>
        <w:rPr>
          <w:lang w:val="en-US"/>
        </w:rPr>
        <w:t/>
      </w:r>
      <w:r>
        <w:t xml:space="preserve"> ________________</w:t>
      </w:r>
      <w:r>
        <w:rPr>
          <w:lang w:val="en-US"/>
        </w:rPr>
        <w:t/>
      </w:r>
      <w:r>
        <w:t/>
      </w:r>
      <w:r>
        <w:rPr>
          <w:lang w:val="en-US"/>
        </w:rPr>
        <w:t/>
      </w:r>
      <w:r>
        <w:t/>
      </w:r>
      <w:r>
        <w:rPr>
          <w:lang w:val="en-US"/>
        </w:rPr>
        <w:t/>
      </w:r>
      <w:r>
        <w:t xml:space="preserve">, действующего на основании ________________</w:t>
      </w:r>
      <w:r>
        <w:rPr>
          <w:lang w:val="en-US"/>
        </w:rPr>
        <w:t/>
      </w:r>
      <w:r>
        <w:t/>
      </w:r>
      <w:r>
        <w:rPr>
          <w:lang w:val="en-US"/>
        </w:rPr>
        <w:t/>
      </w:r>
      <w:r>
        <w:t/>
      </w:r>
      <w:r>
        <w:rPr>
          <w:lang w:val="en-US"/>
        </w:rPr>
        <w:t/>
      </w:r>
      <w:r>
        <w:t xml:space="preserve">, с другой стороны, а вместе именуемые «Стороны» и каждый в отдельности «Сторона», с соблюдением требований Гражданского кодекса Российской Федерации (далее – Гражданский кодекс),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и иных правовых актов Российской Федерации и Московской области на основании ________________________</w:t>
      </w:r>
      <w:r>
        <w:rPr>
          <w:lang w:eastAsia="en-US"/>
        </w:rPr>
        <w:t xml:space="preserve"> заключили настоящий </w:t>
      </w:r>
      <w:r>
        <w:t xml:space="preserve"/>
      </w:r>
      <w:r>
        <w:rPr>
          <w:lang w:val="en-US"/>
        </w:rPr>
        <w:t/>
      </w:r>
      <w:r>
        <w:t xml:space="preserve">муниципальный контракт</w:t>
      </w:r>
      <w:r>
        <w:rPr>
          <w:lang w:val="en-US"/>
        </w:rPr>
        <w:t/>
      </w:r>
      <w:r>
        <w:t xml:space="preserve"/>
      </w:r>
      <w:r>
        <w:rPr>
          <w:lang w:val="en-US"/>
        </w:rPr>
        <w:t/>
      </w:r>
      <w:r>
        <w:t xml:space="preserve"/>
      </w:r>
      <w:r>
        <w:rPr>
          <w:lang w:eastAsia="en-US"/>
        </w:rPr>
        <w:t xml:space="preserve"> (далее – Контракт) о нижеследующем.</w:t>
      </w:r>
    </w:p>
    <w:p w14:paraId="6BE0E46D">
      <w:pPr>
        <w:pStyle w:val="31"/>
        <w:ind w:firstLine="709"/>
      </w:pPr>
      <w:r>
        <w:t>Предмет Контракта</w:t>
      </w:r>
    </w:p>
    <w:p>
      <w:r>
        <w:t>1.1. Предмет Контракта - Оказание услуг по сопровождению программного обеспечения для расчета среднедушевого дохода и стоимости имущества граждан сетевого программного комплекса «Малоимущие» в 2027 году.</w:t>
      </w:r>
    </w:p>
    <w:p>
      <w:r>
        <w:t>1.2. Исполнитель обязуется в обусловленные Контрактом сроки оказать Заказчику услуги, перечисленные в приложении 1 к Контракту «Сведения об объектах закупки» (далее – услуги), а Заказчик обязуется принять и оплатить услуги в порядке и в соответствии с условиями, предусмотренными Контрактом.</w:t>
      </w:r>
    </w:p>
    <w:p>
      <w:r>
        <w:t>1.3. Требования к качеству оказываемых Исполнителем услуг, а также требования к порядку и способу их оказания Исполнителем, определяются Контрактом, в том числе Описанием объекта закупки (Техническим заданием) (приложение 5 к Контракту).</w:t>
      </w:r>
    </w:p>
    <w:p w14:paraId="621AE7B6">
      <w:pPr>
        <w:pStyle w:val="31"/>
        <w:ind w:firstLine="709"/>
      </w:pPr>
      <w:r>
        <w:t xml:space="preserve">Цена Контракта</w:t>
      </w:r>
      <w:r>
        <w:rPr>
          <w:lang w:val="en-US"/>
        </w:rPr>
        <w:t/>
      </w:r>
      <w:r>
        <w:t xml:space="preserve">, порядок и сроки оплаты услуг</w:t>
      </w:r>
      <w:r>
        <w:rPr>
          <w:lang w:val="en-AU"/>
        </w:rPr>
        <w:t/>
      </w:r>
      <w:r>
        <w:t/>
      </w:r>
      <w:r>
        <w:rPr>
          <w:lang w:val="en-AU"/>
        </w:rPr>
        <w:t/>
      </w:r>
      <w:r>
        <w:t/>
      </w:r>
      <w:r>
        <w:rPr>
          <w:lang w:val="en-AU"/>
        </w:rPr>
        <w:t/>
      </w:r>
      <w:r>
        <w:t xml:space="preserve"/>
      </w:r>
      <w:r>
        <w:rPr>
          <w:lang w:val="en-AU"/>
        </w:rPr>
        <w:t/>
      </w:r>
      <w:r>
        <w:t/>
      </w:r>
      <w:r>
        <w:rPr>
          <w:lang w:val="en-AU"/>
        </w:rPr>
        <w:t/>
      </w:r>
      <w:r>
        <w:t/>
      </w:r>
      <w:r>
        <w:rPr>
          <w:lang w:val="en-AU"/>
        </w:rPr>
        <w:t/>
      </w:r>
      <w:r>
        <w:t/>
      </w:r>
      <w:r>
        <w:rPr>
          <w:lang w:val="en-AU"/>
        </w:rPr>
        <w:t/>
      </w:r>
      <w:r>
        <w:t xml:space="preserve"/>
      </w:r>
      <w:r>
        <w:rPr>
          <w:lang w:val="en-AU"/>
        </w:rPr>
        <w:t/>
      </w:r>
      <w:r>
        <w:t/>
      </w:r>
      <w:r>
        <w:rPr>
          <w:lang w:val="en-US"/>
        </w:rPr>
        <w:t/>
      </w:r>
      <w:r>
        <w:rPr>
          <w:lang w:val="en-AU"/>
        </w:rPr>
        <w:t/>
      </w:r>
      <w:r>
        <w:t/>
      </w:r>
      <w:r>
        <w:rPr>
          <w:lang w:val="en-AU"/>
        </w:rPr>
        <w:t/>
      </w:r>
      <w:r>
        <w:t/>
      </w:r>
    </w:p>
    <w:p>
      <w:r>
        <w:t>2.1. Цена Контракта составляет ________________, ________________  &lt;1&gt; (далее – Цена Контракта). </w:t>
      </w:r>
    </w:p>
    <w:p>
      <w:r>
        <w:t/>
      </w:r>
    </w:p>
    <w:p>
      <w:r>
        <w:t>&lt;1&gt; Указывается «в том числе НДС», а также сумма НДС в рублях. В случаях, если в соответствии с законодательством Российской Федерации о налогах и сборах оказание услуги не облагается НДС, Исполнитель использует право на освобождение от исполнения обязанностей налогоплательщика, связанных с исчислением и уплатой НДС, Исполнитель не признается налогоплательщиком НДС указывается - «НДС не облагается».</w:t>
      </w:r>
    </w:p>
    <w:p>
      <w:r>
        <w:t/>
      </w:r>
    </w:p>
    <w:p>
      <w:r>
        <w:t>2.2. Цена Контракта является твердой и определена на весь срок исполнения Контракта.</w:t>
      </w:r>
    </w:p>
    <w:p>
      <w:r>
        <w:t>2.3. Цена Контракта включает в себя все расходы, в том числе расходы Исполнителя,  связанные с оказанием услуг, в том числе расходы на материалы, транспортные услуги,  страхование, на оплату услуг соисполнителей, расходы на уплату налогов, сборов и других обязательных  платежей, а также иные расходы Исполнителя, связанные с исполнением Контракта.</w:t>
      </w:r>
    </w:p>
    <w:p>
      <w:r>
        <w:t>2.4.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
        <w:t>2.5. Порядок и сроки оплаты оказанных услуг установлены в разделе «Порядок и сроки оплаты» приложения 2 к Контракту.</w:t>
      </w:r>
    </w:p>
    <w:p>
      <w:r>
        <w:t>2.6. Оплата оказанных услуг Заказчиком осуществляется в рублях Российской Федерации в пределах Цены Контракта в сроки и в размерах, которые установлены Контрактом, путем перечисления денежных средств на счет Исполнителя, реквизиты которого приведены в Контракте, за вычетом суммы выплаченного аванса (если Контрактом предусмотрена выплата аванса).</w:t>
      </w:r>
    </w:p>
    <w:p w14:paraId="2E11847A">
      <w:pPr>
        <w:rPr>
          <w:lang w:eastAsia="en-US"/>
        </w:rPr>
      </w:pPr>
      <w:r>
        <w:rPr>
          <w:lang w:eastAsia="en-US"/>
        </w:rPr>
        <w:t xml:space="preserve"/>
      </w:r>
    </w:p>
    <w:p w14:paraId="66A78825">
      <w:pPr>
        <w:rPr>
          <w:lang w:eastAsia="en-US"/>
        </w:rPr>
      </w:pPr>
      <w:r>
        <w:rPr>
          <w:lang w:eastAsia="en-US"/>
        </w:rPr>
        <w:t xml:space="preserve">2.7. Обязательства Заказчика по оплате </w:t>
      </w:r>
      <w:r>
        <w:rPr>
          <w:lang w:val="ru-RU" w:eastAsia="en-US"/>
        </w:rPr>
        <w:t>оказанных</w:t>
      </w:r>
      <w:r>
        <w:rPr>
          <w:rFonts w:hint="default"/>
          <w:lang w:val="ru-RU" w:eastAsia="en-US"/>
        </w:rPr>
        <w:t xml:space="preserve"> услуг</w:t>
      </w:r>
      <w:bookmarkStart w:id="8" w:name="_GoBack"/>
      <w:bookmarkEnd w:id="8"/>
      <w:r>
        <w:rPr>
          <w:lang w:eastAsia="en-US"/>
        </w:rPr>
        <w:t xml:space="preserve"> считаются исполненными с момента списания денежных средств со счетов Заказчика. </w:t>
      </w:r>
    </w:p>
    <w:p w14:paraId="485EDD80">
      <w:pPr>
        <w:rPr>
          <w:lang w:eastAsia="en-US"/>
        </w:rPr>
      </w:pPr>
      <w:r>
        <w:rPr>
          <w:lang w:eastAsia="en-US"/>
        </w:rPr>
        <w:t xml:space="preserve">В случае невозможности исполнения Контракта, возникшей по вине Заказчика, оплате подлежат только фактически оказанные и принятые Заказчиком услуги</w:t>
      </w:r>
      <w:r>
        <w:t>.</w:t>
      </w:r>
    </w:p>
    <w:p w14:paraId="3BE15EE5">
      <w:pPr>
        <w:rPr>
          <w:lang w:eastAsia="en-US"/>
        </w:rPr>
      </w:pPr>
      <w:r>
        <w:t>2.8. Источники финансирования</w:t>
      </w:r>
      <w:r>
        <w:rPr>
          <w:lang w:eastAsia="en-US"/>
        </w:rPr>
        <w:t>:</w:t>
      </w:r>
    </w:p>
    <w:tbl>
      <w:tblPr>
        <w:tblStyle w:val="18"/>
        <w:tblW w:w="102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5"/>
        <w:gridCol w:w="1560"/>
        <w:gridCol w:w="2698"/>
        <w:gridCol w:w="1994"/>
        <w:gridCol w:w="1545"/>
        <w:gridCol w:w="849"/>
      </w:tblGrid>
      <w:tr w14:paraId="63420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7269A9D1">
            <w:pPr>
              <w:ind w:firstLine="0"/>
              <w:jc w:val="center"/>
              <w:rPr>
                <w:lang w:val="en-US" w:eastAsia="en-US"/>
              </w:rPr>
            </w:pPr>
            <w:r>
              <w:rPr>
                <w:lang w:val="en-US" w:eastAsia="en-US"/>
              </w:rPr>
              <w:t>Бюджет \ Внебюджетные средства</w:t>
            </w:r>
          </w:p>
        </w:tc>
        <w:tc>
          <w:tcPr>
            <w:tcW w:w="1560" w:type="dxa"/>
            <w:vAlign w:val="center"/>
          </w:tcPr>
          <w:p w14:paraId="66CF9941">
            <w:pPr>
              <w:ind w:firstLine="0"/>
              <w:jc w:val="center"/>
              <w:rPr>
                <w:lang w:val="en-US" w:eastAsia="en-US"/>
              </w:rPr>
            </w:pPr>
            <w:r>
              <w:rPr>
                <w:lang w:val="en-US" w:eastAsia="en-US"/>
              </w:rPr>
              <w:t>Тип средств</w:t>
            </w:r>
          </w:p>
        </w:tc>
        <w:tc>
          <w:tcPr>
            <w:tcW w:w="2698" w:type="dxa"/>
            <w:vAlign w:val="center"/>
          </w:tcPr>
          <w:p w14:paraId="05849516">
            <w:pPr>
              <w:ind w:firstLine="0"/>
              <w:jc w:val="center"/>
              <w:rPr>
                <w:lang w:val="en-US" w:eastAsia="en-US"/>
              </w:rPr>
            </w:pPr>
            <w:r>
              <w:rPr>
                <w:lang w:val="en-US" w:eastAsia="en-US"/>
              </w:rPr>
              <w:t>Код бюджетной классификации расходов</w:t>
            </w:r>
          </w:p>
        </w:tc>
        <w:tc>
          <w:tcPr>
            <w:tcW w:w="1994" w:type="dxa"/>
            <w:vAlign w:val="center"/>
          </w:tcPr>
          <w:p w14:paraId="304DDFC2">
            <w:pPr>
              <w:ind w:firstLine="0"/>
              <w:jc w:val="center"/>
              <w:rPr>
                <w:lang w:val="en-US" w:eastAsia="en-US"/>
              </w:rPr>
            </w:pPr>
            <w:r>
              <w:rPr>
                <w:lang w:val="en-US" w:eastAsia="en-US"/>
              </w:rPr>
              <w:t>Сумма, руб.</w:t>
            </w:r>
          </w:p>
        </w:tc>
        <w:tc>
          <w:tcPr>
            <w:tcW w:w="1545" w:type="dxa"/>
            <w:vAlign w:val="center"/>
          </w:tcPr>
          <w:p w14:paraId="3F6AE0B0">
            <w:pPr>
              <w:ind w:firstLine="0"/>
              <w:jc w:val="center"/>
              <w:rPr>
                <w:lang w:val="en-US" w:eastAsia="en-US"/>
              </w:rPr>
            </w:pPr>
            <w:r>
              <w:rPr>
                <w:lang w:val="en-US" w:eastAsia="en-US"/>
              </w:rPr>
              <w:t>Лицевой счет</w:t>
            </w:r>
          </w:p>
        </w:tc>
        <w:tc>
          <w:tcPr>
            <w:tcW w:w="849" w:type="dxa"/>
            <w:vAlign w:val="center"/>
          </w:tcPr>
          <w:p w14:paraId="43913E08">
            <w:pPr>
              <w:ind w:firstLine="0"/>
              <w:jc w:val="center"/>
              <w:rPr>
                <w:lang w:val="en-US" w:eastAsia="en-US"/>
              </w:rPr>
            </w:pPr>
            <w:r>
              <w:rPr>
                <w:lang w:val="en-US" w:eastAsia="en-US"/>
              </w:rPr>
              <w:t>Год</w:t>
            </w:r>
          </w:p>
        </w:tc>
      </w:tr>
      <w:tr w14:paraId="569B4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547023B8">
            <w:pPr>
              <w:ind w:firstLine="0"/>
              <w:jc w:val="left"/>
              <w:rPr>
                <w:lang w:val="en-US"/>
              </w:rPr>
            </w:pPr>
            <w:r>
              <w:rPr>
                <w:lang w:val="en-US"/>
              </w:rPr>
              <w:t xml:space="preserve">городской округ Красногорск</w:t>
            </w:r>
          </w:p>
        </w:tc>
        <w:tc>
          <w:tcPr>
            <w:tcW w:w="1560" w:type="dxa"/>
            <w:vAlign w:val="center"/>
          </w:tcPr>
          <w:p w14:paraId="4A971327">
            <w:pPr>
              <w:ind w:firstLine="0"/>
              <w:jc w:val="left"/>
              <w:rPr>
                <w:lang w:val="en-US"/>
              </w:rPr>
            </w:pPr>
            <w:r>
              <w:rPr>
                <w:lang w:val="en-US"/>
              </w:rPr>
              <w:t xml:space="preserve">Собственные средства</w:t>
            </w:r>
          </w:p>
        </w:tc>
        <w:tc>
          <w:tcPr>
            <w:tcW w:w="2698" w:type="dxa"/>
            <w:vAlign w:val="center"/>
          </w:tcPr>
          <w:p w14:paraId="6821F3A1">
            <w:pPr>
              <w:ind w:firstLine="0"/>
              <w:jc w:val="center"/>
              <w:rPr>
                <w:lang w:val="en-US"/>
              </w:rPr>
            </w:pPr>
            <w:r>
              <w:rPr>
                <w:lang w:val="en-US"/>
              </w:rPr>
              <w:t xml:space="preserve">91201131520301170244</w:t>
            </w:r>
          </w:p>
        </w:tc>
        <w:tc>
          <w:tcPr>
            <w:tcW w:w="1994" w:type="dxa"/>
            <w:vAlign w:val="center"/>
          </w:tcPr>
          <w:p w14:paraId="2E4CCBF2">
            <w:pPr>
              <w:ind w:firstLine="0"/>
              <w:jc w:val="center"/>
              <w:rPr>
                <w:lang w:val="en-US" w:eastAsia="en-US"/>
              </w:rPr>
            </w:pPr>
            <w:r>
              <w:rPr>
                <w:lang w:val="en-US" w:eastAsia="en-US"/>
              </w:rPr>
              <w:t xml:space="preserve"/>
            </w:r>
          </w:p>
        </w:tc>
        <w:tc>
          <w:tcPr>
            <w:tcW w:w="1545" w:type="dxa"/>
            <w:vAlign w:val="center"/>
          </w:tcPr>
          <w:p w14:paraId="1772AA3E">
            <w:pPr>
              <w:ind w:firstLine="0"/>
              <w:jc w:val="center"/>
              <w:rPr>
                <w:shd w:val="clear" w:color="auto" w:fill="FFFFFF"/>
                <w:lang w:val="en-US"/>
              </w:rPr>
            </w:pPr>
            <w:r>
              <w:rPr>
                <w:shd w:val="clear" w:color="auto" w:fill="FFFFFF"/>
                <w:lang w:val="en-US"/>
              </w:rPr>
              <w:t xml:space="preserve">03243002774</w:t>
            </w:r>
            <w:r>
              <w:rPr>
                <w:lang w:val="en-AU"/>
              </w:rPr>
              <w:t/>
            </w:r>
            <w:r>
              <w:rPr>
                <w:shd w:val="clear" w:color="auto" w:fill="FFFFFF"/>
                <w:lang w:val="en-US"/>
              </w:rPr>
              <w:t xml:space="preserve"/>
            </w:r>
          </w:p>
        </w:tc>
        <w:tc>
          <w:tcPr>
            <w:tcW w:w="849" w:type="dxa"/>
            <w:vAlign w:val="center"/>
          </w:tcPr>
          <w:p w14:paraId="502A6BFA">
            <w:pPr>
              <w:ind w:firstLine="0"/>
              <w:jc w:val="center"/>
              <w:rPr>
                <w:lang w:val="en-US" w:eastAsia="en-US"/>
              </w:rPr>
            </w:pPr>
            <w:r>
              <w:rPr>
                <w:lang w:val="en-US" w:eastAsia="en-US"/>
              </w:rPr>
              <w:t xml:space="preserve">2028</w:t>
            </w:r>
            <w:r>
              <w:rPr>
                <w:lang w:val="en-US"/>
              </w:rPr>
              <w:t/>
            </w:r>
          </w:p>
        </w:tc>
      </w:tr>
      <w:tr w14:paraId="569B4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547023B8">
            <w:pPr>
              <w:ind w:firstLine="0"/>
              <w:jc w:val="left"/>
              <w:rPr>
                <w:lang w:val="en-US"/>
              </w:rPr>
            </w:pPr>
            <w:r>
              <w:rPr>
                <w:lang w:val="en-US"/>
              </w:rPr>
              <w:t xml:space="preserve">городской округ Красногорск</w:t>
            </w:r>
          </w:p>
        </w:tc>
        <w:tc>
          <w:tcPr>
            <w:tcW w:w="1560" w:type="dxa"/>
            <w:vAlign w:val="center"/>
          </w:tcPr>
          <w:p w14:paraId="4A971327">
            <w:pPr>
              <w:ind w:firstLine="0"/>
              <w:jc w:val="left"/>
              <w:rPr>
                <w:lang w:val="en-US"/>
              </w:rPr>
            </w:pPr>
            <w:r>
              <w:rPr>
                <w:lang w:val="en-US"/>
              </w:rPr>
              <w:t xml:space="preserve">Собственные средства</w:t>
            </w:r>
          </w:p>
        </w:tc>
        <w:tc>
          <w:tcPr>
            <w:tcW w:w="2698" w:type="dxa"/>
            <w:vAlign w:val="center"/>
          </w:tcPr>
          <w:p w14:paraId="6821F3A1">
            <w:pPr>
              <w:ind w:firstLine="0"/>
              <w:jc w:val="center"/>
              <w:rPr>
                <w:lang w:val="en-US"/>
              </w:rPr>
            </w:pPr>
            <w:r>
              <w:rPr>
                <w:lang w:val="en-US"/>
              </w:rPr>
              <w:t xml:space="preserve">91201131520301170244</w:t>
            </w:r>
          </w:p>
        </w:tc>
        <w:tc>
          <w:tcPr>
            <w:tcW w:w="1994" w:type="dxa"/>
            <w:vAlign w:val="center"/>
          </w:tcPr>
          <w:p w14:paraId="2E4CCBF2">
            <w:pPr>
              <w:ind w:firstLine="0"/>
              <w:jc w:val="center"/>
              <w:rPr>
                <w:lang w:val="en-US" w:eastAsia="en-US"/>
              </w:rPr>
            </w:pPr>
            <w:r>
              <w:rPr>
                <w:lang w:val="en-US" w:eastAsia="en-US"/>
              </w:rPr>
              <w:t xml:space="preserve"/>
            </w:r>
          </w:p>
        </w:tc>
        <w:tc>
          <w:tcPr>
            <w:tcW w:w="1545" w:type="dxa"/>
            <w:vAlign w:val="center"/>
          </w:tcPr>
          <w:p w14:paraId="1772AA3E">
            <w:pPr>
              <w:ind w:firstLine="0"/>
              <w:jc w:val="center"/>
              <w:rPr>
                <w:shd w:val="clear" w:color="auto" w:fill="FFFFFF"/>
                <w:lang w:val="en-US"/>
              </w:rPr>
            </w:pPr>
            <w:r>
              <w:rPr>
                <w:shd w:val="clear" w:color="auto" w:fill="FFFFFF"/>
                <w:lang w:val="en-US"/>
              </w:rPr>
              <w:t xml:space="preserve">03243002774</w:t>
            </w:r>
            <w:r>
              <w:rPr>
                <w:lang w:val="en-AU"/>
              </w:rPr>
              <w:t/>
            </w:r>
            <w:r>
              <w:rPr>
                <w:shd w:val="clear" w:color="auto" w:fill="FFFFFF"/>
                <w:lang w:val="en-US"/>
              </w:rPr>
              <w:t xml:space="preserve"/>
            </w:r>
          </w:p>
        </w:tc>
        <w:tc>
          <w:tcPr>
            <w:tcW w:w="849" w:type="dxa"/>
            <w:vAlign w:val="center"/>
          </w:tcPr>
          <w:p w14:paraId="502A6BFA">
            <w:pPr>
              <w:ind w:firstLine="0"/>
              <w:jc w:val="center"/>
              <w:rPr>
                <w:lang w:val="en-US" w:eastAsia="en-US"/>
              </w:rPr>
            </w:pPr>
            <w:r>
              <w:rPr>
                <w:lang w:val="en-US" w:eastAsia="en-US"/>
              </w:rPr>
              <w:t xml:space="preserve">2027</w:t>
            </w:r>
            <w:r>
              <w:rPr>
                <w:lang w:val="en-US"/>
              </w:rPr>
              <w:t/>
            </w:r>
          </w:p>
        </w:tc>
      </w:tr>
    </w:tbl>
    <w:p w14:paraId="1F76D0A6">
      <w:pPr>
        <w:rPr>
          <w:lang w:val="en-US" w:eastAsia="en-US"/>
        </w:rPr>
      </w:pPr>
      <w:r>
        <w:rPr>
          <w:lang w:val="en-US"/>
        </w:rPr>
        <w:t xml:space="preserve">2.9. Условие об удержании Заказчиком суммы неисполненных Исполнителем требований об уплате неустоек (штрафов, пеней) из суммы, подлежащей оплате Исполнителю, содержится в разделе «Порядок и сроки оплаты» приложения 2 к Контракту. Заказчик удерживает неустойку (штрафы, пени) из оплаты за исключением случаев, если неустойка (штрафы, пени) подлежит списанию в соответствии с действующим законодательством.</w:t>
      </w:r>
      <w:r>
        <w:rPr>
          <w:color w:val="000000"/>
          <w:lang w:val="en-US"/>
        </w:rPr>
        <w:t/>
      </w:r>
      <w:r>
        <w:rPr>
          <w:lang w:val="en-US"/>
        </w:rPr>
        <w:t xml:space="preserve"> </w:t>
      </w:r>
      <w:r>
        <w:rPr>
          <w:lang w:val="en-US" w:eastAsia="en-US"/>
        </w:rPr>
        <w:t/>
      </w:r>
      <w:r>
        <w:rPr>
          <w:lang w:val="en-US"/>
        </w:rPr>
        <w:t xml:space="preserve">Заказчик перечисляет за Исполнителя удержанную сумму неустоек (штрафов, пеней) в установленном порядке в доход соответствующего бюджета бюджетной системы Российской Федерации.</w:t>
      </w:r>
      <w:r>
        <w:rPr>
          <w:lang w:val="en-US" w:eastAsia="en-US"/>
        </w:rPr>
        <w:t/>
      </w:r>
      <w:r>
        <w:rPr>
          <w:lang w:val="en-US"/>
        </w:rPr>
        <w:t xml:space="preserve"/>
      </w:r>
    </w:p>
    <w:p>
      <w:r>
        <w:t>2.10. Выплата аванса не предусмотрена.</w:t>
      </w:r>
    </w:p>
    <w:p w14:paraId="02EBE10E">
      <w:pPr>
        <w:pStyle w:val="31"/>
      </w:pPr>
      <w:r>
        <w:t>Сроки, порядок и место оказания услуг</w:t>
      </w:r>
    </w:p>
    <w:p>
      <w:r>
        <w:t>3.1.	Услуги должны оказываться Исполнителем в сроки, указанные в разделе «График выполнения обязательств по контракту» приложения 2 к Контракту (далее – График).</w:t>
      </w:r>
    </w:p>
    <w:p>
      <w:r>
        <w:t>3.2.	Место (места) оказания услуг указано (указаны) в приложении 2 к Контракту. </w:t>
      </w:r>
    </w:p>
    <w:p>
      <w:r>
        <w:t>3.3.	Исполнитель оказывает услуги в порядке согласно Графику и в соответствии с иными условиями, предусмотренными Контрактом.</w:t>
      </w:r>
    </w:p>
    <w:p w14:paraId="74733B73">
      <w:pPr>
        <w:pStyle w:val="31"/>
      </w:pPr>
      <w:r>
        <w:t>Порядок и сроки осуществления приемки оказанных услуг</w:t>
      </w:r>
      <w:r>
        <w:br w:type="textWrapping"/>
      </w:r>
      <w:r>
        <w:t xml:space="preserve"> и оформления ее результатов</w:t>
      </w:r>
    </w:p>
    <w:p>
      <w:r>
        <w:t>4.1. Приемка оказанных услуг, в том числе отдельных этапов (если Контрактом предусмотрены такие этапы), осуществляется на основании первичных учетных документов, подтверждающих оказание услуги, составленных после завершения оказания услуг, предусмотренной разделом 1 приложения 2 к Контракту.</w:t>
      </w:r>
    </w:p>
    <w:p>
      <w:r>
        <w:t>4.2. Первичный учетный документ, являющийся основанием для оплаты услуг - документ о приемке, указанный в приложении 2 к Контракту, оформленный и подписанный в установленном Контрактом порядке (далее – документ о приемке).</w:t>
      </w:r>
    </w:p>
    <w:p>
      <w:r>
        <w:t>4.3. При приемке оказанных услуг для подтверждения объема и качества фактически оказанных услуг Исполнитель представляет комплект документов, который определяется Контрактом (далее – комплект документов).</w:t>
      </w:r>
    </w:p>
    <w:p>
      <w:r>
        <w:t>Перечень, порядок и сроки направления Исполнителем комплекта документов указаны в приложении 3 к Контракту.</w:t>
      </w:r>
    </w:p>
    <w:p>
      <w:r>
        <w:t>4.4. Заказчик осуществляет приемку оказанных услуг после получения от Исполнителя соответствующего комплекта документов. </w:t>
      </w:r>
    </w:p>
    <w:p>
      <w:r>
        <w:t>Порядок и сроки осуществления приемки оказанных услуг, а также порядок и сроки оформления ее результатов установлены разделом «Порядок и сроки осуществления приемки и оформления результатов» приложения 2 к Контракту.</w:t>
      </w:r>
    </w:p>
    <w:p>
      <w:r>
        <w:t>4.5.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w:t>
      </w:r>
    </w:p>
    <w:p>
      <w:r>
        <w:t>Порядок и сроки проведения экспертизы установлены разделом «Порядок и сроки проведения экспертизы» приложения 3 к Контракту.</w:t>
      </w:r>
    </w:p>
    <w:p>
      <w:r>
        <w:t>4.6. Заказчик в порядке и сроки, установленные разделом «Порядок и сроки осуществления приемки и оформления результатов» приложения 2 к Контракту, осуществляет приемку оказанных услуг и подписывает или утверждает подписанный всеми членами приемочной комиссии (в случае создания Заказчиком приемочной комиссии) документ о приемке, либо в те же сроки направляет Исполнителю мотивированный отказ от подписания документа о приемке, содержащий перечень выявленных недостатков (далее – мотивированный отказ). </w:t>
      </w:r>
    </w:p>
    <w:p>
      <w:r>
        <w:t>4.7. В случае получения мотивированного отказа Исполнитель обязан устранить выявленные недостатки за свой счет и направить Заказчику соответствующий комплект документов, указанный в приложении 3 к Контракту.</w:t>
      </w:r>
    </w:p>
    <w:p>
      <w:r>
        <w:t>Со дня получения от Исполнителя комплекта документов, указанного в приложении 3 к Контракту, Заказчик действует в порядке, установленном настоящим разделом Контракта, при этом срок исполнения обязательств Заказчика, установленный настоящим разделом Контракта, исчисляется со дня получения такого комплекта документов.</w:t>
      </w:r>
    </w:p>
    <w:p>
      <w:r>
        <w:t>4.8. В случае, если выявленные недостатки, указанные в мотивированном отказе, не устранены Исполнителем, Заказчик вправе принять решение об одностороннем отказе от исполнения Контракта в соответствии с условиями Контракта.</w:t>
      </w:r>
    </w:p>
    <w:p>
      <w:r>
        <w:t>4.9. Подписание Заказчиком документа о приемке не лишает его права ссылаться на недостатки оказанных услуг, в том числе по объему услуг (включая обнаруженные по результатам проведенных контрольными органами проверок).</w:t>
      </w:r>
    </w:p>
    <w:p w14:paraId="01062BB9">
      <w:pPr>
        <w:pStyle w:val="31"/>
      </w:pPr>
      <w:r>
        <w:t>Права и обязанности Сторон</w:t>
      </w:r>
    </w:p>
    <w:p w14:paraId="7CC20B96">
      <w:pPr>
        <w:rPr>
          <w:lang w:val="en-US"/>
        </w:rPr>
      </w:pPr>
      <w:r>
        <w:rPr>
          <w:lang w:val="en-US"/>
        </w:rPr>
        <w:t>5.1.</w:t>
      </w:r>
      <w:r>
        <w:t xml:space="preserve"> </w:t>
      </w:r>
      <w:r>
        <w:rPr>
          <w:lang w:val="en-US"/>
        </w:rPr>
        <w:t xml:space="preserve">Заказчик </w:t>
      </w:r>
      <w:r>
        <w:t>вправе</w:t>
      </w:r>
      <w:r>
        <w:rPr>
          <w:lang w:val="en-US"/>
        </w:rPr>
        <w:t>:</w:t>
      </w:r>
    </w:p>
    <w:p>
      <w:r>
        <w:t>5.1.1. Требовать от Исполнителя надлежащего исполнения обязательств в соответствии с условиями Контракта, а также требовать своевременного устранения выявленных недостатков.</w:t>
      </w:r>
    </w:p>
    <w:p>
      <w:r>
        <w:t>5.1.2.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Контракта.</w:t>
      </w:r>
    </w:p>
    <w:p>
      <w:r>
        <w:t>5.1.3. Запрашивать у Исполнителя информацию об исполнении им обязательств по Контракту.</w:t>
      </w:r>
    </w:p>
    <w:p>
      <w:r>
        <w:t>5.1.4. Провести экспертизу оказанных услуг с привлечением экспертов, экспертных организаций до принятия решения об одностороннем отказе от исполнения Контракта.</w:t>
      </w:r>
    </w:p>
    <w:p>
      <w:r>
        <w:t>5.1.5. Требовать возмещения убытков, причиненных в связи с неисполнением и (или) ненадлежащим исполнением Исполнителем обязательств, предусмотренных Контрактом.</w:t>
      </w:r>
    </w:p>
    <w:p>
      <w:r>
        <w:t>5.1.6. Во всякое время проверять ход и качество услуг, оказываемых Исполнителем, не вмешиваясь в его деятельность.</w:t>
      </w:r>
    </w:p>
    <w:p>
      <w:r>
        <w:t>5.1.7. Ссылаться на обнаруженные им недостатки в ходе оказания услуг и при их приемке, которые не были оговорены в документе о приемке, но фактически отражены в документе, оформленном по результатам экспертизы.</w:t>
      </w:r>
    </w:p>
    <w:p>
      <w:r>
        <w:t>5.1.8. Осуществлять иные права, предусмотренные законодательством Российской Федерации и Контрактом.</w:t>
      </w:r>
    </w:p>
    <w:p w14:paraId="2B200D9D">
      <w:pPr>
        <w:rPr>
          <w:lang w:val="en-US"/>
        </w:rPr>
      </w:pPr>
      <w:bookmarkStart w:id="0" w:name="_Ref45540162"/>
      <w:r>
        <w:rPr>
          <w:lang w:val="en-US"/>
        </w:rPr>
        <w:t>5.2.</w:t>
      </w:r>
      <w:r>
        <w:t xml:space="preserve"> </w:t>
      </w:r>
      <w:r>
        <w:rPr>
          <w:lang w:val="en-US"/>
        </w:rPr>
        <w:t xml:space="preserve">Заказчик </w:t>
      </w:r>
      <w:r>
        <w:t>обязан</w:t>
      </w:r>
      <w:r>
        <w:rPr>
          <w:lang w:val="en-US"/>
        </w:rPr>
        <w:t>:</w:t>
      </w:r>
      <w:bookmarkEnd w:id="0"/>
    </w:p>
    <w:p>
      <w:r>
        <w:t>5.2.1. Осуществлять приемку услуг и производить их оплату в порядке и сроки, установленные Контрактом.</w:t>
      </w:r>
    </w:p>
    <w:p>
      <w:r>
        <w:t>5.2.2. Сообщать в письменной форме Исполнителю о недостатках, обнаруженных в ходе исполнения Исполнителем своих обязательств по Контракту, в течение 5 (пяти) рабочих дней со дня обнаружения таких недостатков, если иной срок не предусмотрен Контрактом.</w:t>
      </w:r>
    </w:p>
    <w:p>
      <w:r>
        <w:t>5.2.3. Требовать уплаты неустойки (штрафов, пеней) в соответствии с условиями Контракта.</w:t>
      </w:r>
    </w:p>
    <w:p>
      <w:r>
        <w:t>5.2.4. Осуществлять контроль за исполнением Исполнителем условий Контракта в соответствии с законодательством Российской Федерации.</w:t>
      </w:r>
    </w:p>
    <w:p>
      <w:r>
        <w:t>5.2.5. Представлять Исполнителю информацию об изменении реквизитов Заказчика, указанных в Контракте, в срок не позднее 2 (двух) рабочих дней со дня такого изменения, вместе с проектом дополнительного соглашения о внесении изменений в Контракт.</w:t>
      </w:r>
    </w:p>
    <w:p>
      <w:r>
        <w:t>5.2.6. В течение 5 (пяти) рабочих дней со дня получения от Исполнителя информации об изменении реквизитов Исполнителя, указанных в Контракте, а также проекта дополнительного соглашения о внесении изменений в Контракт, рассмотреть их, подписать дополнительное соглашение к Контракту.</w:t>
      </w:r>
    </w:p>
    <w:p>
      <w:r>
        <w:t>5.2.7. Представлять Исполнителю разъяснения и уточнения относительно исполнения обязательств в рамках Контракта в течение 2 (двух) рабочих дней со дня получения соответствующего запроса.</w:t>
      </w:r>
    </w:p>
    <w:p>
      <w:r>
        <w:t>5.2.8. В срок не превышающий 3 (трех) рабочих дней со дня получения от Исполнителя предупреждения об обстоятельствах, о которых Исполнитель обязан предупредить Заказчика в соответствии с требованиями пункта 1 статьи 716 Гражданского кодекса, направить ответ с указанием о дальнейших действиях Исполнителя.</w:t>
      </w:r>
    </w:p>
    <w:p>
      <w:r>
        <w:t>5.2.9. Выполнить обязательства в соответствии с разделом «Иные обязательства» приложения 2 к Контракту (при наличии таких обязательств).</w:t>
      </w:r>
    </w:p>
    <w:p>
      <w:r>
        <w:t>5.2.10. Исполнять иные обязанности в соответствии с законодательством Российской Федерации и Контрактом.</w:t>
      </w:r>
    </w:p>
    <w:p w14:paraId="6FDE1F1A">
      <w:pPr>
        <w:rPr>
          <w:lang w:val="en-US"/>
        </w:rPr>
      </w:pPr>
      <w:r>
        <w:rPr>
          <w:lang w:val="en-US"/>
        </w:rPr>
        <w:t>5.3.</w:t>
      </w:r>
      <w:r>
        <w:t xml:space="preserve"> </w:t>
      </w:r>
      <w:r>
        <w:rPr>
          <w:lang w:val="en-US"/>
        </w:rPr>
        <w:t xml:space="preserve">Исполнитель </w:t>
      </w:r>
      <w:r>
        <w:t>вправе</w:t>
      </w:r>
      <w:r>
        <w:rPr>
          <w:lang w:val="en-US"/>
        </w:rPr>
        <w:t>:</w:t>
      </w:r>
    </w:p>
    <w:p>
      <w:r>
        <w:t>5.3.1. Требовать от Заказчика надлежащего исполнения обязательств в соответствии с Контрактом.</w:t>
      </w:r>
    </w:p>
    <w:p>
      <w:r>
        <w:t>5.3.2. Запрашивать у Заказчика разъяснения и уточнения относительно исполнения обязательств в рамках Контракта.</w:t>
      </w:r>
    </w:p>
    <w:p>
      <w:r>
        <w:t>5.3.3. Осуществлять иные права, предусмотренные законодательством Российской Федерации и Контрактом.</w:t>
      </w:r>
    </w:p>
    <w:p w14:paraId="3FED0EDA">
      <w:pPr>
        <w:rPr>
          <w:lang w:val="en-US"/>
        </w:rPr>
      </w:pPr>
      <w:r>
        <w:rPr>
          <w:lang w:val="en-US"/>
        </w:rPr>
        <w:t xml:space="preserve"/>
      </w:r>
    </w:p>
    <w:p w14:paraId="6AAA7EFD">
      <w:pPr>
        <w:rPr>
          <w:lang w:val="en-US"/>
        </w:rPr>
      </w:pPr>
      <w:bookmarkStart w:id="1" w:name="_Ref40978815"/>
      <w:r>
        <w:rPr>
          <w:lang w:val="en-US"/>
        </w:rPr>
        <w:t xml:space="preserve">5.4. Исполнитель </w:t>
      </w:r>
      <w:r>
        <w:t>обязан</w:t>
      </w:r>
      <w:r>
        <w:rPr>
          <w:lang w:val="en-US"/>
        </w:rPr>
        <w:t>:</w:t>
      </w:r>
      <w:bookmarkEnd w:id="1"/>
    </w:p>
    <w:p>
      <w:r>
        <w:t>5.4.1. В соответствии с условиями Контракта оказать услуги лично в полном объеме, надлежащего качества и в установленные сроки.</w:t>
      </w:r>
    </w:p>
    <w:p>
      <w:r>
        <w:t>5.4.2. Своевременно направлять Заказчику посредством использования ПИК ЕАСУЗ надлежащим образом оформленные документы, подтверждающие исполнение обязательств в соответствии с условиями Контракта, в том числе перечисленные в приложении 3 к Контракту.</w:t>
      </w:r>
    </w:p>
    <w:p>
      <w:r>
        <w:t>5.4.3.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Контракту.</w:t>
      </w:r>
    </w:p>
    <w:p>
      <w:r>
        <w:t>5.4.4. Представлять Заказчику информацию обо всех обстоятельствах, препятствующих исполнению Контракта, в течение 1 (одного) рабочего дня со дня обнаружения Исполнителем таких обстоятельств.</w:t>
      </w:r>
    </w:p>
    <w:p>
      <w:r>
        <w:t>5.4.5. Представлять Заказчику информацию об изменении реквизитов Исполнителя, указанных в Контракте, в срок не позднее 2 (двух) рабочих дней со дня такого изменения, вместе с проектом дополнительного соглашения о внесении изменений в Контракт.</w:t>
      </w:r>
    </w:p>
    <w:p>
      <w:r>
        <w:t>5.4.6. В течение 5 (пяти) рабочих дней со дня получения от Заказчика информации об изменении реквизитов Заказчика, указанных в Контракте, а также проекта дополнительного соглашения о внесении изменений в Контракт, рассмотреть их, подписать дополнительное соглашение к Контракту.</w:t>
      </w:r>
    </w:p>
    <w:p>
      <w:r>
        <w:t>5.4.7. Обеспечить соответствие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Контрактом (при наличии таких требований).</w:t>
      </w:r>
    </w:p>
    <w:p>
      <w:r>
        <w:t>5.4.8. В случае повреждения Исполнителем имущества третьих лиц в ходе оказания услуг восстановить поврежденное имущество за свой счет.</w:t>
      </w:r>
    </w:p>
    <w:p>
      <w:r>
        <w:t>5.4.9. Выполнить обязательства в соответствии с разделом «Иные обязательства» приложения 2 к Контракту (при наличии таких обязательств).</w:t>
      </w:r>
    </w:p>
    <w:p>
      <w:r>
        <w:t>5.4.10. Исполнять иные обязанности в соответствии с законодательством Российской Федерации и настоящим Контрактом.</w:t>
      </w:r>
    </w:p>
    <w:p w14:paraId="4C9EAFFE">
      <w:pPr>
        <w:pStyle w:val="31"/>
      </w:pPr>
      <w:r>
        <w:t>Гарантии</w:t>
      </w:r>
    </w:p>
    <w:p>
      <w:r>
        <w:t>6.1. Исполнитель гарантирует качество и безопасность услуг в соответствии с действующим законодательством Российской Федерации, а также соответствие услуг требованиям Контракта.</w:t>
      </w:r>
    </w:p>
    <w:bookmarkEnd w:id="2"/>
    <w:bookmarkEnd w:id="3"/>
    <w:p w14:paraId="6D10640C">
      <w:pPr>
        <w:pStyle w:val="31"/>
      </w:pPr>
      <w:r>
        <w:t>Ответственность Сторон</w:t>
      </w:r>
    </w:p>
    <w:p>
      <w:r>
        <w:t>7.1. За неисполнение или ненадлежащее исполнение своих обязательств, предусмотренных Контрактом, Стороны несут ответственность в соответствии с законодательством Российской Федерации и условиями Контракта.</w:t>
      </w:r>
    </w:p>
    <w:p>
      <w:r>
        <w:t>Размер пени определяется в соответствии со статьей 34 Федерального закона № 44-ФЗ.</w:t>
      </w:r>
    </w:p>
    <w:p>
      <w:r>
        <w:t>Размеры штрафов определяются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w:t>
      </w:r>
    </w:p>
    <w:p>
      <w:r>
        <w:t>В случае изменения условий Контракта в части изменения Цены Контракта размеры штрафов, установленные в подпункте 7.5.3 пункта 7.5 и подпунктах 7.6.4, 7.6.5 пункта 7.6 Контракта, определяются в соответствии с Правилами с учетом новой Цены Контракта.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размер штрафа определяется с учетом Цены Контракта, действующей на момент такого неисполнения или ненадлежащего исполнения.</w:t>
      </w:r>
    </w:p>
    <w:p>
      <w:r>
        <w:t>7.2.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
        <w:t>7.3.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
        <w:t>7.5. Ответственность Заказчика:</w:t>
      </w:r>
    </w:p>
    <w:p>
      <w:r>
        <w:t>7.5.1.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
        <w:t>7.5.2.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
        <w:t>7.5.3.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__ &lt;1&gt; рублей.</w:t>
      </w:r>
    </w:p>
    <w:p>
      <w:r>
        <w:t/>
      </w:r>
    </w:p>
    <w:p>
      <w:r>
        <w:t>&lt;1&gt; В данном подпункте при заключении Контракта указывается размер штрафа, определяемый в соответствии с пунктом 9 Правил в следующем порядке:</w:t>
      </w:r>
    </w:p>
    <w:p>
      <w:r>
        <w:t>а) 1000 рублей, если Цена Контракта не превышает 3 млн. рублей (включительно);</w:t>
      </w:r>
    </w:p>
    <w:p>
      <w:r>
        <w:t>б) 5000 рублей, если Цена Контракта составляет от 3 млн. рублей до 50 млн. рублей (включительно);</w:t>
      </w:r>
    </w:p>
    <w:p>
      <w:r>
        <w:t>в) 10000 рублей, если Цена Контракта составляет от 50 млн. рублей до 100 млн. рублей (включительно);</w:t>
      </w:r>
    </w:p>
    <w:p>
      <w:r>
        <w:t>г) 100000 рублей, если Цена Контракта превышает 100 млн. рублей.</w:t>
      </w:r>
    </w:p>
    <w:p>
      <w:r>
        <w:t/>
      </w:r>
    </w:p>
    <w:p>
      <w:r>
        <w:t>7.6. Ответственность Исполнителя:</w:t>
      </w:r>
    </w:p>
    <w:p>
      <w:r>
        <w:t>7.6.1.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
        <w:t>7.6.2.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
        <w:t>7.6.3.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w:t>
      </w:r>
    </w:p>
    <w:p>
      <w:r>
        <w:t>7.6.4.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штраф устанавливается в размере __ &lt;2&gt;.</w:t>
      </w:r>
    </w:p>
    <w:p>
      <w:r>
        <w:t/>
      </w:r>
    </w:p>
    <w:p>
      <w:r>
        <w:t>&lt;2&gt; В данном подпункте при заключении Контракта указывается размер штрафа, определяемый в следующем порядке (за исключением случаев, если законодательством Российской Федерации установлен иной порядок начисления штрафов):</w:t>
      </w:r>
    </w:p>
    <w:p>
      <w:r>
        <w:t>(Вариант I)</w:t>
      </w:r>
    </w:p>
    <w:p>
      <w:r>
        <w:t>Во всех случаях (за исключением случаев, предусмотренных пунктами 4 - 8 Правил) размер штрафа, рассчитываемый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 устанавливается в соответствии с пунктом 3 Правил в следующем порядке:</w:t>
      </w:r>
    </w:p>
    <w:p>
      <w:r>
        <w:t>а) 10 процентов цены Контракта (этапа) в случае, если цена Контракта (этапа) не превышает 3 млн. рублей;</w:t>
      </w:r>
    </w:p>
    <w:p>
      <w:r>
        <w:t>б) 5 процентов цены Контракта (этапа) в случае, если цена Контракта (этапа) составляет от 3 млн. рублей до 50 млн. рублей (включительно);</w:t>
      </w:r>
    </w:p>
    <w:p>
      <w:r>
        <w:t>в) 1 процент цены Контракта (этапа) в случае, если цена Контракта (этапа) составляет от 50 млн. рублей до 100 млн. рублей (включительно);</w:t>
      </w:r>
    </w:p>
    <w:p>
      <w:r>
        <w:t>г) 0,5 процента цены Контракта (этапа) в случае, если цена Контракта (этапа) составляет от 100 млн. рублей до 500 млн. рублей (включительно);</w:t>
      </w:r>
    </w:p>
    <w:p>
      <w:r>
        <w:t>д) 0,4 процента цены Контракта (этапа) в случае, если цена Контракта (этапа) составляет от 500 млн. рублей до 1 млрд. рублей (включительно);</w:t>
      </w:r>
    </w:p>
    <w:p>
      <w:r>
        <w:t>е) 0,3 процента цены Контракта (этапа) в случае, если цена Контракта (этапа) составляет от 1 млрд. рублей до 2 млрд. рублей (включительно);</w:t>
      </w:r>
    </w:p>
    <w:p>
      <w:r>
        <w:t>ж) 0,25 процента цены Контракта (этапа) в случае, если цена Контракта (этапа) составляет от 2 млрд. рублей до 5 млрд. рублей (включительно);</w:t>
      </w:r>
    </w:p>
    <w:p>
      <w:r>
        <w:t>з) 0,2 процента цены Контракта (этапа) в случае, если цена Контракта (этапа) составляет от 5 млрд. рублей до 10 млрд. рублей (включительно);</w:t>
      </w:r>
    </w:p>
    <w:p>
      <w:r>
        <w:t>и) 0,1 процента цены Контракта (этапа) в случае, если цена Контракта (этапа) превышает 10 млрд. рублей.</w:t>
      </w:r>
    </w:p>
    <w:p>
      <w:r>
        <w:t>(Вариант II)</w:t>
      </w:r>
    </w:p>
    <w:p>
      <w:r>
        <w:t>В случае, предусмотренном пунктом 4 Правил, если Контракт заключается по результатам определения Исполнителя в соответствии с пунктом 1 части 1 статьи 30 Федерального закона № 44-ФЗ размер штрафа устанавливается в размере 1 процента цены Контракта (этапа), но не более 5 тыс. рублей и не менее 1 тыс. рублей.</w:t>
      </w:r>
    </w:p>
    <w:p>
      <w:r>
        <w:t>(Вариант III)</w:t>
      </w:r>
    </w:p>
    <w:p>
      <w:r>
        <w:t>В случае, если Контракт заключается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Контракта размер штрафа устанавливается в соответствии с пунктом 5 Правил в следующем порядке:</w:t>
      </w:r>
    </w:p>
    <w:p>
      <w:r>
        <w:t>а) в случае, если Цена Контракта не превышает начальную (максимальную) цену контракта:</w:t>
      </w:r>
    </w:p>
    <w:p>
      <w:r>
        <w:t>10 процентов начальной (максимальной) цены контракта, если Цена Контракта не превышает 3 млн. рублей;</w:t>
      </w:r>
    </w:p>
    <w:p>
      <w:r>
        <w:t>5 процентов начальной (максимальной) цены контракта, если Цена Контракта составляет от 3 млн. рублей до 50 млн. рублей (включительно);</w:t>
      </w:r>
    </w:p>
    <w:p>
      <w:r>
        <w:t>1 процент начальной (максимальной) цены контракта, если Цена Контракта составляет от 50 млн. рублей до 100 млн. рублей (включительно);</w:t>
      </w:r>
    </w:p>
    <w:p>
      <w:r>
        <w:t>б) в случае, если Цена Контракта превышает начальную (максимальную) цену контракта:</w:t>
      </w:r>
    </w:p>
    <w:p>
      <w:r>
        <w:t>10 процентов Цены Контракта, если Цена Контракта не превышает 3 млн. рублей;</w:t>
      </w:r>
    </w:p>
    <w:p>
      <w:r>
        <w:t>5 процентов Цены Контракта, если Цена Контракта составляет от 3 млн. рублей до 50 млн. рублей (включительно);</w:t>
      </w:r>
    </w:p>
    <w:p>
      <w:r>
        <w:t>1 процент Цены Контракта, если Цена Контракта составляет от 50 млн. рублей до 100 млн. рублей (включительно).</w:t>
      </w:r>
    </w:p>
    <w:p>
      <w:r>
        <w:t/>
      </w:r>
    </w:p>
    <w:p>
      <w:r>
        <w:t>7.6.5.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штраф устанавливается в размере __ &lt;3&gt; рублей.</w:t>
      </w:r>
    </w:p>
    <w:p>
      <w:r>
        <w:t/>
      </w:r>
    </w:p>
    <w:p>
      <w:r>
        <w:t>&lt;3&gt; В данном подпункте при заключении Контракта указывается размер штрафа, определяемый в соответствии с пунктом 6 Правил в следующем порядке:</w:t>
      </w:r>
    </w:p>
    <w:p>
      <w:r>
        <w:t>а) 1000 рублей, если Цена Контракта не превышает 3 млн. рублей;</w:t>
      </w:r>
    </w:p>
    <w:p>
      <w:r>
        <w:t>б) 5000 рублей, если Цена Контракта составляет от 3 млн. рублей до 50 млн. рублей (включительно);</w:t>
      </w:r>
    </w:p>
    <w:p>
      <w:r>
        <w:t>в) 10000 рублей, если Цена Контракта составляет от 50 млн. рублей до 100 млн. рублей (включительно);</w:t>
      </w:r>
    </w:p>
    <w:p>
      <w:r>
        <w:t>г) 100000 рублей, если Цена Контракта превышает 100 млн. рублей.</w:t>
      </w:r>
    </w:p>
    <w:p w14:paraId="3CE65881"/>
    <w:p w14:paraId="3AEFDB2C">
      <w:pPr>
        <w:rPr>
          <w:lang w:val="en-US"/>
        </w:rPr>
      </w:pPr>
      <w:r>
        <w:rPr>
          <w:lang w:val="en-US"/>
        </w:rPr>
        <w:t xml:space="preserve"/>
      </w:r>
    </w:p>
    <w:p w14:paraId="1097B7C6">
      <w:pPr>
        <w:rPr>
          <w:lang w:val="en-US"/>
        </w:rPr>
      </w:pPr>
      <w:r>
        <w:rPr>
          <w:lang w:val="en-US"/>
        </w:rPr>
        <w:t xml:space="preserve">7.6.6. За каждый день просрочки исполнения Исполнителем обязательства, предусмотренного пунктом 9.9 Контракта, начисляется пеня в размере, определенном в порядке, установленном в соответствии с подпунктом 7.6.2 пункта 7.6 Контракта.</w:t>
      </w:r>
    </w:p>
    <w:p w14:paraId="0F65257B">
      <w:pPr>
        <w:rPr>
          <w:b/>
        </w:rPr>
      </w:pPr>
      <w:r>
        <w:t xml:space="preserve"/>
      </w:r>
    </w:p>
    <w:p w14:paraId="50D12B87">
      <w:pPr>
        <w:rPr>
          <w:lang w:eastAsia="en-US"/>
        </w:rPr>
      </w:pPr>
      <w:r>
        <w:t xml:space="preserve">7.7. В случаях выявления в ходе проверки расходования выделяемых по Контракту денежных средств, проведенной </w:t>
      </w:r>
      <w:r>
        <w:rPr>
          <w:lang w:eastAsia="en-US"/>
        </w:rPr>
        <w:t xml:space="preserve">Заказчиком</w:t>
      </w:r>
      <w:r>
        <w:t xml:space="preserve"> или контрольным органом, фактов необоснованного и (или) неверного применения расценок и (или) завышения объема услуг, а также иных обстоятельств, повлекших причинение ущерба </w:t>
      </w:r>
      <w:r>
        <w:rPr>
          <w:lang w:eastAsia="en-US"/>
        </w:rPr>
        <w:t xml:space="preserve">Заказчику</w:t>
      </w:r>
      <w:r>
        <w:rPr>
          <w:lang w:val="en-US" w:eastAsia="en-US"/>
        </w:rPr>
        <w:t/>
      </w:r>
      <w:r>
        <w:rPr>
          <w:lang w:eastAsia="en-US"/>
        </w:rPr>
        <w:t xml:space="preserve"/>
      </w:r>
      <w:r>
        <w:t xml:space="preserve">, Исполнитель обязан вернуть </w:t>
      </w:r>
      <w:r>
        <w:rPr>
          <w:lang w:eastAsia="en-US"/>
        </w:rPr>
        <w:t xml:space="preserve">Заказчику</w:t>
      </w:r>
      <w:r>
        <w:rPr>
          <w:lang w:val="en-US" w:eastAsia="en-US"/>
        </w:rPr>
        <w:t/>
      </w:r>
      <w:r>
        <w:rPr>
          <w:lang w:eastAsia="en-US"/>
        </w:rPr>
        <w:t xml:space="preserve"/>
      </w:r>
      <w:r>
        <w:t xml:space="preserve"> перечисленные ему денежные средства в размере выявленных переплат в течение 10 (десяти) дней (со дня получения уведомления) на счет </w:t>
      </w:r>
      <w:r>
        <w:rPr>
          <w:lang w:eastAsia="en-US"/>
        </w:rPr>
        <w:t xml:space="preserve">Заказчика</w:t>
      </w:r>
      <w:r>
        <w:t>, указанный в разделе 16 Контракта</w:t>
      </w:r>
      <w:r>
        <w:rPr>
          <w:lang w:eastAsia="en-US"/>
        </w:rPr>
        <w:t>.</w:t>
      </w:r>
    </w:p>
    <w:p w14:paraId="50A63031">
      <w:pPr>
        <w:pStyle w:val="31"/>
      </w:pPr>
      <w:r>
        <w:t>Порядок расторжения Контракта</w:t>
      </w:r>
    </w:p>
    <w:p>
      <w:r>
        <w:t>8.1.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
        <w:t>8.2. Заказчик вправе принять решение об одностороннем отказе от исполнения Контракта по основаниям, предусмотренным Гражданским кодексом для одностороннего отказа от исполнения отдельных видов обязательств.</w:t>
      </w:r>
    </w:p>
    <w:p>
      <w:r>
        <w:t>Сроки и порядок принятия Заказчиком решения об одностороннем отказе от исполнения Контракта определяются в соответствии с Федеральным законом № 44-ФЗ.</w:t>
      </w:r>
    </w:p>
    <w:p>
      <w:r>
        <w:t>8.3. Исполнитель вправе принять решение об одностороннем отказе от исполнения Контракта по основаниям, предусмотренным Гражданским кодексом для одностороннего отказа от исполнения отдельных видов обязательств.</w:t>
      </w:r>
    </w:p>
    <w:p>
      <w:r>
        <w:t>Сроки и порядок принятия Исполнителем решения об одностороннем отказе от исполнения Контракта определяются в соответствии с Федеральным законом № 44-ФЗ.</w:t>
      </w:r>
    </w:p>
    <w:p>
      <w:r>
        <w:t>Исполнитель не вправе отказаться от исполнения Контракта и потребовать возмещения убытков при наличии обстоятельств, указанных в пункте 1 статьи 719 Гражданского кодекса.</w:t>
      </w:r>
    </w:p>
    <w:p>
      <w:r>
        <w:t>8.4. Заказчик обязан принять решение об одностороннем отказе от исполнения Контракта в случаях, установленных статьей 95 Федерального закона № 44-ФЗ.</w:t>
      </w:r>
    </w:p>
    <w:p>
      <w:r>
        <w:t>8.5. Расторжение Контракта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стоимость принятых Заказчиком услуг, а также размер суммы, перечисленной Заказчиком Исполнителю в качестве оплаты оказанной услуги.</w:t>
      </w:r>
    </w:p>
    <w:p>
      <w:r>
        <w:t>Сторона, которой направлено предложение о расторжении Контракта по соглашению Сторон, должна направить ответ по существу в срок не позднее 5 (пяти) рабочих дней с даты его получения.</w:t>
      </w:r>
    </w:p>
    <w:p>
      <w:r>
        <w:t>Исполнитель обязан возвратить Заказчику на счет, реквизиты которого указаны в Контракте, выплаченный в соответствии с Контрактом аванс в размере за вычетом учтенного в стоимости оказанных услуг аванса в течение 5 (пяти) календарных дней с даты расторжения настоящего Контракта (если Контрактом предусмотрена выплата аванса).</w:t>
      </w:r>
    </w:p>
    <w:p>
      <w:r>
        <w:t>8.6. Расторжение Контракта влечет за собой прекращение обязательств Сторон по нему, но не освобождает от ответственности за неисполнение или ненадлежащее исполнение обязательств Сторонами.</w:t>
      </w:r>
    </w:p>
    <w:p w14:paraId="47374D04">
      <w:pPr>
        <w:pStyle w:val="31"/>
        <w:ind w:firstLine="709"/>
      </w:pPr>
      <w:r>
        <w:t>Обеспечение исполнения Контракта</w:t>
      </w:r>
    </w:p>
    <w:p>
      <w:r>
        <w:t>9.1. Обеспечение исполнения Контракта устанавливается в размере 10 процент(ов,а) от Цены Контракта.</w:t>
      </w:r>
    </w:p>
    <w:p>
      <w:r>
        <w:t>9.2. Исполнитель предоставляет обеспечение исполнения Контракта с учетом положений части 6.3 статьи 96 и статьи 37 Федерального закона № 44-ФЗ, в размере, установленном в разделе «Обеспечение исполнения контракта» приложения 2 к Контракту.</w:t>
      </w:r>
    </w:p>
    <w:p>
      <w:r>
        <w:t>9.3. Порядок предоставления обеспечения исполнения Контракта и реквизиты Заказчика для внесения денежных средств в качестве обеспечения исполнения Контракта указаны в разделе «Обеспечение исполнения контракта» приложения 2 к Контракту.</w:t>
      </w:r>
    </w:p>
    <w:p>
      <w:r>
        <w:t>9.4. Обеспечение исполнения Контракта распространяется, в том числе, на обязательства по возврату аванса (при его наличии), уплате неустоек (штрафов, пеней) в случае неисполнения или ненадлежащего исполнения Исполнителем обязательств (в том числе просрочки исполнения обязательств), предусмотренных Контрактом, а также возмещению убытков, понесенных Заказчиком в связи с неисполнением или ненадлежащим исполнением Исполнителем своих обязательств по Контракту (в том числе просрочки исполнения обязательств).</w:t>
      </w:r>
    </w:p>
    <w:p>
      <w:r>
        <w:t>9.5.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предусмотренных Федеральным законом № 44-ФЗ.</w:t>
      </w:r>
    </w:p>
    <w:p>
      <w:r>
        <w:t>В случаях, установленных статьей 96 Федерального закона № 44-ФЗ, в ходе исполнения Контракта размер обеспечения исполнения Контракта подлежит уменьшению в порядке, который предусмотрен частями 7.2 и 7.3 статьи 96 Федерального закона № 44-ФЗ.</w:t>
      </w:r>
    </w:p>
    <w:p>
      <w:r>
        <w:t>9.6. Денежные средства, внесенные Исполнителем в качестве обеспечения исполнения Контракта (если такая форма обеспечения исполнения Контракта применяется Исполнителем),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закона № 44-ФЗ, возвращаются Исполнителю при условии надлежащего выполнения Исполнителем своих обязательств по Контракту в течение 15 дней с даты исполнения Исполнителем обязательств, предусмотренных Контрактом. Денежные средства возвращаются на счет, указанный Исполнителем в заявлении о возврате обеспечения исполнения Контракта, либо на тот счет, с которого поступили данные денежные средства.</w:t>
      </w:r>
    </w:p>
    <w:p>
      <w:r>
        <w:t>9.7. Независимая гарантия, представленная в качестве обеспечения исполнения Контракта, должна содержать условие, согласно которому гарант обязан уплатить Заказчику денежную сумму по независимой гарантии не позднее 10 (десяти) рабочих дней со дня, следующего за днем получения гарантом требования Заказчика, соответствующего условиям такой независимой гарантии, при отсутствии предусмотренных Гражданским кодексом оснований для отказа в удовлетворении этого требования.</w:t>
      </w:r>
    </w:p>
    <w:p>
      <w:r>
        <w:t>9.8. Изменения существенных условий Контракта, если такие изменения влекут возникновение новых обязательств Исполнителя, не обеспеченных ранее предоставленным обеспечением исполнения Контракта, осуществляются при условии предоставлении Исполнителем обеспечения исполнения Контракта с учетом требований статьи 95 Федерального закона № 44-ФЗ.</w:t>
      </w:r>
    </w:p>
    <w:p>
      <w:r>
        <w:t>9.9.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Заказчик уведомляет Исполнителя о необходимости предоставить соответствующее обеспечение в порядке, предусмотренном пунктом 15.1 Контракта. Исполнитель обязан предоставить новое обеспечение исполнения Контракта не позднее 1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 44-ФЗ.</w:t>
      </w:r>
    </w:p>
    <w:p>
      <w:r>
        <w:t>9.10. Участник закупки, с которым заключается Контракт по результатам определения Исполнителя в соответствии с пунктом 1 части 1 статьи 30 Федерального закона № 44-ФЗ, освобождается от предоставления обеспечения исполнения Контракта, в том числе с учетом положений статьи 37 Федерального закона № 44-ФЗ,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bookmarkEnd w:id="4"/>
    <w:p w14:paraId="2A377EAD">
      <w:pPr>
        <w:pStyle w:val="31"/>
        <w:ind w:firstLine="709"/>
      </w:pPr>
      <w:r>
        <w:t>Обеспечение гарантийных обязательств</w:t>
      </w:r>
    </w:p>
    <w:p>
      <w:r>
        <w:t>10.1. Требования к обеспечению гарантийных обязательств не установлены.</w:t>
      </w:r>
    </w:p>
    <w:bookmarkEnd w:id="5"/>
    <w:bookmarkEnd w:id="6"/>
    <w:p w14:paraId="5C0D79DC">
      <w:pPr>
        <w:pStyle w:val="31"/>
        <w:ind w:firstLine="709"/>
      </w:pPr>
      <w:r>
        <w:t>Обстоятельства непреодолимой силы</w:t>
      </w:r>
    </w:p>
    <w:p w14:paraId="20E52A0A">
      <w:pPr>
        <w:rPr>
          <w:lang w:eastAsia="en-US"/>
        </w:rPr>
      </w:pPr>
      <w:r>
        <w:t>11.1. Стороны</w:t>
      </w:r>
      <w:r>
        <w:rPr>
          <w:lang w:eastAsia="en-US"/>
        </w:rPr>
        <w:t xml:space="preserve"> освобождаются от ответственности за полное или частичное неисполнение своих обязательств по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Контракту,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133B3C85">
      <w:pPr>
        <w:rPr>
          <w:lang w:eastAsia="en-US"/>
        </w:rPr>
      </w:pPr>
      <w:r>
        <w:t>11.2. Сторона</w:t>
      </w:r>
      <w:r>
        <w:rPr>
          <w:lang w:eastAsia="en-US"/>
        </w:rPr>
        <w:t>,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0BB7ED67">
      <w:pPr>
        <w:pStyle w:val="31"/>
        <w:ind w:firstLine="709"/>
      </w:pPr>
      <w:r>
        <w:t>Порядок урегулирования споров</w:t>
      </w:r>
    </w:p>
    <w:p>
      <w:r>
        <w:t>12.1. 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в добровольном порядке.</w:t>
      </w:r>
    </w:p>
    <w:p>
      <w:r>
        <w:t>12.2. До передачи спора на разрешение в судебном порядке Стороны принимают меры к его урегулированию в претензионном порядке.</w:t>
      </w:r>
    </w:p>
    <w:p>
      <w:r>
        <w:t>Претензия направляется Стороной другой Стороне в письменном виде в порядке, предусмотренном пунктом 15.1 Контракта.</w:t>
      </w:r>
    </w:p>
    <w:p>
      <w:r>
        <w:t>Претензия должна содержать сумму истребования и ее полный и обоснованный расчет (если претензионные требования подлежат денежной оценке). К претензии должны быть приложены подлинные документы, подтверждающие предъявленные требования, или надлежащие заверенные копии либо выписки из них, если эти документы отсутствуют у другой Стороны.</w:t>
      </w:r>
    </w:p>
    <w:p>
      <w:r>
        <w:t>Если иной срок не указан в претензии, срок направления письменного ответа по существу Стороной, получившей претензию, составляет 5 (пять) рабочих дней с даты ее получения.</w:t>
      </w:r>
    </w:p>
    <w:p>
      <w:r>
        <w:t>Оставление претензии без ответа в установленный срок означает признание Стороной, получившей претензию, ее требований.</w:t>
      </w:r>
    </w:p>
    <w:p>
      <w:r>
        <w:t>12.3. В случае невыполнения Сторонами своих обязательств и недостижения взаимного согласия споры по настоящему Контракту разрешаются в Арбитражном суде Московской области &lt;1&gt;.</w:t>
      </w:r>
    </w:p>
    <w:p>
      <w:r>
        <w:t/>
      </w:r>
    </w:p>
    <w:p>
      <w:r>
        <w:t>&lt;1&gt; В случае, если Исполнителем является физическое лицо, то споры разрешаются в соответствии с действующим процессуальным законодательством Российской Федерации по месту нахождения Заказчика.</w:t>
      </w:r>
    </w:p>
    <w:p w14:paraId="5B6F931E">
      <w:pPr>
        <w:pStyle w:val="31"/>
        <w:ind w:firstLine="709"/>
      </w:pPr>
      <w:r>
        <w:t>Срок действия, порядок изменения Контракта</w:t>
      </w:r>
    </w:p>
    <w:p w14:paraId="62D396CB">
      <w:r>
        <w:t xml:space="preserve">13.1. Контракт вступает в силу с момента его заключения Сторонами и действует до полного исполнения Сторонами своих обязательств по Контракту.</w:t>
      </w:r>
    </w:p>
    <w:p>
      <w:r>
        <w:t>13.2.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Федеральным законом № 44-ФЗ, в том числе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услуг, предусмотренных Контрактом.</w:t>
      </w:r>
    </w:p>
    <w:p>
      <w:r>
        <w:t>13.3. Любые изменения и дополнения к настоящему Контракту, не противоречащие законодательству Российской Федерации, оформляются дополнительным соглашением Сторон.</w:t>
      </w:r>
    </w:p>
    <w:p w14:paraId="4C264435">
      <w:pPr>
        <w:pStyle w:val="31"/>
        <w:ind w:firstLine="709"/>
      </w:pPr>
      <w:r>
        <w:t>Особые условия</w:t>
      </w:r>
    </w:p>
    <w:p>
      <w:r>
        <w:t>14.1. Стороны при исполнении Контракта:</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w:t>
      </w:r>
    </w:p>
    <w:p>
      <w:r>
        <w:t>заявка на исполнение обязательств Исполнителем (если Контрактом предусмотрена обязанность Исполнителя оказать услуги по заявке Заказчика);</w:t>
      </w:r>
    </w:p>
    <w:p>
      <w:r>
        <w:t>оказание услуги, а также отдельные этапы исполнения Контракта, включая документы, предоставление которых предусмотрено в целях осуществления приемки оказанных услуг, а также отдельных этапов исполнения Контракта; </w:t>
      </w:r>
    </w:p>
    <w:p>
      <w:r>
        <w:t>результаты такой приемки; </w:t>
      </w:r>
    </w:p>
    <w:p>
      <w:r>
        <w:t>мотивированный отказ от подписания документа о приемке;</w:t>
      </w:r>
    </w:p>
    <w:p>
      <w:r>
        <w:t>оплата оказанных услуг, а также отдельных этапов исполнения Контракта; </w:t>
      </w:r>
    </w:p>
    <w:p>
      <w:r>
        <w:t>заключение дополнительных соглашений; </w:t>
      </w:r>
    </w:p>
    <w:p>
      <w:r>
        <w:t>направление требования об уплате неустоек (штрафов, пеней) (за исключением направления уведомления о применении мер ответственности в случае, если Контракт заключен по результатам проведения электронной процедуры, закрытой электронной процедуры); </w:t>
      </w:r>
    </w:p>
    <w:p>
      <w:r>
        <w:t>соглашение о расторжении Контракта;</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Контракту), если условиями Контракта не предусмотрено иное. </w:t>
      </w:r>
    </w:p>
    <w:p>
      <w:r>
        <w:t>14.1.1. В случае если Контракт заключен по результатам проведения электронной процедуры, закрытой электронной процедуры (за исключением закрытой электронной процедуры, проводимой в случае, предусмотренном пунктом 5 части 11 статьи 24 Федерального закона № 44-ФЗ), формирование документов о приемке, мотивированных отказов от подписания документов о приемке, исправлений документов о приемке, дополнительных соглашений и соглашения о расторжении Контракта осуществляется с использованием ПИК ЕАСУЗ с соблюдением требований, установленных частями 13-14 статьи 94, частями 1.7 и 8.1 статьи 95 Федерального закона № 44-ФЗ, с последующей гарантированной передачей для подписания и размещения указанных в настоящем подпункте документов в единую информационную систему в сфере закупок (далее – ЕИС) в соответствии с пунктом 1 части 10 статьи 4 Федерального закона № 44-ФЗ. </w:t>
      </w:r>
    </w:p>
    <w:p>
      <w:r>
        <w:t>14.2. Для работы в ПИК ЕАСУЗ Стороны Контракта: </w:t>
      </w:r>
    </w:p>
    <w:p>
      <w:r>
        <w:t>- назначают должностных лиц, уполномоченных за организацию и осуществление электронного документооборота в соответствии с разделом Контракта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Контракта;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а в случаях, для которых в соответствии с требованиями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предусмотрен обмен электронными документами с использованием ЕИС, в ЕИС;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Контракта,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Контракта, Стороны осуществляют оформление и подписание документов на бумажных носителях информации в сроки, предусмотренные Контрактом (за исключением случаев, для которых в соответствии с требованиями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предусмотрен обмен электронными документами с использованием ЕИС).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Контракта с использованием ПИК ЕАСУЗ, содержится в приложении 3 к Контракту.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Контракта, для Сторон осуществляется безвозмездно.</w:t>
      </w:r>
    </w:p>
    <w:p w14:paraId="033610BF">
      <w:pPr>
        <w:pStyle w:val="31"/>
        <w:ind w:firstLine="709"/>
      </w:pPr>
      <w:r>
        <w:t>Прочие условия</w:t>
      </w:r>
    </w:p>
    <w:p>
      <w:r>
        <w:t>15.1. Если иное не предусмотрено Контрактом или законодательством Российской Федерации (в том числе частью 16 статьи 94 Федерального закона № 44-ФЗ), то все заявления, уведомления, извещения, требования или иные юридически значимые сообщения (далее – сообщения) Сторон, связанные с исполнением Контракта, направляются в письменной форме по почте заказным письмом или нарочным по почтовому адресу Стороны, указанному в Контракте, или с использованием факсимильной связи, электронной почты с последующим представлением оригинала в течение 10 (десяти) рабочих дней с даты отправки. </w:t>
      </w:r>
    </w:p>
    <w:p>
      <w:r>
        <w:t>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r>
        <w:t>15.2. Контракт составлен в форме электронного документа, подписанного усиленными электронными подписями Сторон.</w:t>
      </w:r>
    </w:p>
    <w:p>
      <w:r>
        <w:t>15.3. Во всем, что не предусмотрено Контрактом, Стороны руководствуются законодательством Российской Федерации.</w:t>
      </w:r>
    </w:p>
    <w:p>
      <w:r>
        <w:t>15.4. Стороны обязуются не разглашать, не передавать и не делать каким-либо еще способом доступными третьим лицам сведения, содержащиеся в документах, имеющих отношение к взаимоотношениям Сторон в рамках Контракта, иначе как с письменного согласия другой Стороны, за исключением случаев, предусмотренных законодательством Российской Федерации.</w:t>
      </w:r>
    </w:p>
    <w:p>
      <w:r>
        <w:t>15.5. При наличии противоречий между условиями, содержащимися в приложениях 1-3 к Контракту, и условиями иных приложений к Контракту, преимущественную силу имеют приложения 1-3 к Контракту.</w:t>
      </w:r>
    </w:p>
    <w:p>
      <w:r>
        <w:t>15.6. Неотъемлемыми частями Контракта являются следующие приложения (прилагаются отдельными файлами):</w:t>
      </w:r>
    </w:p>
    <w:bookmarkEnd w:id="7"/>
    <w:p>
      <w:r>
        <w:t>приложение 1 «Сведения об объектах закупки»;</w:t>
      </w:r>
    </w:p>
    <w:p>
      <w:r>
        <w:t>приложение 2 «Сведения об обязательствах сторон и порядке оплаты»;</w:t>
      </w:r>
    </w:p>
    <w:p>
      <w:r>
        <w:t>приложение 3 «Перечень документов, которыми обмениваются стороны при исполнении контракта»;</w:t>
      </w:r>
    </w:p>
    <w:p>
      <w:r>
        <w:t>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
    <w:p>
      <w:r>
        <w:t>приложение 5 «Описание объекта закупки (Техническое задание)».</w:t>
      </w:r>
    </w:p>
    <w:p w14:paraId="61E027A6">
      <w:pPr>
        <w:pStyle w:val="31"/>
        <w:ind w:firstLine="709"/>
      </w:pPr>
      <w:r>
        <w:t>Адреса, реквизиты и подписи Сторон</w:t>
      </w:r>
    </w:p>
    <w:tbl>
      <w:tblPr>
        <w:tblStyle w:val="6"/>
        <w:tblW w:w="10708" w:type="dxa"/>
        <w:tblInd w:w="-142" w:type="dxa"/>
        <w:tblLayout w:type="fixed"/>
        <w:tblCellMar>
          <w:top w:w="0" w:type="dxa"/>
          <w:left w:w="108" w:type="dxa"/>
          <w:bottom w:w="0" w:type="dxa"/>
          <w:right w:w="108" w:type="dxa"/>
        </w:tblCellMar>
      </w:tblPr>
      <w:tblGrid>
        <w:gridCol w:w="5075"/>
        <w:gridCol w:w="5633"/>
      </w:tblGrid>
      <w:tr w14:paraId="4B995698">
        <w:tblPrEx>
          <w:tblCellMar>
            <w:top w:w="0" w:type="dxa"/>
            <w:left w:w="108" w:type="dxa"/>
            <w:bottom w:w="0" w:type="dxa"/>
            <w:right w:w="108" w:type="dxa"/>
          </w:tblCellMar>
        </w:tblPrEx>
        <w:trPr>
          <w:trHeight w:val="1042" w:hRule="atLeast"/>
        </w:trPr>
        <w:tc>
          <w:tcPr>
            <w:tcW w:w="5075" w:type="dxa"/>
            <w:shd w:val="clear" w:color="auto" w:fill="auto"/>
          </w:tcPr>
          <w:p w14:paraId="43D2C17C">
            <w:pPr>
              <w:pStyle w:val="20"/>
            </w:pPr>
            <w:r>
              <w:t xml:space="preserve">Заказчик:</w:t>
            </w:r>
          </w:p>
          <w:p w14:paraId="55F92156">
            <w:pPr>
              <w:pStyle w:val="20"/>
            </w:pPr>
          </w:p>
          <w:p w14:paraId="0E0E1C40">
            <w:pPr>
              <w:pStyle w:val="20"/>
            </w:pPr>
            <w:r>
              <w:t xml:space="preserve">МУНИЦИПАЛЬНОЕ КАЗЕННОЕ УЧРЕЖДЕНИЕ "ЦЕНТР ОБЕСПЕЧЕНИЯ ДЕЯТЕЛЬНОСТИ ОРГАНОВ МЕСТНОГО САМОУПРАВЛЕНИЯ ГОРОДСКОГО ОКРУГА КРАСНОГОРСК"</w:t>
            </w:r>
          </w:p>
        </w:tc>
        <w:tc>
          <w:tcPr>
            <w:tcW w:w="5633" w:type="dxa"/>
            <w:shd w:val="clear" w:color="auto" w:fill="auto"/>
          </w:tcPr>
          <w:p w14:paraId="4849F5E6">
            <w:pPr>
              <w:pStyle w:val="20"/>
            </w:pPr>
            <w:r>
              <w:t xml:space="preserve">Исполнитель:</w:t>
            </w:r>
          </w:p>
          <w:p w14:paraId="105E839E">
            <w:pPr>
              <w:pStyle w:val="20"/>
            </w:pPr>
          </w:p>
          <w:p w14:paraId="4B186A71">
            <w:pPr>
              <w:pStyle w:val="20"/>
            </w:pPr>
            <w:r>
              <w:rPr>
                <w:rStyle w:val="11"/>
                <w:color w:val="auto"/>
                <w:u w:val="none"/>
              </w:rPr>
              <w:t xml:space="preserve">________________</w:t>
            </w:r>
          </w:p>
        </w:tc>
      </w:tr>
      <w:tr w14:paraId="51CEF7CC">
        <w:tblPrEx>
          <w:tblCellMar>
            <w:top w:w="0" w:type="dxa"/>
            <w:left w:w="108" w:type="dxa"/>
            <w:bottom w:w="0" w:type="dxa"/>
            <w:right w:w="108" w:type="dxa"/>
          </w:tblCellMar>
        </w:tblPrEx>
        <w:trPr>
          <w:trHeight w:val="500" w:hRule="atLeast"/>
        </w:trPr>
        <w:tc>
          <w:tcPr>
            <w:tcW w:w="5075" w:type="dxa"/>
            <w:shd w:val="clear" w:color="auto" w:fill="auto"/>
          </w:tcPr>
          <w:p w14:paraId="7B9CDF0F">
            <w:pPr>
              <w:pStyle w:val="20"/>
            </w:pPr>
            <w:r>
              <w:t xml:space="preserve">Сокращенное наименование: МКУ "ЦОД"</w:t>
            </w:r>
          </w:p>
        </w:tc>
        <w:tc>
          <w:tcPr>
            <w:tcW w:w="5633" w:type="dxa"/>
            <w:shd w:val="clear" w:color="auto" w:fill="auto"/>
          </w:tcPr>
          <w:p w14:paraId="3B14A2D7">
            <w:pPr>
              <w:pStyle w:val="20"/>
              <w:rPr>
                <w:rStyle w:val="11"/>
                <w:color w:val="auto"/>
                <w:u w:val="none"/>
              </w:rPr>
            </w:pPr>
            <w:r>
              <w:rPr>
                <w:rStyle w:val="11"/>
                <w:color w:val="auto"/>
                <w:u w:val="none"/>
              </w:rPr>
              <w:t xml:space="preserve">Сокращённое наименование: ________________</w:t>
            </w:r>
          </w:p>
        </w:tc>
      </w:tr>
      <w:tr w14:paraId="678EFA6D">
        <w:tblPrEx>
          <w:tblCellMar>
            <w:top w:w="0" w:type="dxa"/>
            <w:left w:w="108" w:type="dxa"/>
            <w:bottom w:w="0" w:type="dxa"/>
            <w:right w:w="108" w:type="dxa"/>
          </w:tblCellMar>
        </w:tblPrEx>
        <w:trPr>
          <w:trHeight w:val="275" w:hRule="atLeast"/>
        </w:trPr>
        <w:tc>
          <w:tcPr>
            <w:tcW w:w="5075" w:type="dxa"/>
            <w:shd w:val="clear" w:color="auto" w:fill="auto"/>
          </w:tcPr>
          <w:p w14:paraId="602E3513">
            <w:pPr>
              <w:pStyle w:val="20"/>
            </w:pPr>
            <w:r>
              <w:t>Адреса и реквизиты:</w:t>
            </w:r>
          </w:p>
        </w:tc>
        <w:tc>
          <w:tcPr>
            <w:tcW w:w="5633" w:type="dxa"/>
            <w:shd w:val="clear" w:color="auto" w:fill="auto"/>
          </w:tcPr>
          <w:p w14:paraId="0892336A">
            <w:pPr>
              <w:pStyle w:val="20"/>
              <w:rPr>
                <w:rStyle w:val="11"/>
                <w:color w:val="auto"/>
                <w:u w:val="none"/>
              </w:rPr>
            </w:pPr>
            <w:r>
              <w:t>Адреса и реквизиты:</w:t>
            </w:r>
          </w:p>
        </w:tc>
      </w:tr>
      <w:tr w14:paraId="21DAA20E">
        <w:tblPrEx>
          <w:tblCellMar>
            <w:top w:w="0" w:type="dxa"/>
            <w:left w:w="108" w:type="dxa"/>
            <w:bottom w:w="0" w:type="dxa"/>
            <w:right w:w="108" w:type="dxa"/>
          </w:tblCellMar>
        </w:tblPrEx>
        <w:trPr>
          <w:trHeight w:val="1653" w:hRule="atLeast"/>
        </w:trPr>
        <w:tc>
          <w:tcPr>
            <w:tcW w:w="5075" w:type="dxa"/>
            <w:shd w:val="clear" w:color="auto" w:fill="auto"/>
          </w:tcPr>
          <w:p w14:paraId="4F3194A0">
            <w:pPr>
              <w:pStyle w:val="20"/>
            </w:pPr>
            <w:r>
              <w:t xml:space="preserve">Почтовый адрес: 143402, Московская обл, г. Красногорск , ул. Школьная, дом 6</w:t>
            </w:r>
          </w:p>
          <w:p w14:paraId="57CE0109">
            <w:pPr>
              <w:pStyle w:val="20"/>
            </w:pPr>
            <w:r>
              <w:t xml:space="preserve">Место нахождения, адрес: 143402, Московская обл, г. Красногорск , ул. Школьная, дом 6</w:t>
            </w:r>
          </w:p>
          <w:p w14:paraId="3A80674E">
            <w:pPr>
              <w:pStyle w:val="20"/>
              <w:jc w:val="both"/>
              <w:rPr>
                <w:lang w:val="en-US"/>
              </w:rPr>
            </w:pPr>
            <w:r>
              <w:t>ИНН</w:t>
            </w:r>
            <w:r>
              <w:rPr>
                <w:lang w:val="en-US"/>
              </w:rPr>
              <w:t xml:space="preserve"> 5024181468</w:t>
            </w:r>
          </w:p>
          <w:p w14:paraId="271BD809">
            <w:pPr>
              <w:pStyle w:val="20"/>
              <w:rPr>
                <w:lang w:val="en-US"/>
              </w:rPr>
            </w:pPr>
            <w:r>
              <w:t>КПП</w:t>
            </w:r>
            <w:r>
              <w:rPr>
                <w:lang w:val="en-US"/>
              </w:rPr>
              <w:t xml:space="preserve"> 502401001</w:t>
            </w:r>
          </w:p>
          <w:p w14:paraId="07812501">
            <w:pPr>
              <w:pStyle w:val="20"/>
              <w:rPr>
                <w:lang w:val="en-US"/>
              </w:rPr>
            </w:pPr>
            <w:r>
              <w:t>ОГРН</w:t>
            </w:r>
            <w:r>
              <w:rPr>
                <w:lang w:val="en-US"/>
              </w:rPr>
              <w:t xml:space="preserve"> 1175024033480</w:t>
            </w:r>
          </w:p>
        </w:tc>
        <w:tc>
          <w:tcPr>
            <w:tcW w:w="5633" w:type="dxa"/>
            <w:shd w:val="clear" w:color="auto" w:fill="auto"/>
          </w:tcPr>
          <w:p/>
        </w:tc>
      </w:tr>
      <w:tr w14:paraId="723D84B2">
        <w:tblPrEx>
          <w:tblCellMar>
            <w:top w:w="0" w:type="dxa"/>
            <w:left w:w="108" w:type="dxa"/>
            <w:bottom w:w="0" w:type="dxa"/>
            <w:right w:w="108" w:type="dxa"/>
          </w:tblCellMar>
        </w:tblPrEx>
        <w:trPr>
          <w:trHeight w:val="268" w:hRule="atLeast"/>
        </w:trPr>
        <w:tc>
          <w:tcPr>
            <w:tcW w:w="5075" w:type="dxa"/>
            <w:shd w:val="clear" w:color="auto" w:fill="auto"/>
          </w:tcPr>
          <w:p w14:paraId="36B9BAC9">
            <w:pPr>
              <w:pStyle w:val="20"/>
            </w:pPr>
            <w:r>
              <w:t>Банковские реквизиты:</w:t>
            </w:r>
          </w:p>
        </w:tc>
        <w:tc>
          <w:tcPr>
            <w:tcW w:w="5633" w:type="dxa"/>
            <w:shd w:val="clear" w:color="auto" w:fill="auto"/>
          </w:tcPr>
          <w:p w14:paraId="590ED1F7">
            <w:pPr>
              <w:pStyle w:val="20"/>
            </w:pPr>
            <w:r>
              <w:t>Банковские реквизиты:</w:t>
            </w:r>
          </w:p>
        </w:tc>
      </w:tr>
      <w:tr w14:paraId="33BFC8E9">
        <w:tblPrEx>
          <w:tblCellMar>
            <w:top w:w="0" w:type="dxa"/>
            <w:left w:w="108" w:type="dxa"/>
            <w:bottom w:w="0" w:type="dxa"/>
            <w:right w:w="108" w:type="dxa"/>
          </w:tblCellMar>
        </w:tblPrEx>
        <w:trPr>
          <w:trHeight w:val="1370" w:hRule="atLeast"/>
        </w:trPr>
        <w:tc>
          <w:tcPr>
            <w:tcW w:w="5075" w:type="dxa"/>
            <w:shd w:val="clear" w:color="auto" w:fill="auto"/>
          </w:tcPr>
          <w:p w14:paraId="6E73AF4C">
            <w:pPr>
              <w:ind w:firstLine="0"/>
              <w:jc w:val="left"/>
              <w:rPr>
                <w:lang w:val="en-US" w:eastAsia="en-US"/>
              </w:rPr>
            </w:pPr>
            <w:r>
              <w:rPr>
                <w:rFonts w:cstheme="minorHAnsi"/>
                <w:shd w:val="clear" w:color="auto" w:fill="FFFFFF"/>
                <w:lang w:val="en-US"/>
              </w:rPr>
              <w:t xml:space="preserve">ФУА ГО Красногорск (МКУ "ЦОД")</w:t>
            </w:r>
            <w:r>
              <w:rPr>
                <w:lang w:val="en-US" w:eastAsia="en-US"/>
              </w:rPr>
              <w:t xml:space="preserve"> </w:t>
            </w:r>
            <w:r>
              <w:rPr>
                <w:rFonts w:cstheme="minorHAnsi"/>
                <w:shd w:val="clear" w:color="auto" w:fill="FFFFFF"/>
                <w:lang w:val="en-US"/>
              </w:rPr>
              <w:t>(</w:t>
            </w:r>
            <w:r>
              <w:rPr>
                <w:rFonts w:cstheme="minorHAnsi"/>
                <w:shd w:val="clear" w:color="auto" w:fill="FFFFFF"/>
              </w:rPr>
              <w:t>л</w:t>
            </w:r>
            <w:r>
              <w:rPr>
                <w:rFonts w:cstheme="minorHAnsi"/>
                <w:shd w:val="clear" w:color="auto" w:fill="FFFFFF"/>
                <w:lang w:val="en-US"/>
              </w:rPr>
              <w:t>/</w:t>
            </w:r>
            <w:r>
              <w:rPr>
                <w:rFonts w:cstheme="minorHAnsi"/>
                <w:shd w:val="clear" w:color="auto" w:fill="FFFFFF"/>
              </w:rPr>
              <w:t>с</w:t>
            </w:r>
            <w:r>
              <w:rPr>
                <w:rFonts w:cstheme="minorHAnsi"/>
                <w:shd w:val="clear" w:color="auto" w:fill="FFFFFF"/>
                <w:lang w:val="en-US"/>
              </w:rPr>
              <w:t xml:space="preserve"> </w:t>
            </w:r>
            <w:r>
              <w:rPr>
                <w:lang w:val="en-US" w:eastAsia="en-US"/>
              </w:rPr>
              <w:t xml:space="preserve"> 03243002774,  МКУ "ЦОД"</w:t>
            </w:r>
            <w:r>
              <w:rPr>
                <w:rFonts w:cstheme="minorHAnsi"/>
                <w:shd w:val="clear" w:color="auto" w:fill="FFFFFF"/>
                <w:lang w:val="en-US"/>
              </w:rPr>
              <w:t>)</w:t>
            </w:r>
          </w:p>
        </w:tc>
        <w:tc>
          <w:tcPr>
            <w:tcW w:w="5633" w:type="dxa"/>
            <w:shd w:val="clear" w:color="auto" w:fill="auto"/>
          </w:tcPr>
          <w:p w14:paraId="3C79CC96">
            <w:pPr>
              <w:pStyle w:val="20"/>
              <w:rPr>
                <w:lang w:val="en-US"/>
              </w:rPr>
            </w:pPr>
            <w:r>
              <w:rPr>
                <w:lang w:val="en-US"/>
              </w:rPr>
              <w:t xml:space="preserve"/>
            </w:r>
            <w:r>
              <w:t/>
            </w:r>
            <w:r>
              <w:rPr>
                <w:lang w:val="en-US"/>
              </w:rPr>
              <w:t xml:space="preserve"/>
            </w:r>
          </w:p>
        </w:tc>
      </w:tr>
      <w:tr w14:paraId="0850B497">
        <w:tblPrEx>
          <w:tblCellMar>
            <w:top w:w="0" w:type="dxa"/>
            <w:left w:w="108" w:type="dxa"/>
            <w:bottom w:w="0" w:type="dxa"/>
            <w:right w:w="108" w:type="dxa"/>
          </w:tblCellMar>
        </w:tblPrEx>
        <w:trPr>
          <w:trHeight w:val="1638" w:hRule="atLeast"/>
        </w:trPr>
        <w:tc>
          <w:tcPr>
            <w:tcW w:w="5075" w:type="dxa"/>
            <w:shd w:val="clear" w:color="auto" w:fill="auto"/>
          </w:tcPr>
          <w:p w14:paraId="204825AE">
            <w:pPr>
              <w:pStyle w:val="20"/>
              <w:rPr>
                <w:lang w:val="en-US"/>
              </w:rPr>
            </w:pPr>
            <w:r>
              <w:t>Банк</w:t>
            </w:r>
            <w:r>
              <w:rPr>
                <w:lang w:val="en-US"/>
              </w:rPr>
              <w:t xml:space="preserve">: ОКЦ № 1 ГУ Банка России по ЦФО//УФК по Московской области г. Москва</w:t>
            </w:r>
          </w:p>
          <w:p w14:paraId="17A6F496">
            <w:pPr>
              <w:pStyle w:val="20"/>
              <w:rPr>
                <w:lang w:val="en-US"/>
              </w:rPr>
            </w:pPr>
            <w:r>
              <w:t>БИК</w:t>
            </w:r>
            <w:r>
              <w:rPr>
                <w:lang w:val="en-US"/>
              </w:rPr>
              <w:t xml:space="preserve"> 004525987</w:t>
            </w:r>
          </w:p>
          <w:p w14:paraId="1930768E">
            <w:pPr>
              <w:ind w:firstLine="0"/>
              <w:jc w:val="left"/>
              <w:rPr>
                <w:rFonts w:cstheme="minorHAnsi"/>
                <w:shd w:val="clear" w:color="auto" w:fill="FFFFFF"/>
                <w:lang w:val="en-US"/>
              </w:rPr>
            </w:pPr>
            <w:r>
              <w:rPr>
                <w:lang w:eastAsia="en-US"/>
              </w:rPr>
              <w:t>казн</w:t>
            </w:r>
            <w:r>
              <w:rPr>
                <w:lang w:val="en-US" w:eastAsia="en-US"/>
              </w:rPr>
              <w:t>/</w:t>
            </w:r>
            <w:r>
              <w:rPr>
                <w:lang w:eastAsia="en-US"/>
              </w:rPr>
              <w:t>сч</w:t>
            </w:r>
            <w:r>
              <w:rPr>
                <w:lang w:val="en-US" w:eastAsia="en-US"/>
              </w:rPr>
              <w:t xml:space="preserve"> 03231643467440004800</w:t>
            </w:r>
            <w:r>
              <w:rPr>
                <w:rFonts w:cstheme="minorHAnsi"/>
                <w:shd w:val="clear" w:color="auto" w:fill="FFFFFF"/>
                <w:lang w:val="en-US"/>
              </w:rPr>
              <w:t xml:space="preserve"/>
            </w:r>
          </w:p>
          <w:p w14:paraId="673D7C66">
            <w:pPr>
              <w:pStyle w:val="20"/>
              <w:rPr>
                <w:lang w:val="en-US"/>
              </w:rPr>
            </w:pPr>
            <w:r>
              <w:rPr>
                <w:lang w:eastAsia="en-US"/>
              </w:rPr>
              <w:t>единый</w:t>
            </w:r>
            <w:r>
              <w:rPr>
                <w:lang w:val="en-US" w:eastAsia="en-US"/>
              </w:rPr>
              <w:t xml:space="preserve"> </w:t>
            </w:r>
            <w:r>
              <w:rPr>
                <w:lang w:eastAsia="en-US"/>
              </w:rPr>
              <w:t>казн</w:t>
            </w:r>
            <w:r>
              <w:rPr>
                <w:lang w:val="en-US" w:eastAsia="en-US"/>
              </w:rPr>
              <w:t>/</w:t>
            </w:r>
            <w:r>
              <w:rPr>
                <w:lang w:eastAsia="en-US"/>
              </w:rPr>
              <w:t>сч</w:t>
            </w:r>
            <w:r>
              <w:rPr>
                <w:lang w:val="en-US" w:eastAsia="en-US"/>
              </w:rPr>
              <w:t xml:space="preserve"> 40102810845370000004</w:t>
            </w:r>
          </w:p>
          <w:p w14:paraId="445CECA6">
            <w:pPr>
              <w:pStyle w:val="20"/>
              <w:rPr>
                <w:lang w:val="en-US"/>
              </w:rPr>
            </w:pPr>
            <w:r>
              <w:t>ОКПО</w:t>
            </w:r>
            <w:r>
              <w:rPr>
                <w:lang w:val="en-US"/>
              </w:rPr>
              <w:t xml:space="preserve"> ________________</w:t>
            </w:r>
          </w:p>
          <w:p w14:paraId="013694D6">
            <w:pPr>
              <w:pStyle w:val="20"/>
              <w:rPr>
                <w:lang w:val="en-US"/>
              </w:rPr>
            </w:pPr>
            <w:r>
              <w:t>ОКТМО</w:t>
            </w:r>
            <w:r>
              <w:rPr>
                <w:lang w:val="en-US"/>
              </w:rPr>
              <w:t xml:space="preserve"> 46744000001</w:t>
            </w:r>
          </w:p>
          <w:p w14:paraId="1E8D5DF9">
            <w:pPr>
              <w:pStyle w:val="20"/>
              <w:rPr>
                <w:lang w:val="en-US"/>
              </w:rPr>
            </w:pPr>
            <w:r>
              <w:rPr>
                <w:lang w:eastAsia="en-US"/>
              </w:rPr>
              <w:t xml:space="preserve">ОКОПФ </w:t>
            </w:r>
            <w:r>
              <w:rPr>
                <w:lang w:val="en-US" w:eastAsia="en-US"/>
              </w:rPr>
              <w:t xml:space="preserve">________________</w:t>
            </w:r>
            <w:r>
              <w:rPr>
                <w:rFonts w:cstheme="minorHAnsi"/>
                <w:color w:val="222222"/>
                <w:shd w:val="clear" w:color="auto" w:fill="FFFFFF"/>
              </w:rPr>
              <w:t/>
            </w:r>
            <w:r>
              <w:rPr>
                <w:lang w:val="en-US" w:eastAsia="en-US"/>
              </w:rPr>
              <w:t xml:space="preserve"/>
            </w:r>
          </w:p>
        </w:tc>
        <w:tc>
          <w:tcPr>
            <w:tcW w:w="5633" w:type="dxa"/>
            <w:shd w:val="clear" w:color="auto" w:fill="auto"/>
          </w:tcPr>
          <w:p/>
        </w:tc>
      </w:tr>
      <w:tr w14:paraId="5EA54B44">
        <w:tblPrEx>
          <w:tblCellMar>
            <w:top w:w="0" w:type="dxa"/>
            <w:left w:w="108" w:type="dxa"/>
            <w:bottom w:w="0" w:type="dxa"/>
            <w:right w:w="108" w:type="dxa"/>
          </w:tblCellMar>
        </w:tblPrEx>
        <w:trPr>
          <w:trHeight w:val="657" w:hRule="atLeast"/>
        </w:trPr>
        <w:tc>
          <w:tcPr>
            <w:tcW w:w="5075" w:type="dxa"/>
            <w:shd w:val="clear" w:color="auto" w:fill="auto"/>
          </w:tcPr>
          <w:p w14:paraId="3AA352D2">
            <w:pPr>
              <w:pStyle w:val="20"/>
            </w:pPr>
            <w:r>
              <w:t xml:space="preserve">телефон (факс): 84985680184</w:t>
            </w:r>
            <w:r>
              <w:rPr>
                <w:lang w:val="en-US"/>
              </w:rPr>
              <w:t/>
            </w:r>
            <w:r>
              <w:t xml:space="preserve"/>
            </w:r>
          </w:p>
          <w:p w14:paraId="24B2BA93">
            <w:pPr>
              <w:pStyle w:val="20"/>
            </w:pPr>
            <w:r>
              <w:t xml:space="preserve">адрес электронной почты: mkucod@ya.ru</w:t>
            </w:r>
            <w:r>
              <w:rPr>
                <w:lang w:val="en-US"/>
              </w:rPr>
              <w:t/>
            </w:r>
            <w:r>
              <w:t xml:space="preserve"/>
            </w:r>
          </w:p>
        </w:tc>
        <w:tc>
          <w:tcPr>
            <w:tcW w:w="5633" w:type="dxa"/>
            <w:shd w:val="clear" w:color="auto" w:fill="auto"/>
          </w:tcPr>
          <w:p w14:paraId="1A990003">
            <w:pPr>
              <w:pStyle w:val="20"/>
            </w:pPr>
            <w:r>
              <w:t xml:space="preserve">телефон (факс): ________________</w:t>
            </w:r>
            <w:r>
              <w:rPr>
                <w:lang w:val="en-US"/>
              </w:rPr>
              <w:t/>
            </w:r>
            <w:r>
              <w:t xml:space="preserve"/>
            </w:r>
          </w:p>
          <w:p w14:paraId="7342E8EB">
            <w:pPr>
              <w:pStyle w:val="20"/>
            </w:pPr>
            <w:r>
              <w:t xml:space="preserve">адрес электронной почты: ________________</w:t>
            </w:r>
            <w:r>
              <w:rPr>
                <w:lang w:val="en-US"/>
              </w:rPr>
              <w:t/>
            </w:r>
            <w:r>
              <w:t xml:space="preserve"/>
            </w:r>
          </w:p>
        </w:tc>
      </w:tr>
    </w:tbl>
    <w:tbl>
      <w:tblPr>
        <w:tblStyle w:val="18"/>
        <w:tblpPr w:leftFromText="180" w:rightFromText="180" w:vertAnchor="text" w:horzAnchor="margin" w:tblpX="-142" w:tblpY="256"/>
        <w:tblOverlap w:val="never"/>
        <w:tblW w:w="1020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5"/>
        <w:gridCol w:w="1418"/>
        <w:gridCol w:w="1701"/>
        <w:gridCol w:w="1842"/>
        <w:gridCol w:w="1418"/>
        <w:gridCol w:w="1843"/>
      </w:tblGrid>
      <w:tr w14:paraId="35C8B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trPr>
        <w:tc>
          <w:tcPr>
            <w:tcW w:w="5104" w:type="dxa"/>
            <w:gridSpan w:val="3"/>
          </w:tcPr>
          <w:p w14:paraId="5C1DA7B9">
            <w:pPr>
              <w:pStyle w:val="20"/>
              <w:rPr>
                <w:lang w:val="en-US"/>
              </w:rPr>
            </w:pPr>
            <w:r>
              <w:rPr>
                <w:lang w:val="en-US"/>
              </w:rPr>
              <w:t xml:space="preserve">Заказчик:</w:t>
            </w:r>
          </w:p>
        </w:tc>
        <w:tc>
          <w:tcPr>
            <w:tcW w:w="5103" w:type="dxa"/>
            <w:gridSpan w:val="3"/>
          </w:tcPr>
          <w:p w14:paraId="7D342720">
            <w:pPr>
              <w:pStyle w:val="20"/>
              <w:rPr>
                <w:lang w:val="en-US"/>
              </w:rPr>
            </w:pPr>
            <w:r>
              <w:rPr>
                <w:lang w:val="en-US"/>
              </w:rPr>
              <w:t xml:space="preserve">Исполнитель:</w:t>
            </w:r>
          </w:p>
        </w:tc>
      </w:tr>
      <w:tr w14:paraId="2B154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985" w:type="dxa"/>
          </w:tcPr>
          <w:p w14:paraId="2D7BC087">
            <w:pPr>
              <w:pStyle w:val="20"/>
              <w:rPr>
                <w:lang w:val="en-US"/>
              </w:rPr>
            </w:pPr>
          </w:p>
        </w:tc>
        <w:tc>
          <w:tcPr>
            <w:tcW w:w="1418" w:type="dxa"/>
          </w:tcPr>
          <w:p w14:paraId="7B3426B2">
            <w:pPr>
              <w:pStyle w:val="20"/>
              <w:rPr>
                <w:lang w:val="en-US"/>
              </w:rPr>
            </w:pPr>
          </w:p>
        </w:tc>
        <w:tc>
          <w:tcPr>
            <w:tcW w:w="1701" w:type="dxa"/>
          </w:tcPr>
          <w:p w14:paraId="0F98AA03">
            <w:pPr>
              <w:pStyle w:val="20"/>
              <w:rPr>
                <w:lang w:val="en-US"/>
              </w:rPr>
            </w:pPr>
          </w:p>
        </w:tc>
        <w:tc>
          <w:tcPr>
            <w:tcW w:w="1842" w:type="dxa"/>
          </w:tcPr>
          <w:p w14:paraId="138E1E5D">
            <w:pPr>
              <w:pStyle w:val="20"/>
              <w:rPr>
                <w:lang w:val="en-US"/>
              </w:rPr>
            </w:pPr>
          </w:p>
        </w:tc>
        <w:tc>
          <w:tcPr>
            <w:tcW w:w="1418" w:type="dxa"/>
          </w:tcPr>
          <w:p w14:paraId="373CAEAF">
            <w:pPr>
              <w:pStyle w:val="20"/>
              <w:rPr>
                <w:lang w:val="en-US"/>
              </w:rPr>
            </w:pPr>
          </w:p>
        </w:tc>
        <w:tc>
          <w:tcPr>
            <w:tcW w:w="1843" w:type="dxa"/>
          </w:tcPr>
          <w:p w14:paraId="2160163A">
            <w:pPr>
              <w:pStyle w:val="20"/>
              <w:rPr>
                <w:lang w:val="en-US"/>
              </w:rPr>
            </w:pPr>
          </w:p>
        </w:tc>
      </w:tr>
      <w:tr w14:paraId="28546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985" w:type="dxa"/>
          </w:tcPr>
          <w:p w14:paraId="0630CC7D">
            <w:pPr>
              <w:pStyle w:val="20"/>
              <w:rPr>
                <w:lang w:val="en-US"/>
              </w:rPr>
            </w:pPr>
            <w:r>
              <w:rPr>
                <w:lang w:val="en-US"/>
              </w:rPr>
              <w:t xml:space="preserve">________________</w:t>
            </w:r>
          </w:p>
        </w:tc>
        <w:tc>
          <w:tcPr>
            <w:tcW w:w="1418" w:type="dxa"/>
          </w:tcPr>
          <w:p w14:paraId="284F1AD4">
            <w:pPr>
              <w:pStyle w:val="20"/>
              <w:rPr>
                <w:lang w:val="en-US"/>
              </w:rPr>
            </w:pPr>
            <w:r>
              <w:rPr>
                <w:lang w:val="en-US"/>
              </w:rPr>
              <w:t>__________</w:t>
            </w:r>
          </w:p>
        </w:tc>
        <w:tc>
          <w:tcPr>
            <w:tcW w:w="1701" w:type="dxa"/>
          </w:tcPr>
          <w:p w14:paraId="33543A76">
            <w:pPr>
              <w:pStyle w:val="20"/>
              <w:rPr>
                <w:lang w:val="en-US"/>
              </w:rPr>
            </w:pPr>
            <w:r>
              <w:rPr>
                <w:lang w:val="en-US"/>
              </w:rPr>
              <w:t xml:space="preserve">(______________)</w:t>
            </w:r>
          </w:p>
        </w:tc>
        <w:tc>
          <w:tcPr>
            <w:tcW w:w="1842" w:type="dxa"/>
          </w:tcPr>
          <w:p w14:paraId="7F23DB6B">
            <w:pPr>
              <w:pStyle w:val="20"/>
              <w:rPr>
                <w:lang w:val="en-US"/>
              </w:rPr>
            </w:pPr>
            <w:r>
              <w:rPr>
                <w:lang w:val="en-US"/>
              </w:rPr>
              <w:t xml:space="preserve">________________</w:t>
            </w:r>
          </w:p>
        </w:tc>
        <w:tc>
          <w:tcPr>
            <w:tcW w:w="1418" w:type="dxa"/>
          </w:tcPr>
          <w:p w14:paraId="6007F1FB">
            <w:pPr>
              <w:pStyle w:val="20"/>
              <w:rPr>
                <w:lang w:val="en-US"/>
              </w:rPr>
            </w:pPr>
            <w:r>
              <w:rPr>
                <w:lang w:val="en-US"/>
              </w:rPr>
              <w:t>__________</w:t>
            </w:r>
          </w:p>
        </w:tc>
        <w:tc>
          <w:tcPr>
            <w:tcW w:w="1843" w:type="dxa"/>
          </w:tcPr>
          <w:p w14:paraId="0934C26D">
            <w:pPr>
              <w:pStyle w:val="20"/>
              <w:rPr>
                <w:lang w:val="en-US"/>
              </w:rPr>
            </w:pPr>
            <w:r>
              <w:rPr>
                <w:lang w:val="en-US"/>
              </w:rPr>
              <w:t xml:space="preserve">(________________)</w:t>
            </w:r>
          </w:p>
        </w:tc>
      </w:tr>
    </w:tbl>
    <w:p w14:paraId="3348E5F2"/>
    <w:sectPr>
      <w:headerReference r:id="rId3" w:type="default"/>
      <w:pgSz w:w="11906" w:h="16838"/>
      <w:pgMar w:top="1134" w:right="567" w:bottom="1134" w:left="1134" w:header="709" w:footer="709" w:gutter="0"/>
      <w:cols w:space="708"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Calibri Light">
    <w:panose1 w:val="020F0302020204030204"/>
    <w:charset w:val="CC"/>
    <w:family w:val="swiss"/>
    <w:pitch w:val="default"/>
    <w:sig w:usb0="A00002EF" w:usb1="4000207B" w:usb2="00000000" w:usb3="00000000" w:csb0="2000019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CC"/>
    <w:family w:val="swiss"/>
    <w:pitch w:val="default"/>
    <w:sig w:usb0="E10022FF" w:usb1="C000E47F" w:usb2="00000029" w:usb3="00000000" w:csb0="200001DF" w:csb1="20000000"/>
  </w:font>
  <w:font w:name="Calibri Light">
    <w:panose1 w:val="020F0302020204030204"/>
    <w:charset w:val="00"/>
    <w:family w:val="auto"/>
    <w:pitch w:val="default"/>
    <w:sig w:usb0="A00002EF" w:usb1="4000207B" w:usb2="00000000"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30838231"/>
    </w:sdtPr>
    <w:sdtContent>
      <w:p w14:paraId="7427C6E0">
        <w:pPr>
          <w:pStyle w:val="16"/>
          <w:jc w:val="center"/>
        </w:pPr>
        <w:r>
          <w:fldChar w:fldCharType="begin"/>
        </w:r>
        <w:r>
          <w:instrText xml:space="preserve">PAGE   \* MERGEFORMAT</w:instrText>
        </w:r>
        <w:r>
          <w:fldChar w:fldCharType="separate"/>
        </w:r>
        <w:r>
          <w:t>5</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E362CCA"/>
    <w:multiLevelType w:val="multilevel"/>
    <w:tmpl w:val="7E362CCA"/>
    <w:lvl w:ilvl="0" w:tentative="0">
      <w:start w:val="1"/>
      <w:numFmt w:val="decimal"/>
      <w:pStyle w:val="31"/>
      <w:suff w:val="space"/>
      <w:lvlText w:val="%1."/>
      <w:lvlJc w:val="left"/>
      <w:pPr>
        <w:ind w:left="0" w:firstLine="0"/>
      </w:pPr>
      <w:rPr>
        <w:rFonts w:hint="default"/>
        <w:sz w:val="24"/>
      </w:rPr>
    </w:lvl>
    <w:lvl w:ilvl="1" w:tentative="0">
      <w:start w:val="1"/>
      <w:numFmt w:val="decimal"/>
      <w:pStyle w:val="32"/>
      <w:suff w:val="space"/>
      <w:lvlText w:val="%1.%2."/>
      <w:lvlJc w:val="left"/>
      <w:pPr>
        <w:ind w:left="142" w:firstLine="709"/>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2" w:tentative="0">
      <w:start w:val="1"/>
      <w:numFmt w:val="decimal"/>
      <w:pStyle w:val="34"/>
      <w:suff w:val="space"/>
      <w:lvlText w:val="%1.%2.%3."/>
      <w:lvlJc w:val="left"/>
      <w:pPr>
        <w:ind w:left="708" w:firstLine="709"/>
      </w:pPr>
      <w:rPr>
        <w:rFonts w:hint="default" w:ascii="Times New Roman" w:hAnsi="Times New Roman" w:cs="Times New Roman"/>
        <w:sz w:val="24"/>
        <w:szCs w:val="24"/>
      </w:rPr>
    </w:lvl>
    <w:lvl w:ilvl="3" w:tentative="0">
      <w:start w:val="1"/>
      <w:numFmt w:val="decimal"/>
      <w:lvlText w:val="(%4)"/>
      <w:lvlJc w:val="left"/>
      <w:pPr>
        <w:ind w:left="1440" w:hanging="360"/>
      </w:pPr>
      <w:rPr>
        <w:rFonts w:hint="default"/>
      </w:rPr>
    </w:lvl>
    <w:lvl w:ilvl="4" w:tentative="0">
      <w:start w:val="1"/>
      <w:numFmt w:val="lowerLetter"/>
      <w:lvlText w:val="(%5)"/>
      <w:lvlJc w:val="left"/>
      <w:pPr>
        <w:ind w:left="1800" w:hanging="360"/>
      </w:pPr>
      <w:rPr>
        <w:rFonts w:hint="default"/>
      </w:rPr>
    </w:lvl>
    <w:lvl w:ilvl="5" w:tentative="0">
      <w:start w:val="1"/>
      <w:numFmt w:val="lowerRoman"/>
      <w:lvlText w:val="(%6)"/>
      <w:lvlJc w:val="left"/>
      <w:pPr>
        <w:ind w:left="2160" w:hanging="360"/>
      </w:pPr>
      <w:rPr>
        <w:rFonts w:hint="default"/>
      </w:rPr>
    </w:lvl>
    <w:lvl w:ilvl="6" w:tentative="0">
      <w:start w:val="1"/>
      <w:numFmt w:val="decimal"/>
      <w:lvlText w:val="%7."/>
      <w:lvlJc w:val="left"/>
      <w:pPr>
        <w:ind w:left="2520" w:hanging="360"/>
      </w:pPr>
      <w:rPr>
        <w:rFonts w:hint="default"/>
      </w:rPr>
    </w:lvl>
    <w:lvl w:ilvl="7" w:tentative="0">
      <w:start w:val="1"/>
      <w:numFmt w:val="lowerLetter"/>
      <w:lvlText w:val="%8."/>
      <w:lvlJc w:val="left"/>
      <w:pPr>
        <w:ind w:left="2880" w:hanging="360"/>
      </w:pPr>
      <w:rPr>
        <w:rFonts w:hint="default"/>
      </w:rPr>
    </w:lvl>
    <w:lvl w:ilvl="8" w:tentative="0">
      <w:start w:val="1"/>
      <w:numFmt w:val="lowerRoman"/>
      <w:lvlText w:val="%9."/>
      <w:lvlJc w:val="left"/>
      <w:pPr>
        <w:ind w:left="324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nforcement="0"/>
  <w:defaultTabStop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A1F"/>
    <w:rsid w:val="00002AB7"/>
    <w:rsid w:val="000044BD"/>
    <w:rsid w:val="0000719A"/>
    <w:rsid w:val="00007747"/>
    <w:rsid w:val="00007B6C"/>
    <w:rsid w:val="00010AA1"/>
    <w:rsid w:val="00010F3D"/>
    <w:rsid w:val="00012F6B"/>
    <w:rsid w:val="00014244"/>
    <w:rsid w:val="00017A11"/>
    <w:rsid w:val="00020E37"/>
    <w:rsid w:val="00020FEC"/>
    <w:rsid w:val="00021E71"/>
    <w:rsid w:val="000244B5"/>
    <w:rsid w:val="0002542C"/>
    <w:rsid w:val="000331D8"/>
    <w:rsid w:val="0003546E"/>
    <w:rsid w:val="00037629"/>
    <w:rsid w:val="00042D0D"/>
    <w:rsid w:val="00044111"/>
    <w:rsid w:val="00052432"/>
    <w:rsid w:val="0005599B"/>
    <w:rsid w:val="00056E37"/>
    <w:rsid w:val="00056FEA"/>
    <w:rsid w:val="000577A3"/>
    <w:rsid w:val="0006470D"/>
    <w:rsid w:val="000653E2"/>
    <w:rsid w:val="0006717F"/>
    <w:rsid w:val="000802FA"/>
    <w:rsid w:val="000805B6"/>
    <w:rsid w:val="00080DE9"/>
    <w:rsid w:val="0008199A"/>
    <w:rsid w:val="00085547"/>
    <w:rsid w:val="00085803"/>
    <w:rsid w:val="00085F0F"/>
    <w:rsid w:val="000910A7"/>
    <w:rsid w:val="00094D09"/>
    <w:rsid w:val="000A1F18"/>
    <w:rsid w:val="000A451A"/>
    <w:rsid w:val="000A48E3"/>
    <w:rsid w:val="000B1141"/>
    <w:rsid w:val="000B3CEF"/>
    <w:rsid w:val="000B791E"/>
    <w:rsid w:val="000C0A46"/>
    <w:rsid w:val="000C4A32"/>
    <w:rsid w:val="000C5318"/>
    <w:rsid w:val="000C7337"/>
    <w:rsid w:val="000D5A44"/>
    <w:rsid w:val="000E02B5"/>
    <w:rsid w:val="000E60B3"/>
    <w:rsid w:val="000F1630"/>
    <w:rsid w:val="000F3BD1"/>
    <w:rsid w:val="000F4493"/>
    <w:rsid w:val="000F47A6"/>
    <w:rsid w:val="000F4E22"/>
    <w:rsid w:val="000F589E"/>
    <w:rsid w:val="00103DA3"/>
    <w:rsid w:val="00104831"/>
    <w:rsid w:val="0010612D"/>
    <w:rsid w:val="0011003C"/>
    <w:rsid w:val="00110E20"/>
    <w:rsid w:val="00116213"/>
    <w:rsid w:val="00116846"/>
    <w:rsid w:val="00117A43"/>
    <w:rsid w:val="00122A9F"/>
    <w:rsid w:val="00124514"/>
    <w:rsid w:val="00126D35"/>
    <w:rsid w:val="00127159"/>
    <w:rsid w:val="00127F91"/>
    <w:rsid w:val="001308A1"/>
    <w:rsid w:val="00131D8B"/>
    <w:rsid w:val="001348AA"/>
    <w:rsid w:val="00137988"/>
    <w:rsid w:val="001408BB"/>
    <w:rsid w:val="0014451A"/>
    <w:rsid w:val="00144BE8"/>
    <w:rsid w:val="00144CBF"/>
    <w:rsid w:val="00146338"/>
    <w:rsid w:val="001542E2"/>
    <w:rsid w:val="00155B81"/>
    <w:rsid w:val="00157B73"/>
    <w:rsid w:val="001624FD"/>
    <w:rsid w:val="00163957"/>
    <w:rsid w:val="00166DB8"/>
    <w:rsid w:val="00175A21"/>
    <w:rsid w:val="00176885"/>
    <w:rsid w:val="001768CE"/>
    <w:rsid w:val="00177355"/>
    <w:rsid w:val="00181280"/>
    <w:rsid w:val="001812EE"/>
    <w:rsid w:val="00184AEE"/>
    <w:rsid w:val="001879E0"/>
    <w:rsid w:val="00190EB8"/>
    <w:rsid w:val="00192EA1"/>
    <w:rsid w:val="00195ABA"/>
    <w:rsid w:val="001A3567"/>
    <w:rsid w:val="001A377D"/>
    <w:rsid w:val="001A5C0C"/>
    <w:rsid w:val="001A6CA0"/>
    <w:rsid w:val="001A72F2"/>
    <w:rsid w:val="001A7FDB"/>
    <w:rsid w:val="001B070B"/>
    <w:rsid w:val="001B4D90"/>
    <w:rsid w:val="001B5A67"/>
    <w:rsid w:val="001B79A3"/>
    <w:rsid w:val="001C51BB"/>
    <w:rsid w:val="001C52FF"/>
    <w:rsid w:val="001C6DA4"/>
    <w:rsid w:val="001D06BA"/>
    <w:rsid w:val="001D45A0"/>
    <w:rsid w:val="001D54C9"/>
    <w:rsid w:val="001D6564"/>
    <w:rsid w:val="001D6966"/>
    <w:rsid w:val="001E030E"/>
    <w:rsid w:val="001E1F34"/>
    <w:rsid w:val="001E5E6B"/>
    <w:rsid w:val="001F1FF4"/>
    <w:rsid w:val="00206A56"/>
    <w:rsid w:val="00207ED5"/>
    <w:rsid w:val="00210B44"/>
    <w:rsid w:val="0021469F"/>
    <w:rsid w:val="0021529B"/>
    <w:rsid w:val="00220413"/>
    <w:rsid w:val="00221228"/>
    <w:rsid w:val="002249C5"/>
    <w:rsid w:val="00224DD0"/>
    <w:rsid w:val="002251B3"/>
    <w:rsid w:val="00226153"/>
    <w:rsid w:val="002277E6"/>
    <w:rsid w:val="002304A2"/>
    <w:rsid w:val="00231172"/>
    <w:rsid w:val="00232080"/>
    <w:rsid w:val="00233E93"/>
    <w:rsid w:val="002368CD"/>
    <w:rsid w:val="002403EE"/>
    <w:rsid w:val="002405CA"/>
    <w:rsid w:val="00244F02"/>
    <w:rsid w:val="002452FE"/>
    <w:rsid w:val="002502D9"/>
    <w:rsid w:val="00250C15"/>
    <w:rsid w:val="00253944"/>
    <w:rsid w:val="00261B1F"/>
    <w:rsid w:val="00270A0F"/>
    <w:rsid w:val="00270D00"/>
    <w:rsid w:val="002733FA"/>
    <w:rsid w:val="00275F54"/>
    <w:rsid w:val="00284002"/>
    <w:rsid w:val="00284173"/>
    <w:rsid w:val="00285FC4"/>
    <w:rsid w:val="002A2932"/>
    <w:rsid w:val="002A4131"/>
    <w:rsid w:val="002A488A"/>
    <w:rsid w:val="002A6C91"/>
    <w:rsid w:val="002B4241"/>
    <w:rsid w:val="002B7F44"/>
    <w:rsid w:val="002C0840"/>
    <w:rsid w:val="002C5B6C"/>
    <w:rsid w:val="002C6EBD"/>
    <w:rsid w:val="002D0B01"/>
    <w:rsid w:val="002D50EA"/>
    <w:rsid w:val="002E3512"/>
    <w:rsid w:val="002E36C8"/>
    <w:rsid w:val="002E3B97"/>
    <w:rsid w:val="002E4A18"/>
    <w:rsid w:val="002E5BF7"/>
    <w:rsid w:val="002E677A"/>
    <w:rsid w:val="002E7C4D"/>
    <w:rsid w:val="002F0BFC"/>
    <w:rsid w:val="002F49D4"/>
    <w:rsid w:val="002F7145"/>
    <w:rsid w:val="0030191F"/>
    <w:rsid w:val="0031333E"/>
    <w:rsid w:val="00314C32"/>
    <w:rsid w:val="0031668C"/>
    <w:rsid w:val="00316DDB"/>
    <w:rsid w:val="003228A2"/>
    <w:rsid w:val="00324800"/>
    <w:rsid w:val="0032568A"/>
    <w:rsid w:val="0032645B"/>
    <w:rsid w:val="00326506"/>
    <w:rsid w:val="00335662"/>
    <w:rsid w:val="003360A9"/>
    <w:rsid w:val="00340ECC"/>
    <w:rsid w:val="00355419"/>
    <w:rsid w:val="0036241C"/>
    <w:rsid w:val="00363975"/>
    <w:rsid w:val="00370C70"/>
    <w:rsid w:val="00373023"/>
    <w:rsid w:val="00375C0D"/>
    <w:rsid w:val="00377D7F"/>
    <w:rsid w:val="0038071C"/>
    <w:rsid w:val="00387307"/>
    <w:rsid w:val="00387C3A"/>
    <w:rsid w:val="003935F6"/>
    <w:rsid w:val="00394DBF"/>
    <w:rsid w:val="00396BB9"/>
    <w:rsid w:val="00397C04"/>
    <w:rsid w:val="00397CCD"/>
    <w:rsid w:val="003A453A"/>
    <w:rsid w:val="003A48B0"/>
    <w:rsid w:val="003B05AC"/>
    <w:rsid w:val="003B18B4"/>
    <w:rsid w:val="003B2552"/>
    <w:rsid w:val="003B5365"/>
    <w:rsid w:val="003B7B6B"/>
    <w:rsid w:val="003C4A57"/>
    <w:rsid w:val="003C5959"/>
    <w:rsid w:val="003D2099"/>
    <w:rsid w:val="003D291F"/>
    <w:rsid w:val="003D51BE"/>
    <w:rsid w:val="003D63FE"/>
    <w:rsid w:val="003D6C0A"/>
    <w:rsid w:val="003E27F1"/>
    <w:rsid w:val="003E5296"/>
    <w:rsid w:val="003F3497"/>
    <w:rsid w:val="003F3674"/>
    <w:rsid w:val="003F4F58"/>
    <w:rsid w:val="003F7200"/>
    <w:rsid w:val="00400C27"/>
    <w:rsid w:val="00405C6E"/>
    <w:rsid w:val="004063FB"/>
    <w:rsid w:val="00407E10"/>
    <w:rsid w:val="0041085A"/>
    <w:rsid w:val="00412DEB"/>
    <w:rsid w:val="00412EA7"/>
    <w:rsid w:val="00414493"/>
    <w:rsid w:val="004151AF"/>
    <w:rsid w:val="00421A19"/>
    <w:rsid w:val="00425D9D"/>
    <w:rsid w:val="004262E6"/>
    <w:rsid w:val="004274B4"/>
    <w:rsid w:val="004350C8"/>
    <w:rsid w:val="004358E6"/>
    <w:rsid w:val="0043684B"/>
    <w:rsid w:val="00436A5F"/>
    <w:rsid w:val="00443E94"/>
    <w:rsid w:val="004451D5"/>
    <w:rsid w:val="004537B7"/>
    <w:rsid w:val="00455BEF"/>
    <w:rsid w:val="00456604"/>
    <w:rsid w:val="00462347"/>
    <w:rsid w:val="00476782"/>
    <w:rsid w:val="004768E5"/>
    <w:rsid w:val="00482225"/>
    <w:rsid w:val="00483D84"/>
    <w:rsid w:val="00483DF0"/>
    <w:rsid w:val="00483E41"/>
    <w:rsid w:val="00484936"/>
    <w:rsid w:val="00484DB1"/>
    <w:rsid w:val="00486490"/>
    <w:rsid w:val="00493BD7"/>
    <w:rsid w:val="00494161"/>
    <w:rsid w:val="00494EF4"/>
    <w:rsid w:val="004A7845"/>
    <w:rsid w:val="004B5089"/>
    <w:rsid w:val="004C0B72"/>
    <w:rsid w:val="004C3A98"/>
    <w:rsid w:val="004C5A9C"/>
    <w:rsid w:val="004D209E"/>
    <w:rsid w:val="004D2607"/>
    <w:rsid w:val="004D4AC9"/>
    <w:rsid w:val="004E0BB5"/>
    <w:rsid w:val="004E33EB"/>
    <w:rsid w:val="004E6136"/>
    <w:rsid w:val="004F08E4"/>
    <w:rsid w:val="004F65F6"/>
    <w:rsid w:val="004F7977"/>
    <w:rsid w:val="005001EB"/>
    <w:rsid w:val="005018C9"/>
    <w:rsid w:val="00502364"/>
    <w:rsid w:val="00502632"/>
    <w:rsid w:val="00502820"/>
    <w:rsid w:val="00504A79"/>
    <w:rsid w:val="00512860"/>
    <w:rsid w:val="00512DB7"/>
    <w:rsid w:val="00516BAC"/>
    <w:rsid w:val="00517B4E"/>
    <w:rsid w:val="00522B52"/>
    <w:rsid w:val="00527D4B"/>
    <w:rsid w:val="00534927"/>
    <w:rsid w:val="005370F7"/>
    <w:rsid w:val="00541373"/>
    <w:rsid w:val="00544C8F"/>
    <w:rsid w:val="0054544E"/>
    <w:rsid w:val="0054750D"/>
    <w:rsid w:val="00547E74"/>
    <w:rsid w:val="00553CB6"/>
    <w:rsid w:val="00554A3E"/>
    <w:rsid w:val="005574C4"/>
    <w:rsid w:val="00557DCB"/>
    <w:rsid w:val="00560B53"/>
    <w:rsid w:val="00561AE8"/>
    <w:rsid w:val="00563E81"/>
    <w:rsid w:val="00566681"/>
    <w:rsid w:val="0057415F"/>
    <w:rsid w:val="00580A50"/>
    <w:rsid w:val="0058490B"/>
    <w:rsid w:val="00592D5C"/>
    <w:rsid w:val="00594EEC"/>
    <w:rsid w:val="00595C2C"/>
    <w:rsid w:val="00596442"/>
    <w:rsid w:val="005A60AB"/>
    <w:rsid w:val="005A7411"/>
    <w:rsid w:val="005B00A6"/>
    <w:rsid w:val="005B4A25"/>
    <w:rsid w:val="005C6BEE"/>
    <w:rsid w:val="005D254E"/>
    <w:rsid w:val="005D3730"/>
    <w:rsid w:val="005D5782"/>
    <w:rsid w:val="005E08B0"/>
    <w:rsid w:val="005E51FE"/>
    <w:rsid w:val="005E707F"/>
    <w:rsid w:val="005F3A2B"/>
    <w:rsid w:val="005F3F8D"/>
    <w:rsid w:val="005F4C12"/>
    <w:rsid w:val="005F4E09"/>
    <w:rsid w:val="005F69E3"/>
    <w:rsid w:val="00603034"/>
    <w:rsid w:val="00603118"/>
    <w:rsid w:val="00605395"/>
    <w:rsid w:val="0060547B"/>
    <w:rsid w:val="00605ADF"/>
    <w:rsid w:val="00606EC8"/>
    <w:rsid w:val="006112A5"/>
    <w:rsid w:val="00617673"/>
    <w:rsid w:val="00622B58"/>
    <w:rsid w:val="00622F2B"/>
    <w:rsid w:val="00625844"/>
    <w:rsid w:val="00625A0F"/>
    <w:rsid w:val="0062649D"/>
    <w:rsid w:val="00631DD6"/>
    <w:rsid w:val="006328E5"/>
    <w:rsid w:val="00633F02"/>
    <w:rsid w:val="00634B58"/>
    <w:rsid w:val="00636420"/>
    <w:rsid w:val="00640812"/>
    <w:rsid w:val="0064346F"/>
    <w:rsid w:val="00653C88"/>
    <w:rsid w:val="00657A0A"/>
    <w:rsid w:val="00665CD1"/>
    <w:rsid w:val="00667474"/>
    <w:rsid w:val="0067246C"/>
    <w:rsid w:val="00672808"/>
    <w:rsid w:val="00676418"/>
    <w:rsid w:val="006800FA"/>
    <w:rsid w:val="006812C9"/>
    <w:rsid w:val="00683991"/>
    <w:rsid w:val="006900EB"/>
    <w:rsid w:val="00690D9E"/>
    <w:rsid w:val="00691181"/>
    <w:rsid w:val="006917AD"/>
    <w:rsid w:val="0069240A"/>
    <w:rsid w:val="0069291B"/>
    <w:rsid w:val="0069298D"/>
    <w:rsid w:val="00696DCD"/>
    <w:rsid w:val="006A2B97"/>
    <w:rsid w:val="006B0730"/>
    <w:rsid w:val="006B09E8"/>
    <w:rsid w:val="006B0B01"/>
    <w:rsid w:val="006B16AF"/>
    <w:rsid w:val="006B6006"/>
    <w:rsid w:val="006B7890"/>
    <w:rsid w:val="006C07FC"/>
    <w:rsid w:val="006C14B8"/>
    <w:rsid w:val="006C220A"/>
    <w:rsid w:val="006C4166"/>
    <w:rsid w:val="006C460B"/>
    <w:rsid w:val="006C563B"/>
    <w:rsid w:val="006C5FB6"/>
    <w:rsid w:val="006D7901"/>
    <w:rsid w:val="006E0481"/>
    <w:rsid w:val="006E3687"/>
    <w:rsid w:val="006E46BA"/>
    <w:rsid w:val="006E5412"/>
    <w:rsid w:val="006E78EF"/>
    <w:rsid w:val="006F08B0"/>
    <w:rsid w:val="006F3D82"/>
    <w:rsid w:val="006F459E"/>
    <w:rsid w:val="006F4649"/>
    <w:rsid w:val="006F47AA"/>
    <w:rsid w:val="006F5F78"/>
    <w:rsid w:val="006F6924"/>
    <w:rsid w:val="006F7B3A"/>
    <w:rsid w:val="007001B5"/>
    <w:rsid w:val="0070050B"/>
    <w:rsid w:val="007017AC"/>
    <w:rsid w:val="007020E6"/>
    <w:rsid w:val="00703E6A"/>
    <w:rsid w:val="0072544C"/>
    <w:rsid w:val="00727B38"/>
    <w:rsid w:val="0073338B"/>
    <w:rsid w:val="00737B77"/>
    <w:rsid w:val="0074063C"/>
    <w:rsid w:val="00741EC9"/>
    <w:rsid w:val="0074288C"/>
    <w:rsid w:val="00743BE6"/>
    <w:rsid w:val="00744333"/>
    <w:rsid w:val="00745B29"/>
    <w:rsid w:val="00754052"/>
    <w:rsid w:val="0075492C"/>
    <w:rsid w:val="00756384"/>
    <w:rsid w:val="0076096E"/>
    <w:rsid w:val="00762ADE"/>
    <w:rsid w:val="00766717"/>
    <w:rsid w:val="007675D4"/>
    <w:rsid w:val="00782C72"/>
    <w:rsid w:val="00784B9C"/>
    <w:rsid w:val="00784E82"/>
    <w:rsid w:val="00784F85"/>
    <w:rsid w:val="00785A0F"/>
    <w:rsid w:val="00790D19"/>
    <w:rsid w:val="00791A46"/>
    <w:rsid w:val="007A0143"/>
    <w:rsid w:val="007A16AD"/>
    <w:rsid w:val="007A3444"/>
    <w:rsid w:val="007A6F4A"/>
    <w:rsid w:val="007B2C3A"/>
    <w:rsid w:val="007B6A4C"/>
    <w:rsid w:val="007B7558"/>
    <w:rsid w:val="007C12D7"/>
    <w:rsid w:val="007C212A"/>
    <w:rsid w:val="007C7A37"/>
    <w:rsid w:val="007D27AB"/>
    <w:rsid w:val="007D456E"/>
    <w:rsid w:val="007D4604"/>
    <w:rsid w:val="007D7EF8"/>
    <w:rsid w:val="007E195E"/>
    <w:rsid w:val="007E3F4C"/>
    <w:rsid w:val="007E64E2"/>
    <w:rsid w:val="007E7E6E"/>
    <w:rsid w:val="007F020B"/>
    <w:rsid w:val="007F0918"/>
    <w:rsid w:val="007F2BBB"/>
    <w:rsid w:val="007F3526"/>
    <w:rsid w:val="007F6A52"/>
    <w:rsid w:val="0080184D"/>
    <w:rsid w:val="00801BEC"/>
    <w:rsid w:val="00801EA7"/>
    <w:rsid w:val="00801EFB"/>
    <w:rsid w:val="008020C6"/>
    <w:rsid w:val="00803384"/>
    <w:rsid w:val="00804FC3"/>
    <w:rsid w:val="0080627D"/>
    <w:rsid w:val="008119C9"/>
    <w:rsid w:val="00812870"/>
    <w:rsid w:val="00812DC0"/>
    <w:rsid w:val="00813D89"/>
    <w:rsid w:val="00813DD0"/>
    <w:rsid w:val="00816776"/>
    <w:rsid w:val="0081708D"/>
    <w:rsid w:val="008171E9"/>
    <w:rsid w:val="008211BA"/>
    <w:rsid w:val="00822E99"/>
    <w:rsid w:val="00823B8E"/>
    <w:rsid w:val="00824FE0"/>
    <w:rsid w:val="008264F9"/>
    <w:rsid w:val="00826797"/>
    <w:rsid w:val="00830ED5"/>
    <w:rsid w:val="00831C58"/>
    <w:rsid w:val="008321D7"/>
    <w:rsid w:val="00833258"/>
    <w:rsid w:val="008356AB"/>
    <w:rsid w:val="00844453"/>
    <w:rsid w:val="00846C6A"/>
    <w:rsid w:val="00853312"/>
    <w:rsid w:val="00857D75"/>
    <w:rsid w:val="00857E8A"/>
    <w:rsid w:val="008627D5"/>
    <w:rsid w:val="00862EAC"/>
    <w:rsid w:val="0086395F"/>
    <w:rsid w:val="00864C78"/>
    <w:rsid w:val="00865CD4"/>
    <w:rsid w:val="00866362"/>
    <w:rsid w:val="008711E7"/>
    <w:rsid w:val="00877353"/>
    <w:rsid w:val="008778FF"/>
    <w:rsid w:val="00882C8F"/>
    <w:rsid w:val="00883303"/>
    <w:rsid w:val="0088526F"/>
    <w:rsid w:val="008919D3"/>
    <w:rsid w:val="00892D09"/>
    <w:rsid w:val="0089358D"/>
    <w:rsid w:val="008940F4"/>
    <w:rsid w:val="008A0E93"/>
    <w:rsid w:val="008A173C"/>
    <w:rsid w:val="008A1909"/>
    <w:rsid w:val="008A1AB1"/>
    <w:rsid w:val="008A2D48"/>
    <w:rsid w:val="008A5BDE"/>
    <w:rsid w:val="008B0647"/>
    <w:rsid w:val="008B0D74"/>
    <w:rsid w:val="008B4696"/>
    <w:rsid w:val="008B4CCA"/>
    <w:rsid w:val="008B6E48"/>
    <w:rsid w:val="008B736A"/>
    <w:rsid w:val="008C13DC"/>
    <w:rsid w:val="008C4C2D"/>
    <w:rsid w:val="008C5452"/>
    <w:rsid w:val="008C7ABE"/>
    <w:rsid w:val="008D46CC"/>
    <w:rsid w:val="008E0B5B"/>
    <w:rsid w:val="008E33A6"/>
    <w:rsid w:val="008E3821"/>
    <w:rsid w:val="008E3CE3"/>
    <w:rsid w:val="008E5059"/>
    <w:rsid w:val="008E559E"/>
    <w:rsid w:val="008F15C8"/>
    <w:rsid w:val="009042C3"/>
    <w:rsid w:val="009115FA"/>
    <w:rsid w:val="009153C2"/>
    <w:rsid w:val="009159DB"/>
    <w:rsid w:val="00916059"/>
    <w:rsid w:val="0092060B"/>
    <w:rsid w:val="00922F64"/>
    <w:rsid w:val="009242E8"/>
    <w:rsid w:val="0093001D"/>
    <w:rsid w:val="0093091D"/>
    <w:rsid w:val="00931016"/>
    <w:rsid w:val="009367F8"/>
    <w:rsid w:val="009444B9"/>
    <w:rsid w:val="00944C9C"/>
    <w:rsid w:val="00947030"/>
    <w:rsid w:val="00953CE7"/>
    <w:rsid w:val="00954FA1"/>
    <w:rsid w:val="009603E0"/>
    <w:rsid w:val="00960F2F"/>
    <w:rsid w:val="00972A5A"/>
    <w:rsid w:val="009738C2"/>
    <w:rsid w:val="00982C4F"/>
    <w:rsid w:val="00985A36"/>
    <w:rsid w:val="00991157"/>
    <w:rsid w:val="0099192E"/>
    <w:rsid w:val="00997449"/>
    <w:rsid w:val="009A1802"/>
    <w:rsid w:val="009B0199"/>
    <w:rsid w:val="009B1AD0"/>
    <w:rsid w:val="009B22AD"/>
    <w:rsid w:val="009B341F"/>
    <w:rsid w:val="009B3658"/>
    <w:rsid w:val="009B3ABA"/>
    <w:rsid w:val="009B4745"/>
    <w:rsid w:val="009B4DEC"/>
    <w:rsid w:val="009B5195"/>
    <w:rsid w:val="009B51D5"/>
    <w:rsid w:val="009B5823"/>
    <w:rsid w:val="009C05A1"/>
    <w:rsid w:val="009C0800"/>
    <w:rsid w:val="009C19B2"/>
    <w:rsid w:val="009C28C2"/>
    <w:rsid w:val="009D0308"/>
    <w:rsid w:val="009D2E7F"/>
    <w:rsid w:val="009D356E"/>
    <w:rsid w:val="009D4274"/>
    <w:rsid w:val="009D4D7C"/>
    <w:rsid w:val="009E00DB"/>
    <w:rsid w:val="009E0809"/>
    <w:rsid w:val="009E380C"/>
    <w:rsid w:val="009E6326"/>
    <w:rsid w:val="009F5AAD"/>
    <w:rsid w:val="009F5C15"/>
    <w:rsid w:val="009F6336"/>
    <w:rsid w:val="009F7511"/>
    <w:rsid w:val="00A018CF"/>
    <w:rsid w:val="00A02909"/>
    <w:rsid w:val="00A03FD8"/>
    <w:rsid w:val="00A0540A"/>
    <w:rsid w:val="00A05AAB"/>
    <w:rsid w:val="00A07553"/>
    <w:rsid w:val="00A13827"/>
    <w:rsid w:val="00A16487"/>
    <w:rsid w:val="00A2173E"/>
    <w:rsid w:val="00A26F1A"/>
    <w:rsid w:val="00A4318A"/>
    <w:rsid w:val="00A464DD"/>
    <w:rsid w:val="00A46B1F"/>
    <w:rsid w:val="00A51231"/>
    <w:rsid w:val="00A518AF"/>
    <w:rsid w:val="00A52684"/>
    <w:rsid w:val="00A527EF"/>
    <w:rsid w:val="00A55548"/>
    <w:rsid w:val="00A56EEB"/>
    <w:rsid w:val="00A6340C"/>
    <w:rsid w:val="00A63F32"/>
    <w:rsid w:val="00A655BC"/>
    <w:rsid w:val="00A65606"/>
    <w:rsid w:val="00A67067"/>
    <w:rsid w:val="00A67F69"/>
    <w:rsid w:val="00A712AE"/>
    <w:rsid w:val="00A71532"/>
    <w:rsid w:val="00A71B0C"/>
    <w:rsid w:val="00A73379"/>
    <w:rsid w:val="00A80E05"/>
    <w:rsid w:val="00A8163B"/>
    <w:rsid w:val="00A82DFA"/>
    <w:rsid w:val="00A8425D"/>
    <w:rsid w:val="00A86200"/>
    <w:rsid w:val="00A90163"/>
    <w:rsid w:val="00A924A9"/>
    <w:rsid w:val="00A93337"/>
    <w:rsid w:val="00A938C6"/>
    <w:rsid w:val="00A9564D"/>
    <w:rsid w:val="00A97474"/>
    <w:rsid w:val="00AA0FC7"/>
    <w:rsid w:val="00AA504D"/>
    <w:rsid w:val="00AA5B35"/>
    <w:rsid w:val="00AB1B88"/>
    <w:rsid w:val="00AB3D68"/>
    <w:rsid w:val="00AC0B9B"/>
    <w:rsid w:val="00AC114F"/>
    <w:rsid w:val="00AC18C2"/>
    <w:rsid w:val="00AC25D3"/>
    <w:rsid w:val="00AC2C3A"/>
    <w:rsid w:val="00AC4780"/>
    <w:rsid w:val="00AC5C8A"/>
    <w:rsid w:val="00AD31AB"/>
    <w:rsid w:val="00AE2B77"/>
    <w:rsid w:val="00AE719D"/>
    <w:rsid w:val="00AF3BDA"/>
    <w:rsid w:val="00AF6677"/>
    <w:rsid w:val="00AF73EB"/>
    <w:rsid w:val="00B024F5"/>
    <w:rsid w:val="00B03207"/>
    <w:rsid w:val="00B11B10"/>
    <w:rsid w:val="00B15534"/>
    <w:rsid w:val="00B20F46"/>
    <w:rsid w:val="00B2621E"/>
    <w:rsid w:val="00B26CE6"/>
    <w:rsid w:val="00B30A72"/>
    <w:rsid w:val="00B34E34"/>
    <w:rsid w:val="00B4033B"/>
    <w:rsid w:val="00B44FFA"/>
    <w:rsid w:val="00B4669E"/>
    <w:rsid w:val="00B468AA"/>
    <w:rsid w:val="00B51F91"/>
    <w:rsid w:val="00B5438D"/>
    <w:rsid w:val="00B55D86"/>
    <w:rsid w:val="00B569EE"/>
    <w:rsid w:val="00B60580"/>
    <w:rsid w:val="00B617DE"/>
    <w:rsid w:val="00B65F38"/>
    <w:rsid w:val="00B67AFC"/>
    <w:rsid w:val="00B76E00"/>
    <w:rsid w:val="00B83315"/>
    <w:rsid w:val="00B84F37"/>
    <w:rsid w:val="00B86FC6"/>
    <w:rsid w:val="00B910BF"/>
    <w:rsid w:val="00B934AA"/>
    <w:rsid w:val="00B96DF3"/>
    <w:rsid w:val="00BA1462"/>
    <w:rsid w:val="00BA3842"/>
    <w:rsid w:val="00BA41E8"/>
    <w:rsid w:val="00BA6118"/>
    <w:rsid w:val="00BA64F3"/>
    <w:rsid w:val="00BC4362"/>
    <w:rsid w:val="00BC467E"/>
    <w:rsid w:val="00BD7A57"/>
    <w:rsid w:val="00BE0739"/>
    <w:rsid w:val="00BE16AF"/>
    <w:rsid w:val="00BE53E0"/>
    <w:rsid w:val="00BE7AB5"/>
    <w:rsid w:val="00BF30B1"/>
    <w:rsid w:val="00BF3BD6"/>
    <w:rsid w:val="00BF5833"/>
    <w:rsid w:val="00BF6DB9"/>
    <w:rsid w:val="00C00817"/>
    <w:rsid w:val="00C12965"/>
    <w:rsid w:val="00C13463"/>
    <w:rsid w:val="00C1576D"/>
    <w:rsid w:val="00C15C0E"/>
    <w:rsid w:val="00C15FB7"/>
    <w:rsid w:val="00C16750"/>
    <w:rsid w:val="00C23751"/>
    <w:rsid w:val="00C31C2E"/>
    <w:rsid w:val="00C32081"/>
    <w:rsid w:val="00C32372"/>
    <w:rsid w:val="00C32AD4"/>
    <w:rsid w:val="00C3405D"/>
    <w:rsid w:val="00C35130"/>
    <w:rsid w:val="00C37965"/>
    <w:rsid w:val="00C37D8E"/>
    <w:rsid w:val="00C408EE"/>
    <w:rsid w:val="00C40E8E"/>
    <w:rsid w:val="00C41E28"/>
    <w:rsid w:val="00C46DA5"/>
    <w:rsid w:val="00C47570"/>
    <w:rsid w:val="00C54A4F"/>
    <w:rsid w:val="00C57DE1"/>
    <w:rsid w:val="00C6265D"/>
    <w:rsid w:val="00C6730D"/>
    <w:rsid w:val="00C75815"/>
    <w:rsid w:val="00C76A83"/>
    <w:rsid w:val="00C77D93"/>
    <w:rsid w:val="00C77E3C"/>
    <w:rsid w:val="00C80979"/>
    <w:rsid w:val="00C925AA"/>
    <w:rsid w:val="00C92937"/>
    <w:rsid w:val="00C961E6"/>
    <w:rsid w:val="00CA224E"/>
    <w:rsid w:val="00CA55ED"/>
    <w:rsid w:val="00CB0803"/>
    <w:rsid w:val="00CB26A1"/>
    <w:rsid w:val="00CB2A74"/>
    <w:rsid w:val="00CB560F"/>
    <w:rsid w:val="00CB5869"/>
    <w:rsid w:val="00CB7F1F"/>
    <w:rsid w:val="00CC0873"/>
    <w:rsid w:val="00CC34BC"/>
    <w:rsid w:val="00CC46FC"/>
    <w:rsid w:val="00CC4C5C"/>
    <w:rsid w:val="00CC72A2"/>
    <w:rsid w:val="00CD21D1"/>
    <w:rsid w:val="00CD26EC"/>
    <w:rsid w:val="00CD70CE"/>
    <w:rsid w:val="00CE360D"/>
    <w:rsid w:val="00CE3977"/>
    <w:rsid w:val="00CF01F7"/>
    <w:rsid w:val="00CF0C1D"/>
    <w:rsid w:val="00CF2925"/>
    <w:rsid w:val="00CF4F6C"/>
    <w:rsid w:val="00D013FC"/>
    <w:rsid w:val="00D03FAF"/>
    <w:rsid w:val="00D046A7"/>
    <w:rsid w:val="00D062E2"/>
    <w:rsid w:val="00D07907"/>
    <w:rsid w:val="00D1085A"/>
    <w:rsid w:val="00D10F03"/>
    <w:rsid w:val="00D129C0"/>
    <w:rsid w:val="00D22459"/>
    <w:rsid w:val="00D23647"/>
    <w:rsid w:val="00D25BE7"/>
    <w:rsid w:val="00D32713"/>
    <w:rsid w:val="00D348ED"/>
    <w:rsid w:val="00D3522C"/>
    <w:rsid w:val="00D36A3E"/>
    <w:rsid w:val="00D42D83"/>
    <w:rsid w:val="00D44C72"/>
    <w:rsid w:val="00D46509"/>
    <w:rsid w:val="00D46C60"/>
    <w:rsid w:val="00D500A5"/>
    <w:rsid w:val="00D52295"/>
    <w:rsid w:val="00D53C41"/>
    <w:rsid w:val="00D57C72"/>
    <w:rsid w:val="00D67870"/>
    <w:rsid w:val="00D75A35"/>
    <w:rsid w:val="00D830BC"/>
    <w:rsid w:val="00D849DE"/>
    <w:rsid w:val="00D85388"/>
    <w:rsid w:val="00D9193E"/>
    <w:rsid w:val="00D9403C"/>
    <w:rsid w:val="00D94C9B"/>
    <w:rsid w:val="00DA2028"/>
    <w:rsid w:val="00DA2FE9"/>
    <w:rsid w:val="00DA37FA"/>
    <w:rsid w:val="00DB38DE"/>
    <w:rsid w:val="00DB580D"/>
    <w:rsid w:val="00DB72CF"/>
    <w:rsid w:val="00DC12ED"/>
    <w:rsid w:val="00DC47EF"/>
    <w:rsid w:val="00DC5E20"/>
    <w:rsid w:val="00DD0136"/>
    <w:rsid w:val="00DD131C"/>
    <w:rsid w:val="00DD6C06"/>
    <w:rsid w:val="00DD70EA"/>
    <w:rsid w:val="00DD7E7F"/>
    <w:rsid w:val="00DE0418"/>
    <w:rsid w:val="00DE1B0C"/>
    <w:rsid w:val="00DE6FE5"/>
    <w:rsid w:val="00DF0BF6"/>
    <w:rsid w:val="00E0033F"/>
    <w:rsid w:val="00E00802"/>
    <w:rsid w:val="00E05F1A"/>
    <w:rsid w:val="00E07623"/>
    <w:rsid w:val="00E116EC"/>
    <w:rsid w:val="00E145FC"/>
    <w:rsid w:val="00E14933"/>
    <w:rsid w:val="00E15C55"/>
    <w:rsid w:val="00E1603E"/>
    <w:rsid w:val="00E16289"/>
    <w:rsid w:val="00E162C5"/>
    <w:rsid w:val="00E21534"/>
    <w:rsid w:val="00E21899"/>
    <w:rsid w:val="00E24908"/>
    <w:rsid w:val="00E24E3D"/>
    <w:rsid w:val="00E326B6"/>
    <w:rsid w:val="00E33401"/>
    <w:rsid w:val="00E365B2"/>
    <w:rsid w:val="00E37BE0"/>
    <w:rsid w:val="00E415EB"/>
    <w:rsid w:val="00E42992"/>
    <w:rsid w:val="00E45CE8"/>
    <w:rsid w:val="00E46534"/>
    <w:rsid w:val="00E4723D"/>
    <w:rsid w:val="00E47391"/>
    <w:rsid w:val="00E5122C"/>
    <w:rsid w:val="00E55F79"/>
    <w:rsid w:val="00E60BAC"/>
    <w:rsid w:val="00E64642"/>
    <w:rsid w:val="00E663CC"/>
    <w:rsid w:val="00E7007D"/>
    <w:rsid w:val="00E73277"/>
    <w:rsid w:val="00E74818"/>
    <w:rsid w:val="00E74B9F"/>
    <w:rsid w:val="00E7539E"/>
    <w:rsid w:val="00E753A3"/>
    <w:rsid w:val="00E77F55"/>
    <w:rsid w:val="00E80B34"/>
    <w:rsid w:val="00E8107C"/>
    <w:rsid w:val="00E81ABA"/>
    <w:rsid w:val="00E8373C"/>
    <w:rsid w:val="00E94521"/>
    <w:rsid w:val="00E94BC7"/>
    <w:rsid w:val="00E94CD1"/>
    <w:rsid w:val="00E9521A"/>
    <w:rsid w:val="00E95A3C"/>
    <w:rsid w:val="00EA1BC4"/>
    <w:rsid w:val="00EB2272"/>
    <w:rsid w:val="00EB2B81"/>
    <w:rsid w:val="00EB2BD4"/>
    <w:rsid w:val="00EB6DE5"/>
    <w:rsid w:val="00ED5BCF"/>
    <w:rsid w:val="00EE1611"/>
    <w:rsid w:val="00EE4225"/>
    <w:rsid w:val="00EE491F"/>
    <w:rsid w:val="00EF2004"/>
    <w:rsid w:val="00EF5133"/>
    <w:rsid w:val="00EF7091"/>
    <w:rsid w:val="00F0645F"/>
    <w:rsid w:val="00F1235C"/>
    <w:rsid w:val="00F16016"/>
    <w:rsid w:val="00F23E2C"/>
    <w:rsid w:val="00F26FC3"/>
    <w:rsid w:val="00F27154"/>
    <w:rsid w:val="00F30F74"/>
    <w:rsid w:val="00F3326F"/>
    <w:rsid w:val="00F34228"/>
    <w:rsid w:val="00F34C26"/>
    <w:rsid w:val="00F404F5"/>
    <w:rsid w:val="00F4088C"/>
    <w:rsid w:val="00F466FB"/>
    <w:rsid w:val="00F46DCB"/>
    <w:rsid w:val="00F5012B"/>
    <w:rsid w:val="00F53075"/>
    <w:rsid w:val="00F55009"/>
    <w:rsid w:val="00F564CD"/>
    <w:rsid w:val="00F609C3"/>
    <w:rsid w:val="00F60B28"/>
    <w:rsid w:val="00F6165F"/>
    <w:rsid w:val="00F624A0"/>
    <w:rsid w:val="00F626B1"/>
    <w:rsid w:val="00F67477"/>
    <w:rsid w:val="00F71548"/>
    <w:rsid w:val="00F73177"/>
    <w:rsid w:val="00F7321B"/>
    <w:rsid w:val="00F73BC4"/>
    <w:rsid w:val="00F80E4D"/>
    <w:rsid w:val="00F81AC6"/>
    <w:rsid w:val="00F8637E"/>
    <w:rsid w:val="00F87146"/>
    <w:rsid w:val="00F90A0E"/>
    <w:rsid w:val="00F92124"/>
    <w:rsid w:val="00F955DA"/>
    <w:rsid w:val="00F967E5"/>
    <w:rsid w:val="00FA05A1"/>
    <w:rsid w:val="00FB2673"/>
    <w:rsid w:val="00FB2971"/>
    <w:rsid w:val="00FB4162"/>
    <w:rsid w:val="00FB4B9B"/>
    <w:rsid w:val="00FB7390"/>
    <w:rsid w:val="00FC011B"/>
    <w:rsid w:val="00FD03BF"/>
    <w:rsid w:val="00FD2DFF"/>
    <w:rsid w:val="00FD3F05"/>
    <w:rsid w:val="00FD536B"/>
    <w:rsid w:val="00FD77F5"/>
    <w:rsid w:val="00FE1329"/>
    <w:rsid w:val="00FE21C3"/>
    <w:rsid w:val="00FF1701"/>
    <w:rsid w:val="00FF1AE8"/>
    <w:rsid w:val="00FF1DCA"/>
    <w:rsid w:val="00FF5F31"/>
    <w:rsid w:val="00FF6FDF"/>
    <w:rsid w:val="00FF7A71"/>
    <w:rsid w:val="039A0F8A"/>
    <w:rsid w:val="063B37F6"/>
    <w:rsid w:val="0AAE27FB"/>
    <w:rsid w:val="10E35335"/>
    <w:rsid w:val="17F141D6"/>
    <w:rsid w:val="19C151D7"/>
    <w:rsid w:val="1A756704"/>
    <w:rsid w:val="200051F1"/>
    <w:rsid w:val="213B1715"/>
    <w:rsid w:val="22885D57"/>
    <w:rsid w:val="22B43B71"/>
    <w:rsid w:val="26213B63"/>
    <w:rsid w:val="30354734"/>
    <w:rsid w:val="306E6C84"/>
    <w:rsid w:val="3D051356"/>
    <w:rsid w:val="3DA321AF"/>
    <w:rsid w:val="3E213255"/>
    <w:rsid w:val="3FBD493A"/>
    <w:rsid w:val="47602B25"/>
    <w:rsid w:val="49256E8E"/>
    <w:rsid w:val="4BE368A2"/>
    <w:rsid w:val="54AD5392"/>
    <w:rsid w:val="56572732"/>
    <w:rsid w:val="57843928"/>
    <w:rsid w:val="5908118F"/>
    <w:rsid w:val="59161438"/>
    <w:rsid w:val="60445D80"/>
    <w:rsid w:val="672B3C53"/>
    <w:rsid w:val="6C5D4325"/>
    <w:rsid w:val="6C6A15EA"/>
    <w:rsid w:val="6F281A52"/>
    <w:rsid w:val="7018392A"/>
    <w:rsid w:val="73BD3989"/>
    <w:rsid w:val="74034A8E"/>
    <w:rsid w:val="758A2D1B"/>
    <w:rsid w:val="781B0DED"/>
    <w:rsid w:val="7828302A"/>
    <w:rsid w:val="785F25F9"/>
    <w:rsid w:val="7D3B376A"/>
    <w:rsid w:val="7EA80E3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uppressAutoHyphens/>
      <w:ind w:firstLine="709"/>
      <w:jc w:val="both"/>
    </w:pPr>
    <w:rPr>
      <w:rFonts w:ascii="Times New Roman" w:hAnsi="Times New Roman" w:eastAsia="Times New Roman" w:cs="Times New Roman"/>
      <w:sz w:val="24"/>
      <w:szCs w:val="24"/>
      <w:lang w:val="ru-RU" w:eastAsia="ar-SA" w:bidi="ar-SA"/>
    </w:rPr>
  </w:style>
  <w:style w:type="paragraph" w:styleId="2">
    <w:name w:val="heading 1"/>
    <w:basedOn w:val="1"/>
    <w:next w:val="1"/>
    <w:link w:val="33"/>
    <w:qFormat/>
    <w:uiPriority w:val="9"/>
    <w:pPr>
      <w:keepNext/>
      <w:keepLines/>
      <w:spacing w:before="240"/>
      <w:outlineLvl w:val="0"/>
    </w:pPr>
    <w:rPr>
      <w:rFonts w:asciiTheme="majorHAnsi" w:hAnsiTheme="majorHAnsi" w:eastAsiaTheme="majorEastAsia" w:cstheme="majorBidi"/>
      <w:color w:val="2F5597" w:themeColor="accent1" w:themeShade="BF"/>
      <w:sz w:val="32"/>
      <w:szCs w:val="32"/>
    </w:rPr>
  </w:style>
  <w:style w:type="paragraph" w:styleId="3">
    <w:name w:val="heading 2"/>
    <w:basedOn w:val="1"/>
    <w:next w:val="1"/>
    <w:link w:val="35"/>
    <w:semiHidden/>
    <w:unhideWhenUsed/>
    <w:qFormat/>
    <w:uiPriority w:val="9"/>
    <w:pPr>
      <w:keepNext/>
      <w:keepLines/>
      <w:spacing w:before="40"/>
      <w:outlineLvl w:val="1"/>
    </w:pPr>
    <w:rPr>
      <w:rFonts w:asciiTheme="majorHAnsi" w:hAnsiTheme="majorHAnsi" w:eastAsiaTheme="majorEastAsia" w:cstheme="majorBidi"/>
      <w:color w:val="2F5597" w:themeColor="accent1" w:themeShade="BF"/>
      <w:sz w:val="26"/>
      <w:szCs w:val="26"/>
    </w:rPr>
  </w:style>
  <w:style w:type="paragraph" w:styleId="4">
    <w:name w:val="heading 3"/>
    <w:basedOn w:val="1"/>
    <w:next w:val="1"/>
    <w:link w:val="36"/>
    <w:semiHidden/>
    <w:unhideWhenUsed/>
    <w:qFormat/>
    <w:uiPriority w:val="9"/>
    <w:pPr>
      <w:keepNext/>
      <w:keepLines/>
      <w:spacing w:before="40"/>
      <w:outlineLvl w:val="2"/>
    </w:pPr>
    <w:rPr>
      <w:rFonts w:asciiTheme="majorHAnsi" w:hAnsiTheme="majorHAnsi" w:eastAsiaTheme="majorEastAsia" w:cstheme="majorBidi"/>
      <w:color w:val="203864" w:themeColor="accent1" w:themeShade="80"/>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FollowedHyperlink"/>
    <w:basedOn w:val="5"/>
    <w:semiHidden/>
    <w:unhideWhenUsed/>
    <w:qFormat/>
    <w:uiPriority w:val="99"/>
    <w:rPr>
      <w:color w:val="954F72" w:themeColor="followedHyperlink"/>
      <w:u w:val="single"/>
      <w14:textFill>
        <w14:solidFill>
          <w14:schemeClr w14:val="folHlink"/>
        </w14:solidFill>
      </w14:textFill>
    </w:rPr>
  </w:style>
  <w:style w:type="character" w:styleId="8">
    <w:name w:val="footnote reference"/>
    <w:qFormat/>
    <w:uiPriority w:val="0"/>
    <w:rPr>
      <w:vertAlign w:val="superscript"/>
    </w:rPr>
  </w:style>
  <w:style w:type="character" w:styleId="9">
    <w:name w:val="annotation reference"/>
    <w:basedOn w:val="5"/>
    <w:semiHidden/>
    <w:unhideWhenUsed/>
    <w:qFormat/>
    <w:uiPriority w:val="99"/>
    <w:rPr>
      <w:sz w:val="16"/>
      <w:szCs w:val="16"/>
    </w:rPr>
  </w:style>
  <w:style w:type="character" w:styleId="10">
    <w:name w:val="Emphasis"/>
    <w:basedOn w:val="5"/>
    <w:qFormat/>
    <w:uiPriority w:val="20"/>
    <w:rPr>
      <w:i/>
      <w:iCs/>
    </w:rPr>
  </w:style>
  <w:style w:type="character" w:styleId="11">
    <w:name w:val="Hyperlink"/>
    <w:qFormat/>
    <w:uiPriority w:val="0"/>
    <w:rPr>
      <w:color w:val="000080"/>
      <w:u w:val="single"/>
    </w:rPr>
  </w:style>
  <w:style w:type="paragraph" w:styleId="12">
    <w:name w:val="Balloon Text"/>
    <w:basedOn w:val="1"/>
    <w:link w:val="24"/>
    <w:semiHidden/>
    <w:unhideWhenUsed/>
    <w:qFormat/>
    <w:uiPriority w:val="99"/>
    <w:rPr>
      <w:rFonts w:ascii="Segoe UI" w:hAnsi="Segoe UI" w:cs="Segoe UI"/>
      <w:sz w:val="18"/>
      <w:szCs w:val="18"/>
    </w:rPr>
  </w:style>
  <w:style w:type="paragraph" w:styleId="13">
    <w:name w:val="annotation text"/>
    <w:basedOn w:val="1"/>
    <w:link w:val="25"/>
    <w:unhideWhenUsed/>
    <w:qFormat/>
    <w:uiPriority w:val="99"/>
    <w:rPr>
      <w:sz w:val="20"/>
      <w:szCs w:val="20"/>
    </w:rPr>
  </w:style>
  <w:style w:type="paragraph" w:styleId="14">
    <w:name w:val="annotation subject"/>
    <w:basedOn w:val="13"/>
    <w:next w:val="13"/>
    <w:link w:val="26"/>
    <w:semiHidden/>
    <w:unhideWhenUsed/>
    <w:qFormat/>
    <w:uiPriority w:val="99"/>
    <w:rPr>
      <w:b/>
      <w:bCs/>
    </w:rPr>
  </w:style>
  <w:style w:type="paragraph" w:styleId="15">
    <w:name w:val="footnote text"/>
    <w:basedOn w:val="1"/>
    <w:link w:val="27"/>
    <w:qFormat/>
    <w:uiPriority w:val="99"/>
    <w:rPr>
      <w:sz w:val="20"/>
      <w:szCs w:val="20"/>
    </w:rPr>
  </w:style>
  <w:style w:type="paragraph" w:styleId="16">
    <w:name w:val="header"/>
    <w:basedOn w:val="1"/>
    <w:link w:val="28"/>
    <w:unhideWhenUsed/>
    <w:qFormat/>
    <w:uiPriority w:val="99"/>
    <w:pPr>
      <w:tabs>
        <w:tab w:val="center" w:pos="4677"/>
        <w:tab w:val="right" w:pos="9355"/>
      </w:tabs>
    </w:pPr>
  </w:style>
  <w:style w:type="paragraph" w:styleId="17">
    <w:name w:val="footer"/>
    <w:basedOn w:val="1"/>
    <w:link w:val="29"/>
    <w:unhideWhenUsed/>
    <w:qFormat/>
    <w:uiPriority w:val="99"/>
    <w:pPr>
      <w:tabs>
        <w:tab w:val="center" w:pos="4677"/>
        <w:tab w:val="right" w:pos="9355"/>
      </w:tabs>
    </w:pPr>
  </w:style>
  <w:style w:type="table" w:styleId="18">
    <w:name w:val="Table Grid"/>
    <w:basedOn w:val="6"/>
    <w:qFormat/>
    <w:uiPriority w:val="39"/>
    <w:rPr>
      <w:rFonts w:ascii="Times New Roman" w:hAnsi="Times New Roman" w:eastAsia="Times New Roman" w:cs="Times New Roman"/>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
    <w:name w:val="Заголовок таблицы1"/>
    <w:basedOn w:val="1"/>
    <w:link w:val="21"/>
    <w:qFormat/>
    <w:uiPriority w:val="0"/>
    <w:rPr>
      <w:b/>
    </w:rPr>
  </w:style>
  <w:style w:type="paragraph" w:customStyle="1" w:styleId="20">
    <w:name w:val="Тест таблицы"/>
    <w:basedOn w:val="1"/>
    <w:link w:val="22"/>
    <w:qFormat/>
    <w:uiPriority w:val="0"/>
    <w:pPr>
      <w:ind w:firstLine="0"/>
      <w:jc w:val="left"/>
    </w:pPr>
  </w:style>
  <w:style w:type="character" w:customStyle="1" w:styleId="21">
    <w:name w:val="Заголовок таблицы1 Знак"/>
    <w:basedOn w:val="5"/>
    <w:link w:val="19"/>
    <w:qFormat/>
    <w:uiPriority w:val="0"/>
    <w:rPr>
      <w:rFonts w:ascii="Times New Roman" w:hAnsi="Times New Roman" w:eastAsia="Times New Roman" w:cs="Times New Roman"/>
      <w:b/>
      <w:sz w:val="24"/>
      <w:szCs w:val="24"/>
      <w:lang w:eastAsia="ar-SA"/>
    </w:rPr>
  </w:style>
  <w:style w:type="character" w:customStyle="1" w:styleId="22">
    <w:name w:val="Тест таблицы Знак"/>
    <w:basedOn w:val="5"/>
    <w:link w:val="20"/>
    <w:qFormat/>
    <w:uiPriority w:val="0"/>
    <w:rPr>
      <w:rFonts w:ascii="Times New Roman" w:hAnsi="Times New Roman" w:eastAsia="Times New Roman" w:cs="Times New Roman"/>
      <w:sz w:val="24"/>
      <w:szCs w:val="24"/>
      <w:lang w:eastAsia="ar-SA"/>
    </w:rPr>
  </w:style>
  <w:style w:type="paragraph" w:customStyle="1" w:styleId="23">
    <w:name w:val="Рецензия1"/>
    <w:hidden/>
    <w:semiHidden/>
    <w:qFormat/>
    <w:uiPriority w:val="99"/>
    <w:rPr>
      <w:rFonts w:ascii="Times New Roman" w:hAnsi="Times New Roman" w:eastAsia="Times New Roman" w:cs="Times New Roman"/>
      <w:sz w:val="24"/>
      <w:szCs w:val="24"/>
      <w:lang w:val="ru-RU" w:eastAsia="ar-SA" w:bidi="ar-SA"/>
    </w:rPr>
  </w:style>
  <w:style w:type="character" w:customStyle="1" w:styleId="24">
    <w:name w:val="Текст выноски Знак"/>
    <w:basedOn w:val="5"/>
    <w:link w:val="12"/>
    <w:semiHidden/>
    <w:qFormat/>
    <w:uiPriority w:val="99"/>
    <w:rPr>
      <w:rFonts w:ascii="Segoe UI" w:hAnsi="Segoe UI" w:eastAsia="Times New Roman" w:cs="Segoe UI"/>
      <w:sz w:val="18"/>
      <w:szCs w:val="18"/>
      <w:lang w:eastAsia="ar-SA"/>
    </w:rPr>
  </w:style>
  <w:style w:type="character" w:customStyle="1" w:styleId="25">
    <w:name w:val="Текст примечания Знак"/>
    <w:basedOn w:val="5"/>
    <w:link w:val="13"/>
    <w:qFormat/>
    <w:uiPriority w:val="99"/>
    <w:rPr>
      <w:rFonts w:ascii="Times New Roman" w:hAnsi="Times New Roman" w:eastAsia="Times New Roman" w:cs="Times New Roman"/>
      <w:sz w:val="20"/>
      <w:szCs w:val="20"/>
      <w:lang w:eastAsia="ar-SA"/>
    </w:rPr>
  </w:style>
  <w:style w:type="character" w:customStyle="1" w:styleId="26">
    <w:name w:val="Тема примечания Знак"/>
    <w:basedOn w:val="25"/>
    <w:link w:val="14"/>
    <w:semiHidden/>
    <w:qFormat/>
    <w:uiPriority w:val="99"/>
    <w:rPr>
      <w:rFonts w:ascii="Times New Roman" w:hAnsi="Times New Roman" w:eastAsia="Times New Roman" w:cs="Times New Roman"/>
      <w:b/>
      <w:bCs/>
      <w:sz w:val="20"/>
      <w:szCs w:val="20"/>
      <w:lang w:eastAsia="ar-SA"/>
    </w:rPr>
  </w:style>
  <w:style w:type="character" w:customStyle="1" w:styleId="27">
    <w:name w:val="Текст сноски Знак"/>
    <w:basedOn w:val="5"/>
    <w:link w:val="15"/>
    <w:qFormat/>
    <w:uiPriority w:val="99"/>
    <w:rPr>
      <w:rFonts w:ascii="Times New Roman" w:hAnsi="Times New Roman" w:eastAsia="Times New Roman" w:cs="Times New Roman"/>
      <w:sz w:val="20"/>
      <w:szCs w:val="20"/>
      <w:lang w:eastAsia="ar-SA"/>
    </w:rPr>
  </w:style>
  <w:style w:type="character" w:customStyle="1" w:styleId="28">
    <w:name w:val="Верхний колонтитул Знак"/>
    <w:basedOn w:val="5"/>
    <w:link w:val="16"/>
    <w:qFormat/>
    <w:uiPriority w:val="99"/>
    <w:rPr>
      <w:rFonts w:ascii="Times New Roman" w:hAnsi="Times New Roman" w:eastAsia="Times New Roman" w:cs="Times New Roman"/>
      <w:sz w:val="24"/>
      <w:szCs w:val="24"/>
      <w:lang w:eastAsia="ar-SA"/>
    </w:rPr>
  </w:style>
  <w:style w:type="character" w:customStyle="1" w:styleId="29">
    <w:name w:val="Нижний колонтитул Знак"/>
    <w:basedOn w:val="5"/>
    <w:link w:val="17"/>
    <w:qFormat/>
    <w:uiPriority w:val="99"/>
    <w:rPr>
      <w:rFonts w:ascii="Times New Roman" w:hAnsi="Times New Roman" w:eastAsia="Times New Roman" w:cs="Times New Roman"/>
      <w:sz w:val="24"/>
      <w:szCs w:val="24"/>
      <w:lang w:eastAsia="ar-SA"/>
    </w:rPr>
  </w:style>
  <w:style w:type="paragraph" w:styleId="30">
    <w:name w:val="List Paragraph"/>
    <w:basedOn w:val="1"/>
    <w:qFormat/>
    <w:uiPriority w:val="34"/>
    <w:pPr>
      <w:ind w:left="720"/>
      <w:contextualSpacing/>
    </w:pPr>
  </w:style>
  <w:style w:type="paragraph" w:customStyle="1" w:styleId="31">
    <w:name w:val="Раздел контракта"/>
    <w:basedOn w:val="2"/>
    <w:next w:val="1"/>
    <w:qFormat/>
    <w:uiPriority w:val="0"/>
    <w:pPr>
      <w:keepNext w:val="0"/>
      <w:keepLines w:val="0"/>
      <w:numPr>
        <w:ilvl w:val="0"/>
        <w:numId w:val="1"/>
      </w:numPr>
      <w:spacing w:before="120" w:after="120"/>
      <w:jc w:val="center"/>
    </w:pPr>
    <w:rPr>
      <w:rFonts w:ascii="Times New Roman" w:hAnsi="Times New Roman"/>
      <w:color w:val="auto"/>
      <w:sz w:val="24"/>
      <w:lang w:eastAsia="en-US"/>
    </w:rPr>
  </w:style>
  <w:style w:type="paragraph" w:customStyle="1" w:styleId="32">
    <w:name w:val="Пункт контракта"/>
    <w:basedOn w:val="3"/>
    <w:qFormat/>
    <w:uiPriority w:val="0"/>
    <w:pPr>
      <w:keepNext w:val="0"/>
      <w:keepLines w:val="0"/>
      <w:numPr>
        <w:ilvl w:val="1"/>
        <w:numId w:val="1"/>
      </w:numPr>
      <w:spacing w:before="0"/>
      <w:ind w:left="0"/>
    </w:pPr>
    <w:rPr>
      <w:rFonts w:ascii="Times New Roman" w:hAnsi="Times New Roman"/>
      <w:color w:val="auto"/>
      <w:sz w:val="24"/>
    </w:rPr>
  </w:style>
  <w:style w:type="character" w:customStyle="1" w:styleId="33">
    <w:name w:val="Заголовок 1 Знак"/>
    <w:basedOn w:val="5"/>
    <w:link w:val="2"/>
    <w:qFormat/>
    <w:uiPriority w:val="9"/>
    <w:rPr>
      <w:rFonts w:asciiTheme="majorHAnsi" w:hAnsiTheme="majorHAnsi" w:eastAsiaTheme="majorEastAsia" w:cstheme="majorBidi"/>
      <w:color w:val="2F5597" w:themeColor="accent1" w:themeShade="BF"/>
      <w:sz w:val="32"/>
      <w:szCs w:val="32"/>
      <w:lang w:eastAsia="ar-SA"/>
    </w:rPr>
  </w:style>
  <w:style w:type="paragraph" w:customStyle="1" w:styleId="34">
    <w:name w:val="Подпункт контракта"/>
    <w:basedOn w:val="4"/>
    <w:qFormat/>
    <w:uiPriority w:val="0"/>
    <w:pPr>
      <w:keepNext w:val="0"/>
      <w:keepLines w:val="0"/>
      <w:numPr>
        <w:ilvl w:val="2"/>
        <w:numId w:val="1"/>
      </w:numPr>
      <w:spacing w:before="0"/>
    </w:pPr>
    <w:rPr>
      <w:rFonts w:ascii="Times New Roman" w:hAnsi="Times New Roman"/>
      <w:color w:val="auto"/>
      <w:lang w:eastAsia="en-US"/>
    </w:rPr>
  </w:style>
  <w:style w:type="character" w:customStyle="1" w:styleId="35">
    <w:name w:val="Заголовок 2 Знак"/>
    <w:basedOn w:val="5"/>
    <w:link w:val="3"/>
    <w:semiHidden/>
    <w:qFormat/>
    <w:uiPriority w:val="9"/>
    <w:rPr>
      <w:rFonts w:asciiTheme="majorHAnsi" w:hAnsiTheme="majorHAnsi" w:eastAsiaTheme="majorEastAsia" w:cstheme="majorBidi"/>
      <w:color w:val="2F5597" w:themeColor="accent1" w:themeShade="BF"/>
      <w:sz w:val="26"/>
      <w:szCs w:val="26"/>
      <w:lang w:eastAsia="ar-SA"/>
    </w:rPr>
  </w:style>
  <w:style w:type="character" w:customStyle="1" w:styleId="36">
    <w:name w:val="Заголовок 3 Знак"/>
    <w:basedOn w:val="5"/>
    <w:link w:val="4"/>
    <w:semiHidden/>
    <w:qFormat/>
    <w:uiPriority w:val="9"/>
    <w:rPr>
      <w:rFonts w:asciiTheme="majorHAnsi" w:hAnsiTheme="majorHAnsi" w:eastAsiaTheme="majorEastAsia" w:cstheme="majorBidi"/>
      <w:color w:val="203864" w:themeColor="accent1" w:themeShade="80"/>
      <w:sz w:val="24"/>
      <w:szCs w:val="24"/>
      <w:lang w:eastAsia="ar-SA"/>
    </w:rPr>
  </w:style>
  <w:style w:type="character" w:customStyle="1" w:styleId="37">
    <w:name w:val="y2iqfc"/>
    <w:basedOn w:val="5"/>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3100C-B4C9-49BC-9ED9-945C11405C43}">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5</Pages>
  <Words>656</Words>
  <Characters>6744</Characters>
  <Lines>192</Lines>
  <Paragraphs>97</Paragraphs>
  <TotalTime>28</TotalTime>
  <ScaleCrop>false</ScaleCrop>
  <LinksUpToDate>false</LinksUpToDate>
  <CharactersWithSpaces>7202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2026-04-17T13:12:00Z</dcterms:created>
  <dc:creator>slnk slnk</dc:creator>
  <cp:lastModifiedBy>KudinkinaDV</cp:lastModifiedBy>
  <cp:lastPrinted>2020-08-06T06:42:00Z</cp:lastPrinted>
  <dcterms:modified xsi:type="dcterms:W3CDTF">2026-09-04T14:21:23Z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E4582FF1A7DF45F488493D137BA919EE_12</vt:lpwstr>
  </property>
  <property fmtid="{D5CDD505-2E9C-101B-9397-08002B2CF9AE}" pid="4" name="KSOTemplateDocerSaveRecord">
    <vt:lpwstr>eyJoZGlkIjoiNTRlODAzNzRjNmY3MDU0YjcwZmM0MDZmOTExMjY5YTAiLCJ1c2VySWQiOiI4NDIzODMyMjg1MDAifQ==</vt:lpwstr>
  </property>
</Properties>
</file>