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90A23">
      <w:pPr>
        <w:jc w:val="center"/>
        <w:rPr>
          <w:b/>
          <w:lang w:val="en-US" w:eastAsia="en-US"/>
        </w:rPr>
      </w:pPr>
      <w:r>
        <w:rPr>
          <w:b/>
          <w:lang w:val="en-US" w:eastAsia="en-US"/>
        </w:rPr>
        <w:t xml:space="preserve">Проект контракта № ________________</w:t>
      </w:r>
    </w:p>
    <w:p w14:paraId="41D3261A">
      <w:pPr>
        <w:jc w:val="center"/>
        <w:rPr>
          <w:lang w:val="en-US"/>
        </w:rPr>
      </w:pPr>
    </w:p>
    <w:p w14:paraId="6A47C9EB">
      <w:pPr>
        <w:jc w:val="center"/>
        <w:rPr>
          <w:lang w:val="en-US"/>
        </w:rPr>
      </w:pPr>
      <w:r>
        <w:rPr>
          <w:lang w:val="en-US"/>
        </w:rPr>
        <w:t xml:space="preserve">Установка системы видеонаблюдения с функцией видеоаналитики и предоставлением доступа в облачную платформу видеонаблюдения, интегрированную с Цифровой платформой учёта спортивных достижений Московской области</w:t>
      </w:r>
      <w:r>
        <w:rPr>
          <w:lang w:val="en-AU"/>
        </w:rPr>
        <w:t/>
      </w:r>
      <w:r>
        <w:rPr>
          <w:lang w:val="en-US"/>
        </w:rPr>
        <w:t xml:space="preserve"/>
      </w:r>
    </w:p>
    <w:p w14:paraId="0D507821">
      <w:pPr>
        <w:jc w:val="center"/>
        <w:rPr>
          <w:lang w:val="en-US"/>
        </w:rPr>
      </w:pPr>
    </w:p>
    <w:p w14:paraId="5FF64CE8">
      <w:pPr>
        <w:jc w:val="center"/>
        <w:rPr>
          <w:lang w:eastAsia="en-US"/>
        </w:rPr>
      </w:pPr>
      <w:r>
        <w:t xml:space="preserve">(идентификационный код закупки – ИКЗ: 263502101553650210100100190010000244)</w:t>
      </w:r>
    </w:p>
    <w:p w14:paraId="690F84FC">
      <w:pPr>
        <w:rPr>
          <w:lang w:eastAsia="en-US"/>
        </w:rPr>
      </w:pPr>
    </w:p>
    <w:p w14:paraId="1B4E425D">
      <w:pPr>
        <w:jc w:val="right"/>
        <w:rPr>
          <w:lang w:eastAsia="en-US"/>
        </w:rPr>
      </w:pPr>
      <w:r>
        <w:rPr>
          <w:lang w:eastAsia="en-US"/>
        </w:rPr>
        <w:tab/>
      </w:r>
      <w:r>
        <w:t xml:space="preserve">«___» _____________ 20___ год</w:t>
      </w:r>
      <w:r>
        <w:rPr>
          <w:lang w:val="en-AU"/>
        </w:rPr>
        <w:t/>
      </w:r>
      <w:r>
        <w:t xml:space="preserve"/>
      </w:r>
    </w:p>
    <w:p w14:paraId="2395B456">
      <w:pPr>
        <w:rPr>
          <w:lang w:eastAsia="en-US"/>
        </w:rPr>
      </w:pPr>
    </w:p>
    <w:p w14:paraId="644A1EAD">
      <w:pPr>
        <w:rPr>
          <w:lang w:eastAsia="en-US"/>
        </w:rPr>
      </w:pPr>
      <w:r>
        <w:rPr>
          <w:lang w:eastAsia="en-US"/>
        </w:rPr>
        <w:t xml:space="preserve">МУНИЦИПАЛЬНОЕ БЮДЖЕТНОЕ УЧРЕЖДЕНИЕ "ФИЗКУЛЬТУРНО-СПОРТИВНЫЙ КОМПЛЕКС "ЗАРЕЧЬЕ"</w:t>
      </w:r>
      <w:r>
        <w:rPr>
          <w:lang w:val="en-US"/>
        </w:rPr>
        <w:t/>
      </w:r>
      <w:r>
        <w:rPr>
          <w:lang w:eastAsia="en-US"/>
        </w:rPr>
        <w:t xml:space="preserve">, именуемое(ая,ый) в дальнейшем «Заказчик</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rPr>
          <w:lang w:eastAsia="en-US"/>
        </w:rPr>
        <w:t xml:space="preserve">», </w:t>
      </w:r>
      <w:r>
        <w:t xml:space="preserve">в лице Директора</w:t>
      </w:r>
      <w:r>
        <w:rPr>
          <w:lang w:val="en-US"/>
        </w:rPr>
        <w:t/>
      </w:r>
      <w:r>
        <w:t/>
      </w:r>
      <w:r>
        <w:rPr>
          <w:lang w:val="en-US"/>
        </w:rPr>
        <w:t/>
      </w:r>
      <w:r>
        <w:t/>
      </w:r>
      <w:r>
        <w:rPr>
          <w:lang w:val="en-US"/>
        </w:rPr>
        <w:t/>
      </w:r>
      <w:r>
        <w:t xml:space="preserve"> Пайгина Рената Мансуровича</w:t>
      </w:r>
      <w:r>
        <w:rPr>
          <w:lang w:val="en-US"/>
        </w:rPr>
        <w:t/>
      </w:r>
      <w:r>
        <w:t/>
      </w:r>
      <w:r>
        <w:rPr>
          <w:lang w:val="en-US"/>
        </w:rPr>
        <w:t/>
      </w:r>
      <w:r>
        <w:t/>
      </w:r>
      <w:r>
        <w:rPr>
          <w:lang w:val="en-US"/>
        </w:rPr>
        <w:t/>
      </w:r>
      <w:r>
        <w:t xml:space="preserve">, действующего на основании Устава</w:t>
      </w:r>
      <w:r>
        <w:rPr>
          <w:lang w:val="en-US"/>
        </w:rPr>
        <w:t/>
      </w:r>
      <w:r>
        <w:t/>
      </w:r>
      <w:r>
        <w:rPr>
          <w:lang w:val="en-US"/>
        </w:rPr>
        <w:t/>
      </w:r>
      <w:r>
        <w:t/>
      </w:r>
      <w:r>
        <w:rPr>
          <w:lang w:val="en-US"/>
        </w:rPr>
        <w:t/>
      </w:r>
      <w:r>
        <w:t xml:space="preserve">, с одной стороны, и </w:t>
      </w:r>
      <w:r>
        <w:rPr>
          <w:rStyle w:val="11"/>
          <w:color w:val="auto"/>
          <w:u w:val="none"/>
          <w:lang w:eastAsia="en-US"/>
        </w:rPr>
        <w:t xml:space="preserve">________________</w:t>
      </w:r>
      <w:r>
        <w:rPr>
          <w:rStyle w:val="11"/>
          <w:color w:val="auto"/>
          <w:u w:val="none"/>
          <w:lang w:val="en-US" w:eastAsia="en-US"/>
        </w:rPr>
        <w:t/>
      </w:r>
      <w:r>
        <w:rPr>
          <w:rStyle w:val="11"/>
          <w:color w:val="auto"/>
          <w:u w:val="none"/>
          <w:lang w:eastAsia="en-US"/>
        </w:rPr>
        <w:t xml:space="preserve">, </w:t>
      </w:r>
      <w:r>
        <w:t xml:space="preserve">именуемое(ая,ый) в дальнейшем «Исполнитель</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t xml:space="preserve">», в лице ________________</w:t>
      </w:r>
      <w:r>
        <w:rPr>
          <w:lang w:val="en-US"/>
        </w:rPr>
        <w:t/>
      </w:r>
      <w:r>
        <w:t/>
      </w:r>
      <w:r>
        <w:rPr>
          <w:lang w:val="en-US"/>
        </w:rPr>
        <w:t/>
      </w:r>
      <w:r>
        <w:t/>
      </w:r>
      <w:r>
        <w:rPr>
          <w:lang w:val="en-US"/>
        </w:rPr>
        <w:t/>
      </w:r>
      <w:r>
        <w:t xml:space="preserve"> 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 xml:space="preserve"/>
      </w:r>
      <w:r>
        <w:rPr>
          <w:lang w:val="en-US"/>
        </w:rPr>
        <w:t/>
      </w:r>
      <w:r>
        <w:t xml:space="preserve"/>
      </w:r>
      <w:r>
        <w:rPr>
          <w:lang w:val="en-US"/>
        </w:rPr>
        <w:t/>
      </w:r>
      <w:r>
        <w:t xml:space="preserve">контракт</w:t>
      </w:r>
      <w:r>
        <w:rPr>
          <w:lang w:val="en-US"/>
        </w:rPr>
        <w:t/>
      </w:r>
      <w:r>
        <w:t xml:space="preserve"/>
      </w:r>
      <w:r>
        <w:rPr>
          <w:lang w:eastAsia="en-US"/>
        </w:rPr>
        <w:t xml:space="preserve"> (далее – Контракт) о нижеследующем.</w:t>
      </w:r>
    </w:p>
    <w:p w14:paraId="6BE0E46D">
      <w:pPr>
        <w:pStyle w:val="31"/>
        <w:ind w:firstLine="709"/>
      </w:pPr>
      <w:r>
        <w:t>Предмет Контракта</w:t>
      </w:r>
    </w:p>
    <w:p>
      <w:r>
        <w:t>1.1. Предмет Контракта - Установка системы видеонаблюдения с функцией видеоаналитики и предоставлением доступа в облачную платформу видеонаблюдения, интегрированную с Цифровой платформой учёта спортивных достижений Московской области.</w:t>
      </w:r>
    </w:p>
    <w:p>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14:paraId="621AE7B6">
      <w:pPr>
        <w:pStyle w:val="31"/>
        <w:ind w:firstLine="709"/>
      </w:pPr>
      <w:r>
        <w:t xml:space="preserve">Цена Контракта</w:t>
      </w:r>
      <w:r>
        <w:rPr>
          <w:lang w:val="en-US"/>
        </w:rPr>
        <w:t/>
      </w:r>
      <w:r>
        <w:t xml:space="preserve">, порядок и сроки оплаты услуг</w:t>
      </w:r>
      <w:r>
        <w:rPr>
          <w:lang w:val="en-AU"/>
        </w:rPr>
        <w:t/>
      </w:r>
      <w:r>
        <w:t/>
      </w:r>
      <w:r>
        <w:rPr>
          <w:lang w:val="en-AU"/>
        </w:rPr>
        <w:t/>
      </w:r>
      <w:r>
        <w:t/>
      </w:r>
      <w:r>
        <w:rPr>
          <w:lang w:val="en-AU"/>
        </w:rPr>
        <w:t/>
      </w:r>
      <w:r>
        <w:t xml:space="preserve"/>
      </w:r>
      <w:r>
        <w:rPr>
          <w:lang w:val="en-AU"/>
        </w:rPr>
        <w:t/>
      </w:r>
      <w:r>
        <w:t/>
      </w:r>
      <w:r>
        <w:rPr>
          <w:lang w:val="en-AU"/>
        </w:rPr>
        <w:t/>
      </w:r>
      <w:r>
        <w:t/>
      </w:r>
      <w:r>
        <w:rPr>
          <w:lang w:val="en-AU"/>
        </w:rPr>
        <w:t/>
      </w:r>
      <w:r>
        <w:t/>
      </w:r>
      <w:r>
        <w:rPr>
          <w:lang w:val="en-AU"/>
        </w:rPr>
        <w:t/>
      </w:r>
      <w:r>
        <w:t xml:space="preserve"/>
      </w:r>
      <w:r>
        <w:rPr>
          <w:lang w:val="en-AU"/>
        </w:rPr>
        <w:t/>
      </w:r>
      <w:r>
        <w:t/>
      </w:r>
      <w:r>
        <w:rPr>
          <w:lang w:val="en-US"/>
        </w:rPr>
        <w:t/>
      </w:r>
      <w:r>
        <w:rPr>
          <w:lang w:val="en-AU"/>
        </w:rPr>
        <w:t/>
      </w:r>
      <w:r>
        <w:t/>
      </w:r>
      <w:r>
        <w:rPr>
          <w:lang w:val="en-AU"/>
        </w:rPr>
        <w:t/>
      </w:r>
      <w:r>
        <w:t/>
      </w:r>
    </w:p>
    <w:p>
      <w:r>
        <w:t>2.1. Цена Контракта составляет ________________, ________________  &lt;1&gt; (далее – Цена Контракта). </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
        <w:t/>
      </w:r>
    </w:p>
    <w:p>
      <w:r>
        <w:t>2.2. Цена Контракта является твердой и определена на весь срок исполнения Контракта.</w:t>
      </w:r>
    </w:p>
    <w:p>
      <w:r>
        <w:t>2.3. Цена Контракта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на оплату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
        <w:t>2.5. Порядок и сроки оплаты оказанных услуг установлены в разделе «Порядок и сроки оплаты» приложения 2 к Контракту.</w:t>
      </w:r>
    </w:p>
    <w:p>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14:paraId="2E11847A">
      <w:pPr>
        <w:rPr>
          <w:lang w:eastAsia="en-US"/>
        </w:rPr>
      </w:pPr>
      <w:r>
        <w:rPr>
          <w:lang w:eastAsia="en-US"/>
        </w:rPr>
        <w:t xml:space="preserve"/>
      </w:r>
    </w:p>
    <w:p w14:paraId="66A78825">
      <w:pPr>
        <w:rPr>
          <w:lang w:eastAsia="en-US"/>
        </w:rPr>
      </w:pPr>
      <w:r>
        <w:rPr>
          <w:lang w:eastAsia="en-US"/>
        </w:rPr>
        <w:t xml:space="preserve">2.7. Обязательства Заказчика по оплате </w:t>
      </w:r>
      <w:r>
        <w:rPr>
          <w:lang w:val="ru-RU" w:eastAsia="en-US"/>
        </w:rPr>
        <w:t>оказанных</w:t>
      </w:r>
      <w:r>
        <w:rPr>
          <w:rFonts w:hint="default"/>
          <w:lang w:val="ru-RU" w:eastAsia="en-US"/>
        </w:rPr>
        <w:t xml:space="preserve"> услуг</w:t>
      </w:r>
      <w:bookmarkStart w:id="8" w:name="_GoBack"/>
      <w:bookmarkEnd w:id="8"/>
      <w:r>
        <w:rPr>
          <w:lang w:eastAsia="en-US"/>
        </w:rPr>
        <w:t xml:space="preserve"> считаются исполненными с момента списания денежных средств со счетов Заказчика. </w:t>
      </w:r>
    </w:p>
    <w:p w14:paraId="485EDD80">
      <w:pPr>
        <w:rPr>
          <w:lang w:eastAsia="en-US"/>
        </w:rPr>
      </w:pPr>
      <w:r>
        <w:rPr>
          <w:lang w:eastAsia="en-US"/>
        </w:rPr>
        <w:t xml:space="preserve">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14:paraId="3BE15EE5">
      <w:pPr>
        <w:rPr>
          <w:lang w:eastAsia="en-US"/>
        </w:rPr>
      </w:pPr>
      <w:r>
        <w:t>2.8. Источники финансирования</w:t>
      </w:r>
      <w:r>
        <w:rPr>
          <w:lang w:eastAsia="en-US"/>
        </w:rPr>
        <w:t>:</w:t>
      </w:r>
    </w:p>
    <w:tbl>
      <w:tblPr>
        <w:tblStyle w:val="18"/>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0"/>
        <w:gridCol w:w="2698"/>
        <w:gridCol w:w="1994"/>
        <w:gridCol w:w="1545"/>
        <w:gridCol w:w="849"/>
      </w:tblGrid>
      <w:tr w14:paraId="6342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269A9D1">
            <w:pPr>
              <w:ind w:firstLine="0"/>
              <w:jc w:val="center"/>
              <w:rPr>
                <w:lang w:val="en-US" w:eastAsia="en-US"/>
              </w:rPr>
            </w:pPr>
            <w:r>
              <w:rPr>
                <w:lang w:val="en-US" w:eastAsia="en-US"/>
              </w:rPr>
              <w:t>Бюджет \ Внебюджетные средства</w:t>
            </w:r>
          </w:p>
        </w:tc>
        <w:tc>
          <w:tcPr>
            <w:tcW w:w="1560" w:type="dxa"/>
            <w:vAlign w:val="center"/>
          </w:tcPr>
          <w:p w14:paraId="66CF9941">
            <w:pPr>
              <w:ind w:firstLine="0"/>
              <w:jc w:val="center"/>
              <w:rPr>
                <w:lang w:val="en-US" w:eastAsia="en-US"/>
              </w:rPr>
            </w:pPr>
            <w:r>
              <w:rPr>
                <w:lang w:val="en-US" w:eastAsia="en-US"/>
              </w:rPr>
              <w:t>Тип средств</w:t>
            </w:r>
          </w:p>
        </w:tc>
        <w:tc>
          <w:tcPr>
            <w:tcW w:w="2698" w:type="dxa"/>
            <w:vAlign w:val="center"/>
          </w:tcPr>
          <w:p w14:paraId="05849516">
            <w:pPr>
              <w:ind w:firstLine="0"/>
              <w:jc w:val="center"/>
              <w:rPr>
                <w:lang w:val="en-US" w:eastAsia="en-US"/>
              </w:rPr>
            </w:pPr>
            <w:r>
              <w:rPr>
                <w:lang w:val="en-US" w:eastAsia="en-US"/>
              </w:rPr>
              <w:t>Код бюджетной классификации расходов</w:t>
            </w:r>
          </w:p>
        </w:tc>
        <w:tc>
          <w:tcPr>
            <w:tcW w:w="1994" w:type="dxa"/>
            <w:vAlign w:val="center"/>
          </w:tcPr>
          <w:p w14:paraId="304DDFC2">
            <w:pPr>
              <w:ind w:firstLine="0"/>
              <w:jc w:val="center"/>
              <w:rPr>
                <w:lang w:val="en-US" w:eastAsia="en-US"/>
              </w:rPr>
            </w:pPr>
            <w:r>
              <w:rPr>
                <w:lang w:val="en-US" w:eastAsia="en-US"/>
              </w:rPr>
              <w:t>Сумма, руб.</w:t>
            </w:r>
          </w:p>
        </w:tc>
        <w:tc>
          <w:tcPr>
            <w:tcW w:w="1545" w:type="dxa"/>
            <w:vAlign w:val="center"/>
          </w:tcPr>
          <w:p w14:paraId="3F6AE0B0">
            <w:pPr>
              <w:ind w:firstLine="0"/>
              <w:jc w:val="center"/>
              <w:rPr>
                <w:lang w:val="en-US" w:eastAsia="en-US"/>
              </w:rPr>
            </w:pPr>
            <w:r>
              <w:rPr>
                <w:lang w:val="en-US" w:eastAsia="en-US"/>
              </w:rPr>
              <w:t>Лицевой счет</w:t>
            </w:r>
          </w:p>
        </w:tc>
        <w:tc>
          <w:tcPr>
            <w:tcW w:w="849" w:type="dxa"/>
            <w:vAlign w:val="center"/>
          </w:tcPr>
          <w:p w14:paraId="43913E08">
            <w:pPr>
              <w:ind w:firstLine="0"/>
              <w:jc w:val="center"/>
              <w:rPr>
                <w:lang w:val="en-US" w:eastAsia="en-US"/>
              </w:rPr>
            </w:pPr>
            <w:r>
              <w:rPr>
                <w:lang w:val="en-US" w:eastAsia="en-US"/>
              </w:rPr>
              <w:t>Год</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За счет внебюджетных средств</w:t>
            </w:r>
          </w:p>
        </w:tc>
        <w:tc>
          <w:tcPr>
            <w:tcW w:w="1560" w:type="dxa"/>
            <w:vAlign w:val="center"/>
          </w:tcPr>
          <w:p w14:paraId="4A971327">
            <w:pPr>
              <w:ind w:firstLine="0"/>
              <w:jc w:val="left"/>
              <w:rPr>
                <w:lang w:val="en-US"/>
              </w:rPr>
            </w:pPr>
            <w:r>
              <w:rPr>
                <w:lang w:val="en-US"/>
              </w:rPr>
              <w:t xml:space="preserve">Средства бюджетных/автономных учреждений (за исключением целевых) - Приносящая доход деятельность</w:t>
            </w:r>
          </w:p>
        </w:tc>
        <w:tc>
          <w:tcPr>
            <w:tcW w:w="2698" w:type="dxa"/>
            <w:vAlign w:val="center"/>
          </w:tcPr>
          <w:p w14:paraId="6821F3A1">
            <w:pPr>
              <w:ind w:firstLine="0"/>
              <w:jc w:val="center"/>
              <w:rPr>
                <w:lang w:val="en-US"/>
              </w:rPr>
            </w:pPr>
            <w:r>
              <w:rPr>
                <w:lang w:val="en-US"/>
              </w:rPr>
              <w:t xml:space="preserve">71011010000000000244</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20367100152</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2026</w:t>
            </w:r>
            <w:r>
              <w:rPr>
                <w:lang w:val="en-US"/>
              </w:rPr>
              <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За счет внебюджетных средств</w:t>
            </w:r>
          </w:p>
        </w:tc>
        <w:tc>
          <w:tcPr>
            <w:tcW w:w="1560" w:type="dxa"/>
            <w:vAlign w:val="center"/>
          </w:tcPr>
          <w:p w14:paraId="4A971327">
            <w:pPr>
              <w:ind w:firstLine="0"/>
              <w:jc w:val="left"/>
              <w:rPr>
                <w:lang w:val="en-US"/>
              </w:rPr>
            </w:pPr>
            <w:r>
              <w:rPr>
                <w:lang w:val="en-US"/>
              </w:rPr>
              <w:t xml:space="preserve">Целевые средства бюджетных/автономных учреждений – Субсидии</w:t>
            </w:r>
          </w:p>
        </w:tc>
        <w:tc>
          <w:tcPr>
            <w:tcW w:w="2698" w:type="dxa"/>
            <w:vAlign w:val="center"/>
          </w:tcPr>
          <w:p w14:paraId="6821F3A1">
            <w:pPr>
              <w:ind w:firstLine="0"/>
              <w:jc w:val="center"/>
              <w:rPr>
                <w:lang w:val="en-US"/>
              </w:rPr>
            </w:pPr>
            <w:r>
              <w:rPr>
                <w:lang w:val="en-US"/>
              </w:rPr>
              <w:t xml:space="preserve">71011010510106140244</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21367100152</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2026</w:t>
            </w:r>
            <w:r>
              <w:rPr>
                <w:lang w:val="en-US"/>
              </w:rPr>
              <w:t/>
            </w:r>
          </w:p>
        </w:tc>
      </w:tr>
    </w:tbl>
    <w:p w14:paraId="1F76D0A6">
      <w:pPr>
        <w:rPr>
          <w:lang w:val="en-US" w:eastAsia="en-US"/>
        </w:rPr>
      </w:pPr>
      <w:r>
        <w:rPr>
          <w:lang w:val="en-US"/>
        </w:rPr>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w:t>
      </w:r>
      <w:r>
        <w:rPr>
          <w:color w:val="000000"/>
          <w:lang w:val="en-US"/>
        </w:rPr>
        <w:t/>
      </w:r>
      <w:r>
        <w:rPr>
          <w:lang w:val="en-US"/>
        </w:rPr>
        <w:t xml:space="preserve"> </w:t>
      </w:r>
      <w:r>
        <w:rPr>
          <w:lang w:val="en-US" w:eastAsia="en-US"/>
        </w:rPr>
        <w:t/>
      </w:r>
      <w:r>
        <w:rPr>
          <w:lang w:val="en-US"/>
        </w:rPr>
        <w:t xml:space="preserve"/>
      </w:r>
      <w:r>
        <w:rPr>
          <w:lang w:val="en-US" w:eastAsia="en-US"/>
        </w:rPr>
        <w:t/>
      </w:r>
      <w:r>
        <w:rPr>
          <w:lang w:val="en-US"/>
        </w:rPr>
        <w:t xml:space="preserve"/>
      </w:r>
    </w:p>
    <w:p>
      <w:r>
        <w:t>2.10. Выплата аванса не предусмотрена.</w:t>
      </w:r>
    </w:p>
    <w:p w14:paraId="02EBE10E">
      <w:pPr>
        <w:pStyle w:val="31"/>
      </w:pPr>
      <w:r>
        <w:t>Сроки, порядок и место оказания услуг</w:t>
      </w:r>
    </w:p>
    <w:p>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
        <w:t>3.2.	Место (места) оказания услуг указано (указаны) в приложении 2 к Контракту. </w:t>
      </w:r>
    </w:p>
    <w:p>
      <w:r>
        <w:t>3.3.	Исполнитель оказывает услуги в порядке согласно Графику и в соответствии с иными условиями, предусмотренными Контрактом.</w:t>
      </w:r>
    </w:p>
    <w:p w14:paraId="74733B73">
      <w:pPr>
        <w:pStyle w:val="31"/>
      </w:pPr>
      <w:r>
        <w:t>Порядок и сроки осуществления приемки оказанных услуг</w:t>
      </w:r>
      <w:r>
        <w:br w:type="textWrapping"/>
      </w:r>
      <w:r>
        <w:t xml:space="preserve"> и оформления ее результатов</w:t>
      </w:r>
    </w:p>
    <w:p>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предусмотренной разделом 1 приложения 2 к Контракту.</w:t>
      </w:r>
    </w:p>
    <w:p>
      <w:r>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
        <w:t>Перечень, порядок и сроки направления Исполнителем комплекта документов указаны в приложении 3 к Контракту.</w:t>
      </w:r>
    </w:p>
    <w:p>
      <w:r>
        <w:t>4.4. Заказчик осуществляет приемку оказанных услуг после получения от Исполнителя соответствующего комплекта документов. </w:t>
      </w:r>
    </w:p>
    <w:p>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
        <w:t>Порядок и сроки проведения экспертизы установлены разделом «Порядок и сроки проведения экспертизы» приложения 3 к Контракту.</w:t>
      </w:r>
    </w:p>
    <w:p>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 </w:t>
      </w:r>
    </w:p>
    <w:p>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14:paraId="01062BB9">
      <w:pPr>
        <w:pStyle w:val="31"/>
      </w:pPr>
      <w:r>
        <w:t>Права и обязанности Сторон</w:t>
      </w:r>
    </w:p>
    <w:p w14:paraId="7CC20B96">
      <w:pPr>
        <w:rPr>
          <w:lang w:val="en-US"/>
        </w:rPr>
      </w:pPr>
      <w:r>
        <w:rPr>
          <w:lang w:val="en-US"/>
        </w:rPr>
        <w:t>5.1.</w:t>
      </w:r>
      <w:r>
        <w:t xml:space="preserve"> </w:t>
      </w:r>
      <w:r>
        <w:rPr>
          <w:lang w:val="en-US"/>
        </w:rPr>
        <w:t xml:space="preserve">Заказчик </w:t>
      </w:r>
      <w:r>
        <w:t>вправе</w:t>
      </w:r>
      <w:r>
        <w:rPr>
          <w:lang w:val="en-US"/>
        </w:rPr>
        <w:t>:</w:t>
      </w:r>
    </w:p>
    <w:p>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
        <w:t>5.1.3. Запрашивать у Исполнителя информацию об исполнении им обязательств по Контракту.</w:t>
      </w:r>
    </w:p>
    <w:p>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
        <w:t>5.1.6. Во всякое время проверять ход и качество услуг, оказываемых Исполнителем, не вмешиваясь в его деятельность.</w:t>
      </w:r>
    </w:p>
    <w:p>
      <w:r>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
        <w:t>5.1.8. Осуществлять иные права, предусмотренные законодательством Российской Федерации и Контрактом.</w:t>
      </w:r>
    </w:p>
    <w:p w14:paraId="2B200D9D">
      <w:pPr>
        <w:rPr>
          <w:lang w:val="en-US"/>
        </w:rPr>
      </w:pPr>
      <w:bookmarkStart w:id="0" w:name="_Ref45540162"/>
      <w:r>
        <w:rPr>
          <w:lang w:val="en-US"/>
        </w:rPr>
        <w:t>5.2.</w:t>
      </w:r>
      <w:r>
        <w:t xml:space="preserve"> </w:t>
      </w:r>
      <w:r>
        <w:rPr>
          <w:lang w:val="en-US"/>
        </w:rPr>
        <w:t xml:space="preserve">Заказчик </w:t>
      </w:r>
      <w:r>
        <w:t>обязан</w:t>
      </w:r>
      <w:r>
        <w:rPr>
          <w:lang w:val="en-US"/>
        </w:rPr>
        <w:t>:</w:t>
      </w:r>
      <w:bookmarkEnd w:id="0"/>
    </w:p>
    <w:p>
      <w:r>
        <w:t>5.2.1. Осуществлять приемку услуг и производить их оплату в порядке и сроки, установленные Контрактом.</w:t>
      </w:r>
    </w:p>
    <w:p>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
        <w:t>5.2.3. Требовать уплаты неустойки (штрафов, пеней) в соответствии с условиями Контракта.</w:t>
      </w:r>
    </w:p>
    <w:p>
      <w:r>
        <w:t>5.2.4. Осуществлять контроль за исполнением Исполнителем условий Контракта в соответствии с законодательством Российской Федерации.</w:t>
      </w:r>
    </w:p>
    <w:p>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
        <w:t>5.2.9. Выполнить обязательства в соответствии с разделом «Иные обязательства» приложения 2 к Контракту (при наличии таких обязательств).</w:t>
      </w:r>
    </w:p>
    <w:p>
      <w:r>
        <w:t>5.2.10. Исполнять иные обязанности в соответствии с законодательством Российской Федерации и Контрактом.</w:t>
      </w:r>
    </w:p>
    <w:p w14:paraId="6FDE1F1A">
      <w:pPr>
        <w:rPr>
          <w:lang w:val="en-US"/>
        </w:rPr>
      </w:pPr>
      <w:r>
        <w:rPr>
          <w:lang w:val="en-US"/>
        </w:rPr>
        <w:t>5.3.</w:t>
      </w:r>
      <w:r>
        <w:t xml:space="preserve"> </w:t>
      </w:r>
      <w:r>
        <w:rPr>
          <w:lang w:val="en-US"/>
        </w:rPr>
        <w:t xml:space="preserve">Исполнитель </w:t>
      </w:r>
      <w:r>
        <w:t>вправе</w:t>
      </w:r>
      <w:r>
        <w:rPr>
          <w:lang w:val="en-US"/>
        </w:rPr>
        <w:t>:</w:t>
      </w:r>
    </w:p>
    <w:p>
      <w:r>
        <w:t>5.3.1. Требовать от Заказчика надлежащего исполнения обязательств в соответствии с Контрактом.</w:t>
      </w:r>
    </w:p>
    <w:p>
      <w:r>
        <w:t>5.3.2. Запрашивать у Заказчика разъяснения и уточнения относительно исполнения обязательств в рамках Контракта.</w:t>
      </w:r>
    </w:p>
    <w:p>
      <w:r>
        <w:t>5.3.3. Осуществлять иные права, предусмотренные законодательством Российской Федерации и Контрактом.</w:t>
      </w:r>
    </w:p>
    <w:p>
      <w:r>
        <w:t>5.3.4. Привлечь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Контрактом. При этом Исполнитель несет ответственность перед Заказчиком за неисполнение или ненадлежащее исполнение обязательств соисполнителями.</w:t>
      </w:r>
    </w:p>
    <w:p w14:paraId="3FED0EDA">
      <w:pPr>
        <w:rPr>
          <w:lang w:val="en-US"/>
        </w:rPr>
      </w:pPr>
      <w:r>
        <w:rPr>
          <w:lang w:val="en-US"/>
        </w:rPr>
        <w:t xml:space="preserve"/>
      </w:r>
    </w:p>
    <w:p w14:paraId="6AAA7EFD">
      <w:pPr>
        <w:rPr>
          <w:lang w:val="en-US"/>
        </w:rPr>
      </w:pPr>
      <w:bookmarkStart w:id="1" w:name="_Ref40978815"/>
      <w:r>
        <w:rPr>
          <w:lang w:val="en-US"/>
        </w:rPr>
        <w:t xml:space="preserve">5.4. Исполнитель </w:t>
      </w:r>
      <w:r>
        <w:t>обязан</w:t>
      </w:r>
      <w:r>
        <w:rPr>
          <w:lang w:val="en-US"/>
        </w:rPr>
        <w:t>:</w:t>
      </w:r>
      <w:bookmarkEnd w:id="1"/>
    </w:p>
    <w:p>
      <w:r>
        <w:t>5.4.1. В соответствии с условиями Контракта оказать услуги в полном объеме, надлежащего качества и в установленные сроки.</w:t>
      </w:r>
    </w:p>
    <w:p>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
        <w:t>5.4.8. В случае повреждения Исполнителем имущества третьих лиц в ходе оказания услуг восстановить поврежденное имущество за свой счет.</w:t>
      </w:r>
    </w:p>
    <w:p>
      <w:r>
        <w:t>5.4.9. Выполнить обязательства в соответствии с разделом «Иные обязательства» приложения 2 к Контракту (при наличии таких обязательств).</w:t>
      </w:r>
    </w:p>
    <w:p>
      <w:r>
        <w:t>5.4.10. Исполнять иные обязанности в соответствии с законодательством Российской Федерации и настоящим Контрактом.</w:t>
      </w:r>
    </w:p>
    <w:p w14:paraId="4C9EAFFE">
      <w:pPr>
        <w:pStyle w:val="31"/>
      </w:pPr>
      <w:r>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 </w:t>
      </w:r>
    </w:p>
    <w:p>
      <w:r>
        <w:t>6.2. Требования к гарантийному сроку Исполнителя и производителя (при наличии), к гарантийному обслуживанию (при наличии), к объему предоставления гарантий качества на оказанные услуги (при наличии) указаны в разделе «Сведения о гарантии качества товара, работы, услуги» приложения 1 к Контракту.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а в случае расторжения Контракта - с даты, с которой в соответствии с законодательством Российской Федерации Контракт признается расторгнутым. </w:t>
      </w:r>
    </w:p>
    <w:p>
      <w:r>
        <w:t>6.4. В ходе исполнения гарантийных обязательств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 </w:t>
      </w:r>
    </w:p>
    <w:p>
      <w:r>
        <w:t>6.5. Если в течение гарантийного срока будут выявлены недостатки услуг, Заказчик не позднее 2 (двух) рабочих дней с даты обнаружения недостатков услуг уведомляет об этом Исполнителя в порядке, предусмотренном Контрактом для направления уведомлений. </w:t>
      </w:r>
    </w:p>
    <w:p>
      <w:r>
        <w:t>6.6. Исполнитель обязуется устранить выявленные недостатки услуг в срок, установленный в уведомлении. Если в уведомлении срок не указан, то Исполнительобязуется устранить выявленные недостатки услуг в течение 10 (десяти) дней с даты получения уведомления.</w:t>
      </w:r>
    </w:p>
    <w:p>
      <w:r>
        <w:t>6.7. В случае отказа Исполнителя от устранения выявленных недостатков услуг или в случае неустранения недостатков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 </w:t>
      </w:r>
    </w:p>
    <w:p>
      <w:r>
        <w:t>6.8. Течение гарантийного срока прерывается на все время, которое потребовалось для устранения недостатков услуг.</w:t>
      </w:r>
    </w:p>
    <w:bookmarkEnd w:id="2"/>
    <w:bookmarkEnd w:id="3"/>
    <w:p w14:paraId="6D10640C">
      <w:pPr>
        <w:pStyle w:val="31"/>
      </w:pPr>
      <w:r>
        <w:t>Ответственность Сторон</w:t>
      </w:r>
    </w:p>
    <w:p>
      <w:r>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
        <w:t>Размер пени определяется в соответствии со статьей 34 Федерального закона № 44-ФЗ.</w:t>
      </w:r>
    </w:p>
    <w:p>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
        <w:t>7.5. Ответственность Заказчика:</w:t>
      </w:r>
    </w:p>
    <w:p>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
        <w:t/>
      </w:r>
    </w:p>
    <w:p>
      <w:r>
        <w:t>&lt;1&gt; В данном подпункте при заключении Контракта указывается размер штрафа, определяемый в соответствии с пунктом 9 Правил в следующем порядке:</w:t>
      </w:r>
    </w:p>
    <w:p>
      <w:r>
        <w:t>а) 1000 рублей, если Цена Контракта не превышает 3 млн. рублей (включительно);</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r>
        <w:t/>
      </w:r>
    </w:p>
    <w:p>
      <w:r>
        <w:t>7.6. Ответственность Исполнителя:</w:t>
      </w:r>
    </w:p>
    <w:p>
      <w:r>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
        <w:t/>
      </w:r>
    </w:p>
    <w:p>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
        <w:t>(Вариант I)</w:t>
      </w:r>
    </w:p>
    <w:p>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
        <w:t>а) 10 процентов цены Контракта (этапа) в случае, если цена Контракта (этапа) не превышает 3 млн. рублей;</w:t>
      </w:r>
    </w:p>
    <w:p>
      <w:r>
        <w:t>б) 5 процентов цены Контракта (этапа) в случае, если цена Контракта (этапа) составляет от 3 млн. рублей до 50 млн. рублей (включительно);</w:t>
      </w:r>
    </w:p>
    <w:p>
      <w:r>
        <w:t>в) 1 процент цены Контракта (этапа) в случае, если цена Контракта (этапа) составляет от 50 млн. рублей до 100 млн. рублей (включительно);</w:t>
      </w:r>
    </w:p>
    <w:p>
      <w:r>
        <w:t>г) 0,5 процента цены Контракта (этапа) в случае, если цена Контракта (этапа) составляет от 100 млн. рублей до 500 млн. рублей (включительно);</w:t>
      </w:r>
    </w:p>
    <w:p>
      <w:r>
        <w:t>д) 0,4 процента цены Контракта (этапа) в случае, если цена Контракта (этапа) составляет от 500 млн. рублей до 1 млрд. рублей (включительно);</w:t>
      </w:r>
    </w:p>
    <w:p>
      <w:r>
        <w:t>е) 0,3 процента цены Контракта (этапа) в случае, если цена Контракта (этапа) составляет от 1 млрд. рублей до 2 млрд. рублей (включительно);</w:t>
      </w:r>
    </w:p>
    <w:p>
      <w:r>
        <w:t>ж) 0,25 процента цены Контракта (этапа) в случае, если цена Контракта (этапа) составляет от 2 млрд. рублей до 5 млрд. рублей (включительно);</w:t>
      </w:r>
    </w:p>
    <w:p>
      <w:r>
        <w:t>з) 0,2 процента цены Контракта (этапа) в случае, если цена Контракта (этапа) составляет от 5 млрд. рублей до 10 млрд. рублей (включительно);</w:t>
      </w:r>
    </w:p>
    <w:p>
      <w:r>
        <w:t>и) 0,1 процента цены Контракта (этапа) в случае, если цена Контракта (этапа) превышает 10 млрд. рублей.</w:t>
      </w:r>
    </w:p>
    <w:p>
      <w:r>
        <w:t>(Вариант II)</w:t>
      </w:r>
    </w:p>
    <w:p>
      <w:r>
        <w:t>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r>
        <w:t>(Вариант III)</w:t>
      </w:r>
    </w:p>
    <w:p>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
        <w:t>а) в случае, если Цена Контракта не превышает начальную (максимальную) цену контракта:</w:t>
      </w:r>
    </w:p>
    <w:p>
      <w:r>
        <w:t>10 процентов начальной (максимальной) цены контракта, если Цена Контракта не превышает 3 млн. рублей;</w:t>
      </w:r>
    </w:p>
    <w:p>
      <w:r>
        <w:t>5 процентов начальной (максимальной) цены контракта, если Цена Контракта составляет от 3 млн. рублей до 50 млн. рублей (включительно);</w:t>
      </w:r>
    </w:p>
    <w:p>
      <w:r>
        <w:t>1 процент начальной (максимальной) цены контракта, если Цена Контракта составляет от 50 млн. рублей до 100 млн. рублей (включительно);</w:t>
      </w:r>
    </w:p>
    <w:p>
      <w:r>
        <w:t>б) в случае, если Цена Контракта превышает начальную (максимальную) цену контракта:</w:t>
      </w:r>
    </w:p>
    <w:p>
      <w:r>
        <w:t>10 процентов Цены Контракта, если Цена Контракта не превышает 3 млн. рублей;</w:t>
      </w:r>
    </w:p>
    <w:p>
      <w:r>
        <w:t>5 процентов Цены Контракта, если Цена Контракта составляет от 3 млн. рублей до 50 млн. рублей (включительно);</w:t>
      </w:r>
    </w:p>
    <w:p>
      <w:r>
        <w:t>1 процент Цены Контракта, если Цена Контракта составляет от 50 млн. рублей до 100 млн. рублей (включительно).</w:t>
      </w:r>
    </w:p>
    <w:p>
      <w:r>
        <w:t/>
      </w:r>
    </w:p>
    <w:p>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
        <w:t/>
      </w:r>
    </w:p>
    <w:p>
      <w:r>
        <w:t>&lt;3&gt; В данном подпункте при заключении Контракта указывается размер штрафа, определяемый в соответствии с пунктом 6 Правил в следующем порядке:</w:t>
      </w:r>
    </w:p>
    <w:p>
      <w:r>
        <w:t>а) 1000 рублей, если Цена Контракта не превышает 3 млн. рублей;</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14:paraId="3CE65881"/>
    <w:p w14:paraId="3AEFDB2C">
      <w:pPr>
        <w:rPr>
          <w:lang w:val="en-US"/>
        </w:rPr>
      </w:pPr>
      <w:r>
        <w:rPr>
          <w:lang w:val="en-US"/>
        </w:rPr>
        <w:t xml:space="preserve"/>
      </w:r>
    </w:p>
    <w:p w14:paraId="1097B7C6">
      <w:pPr>
        <w:rPr>
          <w:lang w:val="en-US"/>
        </w:rPr>
      </w:pPr>
      <w:r>
        <w:rPr>
          <w:lang w:val="en-US"/>
        </w:rPr>
        <w:t xml:space="preserve">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14:paraId="0F65257B">
      <w:pPr>
        <w:rPr>
          <w:b/>
        </w:rPr>
      </w:pPr>
      <w:r>
        <w:t xml:space="preserve"/>
      </w:r>
    </w:p>
    <w:p w14:paraId="50D12B87">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 xml:space="preserve">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 xml:space="preserve">Заказчику</w:t>
      </w:r>
      <w:r>
        <w:rPr>
          <w:lang w:val="en-US" w:eastAsia="en-US"/>
        </w:rPr>
        <w:t/>
      </w:r>
      <w:r>
        <w:rPr>
          <w:lang w:eastAsia="en-US"/>
        </w:rPr>
        <w:t xml:space="preserve"/>
      </w:r>
      <w:r>
        <w:t xml:space="preserve">, Исполнитель обязан вернуть </w:t>
      </w:r>
      <w:r>
        <w:rPr>
          <w:lang w:eastAsia="en-US"/>
        </w:rPr>
        <w:t xml:space="preserve">Заказчику</w:t>
      </w:r>
      <w:r>
        <w:rPr>
          <w:lang w:val="en-US" w:eastAsia="en-US"/>
        </w:rPr>
        <w:t/>
      </w:r>
      <w:r>
        <w:rPr>
          <w:lang w:eastAsia="en-US"/>
        </w:rPr>
        <w:t xml:space="preserve"/>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 xml:space="preserve">Заказчика</w:t>
      </w:r>
      <w:r>
        <w:t>, указанный в разделе 16 Контракта</w:t>
      </w:r>
      <w:r>
        <w:rPr>
          <w:lang w:eastAsia="en-US"/>
        </w:rPr>
        <w:t>.</w:t>
      </w:r>
    </w:p>
    <w:p w14:paraId="50A63031">
      <w:pPr>
        <w:pStyle w:val="31"/>
      </w:pPr>
      <w:r>
        <w:t>Порядок расторжения Контракта</w:t>
      </w:r>
    </w:p>
    <w:p>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14:paraId="47374D04">
      <w:pPr>
        <w:pStyle w:val="31"/>
        <w:ind w:firstLine="709"/>
      </w:pPr>
      <w:r>
        <w:t>Обеспечение исполнения Контракта</w:t>
      </w:r>
    </w:p>
    <w:p>
      <w:r>
        <w:t>9.1. Обеспечение исполнения Контракта устанавливается в размере 5 процент(ов,а) от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15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
        <w:t>9.10. 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bookmarkEnd w:id="4"/>
    <w:p w14:paraId="2A377EAD">
      <w:pPr>
        <w:pStyle w:val="31"/>
        <w:ind w:firstLine="709"/>
      </w:pPr>
      <w:r>
        <w:t>Обеспечение гарантийных обязательств</w:t>
      </w:r>
    </w:p>
    <w:p>
      <w:r>
        <w:t>10.1. Требования к обеспечению гарантийных обязательств не установлены.</w:t>
      </w:r>
    </w:p>
    <w:bookmarkEnd w:id="5"/>
    <w:bookmarkEnd w:id="6"/>
    <w:p w14:paraId="5C0D79DC">
      <w:pPr>
        <w:pStyle w:val="31"/>
        <w:ind w:firstLine="709"/>
      </w:pPr>
      <w:r>
        <w:t>Обстоятельства непреодолимой силы</w:t>
      </w:r>
    </w:p>
    <w:p w14:paraId="20E52A0A">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33B3C85">
      <w:pPr>
        <w:rPr>
          <w:lang w:eastAsia="en-US"/>
        </w:rPr>
      </w:pPr>
      <w:r>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0BB7ED67">
      <w:pPr>
        <w:pStyle w:val="31"/>
        <w:ind w:firstLine="709"/>
      </w:pPr>
      <w:r>
        <w:t>Порядок урегулирования споров</w:t>
      </w:r>
    </w:p>
    <w:p>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Контракта.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
        <w:t/>
      </w:r>
    </w:p>
    <w:p>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14:paraId="5B6F931E">
      <w:pPr>
        <w:pStyle w:val="31"/>
        <w:ind w:firstLine="709"/>
      </w:pPr>
      <w:r>
        <w:t>Срок действия, порядок изменения Контракта</w:t>
      </w:r>
    </w:p>
    <w:p w14:paraId="62D396CB">
      <w:r>
        <w:t xml:space="preserve">13.1. Контракт вступает в силу с момента его заключения Сторонами и действует до полного исполнения Сторонами своих обязательств по Контракту.</w:t>
      </w:r>
    </w:p>
    <w:p>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услуг.</w:t>
      </w:r>
    </w:p>
    <w:p>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4C264435">
      <w:pPr>
        <w:pStyle w:val="31"/>
        <w:ind w:firstLine="709"/>
      </w:pPr>
      <w:r>
        <w:t>Особые условия</w:t>
      </w:r>
    </w:p>
    <w:p>
      <w:r>
        <w:t>14.1. Стороны при исполнении Контракта: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Исполнителем (если Контрактом предусмотрена обязанность Исполнителя оказать услуги по заявке Заказчика);</w:t>
      </w:r>
    </w:p>
    <w:p>
      <w:r>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 </w:t>
      </w:r>
    </w:p>
    <w:p>
      <w:r>
        <w:t>результаты такой приемки; </w:t>
      </w:r>
    </w:p>
    <w:p>
      <w:r>
        <w:t>мотивированный отказ от подписания документа о приемке;</w:t>
      </w:r>
    </w:p>
    <w:p>
      <w:r>
        <w:t>оплата оказанных услуг, а также отдельных этапов исполнения Контракта; </w:t>
      </w:r>
    </w:p>
    <w:p>
      <w:r>
        <w:t>заключение дополнительных соглашений; </w:t>
      </w:r>
    </w:p>
    <w:p>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 </w:t>
      </w:r>
    </w:p>
    <w:p>
      <w:r>
        <w:t>соглашение о расторжении Контракта;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 </w:t>
      </w:r>
    </w:p>
    <w:p>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 </w:t>
      </w:r>
    </w:p>
    <w:p>
      <w:r>
        <w:t>14.2. Для работы в ПИК ЕАСУЗ Стороны Контракта: </w:t>
      </w:r>
    </w:p>
    <w:p>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Контракта с использованием ПИК ЕАСУЗ, содержится в приложении 3 к Контракту.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033610BF">
      <w:pPr>
        <w:pStyle w:val="31"/>
        <w:ind w:firstLine="709"/>
      </w:pPr>
      <w:r>
        <w:t>Прочие условия</w:t>
      </w:r>
    </w:p>
    <w:p>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Контракт составлен в форме электронного документа, подписанного усиленными электронными подписями Сторон.</w:t>
      </w:r>
    </w:p>
    <w:p>
      <w:r>
        <w:t>15.3. Во всем, что не предусмотрено Контрактом,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
        <w:t>15.6. Неотъемлемыми частями Контракта являются следующие приложения (прилагаются отдельными файлами):</w:t>
      </w:r>
    </w:p>
    <w:bookmarkEnd w:id="7"/>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контракта»;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объекта закупки (Техническое задание)».</w:t>
      </w:r>
    </w:p>
    <w:p w14:paraId="61E027A6">
      <w:pPr>
        <w:pStyle w:val="31"/>
        <w:ind w:firstLine="709"/>
      </w:pPr>
      <w:r>
        <w:t>Адреса, реквизиты и подписи Сторон</w:t>
      </w:r>
    </w:p>
    <w:tbl>
      <w:tblPr>
        <w:tblStyle w:val="6"/>
        <w:tblW w:w="10708" w:type="dxa"/>
        <w:tblInd w:w="-142" w:type="dxa"/>
        <w:tblLayout w:type="fixed"/>
        <w:tblCellMar>
          <w:top w:w="0" w:type="dxa"/>
          <w:left w:w="108" w:type="dxa"/>
          <w:bottom w:w="0" w:type="dxa"/>
          <w:right w:w="108" w:type="dxa"/>
        </w:tblCellMar>
      </w:tblPr>
      <w:tblGrid>
        <w:gridCol w:w="5075"/>
        <w:gridCol w:w="5633"/>
      </w:tblGrid>
      <w:tr w14:paraId="4B995698">
        <w:tblPrEx>
          <w:tblCellMar>
            <w:top w:w="0" w:type="dxa"/>
            <w:left w:w="108" w:type="dxa"/>
            <w:bottom w:w="0" w:type="dxa"/>
            <w:right w:w="108" w:type="dxa"/>
          </w:tblCellMar>
        </w:tblPrEx>
        <w:trPr>
          <w:trHeight w:val="1042" w:hRule="atLeast"/>
        </w:trPr>
        <w:tc>
          <w:tcPr>
            <w:tcW w:w="5075" w:type="dxa"/>
            <w:shd w:val="clear" w:color="auto" w:fill="auto"/>
          </w:tcPr>
          <w:p w14:paraId="43D2C17C">
            <w:pPr>
              <w:pStyle w:val="20"/>
            </w:pPr>
            <w:r>
              <w:t xml:space="preserve">Заказчик:</w:t>
            </w:r>
          </w:p>
          <w:p w14:paraId="55F92156">
            <w:pPr>
              <w:pStyle w:val="20"/>
            </w:pPr>
          </w:p>
          <w:p w14:paraId="0E0E1C40">
            <w:pPr>
              <w:pStyle w:val="20"/>
            </w:pPr>
            <w:r>
              <w:t xml:space="preserve">МУНИЦИПАЛЬНОЕ БЮДЖЕТНОЕ УЧРЕЖДЕНИЕ "ФИЗКУЛЬТУРНО-СПОРТИВНЫЙ КОМПЛЕКС "ЗАРЕЧЬЕ"</w:t>
            </w:r>
          </w:p>
        </w:tc>
        <w:tc>
          <w:tcPr>
            <w:tcW w:w="5633" w:type="dxa"/>
            <w:shd w:val="clear" w:color="auto" w:fill="auto"/>
          </w:tcPr>
          <w:p w14:paraId="4849F5E6">
            <w:pPr>
              <w:pStyle w:val="20"/>
            </w:pPr>
            <w:r>
              <w:t xml:space="preserve">Исполнитель:</w:t>
            </w:r>
          </w:p>
          <w:p w14:paraId="105E839E">
            <w:pPr>
              <w:pStyle w:val="20"/>
            </w:pPr>
          </w:p>
          <w:p w14:paraId="4B186A71">
            <w:pPr>
              <w:pStyle w:val="20"/>
            </w:pPr>
            <w:r>
              <w:rPr>
                <w:rStyle w:val="11"/>
                <w:color w:val="auto"/>
                <w:u w:val="none"/>
              </w:rPr>
              <w:t xml:space="preserve">________________</w:t>
            </w:r>
          </w:p>
        </w:tc>
      </w:tr>
      <w:tr w14:paraId="51CEF7CC">
        <w:tblPrEx>
          <w:tblCellMar>
            <w:top w:w="0" w:type="dxa"/>
            <w:left w:w="108" w:type="dxa"/>
            <w:bottom w:w="0" w:type="dxa"/>
            <w:right w:w="108" w:type="dxa"/>
          </w:tblCellMar>
        </w:tblPrEx>
        <w:trPr>
          <w:trHeight w:val="500" w:hRule="atLeast"/>
        </w:trPr>
        <w:tc>
          <w:tcPr>
            <w:tcW w:w="5075" w:type="dxa"/>
            <w:shd w:val="clear" w:color="auto" w:fill="auto"/>
          </w:tcPr>
          <w:p w14:paraId="7B9CDF0F">
            <w:pPr>
              <w:pStyle w:val="20"/>
            </w:pPr>
            <w:r>
              <w:t xml:space="preserve">Сокращенное наименование: МБУ ФСК "ЗАРЕЧЬЕ"</w:t>
            </w:r>
          </w:p>
        </w:tc>
        <w:tc>
          <w:tcPr>
            <w:tcW w:w="5633" w:type="dxa"/>
            <w:shd w:val="clear" w:color="auto" w:fill="auto"/>
          </w:tcPr>
          <w:p w14:paraId="3B14A2D7">
            <w:pPr>
              <w:pStyle w:val="20"/>
              <w:rPr>
                <w:rStyle w:val="11"/>
                <w:color w:val="auto"/>
                <w:u w:val="none"/>
              </w:rPr>
            </w:pPr>
            <w:r>
              <w:rPr>
                <w:rStyle w:val="11"/>
                <w:color w:val="auto"/>
                <w:u w:val="none"/>
              </w:rPr>
              <w:t xml:space="preserve">Сокращённое наименование: ________________</w:t>
            </w:r>
          </w:p>
        </w:tc>
      </w:tr>
      <w:tr w14:paraId="678EFA6D">
        <w:tblPrEx>
          <w:tblCellMar>
            <w:top w:w="0" w:type="dxa"/>
            <w:left w:w="108" w:type="dxa"/>
            <w:bottom w:w="0" w:type="dxa"/>
            <w:right w:w="108" w:type="dxa"/>
          </w:tblCellMar>
        </w:tblPrEx>
        <w:trPr>
          <w:trHeight w:val="275" w:hRule="atLeast"/>
        </w:trPr>
        <w:tc>
          <w:tcPr>
            <w:tcW w:w="5075" w:type="dxa"/>
            <w:shd w:val="clear" w:color="auto" w:fill="auto"/>
          </w:tcPr>
          <w:p w14:paraId="602E3513">
            <w:pPr>
              <w:pStyle w:val="20"/>
            </w:pPr>
            <w:r>
              <w:t>Адреса и реквизиты:</w:t>
            </w:r>
          </w:p>
        </w:tc>
        <w:tc>
          <w:tcPr>
            <w:tcW w:w="5633" w:type="dxa"/>
            <w:shd w:val="clear" w:color="auto" w:fill="auto"/>
          </w:tcPr>
          <w:p w14:paraId="0892336A">
            <w:pPr>
              <w:pStyle w:val="20"/>
              <w:rPr>
                <w:rStyle w:val="11"/>
                <w:color w:val="auto"/>
                <w:u w:val="none"/>
              </w:rPr>
            </w:pPr>
            <w:r>
              <w:t>Адреса и реквизиты:</w:t>
            </w:r>
          </w:p>
        </w:tc>
      </w:tr>
      <w:tr w14:paraId="21DAA20E">
        <w:tblPrEx>
          <w:tblCellMar>
            <w:top w:w="0" w:type="dxa"/>
            <w:left w:w="108" w:type="dxa"/>
            <w:bottom w:w="0" w:type="dxa"/>
            <w:right w:w="108" w:type="dxa"/>
          </w:tblCellMar>
        </w:tblPrEx>
        <w:trPr>
          <w:trHeight w:val="1653" w:hRule="atLeast"/>
        </w:trPr>
        <w:tc>
          <w:tcPr>
            <w:tcW w:w="5075" w:type="dxa"/>
            <w:shd w:val="clear" w:color="auto" w:fill="auto"/>
          </w:tcPr>
          <w:p w14:paraId="4F3194A0">
            <w:pPr>
              <w:pStyle w:val="20"/>
            </w:pPr>
            <w:r>
              <w:t xml:space="preserve">Почтовый адрес: Российская Федерация, 142180, Московская обл., г.о.Подольск, г. Подольск, микрорайон Климовск, Спортивный проезд, д.4, корпус 1,2,3.</w:t>
            </w:r>
          </w:p>
          <w:p w14:paraId="57CE0109">
            <w:pPr>
              <w:pStyle w:val="20"/>
            </w:pPr>
            <w:r>
              <w:t xml:space="preserve">Место нахождения, адрес: Российская Федерация, 142180, Московская обл., г.о.Подольск, г. Подольск, микрорайон Климовск, Спортивный проезд, д.4, корпус 1,2,3.</w:t>
            </w:r>
          </w:p>
          <w:p w14:paraId="3A80674E">
            <w:pPr>
              <w:pStyle w:val="20"/>
              <w:jc w:val="both"/>
              <w:rPr>
                <w:lang w:val="en-US"/>
              </w:rPr>
            </w:pPr>
            <w:r>
              <w:t>ИНН</w:t>
            </w:r>
            <w:r>
              <w:rPr>
                <w:lang w:val="en-US"/>
              </w:rPr>
              <w:t xml:space="preserve"> 5021015536</w:t>
            </w:r>
          </w:p>
          <w:p w14:paraId="271BD809">
            <w:pPr>
              <w:pStyle w:val="20"/>
              <w:rPr>
                <w:lang w:val="en-US"/>
              </w:rPr>
            </w:pPr>
            <w:r>
              <w:t>КПП</w:t>
            </w:r>
            <w:r>
              <w:rPr>
                <w:lang w:val="en-US"/>
              </w:rPr>
              <w:t xml:space="preserve"> 502101001</w:t>
            </w:r>
          </w:p>
          <w:p w14:paraId="07812501">
            <w:pPr>
              <w:pStyle w:val="20"/>
              <w:rPr>
                <w:lang w:val="en-US"/>
              </w:rPr>
            </w:pPr>
            <w:r>
              <w:t>ОГРН</w:t>
            </w:r>
            <w:r>
              <w:rPr>
                <w:lang w:val="en-US"/>
              </w:rPr>
              <w:t xml:space="preserve"> 1075074002574</w:t>
            </w:r>
          </w:p>
        </w:tc>
        <w:tc>
          <w:tcPr>
            <w:tcW w:w="5633" w:type="dxa"/>
            <w:shd w:val="clear" w:color="auto" w:fill="auto"/>
          </w:tcPr>
          <w:p/>
        </w:tc>
      </w:tr>
      <w:tr w14:paraId="723D84B2">
        <w:tblPrEx>
          <w:tblCellMar>
            <w:top w:w="0" w:type="dxa"/>
            <w:left w:w="108" w:type="dxa"/>
            <w:bottom w:w="0" w:type="dxa"/>
            <w:right w:w="108" w:type="dxa"/>
          </w:tblCellMar>
        </w:tblPrEx>
        <w:trPr>
          <w:trHeight w:val="268" w:hRule="atLeast"/>
        </w:trPr>
        <w:tc>
          <w:tcPr>
            <w:tcW w:w="5075" w:type="dxa"/>
            <w:shd w:val="clear" w:color="auto" w:fill="auto"/>
          </w:tcPr>
          <w:p w14:paraId="36B9BAC9">
            <w:pPr>
              <w:pStyle w:val="20"/>
            </w:pPr>
            <w:r>
              <w:t>Банковские реквизиты:</w:t>
            </w:r>
          </w:p>
        </w:tc>
        <w:tc>
          <w:tcPr>
            <w:tcW w:w="5633" w:type="dxa"/>
            <w:shd w:val="clear" w:color="auto" w:fill="auto"/>
          </w:tcPr>
          <w:p w14:paraId="590ED1F7">
            <w:pPr>
              <w:pStyle w:val="20"/>
            </w:pPr>
            <w:r>
              <w:t>Банковские реквизиты:</w:t>
            </w:r>
          </w:p>
        </w:tc>
      </w:tr>
      <w:tr w14:paraId="33BFC8E9">
        <w:tblPrEx>
          <w:tblCellMar>
            <w:top w:w="0" w:type="dxa"/>
            <w:left w:w="108" w:type="dxa"/>
            <w:bottom w:w="0" w:type="dxa"/>
            <w:right w:w="108" w:type="dxa"/>
          </w:tblCellMar>
        </w:tblPrEx>
        <w:trPr>
          <w:trHeight w:val="1370" w:hRule="atLeast"/>
        </w:trPr>
        <w:tc>
          <w:tcPr>
            <w:tcW w:w="5075" w:type="dxa"/>
            <w:shd w:val="clear" w:color="auto" w:fill="auto"/>
          </w:tcPr>
          <w:p w14:paraId="6E73AF4C">
            <w:pPr>
              <w:ind w:firstLine="0"/>
              <w:jc w:val="left"/>
              <w:rPr>
                <w:lang w:val="en-US" w:eastAsia="en-US"/>
              </w:rPr>
            </w:pPr>
            <w:r>
              <w:rPr>
                <w:rFonts w:cstheme="minorHAnsi"/>
                <w:shd w:val="clear" w:color="auto" w:fill="FFFFFF"/>
                <w:lang w:val="en-US"/>
              </w:rPr>
              <w:t xml:space="preserve">КФНП Администрации городского округа Подольск</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21367100152,  МБУ ФСК "ЗАРЕЧЬЕ"</w:t>
            </w:r>
            <w:r>
              <w:rPr>
                <w:rFonts w:cstheme="minorHAnsi"/>
                <w:shd w:val="clear" w:color="auto" w:fill="FFFFFF"/>
                <w:lang w:val="en-US"/>
              </w:rPr>
              <w:t>)</w:t>
            </w:r>
          </w:p>
        </w:tc>
        <w:tc>
          <w:tcPr>
            <w:tcW w:w="5633" w:type="dxa"/>
            <w:shd w:val="clear" w:color="auto" w:fill="auto"/>
          </w:tcPr>
          <w:p w14:paraId="3C79CC96">
            <w:pPr>
              <w:pStyle w:val="20"/>
              <w:rPr>
                <w:lang w:val="en-US"/>
              </w:rPr>
            </w:pPr>
            <w:r>
              <w:rPr>
                <w:lang w:val="en-US"/>
              </w:rPr>
              <w:t xml:space="preserve"/>
            </w:r>
            <w:r>
              <w:t/>
            </w:r>
            <w:r>
              <w:rPr>
                <w:lang w:val="en-US"/>
              </w:rPr>
              <w:t xml:space="preserve"/>
            </w:r>
          </w:p>
        </w:tc>
      </w:tr>
      <w:tr w14:paraId="0850B497">
        <w:tblPrEx>
          <w:tblCellMar>
            <w:top w:w="0" w:type="dxa"/>
            <w:left w:w="108" w:type="dxa"/>
            <w:bottom w:w="0" w:type="dxa"/>
            <w:right w:w="108" w:type="dxa"/>
          </w:tblCellMar>
        </w:tblPrEx>
        <w:trPr>
          <w:trHeight w:val="1638" w:hRule="atLeast"/>
        </w:trPr>
        <w:tc>
          <w:tcPr>
            <w:tcW w:w="5075" w:type="dxa"/>
            <w:shd w:val="clear" w:color="auto" w:fill="auto"/>
          </w:tcPr>
          <w:p w14:paraId="204825AE">
            <w:pPr>
              <w:pStyle w:val="20"/>
              <w:rPr>
                <w:lang w:val="en-US"/>
              </w:rPr>
            </w:pPr>
            <w:r>
              <w:t>Банк</w:t>
            </w:r>
            <w:r>
              <w:rPr>
                <w:lang w:val="en-US"/>
              </w:rPr>
              <w:t xml:space="preserve">: ОКЦ № 1 ГУ Банка России по ЦФО//УФК по Московской области г. Москва</w:t>
            </w:r>
          </w:p>
          <w:p w14:paraId="17A6F496">
            <w:pPr>
              <w:pStyle w:val="20"/>
              <w:rPr>
                <w:lang w:val="en-US"/>
              </w:rPr>
            </w:pPr>
            <w:r>
              <w:t>БИК</w:t>
            </w:r>
            <w:r>
              <w:rPr>
                <w:lang w:val="en-US"/>
              </w:rPr>
              <w:t xml:space="preserve"> 004525987</w:t>
            </w:r>
          </w:p>
          <w:p w14:paraId="1930768E">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03234643467600004800</w:t>
            </w:r>
            <w:r>
              <w:rPr>
                <w:rFonts w:cstheme="minorHAnsi"/>
                <w:shd w:val="clear" w:color="auto" w:fill="FFFFFF"/>
                <w:lang w:val="en-US"/>
              </w:rPr>
              <w:t xml:space="preserve"/>
            </w:r>
          </w:p>
          <w:p w14:paraId="673D7C66">
            <w:pPr>
              <w:pStyle w:val="20"/>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14:paraId="445CECA6">
            <w:pPr>
              <w:pStyle w:val="20"/>
              <w:rPr>
                <w:lang w:val="en-US"/>
              </w:rPr>
            </w:pPr>
            <w:r>
              <w:t>ОКПО</w:t>
            </w:r>
            <w:r>
              <w:rPr>
                <w:lang w:val="en-US"/>
              </w:rPr>
              <w:t xml:space="preserve"> ________________</w:t>
            </w:r>
          </w:p>
          <w:p w14:paraId="013694D6">
            <w:pPr>
              <w:pStyle w:val="20"/>
              <w:rPr>
                <w:lang w:val="en-US"/>
              </w:rPr>
            </w:pPr>
            <w:r>
              <w:t>ОКТМО</w:t>
            </w:r>
            <w:r>
              <w:rPr>
                <w:lang w:val="en-US"/>
              </w:rPr>
              <w:t xml:space="preserve"> 46760000001</w:t>
            </w:r>
          </w:p>
          <w:p w14:paraId="1E8D5DF9">
            <w:pPr>
              <w:pStyle w:val="20"/>
              <w:rPr>
                <w:lang w:val="en-US"/>
              </w:rPr>
            </w:pPr>
            <w:r>
              <w:rPr>
                <w:lang w:eastAsia="en-US"/>
              </w:rPr>
              <w:t xml:space="preserve">ОКОПФ </w:t>
            </w:r>
            <w:r>
              <w:rPr>
                <w:lang w:val="en-US" w:eastAsia="en-US"/>
              </w:rPr>
              <w:t xml:space="preserve">________________</w:t>
            </w:r>
            <w:r>
              <w:rPr>
                <w:rFonts w:cstheme="minorHAnsi"/>
                <w:color w:val="222222"/>
                <w:shd w:val="clear" w:color="auto" w:fill="FFFFFF"/>
              </w:rPr>
              <w:t/>
            </w:r>
            <w:r>
              <w:rPr>
                <w:lang w:val="en-US" w:eastAsia="en-US"/>
              </w:rPr>
              <w:t xml:space="preserve"/>
            </w:r>
          </w:p>
        </w:tc>
        <w:tc>
          <w:tcPr>
            <w:tcW w:w="5633" w:type="dxa"/>
            <w:shd w:val="clear" w:color="auto" w:fill="auto"/>
          </w:tcPr>
          <w:p/>
        </w:tc>
      </w:tr>
      <w:tr w14:paraId="5EA54B44">
        <w:tblPrEx>
          <w:tblCellMar>
            <w:top w:w="0" w:type="dxa"/>
            <w:left w:w="108" w:type="dxa"/>
            <w:bottom w:w="0" w:type="dxa"/>
            <w:right w:w="108" w:type="dxa"/>
          </w:tblCellMar>
        </w:tblPrEx>
        <w:trPr>
          <w:trHeight w:val="657" w:hRule="atLeast"/>
        </w:trPr>
        <w:tc>
          <w:tcPr>
            <w:tcW w:w="5075" w:type="dxa"/>
            <w:shd w:val="clear" w:color="auto" w:fill="auto"/>
          </w:tcPr>
          <w:p w14:paraId="3AA352D2">
            <w:pPr>
              <w:pStyle w:val="20"/>
            </w:pPr>
            <w:r>
              <w:t xml:space="preserve">телефон (факс): 7-496-7600687</w:t>
            </w:r>
            <w:r>
              <w:rPr>
                <w:lang w:val="en-US"/>
              </w:rPr>
              <w:t/>
            </w:r>
            <w:r>
              <w:t xml:space="preserve"/>
            </w:r>
          </w:p>
          <w:p w14:paraId="24B2BA93">
            <w:pPr>
              <w:pStyle w:val="20"/>
            </w:pPr>
            <w:r>
              <w:t xml:space="preserve">адрес электронной почты: fsk_zareche@mail.ru</w:t>
            </w:r>
            <w:r>
              <w:rPr>
                <w:lang w:val="en-US"/>
              </w:rPr>
              <w:t/>
            </w:r>
            <w:r>
              <w:t xml:space="preserve"/>
            </w:r>
          </w:p>
        </w:tc>
        <w:tc>
          <w:tcPr>
            <w:tcW w:w="5633" w:type="dxa"/>
            <w:shd w:val="clear" w:color="auto" w:fill="auto"/>
          </w:tcPr>
          <w:p w14:paraId="1A990003">
            <w:pPr>
              <w:pStyle w:val="20"/>
            </w:pPr>
            <w:r>
              <w:t xml:space="preserve">телефон (факс): ________________</w:t>
            </w:r>
            <w:r>
              <w:rPr>
                <w:lang w:val="en-US"/>
              </w:rPr>
              <w:t/>
            </w:r>
            <w:r>
              <w:t xml:space="preserve"/>
            </w:r>
          </w:p>
          <w:p w14:paraId="7342E8EB">
            <w:pPr>
              <w:pStyle w:val="20"/>
            </w:pPr>
            <w:r>
              <w:t xml:space="preserve">адрес электронной почты: ________________</w:t>
            </w:r>
            <w:r>
              <w:rPr>
                <w:lang w:val="en-US"/>
              </w:rPr>
              <w:t/>
            </w:r>
            <w:r>
              <w:t xml:space="preserve"/>
            </w:r>
          </w:p>
        </w:tc>
      </w:tr>
    </w:tbl>
    <w:tbl>
      <w:tblPr>
        <w:tblStyle w:val="18"/>
        <w:tblpPr w:leftFromText="180" w:rightFromText="180" w:vertAnchor="text" w:horzAnchor="margin" w:tblpX="-142" w:tblpY="256"/>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35C8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5C1DA7B9">
            <w:pPr>
              <w:pStyle w:val="20"/>
              <w:rPr>
                <w:lang w:val="en-US"/>
              </w:rPr>
            </w:pPr>
            <w:r>
              <w:rPr>
                <w:lang w:val="en-US"/>
              </w:rPr>
              <w:t xml:space="preserve">Заказчик:</w:t>
            </w:r>
          </w:p>
        </w:tc>
        <w:tc>
          <w:tcPr>
            <w:tcW w:w="5103" w:type="dxa"/>
            <w:gridSpan w:val="3"/>
          </w:tcPr>
          <w:p w14:paraId="7D342720">
            <w:pPr>
              <w:pStyle w:val="20"/>
              <w:rPr>
                <w:lang w:val="en-US"/>
              </w:rPr>
            </w:pPr>
            <w:r>
              <w:rPr>
                <w:lang w:val="en-US"/>
              </w:rPr>
              <w:t xml:space="preserve">Исполнитель:</w:t>
            </w:r>
          </w:p>
        </w:tc>
      </w:tr>
      <w:tr w14:paraId="2B15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2D7BC087">
            <w:pPr>
              <w:pStyle w:val="20"/>
              <w:rPr>
                <w:lang w:val="en-US"/>
              </w:rPr>
            </w:pPr>
          </w:p>
        </w:tc>
        <w:tc>
          <w:tcPr>
            <w:tcW w:w="1418" w:type="dxa"/>
          </w:tcPr>
          <w:p w14:paraId="7B3426B2">
            <w:pPr>
              <w:pStyle w:val="20"/>
              <w:rPr>
                <w:lang w:val="en-US"/>
              </w:rPr>
            </w:pPr>
          </w:p>
        </w:tc>
        <w:tc>
          <w:tcPr>
            <w:tcW w:w="1701" w:type="dxa"/>
          </w:tcPr>
          <w:p w14:paraId="0F98AA03">
            <w:pPr>
              <w:pStyle w:val="20"/>
              <w:rPr>
                <w:lang w:val="en-US"/>
              </w:rPr>
            </w:pPr>
          </w:p>
        </w:tc>
        <w:tc>
          <w:tcPr>
            <w:tcW w:w="1842" w:type="dxa"/>
          </w:tcPr>
          <w:p w14:paraId="138E1E5D">
            <w:pPr>
              <w:pStyle w:val="20"/>
              <w:rPr>
                <w:lang w:val="en-US"/>
              </w:rPr>
            </w:pPr>
          </w:p>
        </w:tc>
        <w:tc>
          <w:tcPr>
            <w:tcW w:w="1418" w:type="dxa"/>
          </w:tcPr>
          <w:p w14:paraId="373CAEAF">
            <w:pPr>
              <w:pStyle w:val="20"/>
              <w:rPr>
                <w:lang w:val="en-US"/>
              </w:rPr>
            </w:pPr>
          </w:p>
        </w:tc>
        <w:tc>
          <w:tcPr>
            <w:tcW w:w="1843" w:type="dxa"/>
          </w:tcPr>
          <w:p w14:paraId="2160163A">
            <w:pPr>
              <w:pStyle w:val="20"/>
              <w:rPr>
                <w:lang w:val="en-US"/>
              </w:rPr>
            </w:pPr>
          </w:p>
        </w:tc>
      </w:tr>
      <w:tr w14:paraId="2854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630CC7D">
            <w:pPr>
              <w:pStyle w:val="20"/>
              <w:rPr>
                <w:lang w:val="en-US"/>
              </w:rPr>
            </w:pPr>
            <w:r>
              <w:rPr>
                <w:lang w:val="en-US"/>
              </w:rPr>
              <w:t xml:space="preserve">Директор</w:t>
            </w:r>
          </w:p>
        </w:tc>
        <w:tc>
          <w:tcPr>
            <w:tcW w:w="1418" w:type="dxa"/>
          </w:tcPr>
          <w:p w14:paraId="284F1AD4">
            <w:pPr>
              <w:pStyle w:val="20"/>
              <w:rPr>
                <w:lang w:val="en-US"/>
              </w:rPr>
            </w:pPr>
            <w:r>
              <w:rPr>
                <w:lang w:val="en-US"/>
              </w:rPr>
              <w:t>__________</w:t>
            </w:r>
          </w:p>
        </w:tc>
        <w:tc>
          <w:tcPr>
            <w:tcW w:w="1701" w:type="dxa"/>
          </w:tcPr>
          <w:p w14:paraId="33543A76">
            <w:pPr>
              <w:pStyle w:val="20"/>
              <w:rPr>
                <w:lang w:val="en-US"/>
              </w:rPr>
            </w:pPr>
            <w:r>
              <w:rPr>
                <w:lang w:val="en-US"/>
              </w:rPr>
              <w:t xml:space="preserve">(Р. М. Пайгин)</w:t>
            </w:r>
          </w:p>
        </w:tc>
        <w:tc>
          <w:tcPr>
            <w:tcW w:w="1842" w:type="dxa"/>
          </w:tcPr>
          <w:p w14:paraId="7F23DB6B">
            <w:pPr>
              <w:pStyle w:val="20"/>
              <w:rPr>
                <w:lang w:val="en-US"/>
              </w:rPr>
            </w:pPr>
            <w:r>
              <w:rPr>
                <w:lang w:val="en-US"/>
              </w:rPr>
              <w:t xml:space="preserve">________________</w:t>
            </w:r>
          </w:p>
        </w:tc>
        <w:tc>
          <w:tcPr>
            <w:tcW w:w="1418" w:type="dxa"/>
          </w:tcPr>
          <w:p w14:paraId="6007F1FB">
            <w:pPr>
              <w:pStyle w:val="20"/>
              <w:rPr>
                <w:lang w:val="en-US"/>
              </w:rPr>
            </w:pPr>
            <w:r>
              <w:rPr>
                <w:lang w:val="en-US"/>
              </w:rPr>
              <w:t>__________</w:t>
            </w:r>
          </w:p>
        </w:tc>
        <w:tc>
          <w:tcPr>
            <w:tcW w:w="1843" w:type="dxa"/>
          </w:tcPr>
          <w:p w14:paraId="0934C26D">
            <w:pPr>
              <w:pStyle w:val="20"/>
              <w:rPr>
                <w:lang w:val="en-US"/>
              </w:rPr>
            </w:pPr>
            <w:r>
              <w:rPr>
                <w:lang w:val="en-US"/>
              </w:rPr>
              <w:t xml:space="preserve">(________________)</w:t>
            </w:r>
          </w:p>
        </w:tc>
      </w:tr>
    </w:tbl>
    <w:p w14:paraId="3348E5F2"/>
    <w:sectPr>
      <w:headerReference r:id="rId3" w:type="default"/>
      <w:pgSz w:w="11906" w:h="16838"/>
      <w:pgMar w:top="1134" w:right="567" w:bottom="1134" w:left="1134"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sdtPr>
    <w:sdtContent>
      <w:p w14:paraId="7427C6E0">
        <w:pPr>
          <w:pStyle w:val="16"/>
          <w:jc w:val="center"/>
        </w:pPr>
        <w:r>
          <w:fldChar w:fldCharType="begin"/>
        </w:r>
        <w:r>
          <w:instrText xml:space="preserve">PAGE   \* MERGEFORMAT</w:instrText>
        </w:r>
        <w:r>
          <w:fldChar w:fldCharType="separate"/>
        </w:r>
        <w: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62CCA"/>
    <w:multiLevelType w:val="multilevel"/>
    <w:tmpl w:val="7E362CCA"/>
    <w:lvl w:ilvl="0" w:tentative="0">
      <w:start w:val="1"/>
      <w:numFmt w:val="decimal"/>
      <w:pStyle w:val="31"/>
      <w:suff w:val="space"/>
      <w:lvlText w:val="%1."/>
      <w:lvlJc w:val="left"/>
      <w:pPr>
        <w:ind w:left="0" w:firstLine="0"/>
      </w:pPr>
      <w:rPr>
        <w:rFonts w:hint="default"/>
        <w:sz w:val="24"/>
      </w:rPr>
    </w:lvl>
    <w:lvl w:ilvl="1" w:tentative="0">
      <w:start w:val="1"/>
      <w:numFmt w:val="decimal"/>
      <w:pStyle w:val="32"/>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pStyle w:val="34"/>
      <w:suff w:val="space"/>
      <w:lvlText w:val="%1.%2.%3."/>
      <w:lvlJc w:val="left"/>
      <w:pPr>
        <w:ind w:left="708" w:firstLine="709"/>
      </w:pPr>
      <w:rPr>
        <w:rFonts w:hint="default" w:ascii="Times New Roman" w:hAnsi="Times New Roman" w:cs="Times New Roman"/>
        <w:sz w:val="24"/>
        <w:szCs w:val="24"/>
      </w:rPr>
    </w:lvl>
    <w:lvl w:ilvl="3" w:tentative="0">
      <w:start w:val="1"/>
      <w:numFmt w:val="decimal"/>
      <w:lvlText w:val="(%4)"/>
      <w:lvlJc w:val="left"/>
      <w:pPr>
        <w:ind w:left="1440" w:hanging="360"/>
      </w:pPr>
      <w:rPr>
        <w:rFonts w:hint="default"/>
      </w:rPr>
    </w:lvl>
    <w:lvl w:ilvl="4" w:tentative="0">
      <w:start w:val="1"/>
      <w:numFmt w:val="lowerLetter"/>
      <w:lvlText w:val="(%5)"/>
      <w:lvlJc w:val="left"/>
      <w:pPr>
        <w:ind w:left="1800" w:hanging="360"/>
      </w:pPr>
      <w:rPr>
        <w:rFonts w:hint="default"/>
      </w:rPr>
    </w:lvl>
    <w:lvl w:ilvl="5" w:tentative="0">
      <w:start w:val="1"/>
      <w:numFmt w:val="lowerRoman"/>
      <w:lvlText w:val="(%6)"/>
      <w:lvlJc w:val="left"/>
      <w:pPr>
        <w:ind w:left="2160" w:hanging="360"/>
      </w:pPr>
      <w:rPr>
        <w:rFonts w:hint="default"/>
      </w:rPr>
    </w:lvl>
    <w:lvl w:ilvl="6" w:tentative="0">
      <w:start w:val="1"/>
      <w:numFmt w:val="decimal"/>
      <w:lvlText w:val="%7."/>
      <w:lvlJc w:val="left"/>
      <w:pPr>
        <w:ind w:left="2520" w:hanging="360"/>
      </w:pPr>
      <w:rPr>
        <w:rFonts w:hint="default"/>
      </w:rPr>
    </w:lvl>
    <w:lvl w:ilvl="7" w:tentative="0">
      <w:start w:val="1"/>
      <w:numFmt w:val="lowerLetter"/>
      <w:lvlText w:val="%8."/>
      <w:lvlJc w:val="left"/>
      <w:pPr>
        <w:ind w:left="2880" w:hanging="360"/>
      </w:pPr>
      <w:rPr>
        <w:rFonts w:hint="default"/>
      </w:rPr>
    </w:lvl>
    <w:lvl w:ilvl="8" w:tentative="0">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Emphasis"/>
    <w:basedOn w:val="5"/>
    <w:qFormat/>
    <w:uiPriority w:val="20"/>
    <w:rPr>
      <w:i/>
      <w:iCs/>
    </w:rPr>
  </w:style>
  <w:style w:type="character" w:styleId="11">
    <w:name w:val="Hyperlink"/>
    <w:qFormat/>
    <w:uiPriority w:val="0"/>
    <w:rPr>
      <w:color w:val="000080"/>
      <w:u w:val="single"/>
    </w:rPr>
  </w:style>
  <w:style w:type="paragraph" w:styleId="12">
    <w:name w:val="Balloon Text"/>
    <w:basedOn w:val="1"/>
    <w:link w:val="24"/>
    <w:semiHidden/>
    <w:unhideWhenUsed/>
    <w:qFormat/>
    <w:uiPriority w:val="99"/>
    <w:rPr>
      <w:rFonts w:ascii="Segoe UI" w:hAnsi="Segoe UI" w:cs="Segoe UI"/>
      <w:sz w:val="18"/>
      <w:szCs w:val="18"/>
    </w:rPr>
  </w:style>
  <w:style w:type="paragraph" w:styleId="13">
    <w:name w:val="annotation text"/>
    <w:basedOn w:val="1"/>
    <w:link w:val="25"/>
    <w:unhideWhenUsed/>
    <w:qFormat/>
    <w:uiPriority w:val="99"/>
    <w:rPr>
      <w:sz w:val="20"/>
      <w:szCs w:val="20"/>
    </w:rPr>
  </w:style>
  <w:style w:type="paragraph" w:styleId="14">
    <w:name w:val="annotation subject"/>
    <w:basedOn w:val="13"/>
    <w:next w:val="13"/>
    <w:link w:val="26"/>
    <w:semiHidden/>
    <w:unhideWhenUsed/>
    <w:qFormat/>
    <w:uiPriority w:val="99"/>
    <w:rPr>
      <w:b/>
      <w:bCs/>
    </w:rPr>
  </w:style>
  <w:style w:type="paragraph" w:styleId="15">
    <w:name w:val="footnote text"/>
    <w:basedOn w:val="1"/>
    <w:link w:val="27"/>
    <w:qFormat/>
    <w:uiPriority w:val="99"/>
    <w:rPr>
      <w:sz w:val="20"/>
      <w:szCs w:val="20"/>
    </w:rPr>
  </w:style>
  <w:style w:type="paragraph" w:styleId="16">
    <w:name w:val="header"/>
    <w:basedOn w:val="1"/>
    <w:link w:val="28"/>
    <w:unhideWhenUsed/>
    <w:qFormat/>
    <w:uiPriority w:val="99"/>
    <w:pPr>
      <w:tabs>
        <w:tab w:val="center" w:pos="4677"/>
        <w:tab w:val="right" w:pos="9355"/>
      </w:tabs>
    </w:pPr>
  </w:style>
  <w:style w:type="paragraph" w:styleId="17">
    <w:name w:val="footer"/>
    <w:basedOn w:val="1"/>
    <w:link w:val="29"/>
    <w:unhideWhenUsed/>
    <w:qFormat/>
    <w:uiPriority w:val="99"/>
    <w:pPr>
      <w:tabs>
        <w:tab w:val="center" w:pos="4677"/>
        <w:tab w:val="right" w:pos="9355"/>
      </w:tabs>
    </w:pPr>
  </w:style>
  <w:style w:type="table" w:styleId="18">
    <w:name w:val="Table Grid"/>
    <w:basedOn w:val="6"/>
    <w:qFormat/>
    <w:uiPriority w:val="39"/>
    <w:rPr>
      <w:rFonts w:ascii="Times New Roman" w:hAnsi="Times New Roman" w:eastAsia="Times New Roman" w:cs="Times New Roman"/>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Заголовок таблицы1"/>
    <w:basedOn w:val="1"/>
    <w:link w:val="21"/>
    <w:qFormat/>
    <w:uiPriority w:val="0"/>
    <w:rPr>
      <w:b/>
    </w:rPr>
  </w:style>
  <w:style w:type="paragraph" w:customStyle="1" w:styleId="20">
    <w:name w:val="Тест таблицы"/>
    <w:basedOn w:val="1"/>
    <w:link w:val="22"/>
    <w:qFormat/>
    <w:uiPriority w:val="0"/>
    <w:pPr>
      <w:ind w:firstLine="0"/>
      <w:jc w:val="left"/>
    </w:pPr>
  </w:style>
  <w:style w:type="character" w:customStyle="1" w:styleId="21">
    <w:name w:val="Заголовок таблицы1 Знак"/>
    <w:basedOn w:val="5"/>
    <w:link w:val="19"/>
    <w:qFormat/>
    <w:uiPriority w:val="0"/>
    <w:rPr>
      <w:rFonts w:ascii="Times New Roman" w:hAnsi="Times New Roman" w:eastAsia="Times New Roman" w:cs="Times New Roman"/>
      <w:b/>
      <w:sz w:val="24"/>
      <w:szCs w:val="24"/>
      <w:lang w:eastAsia="ar-SA"/>
    </w:rPr>
  </w:style>
  <w:style w:type="character" w:customStyle="1" w:styleId="22">
    <w:name w:val="Тест таблицы Знак"/>
    <w:basedOn w:val="5"/>
    <w:link w:val="20"/>
    <w:qFormat/>
    <w:uiPriority w:val="0"/>
    <w:rPr>
      <w:rFonts w:ascii="Times New Roman" w:hAnsi="Times New Roman" w:eastAsia="Times New Roman" w:cs="Times New Roman"/>
      <w:sz w:val="24"/>
      <w:szCs w:val="24"/>
      <w:lang w:eastAsia="ar-SA"/>
    </w:rPr>
  </w:style>
  <w:style w:type="paragraph" w:customStyle="1" w:styleId="23">
    <w:name w:val="Рецензия1"/>
    <w:hidden/>
    <w:semiHidden/>
    <w:qFormat/>
    <w:uiPriority w:val="99"/>
    <w:rPr>
      <w:rFonts w:ascii="Times New Roman" w:hAnsi="Times New Roman" w:eastAsia="Times New Roman" w:cs="Times New Roman"/>
      <w:sz w:val="24"/>
      <w:szCs w:val="24"/>
      <w:lang w:val="ru-RU" w:eastAsia="ar-SA" w:bidi="ar-SA"/>
    </w:rPr>
  </w:style>
  <w:style w:type="character" w:customStyle="1" w:styleId="24">
    <w:name w:val="Текст выноски Знак"/>
    <w:basedOn w:val="5"/>
    <w:link w:val="12"/>
    <w:semiHidden/>
    <w:qFormat/>
    <w:uiPriority w:val="99"/>
    <w:rPr>
      <w:rFonts w:ascii="Segoe UI" w:hAnsi="Segoe UI" w:eastAsia="Times New Roman" w:cs="Segoe UI"/>
      <w:sz w:val="18"/>
      <w:szCs w:val="18"/>
      <w:lang w:eastAsia="ar-SA"/>
    </w:rPr>
  </w:style>
  <w:style w:type="character" w:customStyle="1" w:styleId="25">
    <w:name w:val="Текст примечания Знак"/>
    <w:basedOn w:val="5"/>
    <w:link w:val="13"/>
    <w:qFormat/>
    <w:uiPriority w:val="99"/>
    <w:rPr>
      <w:rFonts w:ascii="Times New Roman" w:hAnsi="Times New Roman" w:eastAsia="Times New Roman" w:cs="Times New Roman"/>
      <w:sz w:val="20"/>
      <w:szCs w:val="20"/>
      <w:lang w:eastAsia="ar-SA"/>
    </w:rPr>
  </w:style>
  <w:style w:type="character" w:customStyle="1" w:styleId="26">
    <w:name w:val="Тема примечания Знак"/>
    <w:basedOn w:val="25"/>
    <w:link w:val="14"/>
    <w:semiHidden/>
    <w:qFormat/>
    <w:uiPriority w:val="99"/>
    <w:rPr>
      <w:rFonts w:ascii="Times New Roman" w:hAnsi="Times New Roman" w:eastAsia="Times New Roman" w:cs="Times New Roman"/>
      <w:b/>
      <w:bCs/>
      <w:sz w:val="20"/>
      <w:szCs w:val="20"/>
      <w:lang w:eastAsia="ar-SA"/>
    </w:rPr>
  </w:style>
  <w:style w:type="character" w:customStyle="1" w:styleId="27">
    <w:name w:val="Текст сноски Знак"/>
    <w:basedOn w:val="5"/>
    <w:link w:val="15"/>
    <w:qFormat/>
    <w:uiPriority w:val="99"/>
    <w:rPr>
      <w:rFonts w:ascii="Times New Roman" w:hAnsi="Times New Roman" w:eastAsia="Times New Roman" w:cs="Times New Roman"/>
      <w:sz w:val="20"/>
      <w:szCs w:val="20"/>
      <w:lang w:eastAsia="ar-SA"/>
    </w:rPr>
  </w:style>
  <w:style w:type="character" w:customStyle="1" w:styleId="28">
    <w:name w:val="Верхний колонтитул Знак"/>
    <w:basedOn w:val="5"/>
    <w:link w:val="16"/>
    <w:qFormat/>
    <w:uiPriority w:val="99"/>
    <w:rPr>
      <w:rFonts w:ascii="Times New Roman" w:hAnsi="Times New Roman" w:eastAsia="Times New Roman" w:cs="Times New Roman"/>
      <w:sz w:val="24"/>
      <w:szCs w:val="24"/>
      <w:lang w:eastAsia="ar-SA"/>
    </w:rPr>
  </w:style>
  <w:style w:type="character" w:customStyle="1" w:styleId="29">
    <w:name w:val="Нижний колонтитул Знак"/>
    <w:basedOn w:val="5"/>
    <w:link w:val="17"/>
    <w:qFormat/>
    <w:uiPriority w:val="99"/>
    <w:rPr>
      <w:rFonts w:ascii="Times New Roman" w:hAnsi="Times New Roman" w:eastAsia="Times New Roman" w:cs="Times New Roman"/>
      <w:sz w:val="24"/>
      <w:szCs w:val="24"/>
      <w:lang w:eastAsia="ar-SA"/>
    </w:rPr>
  </w:style>
  <w:style w:type="paragraph" w:styleId="30">
    <w:name w:val="List Paragraph"/>
    <w:basedOn w:val="1"/>
    <w:qFormat/>
    <w:uiPriority w:val="34"/>
    <w:pPr>
      <w:ind w:left="720"/>
      <w:contextualSpacing/>
    </w:pPr>
  </w:style>
  <w:style w:type="paragraph" w:customStyle="1" w:styleId="31">
    <w:name w:val="Раздел контракта"/>
    <w:basedOn w:val="2"/>
    <w:next w:val="1"/>
    <w:qFormat/>
    <w:uiPriority w:val="0"/>
    <w:pPr>
      <w:keepNext w:val="0"/>
      <w:keepLines w:val="0"/>
      <w:numPr>
        <w:ilvl w:val="0"/>
        <w:numId w:val="1"/>
      </w:numPr>
      <w:spacing w:before="120" w:after="120"/>
      <w:jc w:val="center"/>
    </w:pPr>
    <w:rPr>
      <w:rFonts w:ascii="Times New Roman" w:hAnsi="Times New Roman"/>
      <w:color w:val="auto"/>
      <w:sz w:val="24"/>
      <w:lang w:eastAsia="en-US"/>
    </w:rPr>
  </w:style>
  <w:style w:type="paragraph" w:customStyle="1" w:styleId="32">
    <w:name w:val="Пункт контракта"/>
    <w:basedOn w:val="3"/>
    <w:qFormat/>
    <w:uiPriority w:val="0"/>
    <w:pPr>
      <w:keepNext w:val="0"/>
      <w:keepLines w:val="0"/>
      <w:numPr>
        <w:ilvl w:val="1"/>
        <w:numId w:val="1"/>
      </w:numPr>
      <w:spacing w:before="0"/>
      <w:ind w:left="0"/>
    </w:pPr>
    <w:rPr>
      <w:rFonts w:ascii="Times New Roman" w:hAnsi="Times New Roman"/>
      <w:color w:val="auto"/>
      <w:sz w:val="24"/>
    </w:rPr>
  </w:style>
  <w:style w:type="character" w:customStyle="1" w:styleId="33">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paragraph" w:customStyle="1" w:styleId="34">
    <w:name w:val="Подпункт контракта"/>
    <w:basedOn w:val="4"/>
    <w:qFormat/>
    <w:uiPriority w:val="0"/>
    <w:pPr>
      <w:keepNext w:val="0"/>
      <w:keepLines w:val="0"/>
      <w:numPr>
        <w:ilvl w:val="2"/>
        <w:numId w:val="1"/>
      </w:numPr>
      <w:spacing w:before="0"/>
    </w:pPr>
    <w:rPr>
      <w:rFonts w:ascii="Times New Roman" w:hAnsi="Times New Roman"/>
      <w:color w:val="auto"/>
      <w:lang w:eastAsia="en-US"/>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6">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 w:type="character" w:customStyle="1" w:styleId="37">
    <w:name w:val="y2iqfc"/>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100C-B4C9-49BC-9ED9-945C11405C43}">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Pages>
  <Words>656</Words>
  <Characters>6744</Characters>
  <Lines>192</Lines>
  <Paragraphs>97</Paragraphs>
  <TotalTime>28</TotalTime>
  <ScaleCrop>false</ScaleCrop>
  <LinksUpToDate>false</LinksUpToDate>
  <CharactersWithSpaces>7202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2026-04-17T13:12:00Z</dcterms:created>
  <dc:creator>slnk slnk</dc:creator>
  <cp:lastModifiedBy>KudinkinaDV</cp:lastModifiedBy>
  <cp:lastPrinted>2020-08-06T06:42:00Z</cp:lastPrinted>
  <dcterms:modified xsi:type="dcterms:W3CDTF">2026-09-04T14:21:23Z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