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9.xml" ContentType="application/vnd.openxmlformats-officedocument.wordprocessingml.header+xml"/>
  <Override PartName="/word/header7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8.xml" ContentType="application/vnd.openxmlformats-officedocument.wordprocessingml.header+xml"/>
  <Override PartName="/word/header6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XO Thames" w:hAnsi="XO Thames" w:eastAsia="Calibri"/>
          <w:lang w:eastAsia="en-US"/>
        </w:rPr>
      </w:pPr>
      <w:r>
        <w:rPr>
          <w:rFonts w:ascii="XO Thames" w:hAnsi="XO Thames" w:eastAsia="Calibri"/>
          <w:lang w:eastAsia="en-US"/>
        </w:rPr>
        <w:t xml:space="preserve">Приложение № 1 </w:t>
      </w:r>
      <w:r>
        <w:rPr>
          <w:rFonts w:ascii="XO Thames" w:hAnsi="XO Thames" w:eastAsia="XO Thames" w:cs="XO Thames"/>
        </w:rPr>
        <w:t xml:space="preserve">к извещению об открытом конкурсе в электронной форме</w:t>
      </w:r>
      <w:r>
        <w:rPr>
          <w:rFonts w:ascii="XO Thames" w:hAnsi="XO Thames" w:eastAsia="Calibri"/>
          <w:lang w:eastAsia="en-US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  <w:t xml:space="preserve">ПРОЕКТ</w:t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  <w:t xml:space="preserve">Контракт № </w:t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  <w:lang w:eastAsia="ru-RU"/>
        </w:rPr>
      </w:pPr>
      <w:r>
        <w:rPr>
          <w:rFonts w:ascii="XO Thames" w:hAnsi="XO Thames"/>
          <w:b/>
          <w:bCs/>
          <w:color w:val="000000" w:themeColor="text1"/>
          <w:lang w:eastAsia="ru-RU"/>
        </w:rPr>
        <w:t xml:space="preserve">на выполнение работ по развитию государственной информационной системы «Единый цифровой профиль жителя и гостя федеральной территории «Сириус» </w:t>
      </w:r>
      <w:r>
        <w:rPr>
          <w:rFonts w:ascii="XO Thames" w:hAnsi="XO Thames"/>
          <w:b/>
          <w:bCs/>
          <w:color w:val="000000" w:themeColor="text1"/>
          <w:lang w:eastAsia="ru-RU"/>
        </w:rPr>
        <w:br/>
      </w:r>
      <w:r>
        <w:rPr>
          <w:rFonts w:ascii="XO Thames" w:hAnsi="XO Thames"/>
          <w:b/>
          <w:bCs/>
          <w:color w:val="000000" w:themeColor="text1"/>
          <w:lang w:eastAsia="ru-RU"/>
        </w:rPr>
        <w:t xml:space="preserve">(«Сириус – просветительская среда») в части подсистемы «Межведомственное взаимодействие», создание сервисов «Социальный помощник», «Читательский билет», «Аккредитация»</w:t>
      </w:r>
      <w:r>
        <w:rPr>
          <w:rFonts w:ascii="XO Thames" w:hAnsi="XO Thames"/>
          <w:b/>
          <w:bCs/>
          <w:color w:val="000000" w:themeColor="text1"/>
          <w:lang w:eastAsia="ru-RU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  <w:lang w:eastAsia="ru-RU"/>
          <w14:ligatures w14:val="none"/>
        </w:rPr>
      </w:pPr>
      <w:r>
        <w:rPr>
          <w:rFonts w:ascii="XO Thames" w:hAnsi="XO Thames"/>
          <w:b/>
          <w:bCs/>
          <w:color w:val="000000" w:themeColor="text1"/>
        </w:rPr>
        <w:t xml:space="preserve">ИКЗ: </w:t>
      </w:r>
      <w:r>
        <w:rPr>
          <w:rFonts w:ascii="XO Thames" w:hAnsi="XO Thames"/>
          <w:b/>
          <w:bCs/>
          <w:color w:val="000000" w:themeColor="text1"/>
          <w:lang w:eastAsia="ru-RU"/>
        </w:rPr>
        <w:t xml:space="preserve">262236702622223780100101510016201242</w:t>
      </w:r>
      <w:r>
        <w:rPr>
          <w:rFonts w:ascii="XO Thames" w:hAnsi="XO Thames"/>
          <w:b/>
          <w:bCs/>
          <w:color w:val="000000" w:themeColor="text1"/>
          <w:lang w:eastAsia="ru-RU"/>
        </w:rPr>
      </w:r>
      <w:r>
        <w:rPr>
          <w:rFonts w:ascii="XO Thames" w:hAnsi="XO Thames"/>
          <w:b/>
          <w:bCs/>
          <w:color w:val="000000" w:themeColor="text1"/>
          <w:lang w:eastAsia="ru-RU"/>
          <w14:ligatures w14:val="none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</w:r>
      <w:r>
        <w:rPr>
          <w:rFonts w:ascii="XO Thames" w:hAnsi="XO Thames"/>
          <w:b/>
          <w:bCs/>
          <w:color w:val="000000" w:themeColor="text1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52"/>
        <w:gridCol w:w="4969"/>
      </w:tblGrid>
      <w:tr>
        <w:tblPrEx/>
        <w:trPr>
          <w:trHeight w:val="270"/>
        </w:trPr>
        <w:tc>
          <w:tcPr>
            <w:tcW w:w="4952" w:type="dxa"/>
            <w:textDirection w:val="lrTb"/>
            <w:noWrap w:val="false"/>
          </w:tcPr>
          <w:p>
            <w:pPr>
              <w:pStyle w:val="877"/>
              <w:ind w:hanging="112"/>
              <w:jc w:val="left"/>
              <w:spacing w:before="0" w:after="0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федеральная территория «Сириус»</w:t>
            </w:r>
            <w:r>
              <w:rPr>
                <w:rFonts w:ascii="XO Thames" w:hAnsi="XO Thames"/>
                <w:color w:val="000000" w:themeColor="text1"/>
              </w:rPr>
            </w:r>
          </w:p>
        </w:tc>
        <w:tc>
          <w:tcPr>
            <w:tcW w:w="4968" w:type="dxa"/>
            <w:textDirection w:val="lrTb"/>
            <w:noWrap w:val="false"/>
          </w:tcPr>
          <w:p>
            <w:pPr>
              <w:pStyle w:val="877"/>
              <w:ind w:firstLine="0"/>
              <w:jc w:val="right"/>
              <w:spacing w:before="0" w:after="0"/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«___» ____________ 2026 г.</w:t>
            </w:r>
            <w:r>
              <w:rPr>
                <w:rFonts w:ascii="XO Thames" w:hAnsi="XO Thames"/>
                <w:color w:val="000000" w:themeColor="text1"/>
              </w:rPr>
            </w:r>
          </w:p>
        </w:tc>
      </w:tr>
    </w:tbl>
    <w:p>
      <w:pPr>
        <w:pStyle w:val="877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p>
      <w:pPr>
        <w:pStyle w:val="877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Государственное казенное учреждение</w:t>
      </w:r>
      <w:r>
        <w:rPr>
          <w:rFonts w:ascii="XO Thames" w:hAnsi="XO Thames"/>
          <w:color w:val="000000" w:themeColor="text1"/>
        </w:rPr>
        <w:t xml:space="preserve"> федеральной территории «Сириус»</w:t>
      </w:r>
      <w:r>
        <w:rPr>
          <w:rFonts w:ascii="XO Thames" w:hAnsi="XO Thames"/>
          <w:color w:val="000000" w:themeColor="text1"/>
        </w:rPr>
        <w:t xml:space="preserve"> «Цифра.ФТ» (ГКУ «Цифра.ФТ»), именуемое в дальнейшем «Заказчик», в лице директора Мартыненко Любови Вячеславовны, действующего на основании </w:t>
      </w:r>
      <w:r>
        <w:rPr>
          <w:rFonts w:ascii="XO Thames" w:hAnsi="XO Thames"/>
          <w:color w:val="000000" w:themeColor="text1"/>
        </w:rPr>
        <w:t xml:space="preserve">У</w:t>
      </w:r>
      <w:r>
        <w:rPr>
          <w:rFonts w:ascii="XO Thames" w:hAnsi="XO Thames"/>
          <w:color w:val="000000" w:themeColor="text1"/>
        </w:rPr>
        <w:t xml:space="preserve">става, с одной стороны, </w:t>
      </w:r>
      <w:r>
        <w:rPr>
          <w:rFonts w:ascii="XO Thames" w:hAnsi="XO Thames"/>
          <w:color w:val="000000" w:themeColor="text1"/>
        </w:rPr>
      </w:r>
    </w:p>
    <w:p>
      <w:pPr>
        <w:pStyle w:val="877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и ____________, именуемое в дальнейшем «Исполнитель», в лице ____________, действующего на основании ____________, с другой стороны, вместе именуемые «Стороны»,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и по отдельности «Сторона», с соблюдением требований Федерального закона от 05.04.2013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№ 44-ФЗ «О контрактной системе в сфере закупок товаров, работ, услуг для обеспечения государственн</w:t>
      </w:r>
      <w:r>
        <w:rPr>
          <w:rFonts w:ascii="XO Thames" w:hAnsi="XO Thames"/>
          <w:color w:val="000000" w:themeColor="text1"/>
        </w:rPr>
        <w:t xml:space="preserve">ых и муниципальных нужд» (далее </w:t>
      </w:r>
      <w:r>
        <w:rPr>
          <w:rFonts w:ascii="XO Thames" w:hAnsi="XO Thames"/>
          <w:color w:val="000000" w:themeColor="text1"/>
        </w:rPr>
        <w:t xml:space="preserve">–</w:t>
      </w:r>
      <w:r>
        <w:rPr>
          <w:rFonts w:ascii="XO Thames" w:hAnsi="XO Thames"/>
          <w:color w:val="000000" w:themeColor="text1"/>
        </w:rPr>
        <w:t xml:space="preserve"> </w:t>
      </w:r>
      <w:r>
        <w:rPr>
          <w:rFonts w:ascii="XO Thames" w:hAnsi="XO Thames"/>
          <w:color w:val="000000" w:themeColor="text1"/>
        </w:rPr>
        <w:t xml:space="preserve">Федеральный закон № 44-ФЗ),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в соответствии с протоколом подведения итогов определения поставщика (подрядчика, исполнителя) от ____________№ ____________, заключили настоящий Контракт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(далее – Контракт) о нижеследующем.</w:t>
      </w:r>
      <w:r>
        <w:rPr>
          <w:rFonts w:ascii="XO Thames" w:hAnsi="XO Thames"/>
          <w:color w:val="000000" w:themeColor="text1"/>
        </w:rPr>
      </w:r>
    </w:p>
    <w:p>
      <w:pPr>
        <w:pStyle w:val="877"/>
        <w:numPr>
          <w:ilvl w:val="0"/>
          <w:numId w:val="3"/>
        </w:numPr>
        <w:contextualSpacing w:val="0"/>
        <w:ind w:left="0" w:firstLine="0"/>
        <w:jc w:val="center"/>
        <w:spacing w:before="120" w:after="120"/>
        <w:rPr>
          <w:rFonts w:ascii="XO Thames" w:hAnsi="XO Thames"/>
          <w:b/>
          <w:bCs/>
          <w:color w:val="000000" w:themeColor="text1"/>
        </w:rPr>
      </w:pPr>
      <w:r>
        <w:rPr>
          <w:rFonts w:ascii="XO Thames" w:hAnsi="XO Thames"/>
          <w:b/>
          <w:bCs/>
          <w:color w:val="000000" w:themeColor="text1"/>
        </w:rPr>
        <w:t xml:space="preserve">ПРЕДМЕТ КОНТРАКТА</w:t>
      </w:r>
      <w:r>
        <w:rPr>
          <w:rFonts w:ascii="XO Thames" w:hAnsi="XO Thames"/>
          <w:b/>
          <w:bCs/>
          <w:color w:val="000000" w:themeColor="text1"/>
        </w:rPr>
      </w:r>
    </w:p>
    <w:p>
      <w:pPr>
        <w:pStyle w:val="877"/>
        <w:numPr>
          <w:ilvl w:val="1"/>
          <w:numId w:val="3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Предмет Контракта: выполнение работ по развитию государственной информационной системы «Единый ци</w:t>
      </w:r>
      <w:r>
        <w:rPr>
          <w:rFonts w:ascii="XO Thames" w:hAnsi="XO Thames"/>
          <w:color w:val="000000" w:themeColor="text1"/>
        </w:rPr>
        <w:t xml:space="preserve">фровой профиль жителя и гостя федеральной территории «Сириус» («Сириус – просветительская среда») в части подсистемы «Межведомственное взаимодействие», создание сервисов «Социальный помощник», «Читательский билет», «Аккредитация» (далее – Система, Работы).</w:t>
      </w:r>
      <w:r>
        <w:rPr>
          <w:rFonts w:ascii="XO Thames" w:hAnsi="XO Thames"/>
          <w:color w:val="000000" w:themeColor="text1"/>
        </w:rPr>
      </w:r>
    </w:p>
    <w:p>
      <w:pPr>
        <w:pStyle w:val="877"/>
        <w:numPr>
          <w:ilvl w:val="1"/>
          <w:numId w:val="3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Заказчик поручает, а Исполнитель принимает на себя обязательства выполнить работы по развитию Системы в соответствии с</w:t>
      </w:r>
      <w:r>
        <w:rPr>
          <w:rFonts w:ascii="XO Thames" w:hAnsi="XO Thames" w:cs="XO Thames"/>
          <w:color w:val="000000" w:themeColor="text1"/>
        </w:rPr>
        <w:t xml:space="preserve"> Приложением № 1 «Спецификация» </w:t>
      </w:r>
      <w:r>
        <w:rPr>
          <w:rFonts w:ascii="XO Thames" w:hAnsi="XO Thames" w:cs="XO Thames"/>
          <w:color w:val="000000" w:themeColor="text1"/>
        </w:rPr>
        <w:br/>
      </w:r>
      <w:r>
        <w:rPr>
          <w:rFonts w:ascii="XO Thames" w:hAnsi="XO Thames" w:cs="XO Thames"/>
          <w:color w:val="000000" w:themeColor="text1"/>
        </w:rPr>
        <w:t xml:space="preserve">и Приложением № 2 «Техническое задание</w:t>
      </w:r>
      <w:r>
        <w:rPr>
          <w:rFonts w:ascii="XO Thames" w:hAnsi="XO Thames"/>
          <w:color w:val="000000" w:themeColor="text1"/>
        </w:rPr>
        <w:t xml:space="preserve"> на </w:t>
      </w:r>
      <w:r>
        <w:rPr>
          <w:rFonts w:ascii="XO Thames" w:hAnsi="XO Thames" w:eastAsia="Liberation Serif" w:cs="XO Thames"/>
        </w:rPr>
        <w:t xml:space="preserve">выполнение работ по развитию государственной информ</w:t>
      </w:r>
      <w:r>
        <w:rPr>
          <w:rFonts w:ascii="XO Thames" w:hAnsi="XO Thames" w:eastAsia="Liberation Serif" w:cs="XO Thames"/>
        </w:rPr>
        <w:t xml:space="preserve">ационной системы «Единый цифровой профиль жителя и гостя федеральной территории «Сириус» («Сириус — просветительская среда») в части подсистемы «Межведомственное взаимодействие», создание сервисов «Социальный помощник», «Читательский билет», «Аккредитация»</w:t>
      </w:r>
      <w:r>
        <w:rPr>
          <w:rFonts w:ascii="XO Thames" w:hAnsi="XO Thames"/>
          <w:color w:val="000000" w:themeColor="text1"/>
        </w:rPr>
        <w:t xml:space="preserve"> (далее – Техническое задание), являющимися неотъемлемой частью настоящего Контракта.</w:t>
      </w:r>
      <w:r>
        <w:rPr>
          <w:rFonts w:ascii="XO Thames" w:hAnsi="XO Thames"/>
          <w:color w:val="000000" w:themeColor="text1"/>
        </w:rPr>
      </w:r>
    </w:p>
    <w:p>
      <w:pPr>
        <w:pStyle w:val="877"/>
        <w:numPr>
          <w:ilvl w:val="1"/>
          <w:numId w:val="3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Исполнитель обязуется выполнить свои обязательства по настоящему Контракту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в полном объеме и в установленные сроки.</w:t>
      </w:r>
      <w:r>
        <w:rPr>
          <w:rFonts w:ascii="XO Thames" w:hAnsi="XO Thames"/>
          <w:color w:val="000000" w:themeColor="text1"/>
        </w:rPr>
      </w:r>
    </w:p>
    <w:p>
      <w:pPr>
        <w:pStyle w:val="877"/>
        <w:numPr>
          <w:ilvl w:val="1"/>
          <w:numId w:val="3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Заказчик обязуется принять выполненные Работы и обеспечить их оплату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в установленном Контрактом порядке, форме и размере.</w:t>
      </w:r>
      <w:r>
        <w:rPr>
          <w:rFonts w:ascii="XO Thames" w:hAnsi="XO Thames"/>
          <w:color w:val="000000" w:themeColor="text1"/>
        </w:rPr>
      </w:r>
    </w:p>
    <w:p>
      <w:pPr>
        <w:pStyle w:val="877"/>
        <w:numPr>
          <w:ilvl w:val="1"/>
          <w:numId w:val="3"/>
        </w:numPr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</w:rPr>
        <w:t xml:space="preserve">Исполнитель тщательно изучил и проверил документацию по настоящему Контракту и по</w:t>
      </w:r>
      <w:r>
        <w:rPr>
          <w:rFonts w:ascii="XO Thames" w:hAnsi="XO Thames"/>
        </w:rPr>
        <w:t xml:space="preserve">лностью ознакомлен со всеми условиями, связанными с выполнением Работ, получил полную информацию по всем вопросам, которые могли бы повлиять на сроки, стоимость и качество выполнения Работ и принимает на себя все расходы, риск и трудности выполнения Работ.</w:t>
      </w:r>
      <w:r>
        <w:rPr>
          <w:rFonts w:ascii="XO Thames" w:hAnsi="XO Thames"/>
          <w:color w:val="000000" w:themeColor="text1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 w:eastAsia="Calibri"/>
          <w:color w:val="000000" w:themeColor="text1"/>
          <w:lang w:val="ru-RU"/>
        </w:rPr>
      </w:pPr>
      <w:r>
        <w:rPr>
          <w:rFonts w:ascii="XO Thames" w:hAnsi="XO Thames" w:eastAsia="Calibri"/>
          <w:color w:val="000000" w:themeColor="text1"/>
          <w:lang w:val="ru-RU"/>
        </w:rPr>
        <w:t xml:space="preserve">Работы выполняются Исполнителем в соответствии с национальными стандартами </w:t>
      </w:r>
      <w:r>
        <w:rPr>
          <w:rFonts w:ascii="XO Thames" w:hAnsi="XO Thames" w:eastAsia="Calibri"/>
          <w:color w:val="000000" w:themeColor="text1"/>
          <w:lang w:val="ru-RU"/>
        </w:rPr>
        <w:br/>
      </w:r>
      <w:r>
        <w:rPr>
          <w:rFonts w:ascii="XO Thames" w:hAnsi="XO Thames" w:eastAsia="Calibri"/>
          <w:color w:val="000000" w:themeColor="text1"/>
          <w:lang w:val="ru-RU"/>
        </w:rPr>
        <w:t xml:space="preserve">и государственными стандартами в части требований к проектированию, стадиям создания, видам, комплектности и обозначению документов, видам испытаний при создании и (или) </w:t>
      </w:r>
      <w:r>
        <w:rPr>
          <w:rFonts w:ascii="XO Thames" w:hAnsi="XO Thames" w:eastAsia="Calibri"/>
          <w:color w:val="000000" w:themeColor="text1"/>
          <w:lang w:val="ru-RU"/>
        </w:rPr>
        <w:t xml:space="preserve">развитии (модернизации) государственных (муниципальных) информационных систем и (или) иных информационных систем, а также в соответствии с качественными, количественными </w:t>
      </w:r>
      <w:r>
        <w:rPr>
          <w:rFonts w:ascii="XO Thames" w:hAnsi="XO Thames" w:eastAsia="Calibri"/>
          <w:color w:val="000000" w:themeColor="text1"/>
          <w:lang w:val="ru-RU"/>
        </w:rPr>
        <w:br/>
      </w:r>
      <w:r>
        <w:rPr>
          <w:rFonts w:ascii="XO Thames" w:hAnsi="XO Thames" w:eastAsia="Calibri"/>
          <w:color w:val="000000" w:themeColor="text1"/>
          <w:lang w:val="ru-RU"/>
        </w:rPr>
        <w:t xml:space="preserve">и иными характеристиками Работ, определенными в Техническом задании, согласно требованиям Федерального закона № 44-ФЗ, Федерального закона от 27 июля 2006 года </w:t>
      </w:r>
      <w:r>
        <w:rPr>
          <w:rFonts w:ascii="XO Thames" w:hAnsi="XO Thames" w:eastAsia="Calibri"/>
          <w:color w:val="000000" w:themeColor="text1"/>
          <w:lang w:val="ru-RU"/>
        </w:rPr>
        <w:br/>
      </w:r>
      <w:r>
        <w:rPr>
          <w:rFonts w:ascii="XO Thames" w:hAnsi="XO Thames" w:eastAsia="Calibri"/>
          <w:color w:val="000000" w:themeColor="text1"/>
          <w:lang w:val="ru-RU"/>
        </w:rPr>
        <w:t xml:space="preserve">№ 149-ФЗ «Об информации, информационных технологиях и </w:t>
      </w:r>
      <w:r>
        <w:rPr>
          <w:rFonts w:ascii="XO Thames" w:hAnsi="XO Thames" w:eastAsia="Calibri"/>
          <w:color w:val="000000" w:themeColor="text1"/>
          <w:lang w:val="ru-RU"/>
        </w:rPr>
        <w:t xml:space="preserve">о защите информации», а также иных нормативных правовых актов в сфере контрактной системы, информационных технологий, защиты информации, правовой защиты интересов государства в области интеллектуальной собственности, регулирующих соответствующие отношения </w:t>
      </w:r>
      <w:r>
        <w:rPr>
          <w:rFonts w:ascii="XO Thames" w:hAnsi="XO Thames" w:eastAsia="Calibri"/>
          <w:color w:val="000000" w:themeColor="text1"/>
          <w:lang w:val="ru-RU"/>
        </w:rPr>
        <w:br/>
      </w:r>
      <w:r>
        <w:rPr>
          <w:rFonts w:ascii="XO Thames" w:hAnsi="XO Thames" w:eastAsia="Calibri"/>
          <w:color w:val="000000" w:themeColor="text1"/>
          <w:lang w:val="ru-RU"/>
        </w:rPr>
        <w:t xml:space="preserve">и непосредственно указанных в Техническом задании.</w:t>
      </w:r>
      <w:r>
        <w:rPr>
          <w:rFonts w:ascii="XO Thames" w:hAnsi="XO Thames" w:eastAsia="Calibri"/>
          <w:color w:val="000000" w:themeColor="text1"/>
          <w:lang w:val="ru-RU"/>
        </w:rPr>
      </w:r>
    </w:p>
    <w:p>
      <w:pPr>
        <w:pStyle w:val="860"/>
        <w:numPr>
          <w:ilvl w:val="0"/>
          <w:numId w:val="3"/>
        </w:numPr>
        <w:ind w:left="0" w:firstLine="0"/>
        <w:jc w:val="center"/>
        <w:spacing w:before="120" w:after="120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sz w:val="24"/>
          <w:szCs w:val="24"/>
        </w:rPr>
        <w:t xml:space="preserve">ЦЕНА КОНТРАКТА, ПОРЯДОК ОПЛАТЫ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2.1. Цена Контракта составляет ___________ (_________________________) рублей __ копеек, </w:t>
      </w:r>
      <w:r>
        <w:rPr>
          <w:rFonts w:ascii="XO Thames" w:hAnsi="XO Thames"/>
          <w:color w:val="000000" w:themeColor="text1"/>
          <w:sz w:val="24"/>
        </w:rPr>
        <w:t xml:space="preserve">в том числе НДС __% - ____ рублей __ копеек или НДС не предусмотрен 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(далее – Цена Контракта).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/>
          <w:color w:val="000000" w:themeColor="text1"/>
          <w:sz w:val="24"/>
          <w:szCs w:val="24"/>
        </w:rPr>
        <w:t xml:space="preserve">Цена за единицу измерения и сроки выполнения Работ указаны в Приложении № 1 «Спецификация».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  <w:strike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2.2. Указанная в п. 2.1 Цена Контракта включает в себя все платежи, причитающиеся Исполнителю за выполнение обязательств по Контракту, в том числе все расходы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на выполнение Работ, уплату таможенных пошлин, налогов, сборов, и других обязательных платежей. </w:t>
      </w:r>
      <w:r>
        <w:rPr>
          <w:rFonts w:ascii="XO Thames" w:hAnsi="XO Thames"/>
          <w:strike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2.3. Цена Контракта является твердой, определяется на весь срок исполнения Контракта и не может изменяться в ходе его исполнения, за исключением случаев, установленных Федеральным законом № 44-ФЗ.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/>
          <w:color w:val="000000" w:themeColor="text1"/>
          <w:sz w:val="24"/>
          <w:szCs w:val="24"/>
        </w:rPr>
        <w:t xml:space="preserve">2.4. Оплата за фактически выполненные Исполнителем и принятые Заказчиком Работы производится поэтапно в соответствии с этапами, указанными в пункте 2.1 Контракта, в срок </w:t>
      </w:r>
      <w:r>
        <w:rPr>
          <w:rFonts w:ascii="XO Thames" w:hAnsi="XO Thames"/>
          <w:color w:val="000000" w:themeColor="text1"/>
          <w:sz w:val="24"/>
          <w:szCs w:val="24"/>
        </w:rPr>
        <w:br/>
      </w:r>
      <w:r>
        <w:rPr>
          <w:rFonts w:ascii="XO Thames" w:hAnsi="XO Thames"/>
          <w:color w:val="000000" w:themeColor="text1"/>
          <w:sz w:val="24"/>
          <w:szCs w:val="24"/>
        </w:rPr>
        <w:t xml:space="preserve">не более 7 (семи) рабочих дней с даты подписания Заказчиком Документов о приёмке, предусмотренных п. 5.3 настоящего Контракта, в безналичной форме путем перечисления денежных средств на расч</w:t>
      </w:r>
      <w:r>
        <w:rPr>
          <w:rFonts w:ascii="XO Thames" w:hAnsi="XO Thames"/>
          <w:color w:val="000000" w:themeColor="text1"/>
          <w:sz w:val="24"/>
          <w:szCs w:val="24"/>
          <w:shd w:val="clear" w:color="auto" w:fill="ffffff"/>
        </w:rPr>
        <w:t xml:space="preserve">етны</w:t>
      </w:r>
      <w:r>
        <w:rPr>
          <w:rFonts w:ascii="XO Thames" w:hAnsi="XO Thames"/>
          <w:color w:val="000000" w:themeColor="text1"/>
          <w:sz w:val="24"/>
          <w:szCs w:val="24"/>
        </w:rPr>
        <w:t xml:space="preserve">й счет Исполнителя на основании выставленного Исполнителем счета, счет-фактуры (при наличии).</w:t>
      </w:r>
      <w:bookmarkStart w:id="0" w:name="_Hlk108778032"/>
      <w:r/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 w:eastAsia="Calibri"/>
          <w:sz w:val="24"/>
          <w:szCs w:val="24"/>
        </w:rPr>
        <w:t xml:space="preserve">2.5. Сумма Контракта, подлежащая уплате</w:t>
      </w:r>
      <w:r>
        <w:rPr>
          <w:rFonts w:ascii="XO Thames" w:hAnsi="XO Thames"/>
          <w:sz w:val="24"/>
          <w:szCs w:val="24"/>
        </w:rPr>
        <w:t xml:space="preserve"> юридическому лицу или физическому лицу,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bookmarkEnd w:id="0"/>
      <w:r/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color w:val="000000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2.6. Источник финансирования: бюджет федеральной территории «Сириус»;</w:t>
      </w:r>
      <w:r>
        <w:rPr>
          <w:rFonts w:ascii="XO Thames" w:hAnsi="XO Thames"/>
          <w:color w:val="000000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color w:val="000000"/>
          <w:sz w:val="24"/>
          <w:szCs w:val="24"/>
        </w:rPr>
      </w:pPr>
      <w:r>
        <w:rPr>
          <w:rFonts w:ascii="XO Thames" w:hAnsi="XO Thames"/>
          <w:color w:val="000000"/>
          <w:sz w:val="24"/>
          <w:szCs w:val="24"/>
        </w:rPr>
        <w:t xml:space="preserve">КБК 803 0410 0620608060 242.</w:t>
      </w:r>
      <w:r>
        <w:rPr>
          <w:rFonts w:ascii="XO Thames" w:hAnsi="XO Thames"/>
          <w:color w:val="000000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2.7. Обязательство Заказчика по оплате считается исполненным с момента списания денежных средств с лицевого счета Заказчика.</w:t>
      </w:r>
      <w:r>
        <w:rPr>
          <w:rFonts w:ascii="XO Thames" w:hAnsi="XO Thames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СРОКИ, УСЛОВИЯ И МЕСТО ВЫПОЛНЕНИЯ РАБОТ</w:t>
      </w:r>
      <w:r>
        <w:rPr>
          <w:rFonts w:ascii="XO Thames" w:hAnsi="XO Thames"/>
          <w:b/>
          <w:bCs w:val="0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</w:rPr>
      </w:pPr>
      <w:r>
        <w:rPr>
          <w:rFonts w:ascii="XO Thames" w:hAnsi="XO Thames" w:cs="XO Thames"/>
          <w:bCs/>
          <w:sz w:val="24"/>
          <w:szCs w:val="24"/>
          <w:lang w:eastAsia="en-US"/>
        </w:rPr>
        <w:t xml:space="preserve">Срок выполнения Работ: с даты заключения Контракта по 14.12.2026 (включительно).</w:t>
      </w:r>
      <w:r>
        <w:rPr>
          <w:rFonts w:ascii="XO Thames" w:hAnsi="XO Thames"/>
        </w:rPr>
      </w:r>
    </w:p>
    <w:p>
      <w:pPr>
        <w:ind w:firstLine="709"/>
        <w:jc w:val="both"/>
        <w:shd w:val="clear" w:color="ffffff" w:fill="ffffff"/>
        <w:rPr>
          <w:rFonts w:ascii="XO Thames" w:hAnsi="XO Thames"/>
        </w:rPr>
      </w:pPr>
      <w:r>
        <w:rPr>
          <w:rFonts w:ascii="XO Thames" w:hAnsi="XO Thames"/>
          <w:color w:val="000000" w:themeColor="text1"/>
        </w:rPr>
        <w:t xml:space="preserve">3.2. </w:t>
      </w:r>
      <w:r>
        <w:rPr>
          <w:rFonts w:ascii="XO Thames" w:hAnsi="XO Thames"/>
        </w:rPr>
        <w:t xml:space="preserve">Сдача – приемка выполненных Работ производится согласно пункту 2.1. Контракта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и сроками выполнения Работ, указанными в Спецификации (Приложение № 1 к Контракту)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в порядке, предусмотренном настоящим Контрактом.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 w:cs="XO Thames"/>
          <w:sz w:val="24"/>
          <w:szCs w:val="24"/>
        </w:rPr>
      </w:pPr>
      <w:r>
        <w:rPr>
          <w:rFonts w:ascii="XO Thames" w:hAnsi="XO Thames" w:cs="XO Thames"/>
          <w:bCs/>
          <w:sz w:val="24"/>
          <w:szCs w:val="24"/>
          <w:lang w:eastAsia="en-US"/>
        </w:rPr>
        <w:t xml:space="preserve">3.3. Место выполнения Работ: </w:t>
      </w:r>
      <w:bookmarkStart w:id="1" w:name="_Hlk133921483"/>
      <w:r/>
      <w:bookmarkStart w:id="2" w:name="_Hlk133481875"/>
      <w:r>
        <w:rPr>
          <w:rFonts w:ascii="XO Thames" w:hAnsi="XO Thames" w:cs="XO Thames"/>
          <w:bCs/>
          <w:sz w:val="24"/>
          <w:szCs w:val="24"/>
          <w:lang w:eastAsia="en-US"/>
        </w:rPr>
        <w:t xml:space="preserve">по месту нахождения Исполнителя, при необходимости </w:t>
      </w:r>
      <w:r>
        <w:rPr>
          <w:rFonts w:ascii="XO Thames" w:hAnsi="XO Thames" w:cs="XO Thames"/>
          <w:bCs/>
          <w:sz w:val="24"/>
          <w:szCs w:val="24"/>
          <w:lang w:eastAsia="en-US"/>
        </w:rPr>
        <w:br/>
        <w:t xml:space="preserve">по месту нахождения Заказчика - 354340, Краснодарский край, пгт. Сириус, ул. Международная, д. 2.</w:t>
      </w:r>
      <w:r>
        <w:rPr>
          <w:rFonts w:ascii="XO Thames" w:hAnsi="XO Thames" w:cs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 w:cs="XO Thames"/>
          <w:bCs/>
          <w:sz w:val="24"/>
          <w:szCs w:val="24"/>
          <w:lang w:eastAsia="en-US"/>
        </w:rPr>
      </w:pPr>
      <w:r>
        <w:rPr>
          <w:rFonts w:ascii="XO Thames" w:hAnsi="XO Thames" w:cs="XO Thames"/>
          <w:sz w:val="24"/>
          <w:szCs w:val="24"/>
        </w:rPr>
        <w:t xml:space="preserve">Исполнитель имеет право </w:t>
      </w:r>
      <w:r>
        <w:rPr>
          <w:rFonts w:ascii="XO Thames" w:hAnsi="XO Thames" w:cs="XO Thames"/>
          <w:bCs/>
          <w:sz w:val="24"/>
          <w:szCs w:val="24"/>
          <w:lang w:eastAsia="en-US"/>
        </w:rPr>
        <w:t xml:space="preserve">выполнения Работ</w:t>
      </w:r>
      <w:r>
        <w:rPr>
          <w:rFonts w:ascii="XO Thames" w:hAnsi="XO Thames" w:cs="XO Thames"/>
          <w:sz w:val="24"/>
          <w:szCs w:val="24"/>
        </w:rPr>
        <w:t xml:space="preserve"> </w:t>
      </w:r>
      <w:r>
        <w:rPr>
          <w:rFonts w:ascii="XO Thames" w:hAnsi="XO Thames" w:cs="XO Thames"/>
          <w:sz w:val="24"/>
          <w:szCs w:val="24"/>
        </w:rPr>
        <w:t xml:space="preserve">в удаленном режиме средствами информационных технологий и телекоммуникаций, кроме случаев, когда непосредственное присутствие сотрудников на территории Заказчика необходимо. </w:t>
      </w:r>
      <w:r>
        <w:rPr>
          <w:rFonts w:ascii="XO Thames" w:hAnsi="XO Thames" w:cs="XO Thames"/>
          <w:bCs/>
          <w:sz w:val="24"/>
          <w:szCs w:val="24"/>
          <w:lang w:eastAsia="en-US"/>
        </w:rPr>
      </w:r>
    </w:p>
    <w:p>
      <w:pPr>
        <w:pStyle w:val="860"/>
        <w:ind w:firstLine="709"/>
        <w:rPr>
          <w:rFonts w:ascii="XO Thames" w:hAnsi="XO Thames" w:cs="XO Thames"/>
          <w:sz w:val="24"/>
          <w:szCs w:val="24"/>
        </w:rPr>
      </w:pPr>
      <w:r>
        <w:rPr>
          <w:rFonts w:ascii="XO Thames" w:hAnsi="XO Thames" w:cs="XO Thames"/>
          <w:sz w:val="24"/>
          <w:szCs w:val="24"/>
        </w:rPr>
        <w:t xml:space="preserve">Для </w:t>
      </w:r>
      <w:r>
        <w:rPr>
          <w:rFonts w:ascii="XO Thames" w:hAnsi="XO Thames" w:cs="XO Thames"/>
          <w:bCs/>
          <w:sz w:val="24"/>
          <w:szCs w:val="24"/>
          <w:lang w:eastAsia="en-US"/>
        </w:rPr>
        <w:t xml:space="preserve">выполнения Работ</w:t>
      </w:r>
      <w:r>
        <w:rPr>
          <w:rFonts w:ascii="XO Thames" w:hAnsi="XO Thames" w:cs="XO Thames"/>
          <w:sz w:val="24"/>
          <w:szCs w:val="24"/>
        </w:rPr>
        <w:t xml:space="preserve"> </w:t>
      </w:r>
      <w:r>
        <w:rPr>
          <w:rFonts w:ascii="XO Thames" w:hAnsi="XO Thames" w:cs="XO Thames"/>
          <w:sz w:val="24"/>
          <w:szCs w:val="24"/>
        </w:rPr>
        <w:t xml:space="preserve">в удаленном режиме Исполнитель запрашивает доступ </w:t>
      </w:r>
      <w:r>
        <w:rPr>
          <w:rFonts w:ascii="XO Thames" w:hAnsi="XO Thames" w:cs="XO Thames"/>
          <w:sz w:val="24"/>
          <w:szCs w:val="24"/>
        </w:rPr>
        <w:br/>
        <w:t xml:space="preserve">к необходимым ресурсам подсистем у Заказчика.</w:t>
      </w:r>
      <w:r>
        <w:rPr>
          <w:rFonts w:ascii="XO Thames" w:hAnsi="XO Thames" w:cs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3.4. Отчетные и финансовые документы предоставляются Исполнителем по адресу: 354340, Краснодарский край, пгт. Сириус, ул. Международная, дом 2, оф. 117</w:t>
      </w:r>
      <w:bookmarkEnd w:id="1"/>
      <w:r/>
      <w:bookmarkEnd w:id="2"/>
      <w:r>
        <w:rPr>
          <w:rFonts w:ascii="XO Thames" w:hAnsi="XO Thames"/>
          <w:bCs/>
          <w:sz w:val="24"/>
          <w:szCs w:val="24"/>
          <w:lang w:eastAsia="en-US"/>
        </w:rPr>
        <w:t xml:space="preserve">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0"/>
          <w:numId w:val="3"/>
        </w:numPr>
        <w:ind w:left="0" w:firstLine="0"/>
        <w:jc w:val="center"/>
        <w:spacing w:before="120" w:after="120"/>
        <w:widowControl w:val="off"/>
        <w:rPr>
          <w:rFonts w:ascii="XO Thames" w:hAnsi="XO Thames"/>
          <w:b/>
          <w:bCs/>
          <w:color w:val="000000" w:themeColor="text1"/>
          <w:sz w:val="24"/>
          <w:szCs w:val="24"/>
        </w:rPr>
      </w:pPr>
      <w:r>
        <w:rPr>
          <w:rFonts w:ascii="XO Thames" w:hAnsi="XO Thames"/>
          <w:b/>
          <w:color w:val="000000" w:themeColor="text1"/>
          <w:sz w:val="24"/>
          <w:szCs w:val="24"/>
        </w:rPr>
        <w:t xml:space="preserve">ОБЪЕМ ПЕРЕДАВАЕМЫХ ПРАВ</w:t>
      </w:r>
      <w:r>
        <w:rPr>
          <w:rFonts w:ascii="XO Thames" w:hAnsi="XO Thames"/>
          <w:b/>
          <w:bCs/>
          <w:color w:val="000000" w:themeColor="text1"/>
          <w:sz w:val="24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Передача исходных кодов, разработанных в ходе выполнения Работ программ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для электронных вычислительных машин (далее – программа для ЭВМ) и дистрибутивов должна сопровождаться передачей всех необходимых для сборки и запуска программы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для ЭВМ библиотек зависимостей, инструкций и программных сценариев (скриптов)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для проведения компиляции, создания дистрибутива и установки (развертывания) программы для ЭВМ.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Для проведения компиляции, создания дистрибутива и установки (</w:t>
      </w:r>
      <w:r>
        <w:rPr>
          <w:rFonts w:ascii="XO Thames" w:hAnsi="XO Thames"/>
          <w:bCs/>
          <w:sz w:val="24"/>
          <w:szCs w:val="24"/>
          <w:lang w:eastAsia="en-US"/>
        </w:rPr>
        <w:t xml:space="preserve">развертывания) программы для ЭВМ должны использоваться свободно распространяемые компиляторы, интерпретаторы и иное программное обеспечение, необходимое для указанных целей, дистрибутивы которых должны быть переданы вместе с исходными кодами разработанных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в ходе выполнения Работ программ для ЭВМ.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В случае использования для проведения компиляции, создания дистрибутива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и установки (развертывания) программы для ЭВМ компиляторов, интерпретаторов и иного программного обеспечения, права на использование, копирование и модификацию которых принадлежат третьим лицам, подрядчик (исполнитель) за свой счет передает 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З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аказчику дистрибутивы и права на использование таких компиляторов, интерпретаторов и иного программного обеспечения.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Подрядчик (исполнитель) в процессе сдачи-приемки Работ по Контракту должен провести демонстрацию процесса компиляции, создания дистрибутива и установки (развертывания) разработанных программ для ЭВМ с использованием средств, указанных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в пункте 4.1 Контракта, а также в соответствии с инструкциями, приведенными в рабочей документации на Систему.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Документация на Систему и ее части (техническая и рабочая) должна содержать исчерпывающее описание принятых проектных решений в объеме, достаточном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для ее дальнейшего развития и эксплуатации.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Техническая и рабочая документация должна содержать описание разработанных результатов Работ, в том числе программ для ЭВМ, прикладных программных интерфе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йсов, алгоритмов и протоколов информационного взаимодействия, технических требований, спецификаций и форматов обмена данными для взаимодействия с другими информационными системами, в объеме, достаточном для их установки, настройки, эксплуатации и развития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в дальнейшем без привлечения подрядчика (исполнителя).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Передача З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аказчику комплекта документов, материалов и сведений, предусмотренных нормативными правовыми актами Российской Федерации в сфере информационных технологий, защиты информации, правовой защиты интересов государства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в области интеллектуальной собственности, включая документы, подтверждающие отказ авторов (разработчиков) от исключительных прав на передаваемые объекты интеллектуальной собственности в пользу исполнителя, с проектами заявок на государственную регистрацию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в установленном порядке прав заказчика на результаты интеллектуальной деятельности,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в том числе, но не исключая: изобретения, полезные модели, промышленные образцы, программы для электронных вычислительных машин, базы данных, топологии интегральных микросхем, а также исключительные права на результаты работ, в</w:t>
      </w:r>
      <w:r>
        <w:rPr>
          <w:rFonts w:ascii="XO Thames" w:hAnsi="XO Thames"/>
          <w:bCs/>
          <w:sz w:val="24"/>
          <w:szCs w:val="24"/>
          <w:lang w:eastAsia="en-US"/>
        </w:rPr>
        <w:t xml:space="preserve">ключая объекты авторских прав и потенциально патентоспособные технические решения, секреты производства (ноу-хау), созданные в рамках Контракта, осуществляется подрядчиком (исполнителем) в составе отчетной документации, предусмотренной условиями Контракта.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Исключительные права на результаты интеллектуальной деятельности, в том числе, но не исключая: изобретения, полезные модели, промышленные образцы, программы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для электронных вычислительных машин, базы данных, топологии интегральных микросхем,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а также исключительные права на результаты работ, включая объекты авторских прав </w:t>
      </w:r>
      <w:r>
        <w:rPr>
          <w:rFonts w:ascii="XO Thames" w:hAnsi="XO Thames"/>
          <w:bCs/>
          <w:sz w:val="24"/>
          <w:szCs w:val="24"/>
          <w:lang w:eastAsia="en-US"/>
        </w:rPr>
        <w:br/>
      </w:r>
      <w:r>
        <w:rPr>
          <w:rFonts w:ascii="XO Thames" w:hAnsi="XO Thames"/>
          <w:bCs/>
          <w:sz w:val="24"/>
          <w:szCs w:val="24"/>
          <w:lang w:eastAsia="en-US"/>
        </w:rPr>
        <w:t xml:space="preserve">и потенциально патентоспособные технические решения, секреты производства (ноу-хау), созданные в рамках Контракта, принадлежат федеральной территории «Сириус» в лице Заказчика.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bCs/>
          <w:sz w:val="24"/>
          <w:szCs w:val="24"/>
          <w:lang w:eastAsia="en-US"/>
        </w:rPr>
      </w:pPr>
      <w:r>
        <w:rPr>
          <w:rFonts w:ascii="XO Thames" w:hAnsi="XO Thames"/>
          <w:bCs/>
          <w:sz w:val="24"/>
          <w:szCs w:val="24"/>
          <w:lang w:eastAsia="en-US"/>
        </w:rPr>
        <w:t xml:space="preserve">Право собственности на результаты Работ, отчетные документы и материалы, полученные в ходе выполнения Работ по Контракту, принадлежат федеральной территории «Сириус» в лице Заказчика.</w:t>
      </w:r>
      <w:r>
        <w:rPr>
          <w:rFonts w:ascii="XO Thames" w:hAnsi="XO Thames"/>
          <w:bCs/>
          <w:sz w:val="24"/>
          <w:szCs w:val="24"/>
          <w:lang w:eastAsia="en-US"/>
        </w:rPr>
      </w:r>
    </w:p>
    <w:p>
      <w:pPr>
        <w:pStyle w:val="860"/>
        <w:numPr>
          <w:ilvl w:val="0"/>
          <w:numId w:val="3"/>
        </w:numPr>
        <w:ind w:left="0" w:firstLine="0"/>
        <w:jc w:val="center"/>
        <w:spacing w:before="120" w:after="120"/>
        <w:widowControl w:val="off"/>
        <w:rPr>
          <w:rFonts w:ascii="XO Thames" w:hAnsi="XO Thames"/>
          <w:sz w:val="24"/>
          <w:szCs w:val="24"/>
        </w:rPr>
      </w:pPr>
      <w:r>
        <w:rPr>
          <w:rFonts w:ascii="XO Thames" w:hAnsi="XO Thames"/>
          <w:b/>
          <w:bCs/>
          <w:color w:val="000000"/>
          <w:sz w:val="24"/>
          <w:szCs w:val="24"/>
        </w:rPr>
        <w:t xml:space="preserve">ПОРЯДОК СДАЧИ И ПРИЕМКИ ВЫПОЛНЕННЫХ РАБОТ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5.1. Приемка результатов испо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лнения Контракта, осуществляется в порядке и в сроки, которые установлены Контрактом, и оформляется документом о приемке, который подписывается Заказчиком (в случае создания приемочной комиссии подписывается всеми членами приемочной комиссии и утверждается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 Заказчиком), либо Заказчиком в адрес Исполнителя в те же сроки направляется мотивированный отказ в письменной форме от подписания документа о приемке. В случае привлечения Заказчиком для проведения указанной экспертизы экспертов, экспертных организаций пр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и принятии решения о приемке или об отказе в приемке выполненных Работ Заказчик,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 ее проведения.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5.2. Приемка выполненных Работ осуществляется путем подписания усиленной электронной подписью в единой информационной системе в сфере закупок (далее</w:t>
      </w:r>
      <w:r>
        <w:rPr>
          <w:rFonts w:ascii="XO Thames" w:hAnsi="XO Thames"/>
          <w:color w:val="000000" w:themeColor="text1"/>
        </w:rPr>
        <w:t xml:space="preserve"> – 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ЕИС) документа о приемке лицами, имеющими право действовать от имени Заказчика и Исполнителя.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5.3. В течение 5 (пяти) рабочих дней с даты </w:t>
      </w:r>
      <w:r>
        <w:rPr>
          <w:rFonts w:ascii="XO Thames" w:hAnsi="XO Thames" w:eastAsia="XO Thames"/>
          <w:sz w:val="24"/>
          <w:szCs w:val="24"/>
        </w:rPr>
        <w:t xml:space="preserve">завершения </w:t>
      </w:r>
      <w:r>
        <w:rPr>
          <w:rFonts w:ascii="XO Thames" w:hAnsi="XO Thames" w:eastAsia="XO Thames" w:cs="XO Thames"/>
          <w:color w:val="000000" w:themeColor="text1"/>
          <w:sz w:val="24"/>
          <w:szCs w:val="24"/>
        </w:rPr>
        <w:t xml:space="preserve">выполнения Работ</w:t>
      </w:r>
      <w:r>
        <w:rPr>
          <w:rFonts w:ascii="XO Thames" w:hAnsi="XO Thames" w:eastAsia="XO Thames"/>
          <w:sz w:val="24"/>
          <w:szCs w:val="24"/>
        </w:rPr>
        <w:t xml:space="preserve"> (согласно Приложению № 1 «Спецификация») 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Исполнитель формирует с использованием ЕИС, за подписью лица, имеющего право действовать от имени Исполнителя, и размещает в ЕИС документ о приемке, путем фор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мирования с использованием единой информационной системы, и подписания усиленной электронной подписью лица, имеющего право действовать от имени Исполнителя и размещения в единой информационной системе (далее – Документ о приемке), который должен содержать: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а) включенные в Контракт в соответствии с пунктом 1 части 2 статьи 51 Федерального закона № 44-ФЗ идентификационный код за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купки, наименование, место нахождения Заказчика, наименование объекта закупки, место выполнения Работ, информацию об Исполнителе, предусмотренную подпунктами «а», «г» и «е» части 1 статьи 43 Федерального закона № 44-ФЗ, единицу измерения выполненных Работ;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б) наименование выполненных Работ;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в) информацию об объеме выполненных Работ;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г) стоимость исполненных Исполнителем обязательств, предусмотренных Контрактом, с указанием цены за единицу выполненных Работ;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д) иную информацию в соответствии с частью 3 статьи 5 Федерального закона № 44 – ФЗ с соблюдением требований к формам, порядку формирования и размещения информации и документов в ЕИС, установленных Правительством Российской Федерации.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5.4. К Документу о приемке, предусмотренному пунктом 5.3 Контракта могут прилагаться Отчетные документы, которые считаются его неотъем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лемой частью. При этом в случае, если информация, содержащаяся в прилагаемых документах, не соответствует информации, содержащейся в Документе о приемке, приоритет имеет информация, содержащаяся в Документе о приемке, предусмотренном пунктом 5.3 Контракта.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5.5. Датой поступления Заказчику Документа о приемке, подписанного Исполнителем, считается дата размещения в соответствии с настоящим пунктом Контракта такого документа в ЕИС в соответствии с часовой зоной, в которой расположен Заказчик.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5.6. В срок: в течение 5 (пяти) рабочих дней, следующих за днем поступления Документа о приемке в соответствии с пунктом 5.3. настоящего Контракта, Заказчик (за исключением случая 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создания приемочной комиссии в соответствии с частью 6 статьи 94 Федерального закона № 44-ФЗ) осуществляет одно из следующих действий: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а) подписывает усиленной электронной подписью лица, имеющего право действовать </w:t>
      </w:r>
      <w:r>
        <w:rPr>
          <w:rFonts w:ascii="XO Thames" w:hAnsi="XO Thames" w:cs="XO Thames"/>
          <w:color w:val="000000" w:themeColor="text1"/>
          <w:sz w:val="24"/>
          <w:szCs w:val="24"/>
        </w:rPr>
        <w:br/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от имени Заказчика, и размещает в ЕИС Документ о приемке;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б) формирует с использованием ЕИС, подписывает усиленной электронной подписью лица, имеющего право действовать от имени Заказчика, и размещает в ЕИС мотивированный отказ от подписания Документа о приемке с указанием причин такого отказа.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5.7. В случае создания в соответствии с частью 6 статьи 94 Федерального закона </w:t>
      </w:r>
      <w:r>
        <w:rPr>
          <w:rFonts w:ascii="XO Thames" w:hAnsi="XO Thames" w:cs="XO Thames"/>
          <w:color w:val="000000" w:themeColor="text1"/>
          <w:sz w:val="24"/>
          <w:szCs w:val="24"/>
        </w:rPr>
        <w:br/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№ 44-ФЗ: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а) члены приемочной комиссии подписывают усиленными электронн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ыми подписями поступивший Документ о приемке или формируют с использованием ЕИС, подписывают усиленными электронными подписями мотивированный отказ от подписания Документа о приемке с указанием причин такого отказа. При этом, если приемочная комиссия включ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ает членов, не являющихся работниками Заказчика, допускается осуществлять подписание Документа о приемке, составление мотивированного отказа от подписания Документа о приемке, подписание такого отказа без использования усиленных электронных подписей и ЕИС;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б) после подписания членами приемочной комиссии Документа о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 приемке или 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Заказчика, и р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азмещает их в ЕИС. Если члены приемочной комиссии в соответствии с подпунктом «а» настоящего пункта Контракта не использовали усиленные электронные подписи и ЕИС, Заказчик прилагает подписанные ими документы в форме электронных образов бумажных документов.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5.8. Документ о приемке, мотивированный отказ от подписания Документа о приемке не позднее одного часа с момента размещения в ЕИС направляются автоматически с использованием ЕИС Исполнителю. Датой поступления Исполнителю Документа о пр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иемке, мотивированного отказа от подписания Документа о приемке считается дата размещения в соответствии с настоящим пунктом Контракта таких Документа о приемке, мотивированного отказа в ЕИС в соответствии с часовой зоной, в которой расположен Исполнитель.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5.9.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 В случае получения мотивированного отказа от подписания Документа о приемке Исполнитель вправе устранить причины, указанные в таком мотивированном отказе, и направить Заказчику Документ о приемке в порядке, предусмотренном разделом 5 настоящего Контракта.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5.10. Для проверки качества выполненных Исполнителем Работ, в части соответствия условиям Кон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тракта, Заказчик обязан провести экспертизу. Экспертиза выполненных Работ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 требованиями </w:t>
      </w:r>
      <w:r>
        <w:rPr>
          <w:rFonts w:ascii="XO Thames" w:hAnsi="XO Thames" w:eastAsia="XO Thames"/>
          <w:color w:val="000000" w:themeColor="text1"/>
          <w:sz w:val="24"/>
          <w:szCs w:val="24"/>
        </w:rPr>
        <w:t xml:space="preserve">Федерального закона № 44-ФЗ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В случае привлечения Заказчиком для проведения экспертизы экспертов, экспертных организаций пр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и принятии решения о приемке или об отказе в приемке выполненных Работ Заказчик, приемочная комиссия должны учитывать отраженные в заключении по результатам указанной экспертизы предложения экспертов, экспертных организаций, привлеченных для ее проведения.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5.11. Датой приемки выполненных Работ считается дата размещения в ЕИС Документа о приемке, подписанного Заказчиком.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5.12. Внесение исправлений в Документ о п</w:t>
      </w:r>
      <w:r>
        <w:rPr>
          <w:rFonts w:ascii="XO Thames" w:hAnsi="XO Thames" w:cs="XO Thames"/>
          <w:color w:val="000000" w:themeColor="text1"/>
          <w:sz w:val="24"/>
          <w:szCs w:val="24"/>
        </w:rPr>
        <w:t xml:space="preserve">риемке, оформленный в соответствии с разделом 5 Контракта, осуществляется путем формирования, подписания усиленными электронными подписями лиц, имеющих право действовать от имени Исполнителя, Заказчика, и размещения в ЕИС исправленного Документа о приемке.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 w:cs="XO Thames"/>
          <w:color w:val="000000" w:themeColor="text1"/>
          <w:sz w:val="24"/>
          <w:szCs w:val="24"/>
        </w:rPr>
      </w:pPr>
      <w:r>
        <w:rPr>
          <w:rFonts w:ascii="XO Thames" w:hAnsi="XO Thames" w:eastAsia="Calibri" w:cs="XO Thames"/>
          <w:color w:val="000000" w:themeColor="text1"/>
          <w:sz w:val="24"/>
          <w:szCs w:val="24"/>
        </w:rPr>
        <w:t xml:space="preserve">5.13. После устранения выявленных недостатков Работы принимаются повторно в порядке, установленном настоящим разделом Контракта.</w:t>
      </w:r>
      <w:r>
        <w:rPr>
          <w:rFonts w:ascii="XO Thames" w:hAnsi="XO Thames" w:cs="XO Thames"/>
          <w:color w:val="000000" w:themeColor="text1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ОБЯЗАТЕЛЬСТВА СТОРОН</w:t>
      </w:r>
      <w:r>
        <w:rPr>
          <w:rFonts w:ascii="XO Thames" w:hAnsi="XO Thames"/>
          <w:b/>
          <w:bCs w:val="0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Заказчик вправе: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2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Требовать от Исполнителя надлежащего исполнения обязательств в соответствии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2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Требовать от Исполнителя представления надлежащим образом оформленных документов, указанных в разделе 5 Контракта, подтверждающих исполнение обязательств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в соответствии 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2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Запрашивать у Исполнителя информацию о ходе и состоянии исполнения обязательств Исполнителя по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2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Осуществлять контроль за порядком и сроками выполнения Работ.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2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Привлекать независимых экспертов для проверки соответствия, результатов выполненных Работ Техническому заданию.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Заказчик обязан: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2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Своевременно принять и оплатить результаты исполнения Контракта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в соответствии 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2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Предоставить Исполнителю документацию, предусмотренную Контрактом,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если данное условие предусмотрено Техническим заданием, в течение 5 (пяти) рабочих дней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с момента поступления соответствующего запроса от Исполнителя. 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6.3. Исполнитель вправе:</w:t>
      </w:r>
      <w:r>
        <w:rPr>
          <w:rFonts w:ascii="XO Thames" w:hAnsi="XO Thames"/>
          <w:sz w:val="24"/>
          <w:szCs w:val="24"/>
        </w:rPr>
      </w:r>
    </w:p>
    <w:p>
      <w:pPr>
        <w:pStyle w:val="877"/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6.3.1. В случае отсутствия у Заказчика замечаний по качеству выполненных Работ требовать подписания Заказчиком Документов о приёмке. </w:t>
      </w:r>
      <w:r>
        <w:rPr>
          <w:rFonts w:ascii="XO Thames" w:hAnsi="XO Thames"/>
          <w:color w:val="000000" w:themeColor="text1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6.3.2. Требовать своевременной оплаты за результаты исполнения Контракта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в соответствии с разделом 2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6.3.3. Запрашивать у Заказчика предоставление разъяснений и уточнений по вопросам передачи прав и выполнения Работ в рамках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6.3.4. Досрочно, по согласованию с Заказчиком, выполнить Работы.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6.3.5. Требовать от Заказчика предоставления имеющейся у него информации, необходимой для исполнения обязательств по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6.4. Исполнитель обязан: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6.4.1. Своевременно и надлежащим образом выполнить Работы в соответствии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с условиями Контракта.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6.4.2. Предоставить по запросу Заказчика в сроки, указанные в таком запросе, информацию о ходе исполнения обязательств по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6.4.3. Представить Заказчику сведения об изме</w:t>
      </w:r>
      <w:r>
        <w:rPr>
          <w:rFonts w:ascii="XO Thames" w:hAnsi="XO Thames"/>
          <w:sz w:val="24"/>
          <w:szCs w:val="24"/>
        </w:rPr>
        <w:t xml:space="preserve">нении своего фактического местонахождения в срок, указанный в п. 10.2 настоящего Контракта. В случае непредставления в установленный срок уведомления об изменении адреса фактическим местонахождением Исполнителя будет считаться адрес, указанный в Контракте.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6.4.4. Исполнять иные обязательства, предусмотренные действующим законодательством и Контрактом.</w:t>
      </w:r>
      <w:r>
        <w:rPr>
          <w:rFonts w:ascii="XO Thames" w:hAnsi="XO Thames"/>
          <w:sz w:val="24"/>
          <w:szCs w:val="24"/>
        </w:rPr>
      </w:r>
    </w:p>
    <w:p>
      <w:pPr>
        <w:pStyle w:val="877"/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6.4.5. Без увеличения цены Контракта передать Заказчику исключительное право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на разработанные в ходе выполнения Работ по Контракту результаты в полном объеме, включая исходные коды программ для ЭВМ, библиотеки зависимостей, базы данных, а также проектную, техническую, рабочую, сопроводительную и методическую документацию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к Системе или ее частям.</w:t>
      </w:r>
      <w:r>
        <w:rPr>
          <w:rFonts w:ascii="XO Thames" w:hAnsi="XO Thames"/>
          <w:color w:val="000000" w:themeColor="text1"/>
        </w:rPr>
      </w:r>
    </w:p>
    <w:p>
      <w:pPr>
        <w:pStyle w:val="877"/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6.4.6. Согласовать с Заказчиком необходимость использования при выполнении Работ охраняемых результатов интеллектуальной деятельности, права на которые принадлежат третьим лицам, объем и порядок приобретения прав на их использование.</w:t>
      </w:r>
      <w:r>
        <w:rPr>
          <w:rFonts w:ascii="XO Thames" w:hAnsi="XO Thames"/>
          <w:color w:val="000000" w:themeColor="text1"/>
        </w:rPr>
      </w:r>
    </w:p>
    <w:p>
      <w:pPr>
        <w:pStyle w:val="877"/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6.4.7. Обеспечить передачу Заказчику полученных по Контракту результатов Работ,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не нарушающих исключительных прав других лиц и не являющихся предметом залога, ареста или иного обременения.</w:t>
      </w:r>
      <w:r>
        <w:rPr>
          <w:rFonts w:ascii="XO Thames" w:hAnsi="XO Thames"/>
          <w:color w:val="000000" w:themeColor="text1"/>
        </w:rPr>
      </w:r>
    </w:p>
    <w:p>
      <w:pPr>
        <w:pStyle w:val="877"/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6.4.8. В случае использования при выполнении Работ по Контракту программ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для электронных вычислительных машин (программных комплексов или компонентов), разработанных третьими лицами, условия, на которых передаются права на их использование </w:t>
      </w:r>
      <w:r>
        <w:rPr>
          <w:rFonts w:ascii="XO Thames" w:hAnsi="XO Thames"/>
          <w:color w:val="000000" w:themeColor="text1"/>
        </w:rPr>
        <w:t xml:space="preserve">(исполнение), должны обеспечить отсутствие ограничений, препятствующих испо</w:t>
      </w:r>
      <w:r>
        <w:rPr>
          <w:rFonts w:ascii="XO Thames" w:hAnsi="XO Thames"/>
          <w:color w:val="000000" w:themeColor="text1"/>
        </w:rPr>
        <w:t xml:space="preserve">льзованию результатов Работ по их назначению. При этом права, полученные Заказчиком, должны позволять ему передавать, дорабатывать, развивать результаты Работ, созданные в процессе исполнения Контракта, а в случае явного указания в Техническом задании, явл</w:t>
      </w:r>
      <w:r>
        <w:rPr>
          <w:rFonts w:ascii="XO Thames" w:hAnsi="XO Thames"/>
          <w:color w:val="000000" w:themeColor="text1"/>
        </w:rPr>
        <w:t xml:space="preserve">яющемся неотъемлемой частью Контракта, осуществлять переработку программ для электронных вычислительных машин (программных комплексов или компонентов), разработанных ранее третьими лицами в соответствии с требованиями законодательства Российской Федерации.</w:t>
      </w:r>
      <w:r>
        <w:rPr>
          <w:rFonts w:ascii="XO Thames" w:hAnsi="XO Thames"/>
          <w:color w:val="000000" w:themeColor="text1"/>
        </w:rPr>
      </w:r>
    </w:p>
    <w:p>
      <w:pPr>
        <w:pStyle w:val="877"/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6.4.9. Обеспечить отсутствие нарушений исключительных, авторских и смежных прав третьих лиц при реализации технических, программных, организационных и иных решений, предусмотренных Техническим заданием на выполнение Работ.</w:t>
      </w:r>
      <w:r>
        <w:rPr>
          <w:rFonts w:ascii="XO Thames" w:hAnsi="XO Thames"/>
          <w:color w:val="000000" w:themeColor="text1"/>
        </w:rPr>
      </w:r>
    </w:p>
    <w:p>
      <w:pPr>
        <w:pStyle w:val="877"/>
        <w:contextualSpacing w:val="0"/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6.4.10. Обеспечить выполнение требований к порядку создания (развития) государственных (муниципальных) и (или) иных информационных систем, предусмотренных пунктом 3 части 1 статьи 13 Федерального закона от 27 июля 2006 года № 149-ФЗ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«Об информации, информационных технологиях и о защите информации», устанавливаемых </w:t>
      </w:r>
      <w:r>
        <w:rPr>
          <w:rFonts w:ascii="XO Thames" w:hAnsi="XO Thames"/>
          <w:color w:val="000000" w:themeColor="text1"/>
        </w:rPr>
        <w:br/>
      </w:r>
      <w:r>
        <w:rPr>
          <w:rFonts w:ascii="XO Thames" w:hAnsi="XO Thames"/>
          <w:color w:val="000000" w:themeColor="text1"/>
        </w:rPr>
        <w:t xml:space="preserve">к таким информационным системам указанным Федеральным законом и иными нормативными правовыми актами Российской Федерации.</w:t>
      </w:r>
      <w:r>
        <w:rPr>
          <w:rFonts w:ascii="XO Thames" w:hAnsi="XO Thames"/>
          <w:color w:val="000000" w:themeColor="text1"/>
        </w:rPr>
      </w:r>
    </w:p>
    <w:p>
      <w:pPr>
        <w:pStyle w:val="869"/>
        <w:contextualSpacing w:val="0"/>
        <w:ind w:left="0" w:firstLine="709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6.4.11. Привлекать к и</w:t>
      </w:r>
      <w:r>
        <w:rPr>
          <w:rFonts w:ascii="XO Thames" w:hAnsi="XO Thames"/>
          <w:lang w:val="ru-RU"/>
        </w:rPr>
        <w:t xml:space="preserve">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(далее – субподрядчики СМП, соисполнители СМП) в объеме 25 % (двадцати пяти) процентов от цены Контракта.</w:t>
      </w:r>
      <w:r>
        <w:rPr>
          <w:rFonts w:ascii="XO Thames" w:hAnsi="XO Thames"/>
          <w:lang w:val="ru-RU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6.4.12. В срок не более 5 (пяти) рабочих дней со дня заключения Договора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с субподрядчиком СМП, соисполнителем СМП представить Заказчику: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а) декларацию о принадлежности субподрядчика СМП, соисполнителя СМП к субъектам малого предпринимательства, социально ориентированной</w:t>
      </w:r>
      <w:r>
        <w:rPr>
          <w:rFonts w:ascii="XO Thames" w:hAnsi="XO Thames"/>
        </w:rPr>
        <w:t xml:space="preserve"> некоммерческой организации, составленную в простой письменной форме, подписанную руководителем (иным уполномоченным лицом) субъекта малого предпринимательства, социально ориентированной некоммерческой организации и заверенную печатью (при наличии печати);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б) копию договора (договоров), заключенного с субподрядчиком СМП, соисполнителем СМП, заверенную Исполнителем.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6.4.13. В случае замены субподрядчика СМП, соисполни</w:t>
      </w:r>
      <w:r>
        <w:rPr>
          <w:rFonts w:ascii="XO Thames" w:hAnsi="XO Thames"/>
        </w:rPr>
        <w:t xml:space="preserve">теля СМП на этапе исполнения Контракта на другого субподрядчика СМП, соисполнителя СМП представлять Заказчику документы, указанные в пункте 6.4.12 Контракта, в течение 5 (пяти) дней со дня заключения договора с новым субподрядчиком СМП, соисполнителем СМП.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6.4.14. В течение 10 (десяти) рабочих дней со дня оплаты Исполнителем выполненных обязательств по договору с субподрядчиком СМП, соисполнителем СМП представлять Заказчику следующие документы: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а) копии документов о приемке выполненной работы, которые являются предметом договора, заключенного между Исполнителем и привлеченным им субподрядчиком СМП, соисполнителем СМП;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б) копии платежных поручений,</w:t>
      </w:r>
      <w:r>
        <w:rPr>
          <w:rFonts w:ascii="XO Thames" w:hAnsi="XO Thames"/>
        </w:rPr>
        <w:t xml:space="preserve"> подтверждающих перечисление денежных средств Исполнителем субподрядчику СМП, соисполнителю СМП, - в случае если договором, заключенным между Исполнителем и привлеченным им субподрядчиком СМП, соисполнителем СМП, предусмотрена оплата выполненных обязательс</w:t>
      </w:r>
      <w:r>
        <w:rPr>
          <w:rFonts w:ascii="XO Thames" w:hAnsi="XO Thames"/>
        </w:rPr>
        <w:t xml:space="preserve">тв до срока оплаты выполненных Работ, предусмотренного Контрактом (в ином случае указанный документ представляется Заказчику дополнительно в течение 5 (пяти) дней со дня оплаты Исполнителем обязательств, выполненных субподрядчиком СМП, соисполнителем СМП).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6.4.15. Оплачивать выполненные работы (их результаты) субподрядчиком СМП, соисполнителем СМП,</w:t>
      </w:r>
      <w:r>
        <w:rPr>
          <w:rFonts w:ascii="XO Thames" w:hAnsi="XO Thames"/>
        </w:rPr>
        <w:t xml:space="preserve"> отдельные этапы исполнения договора, заключенного с таким субподрядчиком СМП, соисполнителем СМП, в течение 7 (семи) рабочих дней с даты подписания Исполнителем документа о приемке выполненной работы (ее результатов), отдельных этапов исполнения договора.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6.4.16. Нести гражданско-правовую ответственность перед Заказчиком за неисполнение или ненадлежащее исполнение условия о привлечении к исполнению Контракта субподрядчиков СМП, соисполнителей СМП, в том числе: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а) за представление документов, указанных в пунктах 6.4.12 - 6.4.15 Контракта, содержащих недостоверные сведения, либо их непредставление или представление таких документов с нарушением установленных сроков;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б) за непривлечение субподрядчиков СМП, соисполнителей СМП в объеме, установленном пунктом 6.4.11. Контракта.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6.4.17. Представлять Заказчику информацию о всех соисполнителях, субподрядчиках, заключивших договор или договоры с Исполнителем, цена которого или общая цена которых составляет более чем 10 (десять) процентов цены Контракта, в течение 10 (десяти) дней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с момента заключения им договора с соисполнителем, субподрядчиком.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За непредставление информации, указанной в абзаце первом настоящего пункта, Исполнитель несет ответственность в виде пени в размере одной трехсотой действующей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на дату уплаты пени ключевой ставки Центрального банка Российской Федерации от цены договора, заключенного Исполнителем с соисполнителем, субподрядчиком. Пен</w:t>
      </w:r>
      <w:r>
        <w:rPr>
          <w:rFonts w:ascii="XO Thames" w:hAnsi="XO Thames"/>
        </w:rPr>
        <w:t xml:space="preserve">и</w:t>
      </w:r>
      <w:r>
        <w:rPr>
          <w:rFonts w:ascii="XO Thames" w:hAnsi="XO Thames"/>
        </w:rPr>
        <w:t xml:space="preserve"> подлежит начислению за каждый день просрочки исполнения такого обязательства. </w:t>
      </w:r>
      <w:r>
        <w:rPr>
          <w:rFonts w:ascii="XO Thames" w:hAnsi="XO Thames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ГАРАНТИЙНЫЕ ОБЯЗАТЕЛЬСТВА</w:t>
      </w:r>
      <w:r>
        <w:rPr>
          <w:rFonts w:ascii="XO Thames" w:hAnsi="XO Thames"/>
          <w:b/>
          <w:bCs w:val="0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Выполненные Работы должны отвечать требованиям качества, безопасности жизни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и з</w:t>
      </w:r>
      <w:r>
        <w:rPr>
          <w:rFonts w:ascii="XO Thames" w:hAnsi="XO Thames"/>
          <w:sz w:val="24"/>
          <w:szCs w:val="24"/>
        </w:rPr>
        <w:t xml:space="preserve">доровья, а также иным требованиям, если такие требования предъявляются действующим законодательством Российской Федерации. Гарантийный срок на результаты выполненных Работ составляет 12 (двенадцать) месяцев с даты подписания Заказчиком Документа о приемке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в</w:t>
      </w:r>
      <w:r>
        <w:rPr>
          <w:rFonts w:ascii="XO Thames" w:hAnsi="XO Thames"/>
          <w:sz w:val="24"/>
          <w:szCs w:val="24"/>
        </w:rPr>
        <w:t xml:space="preserve"> ЕИС</w:t>
      </w:r>
      <w:r>
        <w:rPr>
          <w:rFonts w:ascii="XO Thames" w:hAnsi="XO Thames"/>
          <w:color w:val="000000" w:themeColor="text1"/>
          <w:sz w:val="24"/>
          <w:szCs w:val="24"/>
        </w:rPr>
        <w:t xml:space="preserve">. 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Заказчик не устанавливает требование об обеспечении гарантийных обязательств.</w:t>
      </w:r>
      <w:r>
        <w:rPr>
          <w:rFonts w:ascii="XO Thames" w:hAnsi="XO Thames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ОТВЕТСТВЕННОСТЬ СТОРОН</w:t>
      </w:r>
      <w:r>
        <w:rPr>
          <w:rFonts w:ascii="XO Thames" w:hAnsi="XO Thames"/>
          <w:b/>
          <w:bCs w:val="0"/>
          <w:szCs w:val="24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8.1. За неисполнение или ненадлежащее исполнение своих обязательств, установленных Контрактом, Стороны несут ответственность в соответствии с законодательством Российской Федерации и Контрактом. Размеры неустоек (штрафов, пеней), указанные в настоящем раз</w:t>
      </w:r>
      <w:r>
        <w:rPr>
          <w:rFonts w:ascii="XO Thames" w:hAnsi="XO Thames"/>
        </w:rPr>
        <w:t xml:space="preserve">деле,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от 30.08.2017 № 1042 (далее – Правила), а также в соответствии с положениями статьи 34 Закона о контрактной системе.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8.2. В случае просрочки исполнения Заказчиком обязательств, предусмотренных Контрактом, а также в иных случаях не</w:t>
      </w:r>
      <w:r>
        <w:rPr>
          <w:rFonts w:ascii="XO Thames" w:hAnsi="XO Thames"/>
        </w:rPr>
        <w:t xml:space="preserve">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 Пеня в размере 1/300 (одной трехсотой) действующей на дату уплаты пеней ключевой ставки Центрально</w:t>
      </w:r>
      <w:r>
        <w:rPr>
          <w:rFonts w:ascii="XO Thames" w:hAnsi="XO Thames"/>
        </w:rPr>
        <w:t xml:space="preserve">го банка Российской Федерации от не уплаченной в срок суммы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8.3.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- 1000 руб., если цена Контракта не превышает 3 млн руб. (включительно);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- 5000 руб., если цена Контракта составляет от 3 млн руб. до 50 млн руб. (включительно);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- 10 000 руб., если цена Контракта составляет от 50 млн руб. до 100 млн руб. (включительно);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 - 100 000 руб., если цена Контракта превышает 100 млн руб.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8.4. В случае просрочки исполнения Исполнителем обязательств (в том числе </w:t>
      </w:r>
      <w:r>
        <w:rPr>
          <w:rFonts w:ascii="XO Thames" w:hAnsi="XO Thames"/>
        </w:rPr>
        <w:t xml:space="preserve">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Исполнителю требование об уплате неустоек (штрафов, пеней).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пропорционал</w:t>
      </w:r>
      <w:r>
        <w:rPr>
          <w:rFonts w:ascii="XO Thames" w:hAnsi="XO Thames"/>
        </w:rPr>
        <w:t xml:space="preserve">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8.5. Штрафы начисляются за неисполнение или ненадлежащее исполнение Исполнителем о</w:t>
      </w:r>
      <w:r>
        <w:rPr>
          <w:rFonts w:ascii="XO Thames" w:hAnsi="XO Thames"/>
        </w:rPr>
        <w:t xml:space="preserve">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Контрактом. Размер штрафа определяется в соответствии с Правилами либо устанавливается законом.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8.6. Если иное не предусмотрено законом, размер штрафа за неисполнение или ненадлежащее исполнение Исполнителем обязательства по Контракту, имеющего стоимостное выражение, устанавливается в следующем порядке: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а) 10% от цены Контракта (этапа) в случае, если цена Контракта (этапа) не превышает 3 млн руб.;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б) 5% от цены Контракта (этапа) в случае, если цена Контракта (этапа) составляет от 3 млн руб. до 50 млн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в) 1% от цены Контракта (этапа) в случае, если цена Контракта (этапа) составляет от 50 млн руб. до 100 млн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г) 0,5% от цены Контракта (этапа) в случае, если цена Контракта (этапа) составляет от 100 млн руб. до 500 млн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д) 0,4% от цены Контракта (этапа) в случае, если цена Контракта (этапа) составляет от 500 млн руб. до 1 млрд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е) 0,3% от цены Контракта (этапа) в случае, если цена Контракта (этапа) составляет от 1 млрд руб. до 2 млрд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ж) 0,25% от цены Контракта (этапа) в случае, если цена Контракта (этапа) составляет от 2 млрд руб. до 5 млрд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з) 0,2% от цены Контракта (этапа) в случае, если цена Контракта (этапа) составляет от 5 млрд руб. до 10 млрд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и) 0,1% от цены Контракта (этапа) в случае, если цена Контракта (этапа) превышает 10 млрд руб.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8.7. Если иное не предусмотрено законом, размер штрафа за неисполнение или ненадлежащее исполнение Исполнителем обязательства по Контракту, не имеющего стоимостного выражения, составляет: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а) 1 000 руб., если цена Контракта не превышает 3 млн руб.;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б) 5 000 руб., если цена Контракта составляет от 3 млн руб. до 50 млн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в) 10 000 руб., если цена Контракта составляет от 50 млн руб. до 100 млн руб. (включительно);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г) 100 000 руб., если цена Контракта превышает 100 млн руб.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8.8.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 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8.9. 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8.10. Заказчик вправе удерживать сумму неисполненных Исполнителем требований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об уплате неустоек (штрафов, пеней) из суммы, подлежащей оплате Исполнителю.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8.11. Уплата Стороной неустойки (штрафа, пени) не освобождает ее от исполнения обязательств по Контракту.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8.12. Сторона освобождается от уплаты неустойки (штрафа, пени), если докажет,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что неисполнение или ненадлежащее исполнение обязательства, предусмотренного Контрактом, произошло по вине другой Стороны или вследствие непреодолимой силы,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и т.п.), подтвержденных в установленном законодательством порядке, препятствующи</w:t>
      </w:r>
      <w:r>
        <w:rPr>
          <w:rFonts w:ascii="XO Thames" w:hAnsi="XO Thames"/>
        </w:rPr>
        <w:t xml:space="preserve">х надлежащему исполнению обязательств по Контракту, которые возникли после заключения Контракта,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</w:t>
      </w:r>
      <w:r>
        <w:rPr>
          <w:rFonts w:ascii="XO Thames" w:hAnsi="XO Thames"/>
        </w:rPr>
        <w:br/>
      </w:r>
      <w:r>
        <w:rPr>
          <w:rFonts w:ascii="XO Thames" w:hAnsi="XO Thames"/>
        </w:rPr>
        <w:t xml:space="preserve">не в состоянии предвидеть и предотвратить.</w:t>
      </w:r>
      <w:r>
        <w:rPr>
          <w:rFonts w:ascii="XO Thames" w:hAnsi="XO Thames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ОБЕСПЕЧЕНИЕ ИСПОЛНЕНИЯ КОНТРАКТА</w:t>
      </w:r>
      <w:r>
        <w:rPr>
          <w:rFonts w:ascii="XO Thames" w:hAnsi="XO Thames"/>
          <w:b/>
          <w:bCs w:val="0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XO Thames"/>
          <w:sz w:val="24"/>
          <w:szCs w:val="24"/>
        </w:rPr>
        <w:t xml:space="preserve">Исполнитель предоставляет обеспечение выполнения обязательств Исполнителем </w:t>
      </w:r>
      <w:r>
        <w:rPr>
          <w:rFonts w:ascii="XO Thames" w:hAnsi="XO Thames" w:cs="XO Thames"/>
          <w:sz w:val="24"/>
          <w:szCs w:val="24"/>
        </w:rPr>
        <w:br/>
      </w:r>
      <w:r>
        <w:rPr>
          <w:rFonts w:ascii="XO Thames" w:hAnsi="XO Thames" w:cs="XO Thames"/>
          <w:sz w:val="24"/>
          <w:szCs w:val="24"/>
        </w:rPr>
        <w:t xml:space="preserve">по Контракту в размере 10 % (десяти) процентов от начальной максимальной цены заключаемого Контрак</w:t>
      </w:r>
      <w:r>
        <w:rPr>
          <w:rFonts w:ascii="XO Thames" w:hAnsi="XO Thames" w:cs="XO Thames"/>
          <w:sz w:val="24"/>
          <w:szCs w:val="24"/>
        </w:rPr>
        <w:t xml:space="preserve">та, что составляет 2 563 700 </w:t>
      </w:r>
      <w:r>
        <w:rPr>
          <w:rFonts w:ascii="XO Thames" w:hAnsi="XO Thames" w:cs="XO Thames"/>
          <w:sz w:val="24"/>
          <w:szCs w:val="24"/>
        </w:rPr>
        <w:t xml:space="preserve">(два миллиона пятьсот шестьдесят три тысячи семьсот) рублей 00 копеек.</w:t>
      </w:r>
      <w:r>
        <w:rPr>
          <w:rFonts w:ascii="XO Thames" w:hAnsi="XO Thames" w:cs="Times New Roman"/>
          <w:sz w:val="24"/>
          <w:szCs w:val="24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</w:rPr>
        <w:t xml:space="preserve">В случае,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</w:t>
      </w:r>
      <w:r>
        <w:rPr>
          <w:rFonts w:ascii="XO Thames" w:hAnsi="XO Thames" w:cs="XO Thames"/>
        </w:rPr>
        <w:br/>
      </w:r>
      <w:r>
        <w:rPr>
          <w:rFonts w:ascii="XO Thames" w:hAnsi="XO Thames" w:cs="XO Thames"/>
        </w:rPr>
        <w:t xml:space="preserve">в порядке и случаях, которые предусмотрены пунктами 9.5 и 9.6 настоящего Контракта.</w:t>
      </w:r>
      <w:r>
        <w:rPr>
          <w:rFonts w:ascii="XO Thames" w:hAnsi="XO Thames"/>
        </w:rPr>
      </w:r>
    </w:p>
    <w:p>
      <w:pPr>
        <w:pStyle w:val="865"/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XO Thames"/>
          <w:sz w:val="24"/>
          <w:szCs w:val="24"/>
        </w:rPr>
        <w:t xml:space="preserve">Если Исполнителем предложена цена Контракта, которая на двадцать п</w:t>
      </w:r>
      <w:r>
        <w:rPr>
          <w:rFonts w:ascii="XO Thames" w:hAnsi="XO Thames" w:cs="XO Thames"/>
          <w:sz w:val="24"/>
          <w:szCs w:val="24"/>
        </w:rPr>
        <w:t xml:space="preserve">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размере, превышающем в полтора раза размер обеспечения исполнения Контракта, указанный </w:t>
      </w:r>
      <w:r>
        <w:rPr>
          <w:rFonts w:ascii="XO Thames" w:hAnsi="XO Thames" w:cs="XO Thames"/>
          <w:sz w:val="24"/>
          <w:szCs w:val="24"/>
        </w:rPr>
        <w:br/>
      </w:r>
      <w:r>
        <w:rPr>
          <w:rFonts w:ascii="XO Thames" w:hAnsi="XO Thames" w:cs="XO Thames"/>
          <w:sz w:val="24"/>
          <w:szCs w:val="24"/>
        </w:rPr>
        <w:t xml:space="preserve">в извещении об осуществлении закупки, но не менее чем десять процентов от начальной (максимальной) цены Контракта и не менее размера аванса (если контрактом предусмотрена выплата аван</w:t>
      </w:r>
      <w:r>
        <w:rPr>
          <w:rFonts w:ascii="XO Thames" w:hAnsi="XO Thames"/>
          <w:sz w:val="24"/>
          <w:szCs w:val="24"/>
        </w:rPr>
        <w:t xml:space="preserve">са)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Исполнение Контракта обеспечивается предоставлением независимой гарантии, выданной банком и соответствующей требованиям </w:t>
      </w:r>
      <w:hyperlink r:id="rId19" w:tooltip="consultantplus://offline/ref=353FD7E4D2C6A8B4108B561671A1054153B82B56A1EA8A1BEC4237AB00068924592B759198CD3880C161938D0D3FFC99C7F5DE7CSBC3M" w:history="1">
        <w:r>
          <w:rPr>
            <w:rFonts w:ascii="XO Thames" w:hAnsi="XO Thames" w:cs="Times New Roman"/>
            <w:sz w:val="24"/>
            <w:szCs w:val="24"/>
          </w:rPr>
          <w:t xml:space="preserve">статьи 45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44-ФЗ, или внесением денежных средств на указанный Заказчиком счет, на котором в соответствии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с законодательством Российской Федерации учитываются операции со средствами, поступающими Заказчику.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Способ обеспечения исполнения Контракта, срок действия независимой гарантии определяются в соответствии с требованиями Федерального </w:t>
      </w:r>
      <w:hyperlink r:id="rId20" w:tooltip="consultantplus://offline/ref=353FD7E4D2C6A8B4108B561671A1054153B82B56A1EA8A1BEC4237AB000689244B2B2D999FC672D18C2A9C8C0FS2C1M" w:history="1">
        <w:r>
          <w:rPr>
            <w:rFonts w:ascii="XO Thames" w:hAnsi="XO Thames" w:cs="Times New Roman"/>
            <w:sz w:val="24"/>
            <w:szCs w:val="24"/>
          </w:rPr>
          <w:t xml:space="preserve">закона</w:t>
        </w:r>
      </w:hyperlink>
      <w:r>
        <w:rPr>
          <w:rFonts w:ascii="XO Thames" w:hAnsi="XO Thames" w:cs="Times New Roman"/>
          <w:sz w:val="24"/>
          <w:szCs w:val="24"/>
        </w:rPr>
        <w:t xml:space="preserve"> № 44-ФЗ участником закупки, с которым заключается контракт, самостоятельно.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со </w:t>
      </w:r>
      <w:hyperlink r:id="rId21" w:tooltip="consultantplus://offline/ref=353FD7E4D2C6A8B4108B561671A1054153B82B56A1EA8A1BEC4237AB00068924592B75959EC76FD18C3FCADD4974F191D9E9DE77AD2D7BE1SACBM" w:history="1">
        <w:r>
          <w:rPr>
            <w:rFonts w:ascii="XO Thames" w:hAnsi="XO Thames" w:cs="Times New Roman"/>
            <w:sz w:val="24"/>
            <w:szCs w:val="24"/>
          </w:rPr>
          <w:t xml:space="preserve">статьей 95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Денежные средства, внесенные Исполнителем в качестве обеспечения исполнения Контракта, в том числе часть этих денежных средств в случае уменьшения размера обеспечения исполнения Контракта в</w:t>
      </w:r>
      <w:r>
        <w:rPr>
          <w:rFonts w:ascii="XO Thames" w:hAnsi="XO Thames" w:cs="Times New Roman"/>
          <w:sz w:val="24"/>
          <w:szCs w:val="24"/>
        </w:rPr>
        <w:t xml:space="preserve"> соответствии с пунктами 9.1, 9.4 и 9.5 Контракта, возвращаются Исполнителю в течение 15 (пятнадцати) дней с даты исполнения Исполнителем обязательств, предусмотренных Контрактом (если такая форма обеспечения исполнения Контракта применяется Исполнителем).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 ходе исполнения Контракта Исполнитель вправе изменить способ обеспечени</w:t>
      </w:r>
      <w:r>
        <w:rPr>
          <w:rFonts w:ascii="XO Thames" w:hAnsi="XO Thames" w:cs="Times New Roman"/>
          <w:sz w:val="24"/>
          <w:szCs w:val="24"/>
        </w:rPr>
        <w:t xml:space="preserve">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9.5 и 9.6 Контракта.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Размер обеспечения исполнения Контракта уменьшается посредством направления Заказчиком информации об исполнении Исполнителем обязательств по поставке Товара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или об исполнении им отдельного этапа исполнения Контракта и стоимости исполненных обязательств для включения в реестр контрактов, предусмотренный </w:t>
      </w:r>
      <w:hyperlink r:id="rId22" w:tooltip="consultantplus://offline/ref=353FD7E4D2C6A8B4108B561671A1054153B82B56A1EA8A1BEC4237AB00068924592B75959EC768D6813FCADD4974F191D9E9DE77AD2D7BE1SACBM" w:history="1">
        <w:r>
          <w:rPr>
            <w:rFonts w:ascii="XO Thames" w:hAnsi="XO Thames" w:cs="Times New Roman"/>
            <w:sz w:val="24"/>
            <w:szCs w:val="24"/>
          </w:rPr>
          <w:t xml:space="preserve">статьей 103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 (далее </w:t>
      </w:r>
      <w:r>
        <w:rPr>
          <w:rFonts w:ascii="XO Thames" w:hAnsi="XO Thames" w:cs="Times New Roman"/>
          <w:sz w:val="24"/>
          <w:szCs w:val="24"/>
        </w:rPr>
        <w:noBreakHyphen/>
        <w:t xml:space="preserve"> реестр контрактов). Уменьшение размера обеспечения исполнения Контракта производится пропорционально стоимости исполненных обязательств, приемка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и оплата которых осуществлены в порядке и сроки, которые предусмотрены Контрактом.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В случае, если обеспечение исполнения Контракта осуществляется путем предоставлени</w:t>
      </w:r>
      <w:r>
        <w:rPr>
          <w:rFonts w:ascii="XO Thames" w:hAnsi="XO Thames" w:cs="Times New Roman"/>
          <w:sz w:val="24"/>
          <w:szCs w:val="24"/>
        </w:rPr>
        <w:t xml:space="preserve">я независимой гарантии, требование Заказчика об уплате денежных сумм по этой гарантии может быть предъявлено в размере не более размера обеспечения исполнения Контракта, рассчитанного Заказчиком на основании информации об исполнении Контракта, размещенной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в реестре контрактов. В случае, если обеспечение исполнения Контракта осуществляется путем внесения денежных средств на счет, указанный Заказчиком, денежные </w:t>
      </w:r>
      <w:r>
        <w:rPr>
          <w:rFonts w:ascii="XO Thames" w:hAnsi="XO Thames" w:cs="Times New Roman"/>
          <w:sz w:val="24"/>
          <w:szCs w:val="24"/>
        </w:rPr>
        <w:t xml:space="preserve">средства возвращаются Исполнителю в срок, установленный в пункте 9.3 Контракта, в сумме, на которую уменьшен размер обеспечения исполнения Контракта, рассчитанный Заказчиком на основании информации об исполнении Контракта, размещенной в реестре контрактов.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Предусмотренное пунктами 9.1 и 9.4.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(штрафов, пеней), предъявленных Заказчиком в соответствии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с разделом 8 Контракта, а также приемки Заказчиком выполненных работ, результатов отдельного этапа исполнения Контракта в объеме выплаченного аванса (если Контрактом предусмотрена выплата аванса) либо в объеме, превышающем выплаченный аванс (если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в соответствии с законодательством Российской Федерации расчеты по Контракту в части выплаты аванса подлежат казначейскому сопровождению). Такое уменьшение не допускается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в случаях, определенных Правительством Российской Федерации в соответствии с </w:t>
      </w:r>
      <w:hyperlink r:id="rId23" w:tooltip="consultantplus://offline/ref=353FD7E4D2C6A8B4108B561671A1054153B82B56A1EA8A1BEC4237AB00068924592B759599C76ADAD165DAD90020FC8ED9FEC07CB32DS7CBM" w:history="1">
        <w:r>
          <w:rPr>
            <w:rFonts w:ascii="XO Thames" w:hAnsi="XO Thames" w:cs="Times New Roman"/>
            <w:sz w:val="24"/>
            <w:szCs w:val="24"/>
          </w:rPr>
          <w:t xml:space="preserve">частью 7.3 статьи 96</w:t>
        </w:r>
      </w:hyperlink>
      <w:r>
        <w:rPr>
          <w:rFonts w:ascii="XO Thames" w:hAnsi="XO Thames" w:cs="Times New Roman"/>
          <w:sz w:val="24"/>
          <w:szCs w:val="24"/>
        </w:rPr>
        <w:t xml:space="preserve"> Федерального закона № 44-ФЗ.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 случае отзыва в соответствии с з</w:t>
      </w:r>
      <w:r>
        <w:rPr>
          <w:rFonts w:ascii="XO Thames" w:hAnsi="XO Thames" w:cs="Times New Roman"/>
          <w:sz w:val="24"/>
          <w:szCs w:val="24"/>
        </w:rPr>
        <w:t xml:space="preserve">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операций, Исполнитель обязан предоставить новое обеспечение исполнения Контракта не поздне</w:t>
      </w:r>
      <w:r>
        <w:rPr>
          <w:rFonts w:ascii="XO Thames" w:hAnsi="XO Thames" w:cs="Times New Roman"/>
          <w:sz w:val="24"/>
          <w:szCs w:val="24"/>
        </w:rPr>
        <w:t xml:space="preserve">е одного месяца со дня надлежащего уведомления Заказчиком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пунктами 9.1, 9.4, 9.5 и 9.6 Контракта.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Уменьшение в соответствии с пунктами 9.1. и 9.4. Контракта размера обеспечения исполнения Кон</w:t>
      </w:r>
      <w:r>
        <w:rPr>
          <w:rFonts w:ascii="XO Thames" w:hAnsi="XO Thames" w:cs="Times New Roman"/>
          <w:sz w:val="24"/>
          <w:szCs w:val="24"/>
        </w:rPr>
        <w:t xml:space="preserve">тракта, предоставленного в виде независимой гарантии, осуществляется Заказчиком путем отказа от части своих прав по этой гарантии. При этом датой такого отказа признается дата включения предусмотренной пунктом 9.5. Контракта информации в реестр контрактов.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 случае предоставления нового обеспечения исполнения Контракта в соответствии с пунктами 9.4 и 9.7 Контракта возврат независимой гарантии Заказчиком гаранту, предоставившему указанную независимую гарантию, не осуществляется, взыскание </w:t>
      </w:r>
      <w:r>
        <w:rPr>
          <w:rFonts w:ascii="XO Thames" w:hAnsi="XO Thames" w:cs="Times New Roman"/>
          <w:sz w:val="24"/>
          <w:szCs w:val="24"/>
        </w:rPr>
        <w:br/>
      </w:r>
      <w:r>
        <w:rPr>
          <w:rFonts w:ascii="XO Thames" w:hAnsi="XO Thames" w:cs="Times New Roman"/>
          <w:sz w:val="24"/>
          <w:szCs w:val="24"/>
        </w:rPr>
        <w:t xml:space="preserve">по ней не производится.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65"/>
        <w:ind w:firstLine="709"/>
        <w:jc w:val="both"/>
        <w:rPr>
          <w:rFonts w:ascii="XO Thames" w:hAnsi="XO Thames"/>
          <w:sz w:val="24"/>
          <w:szCs w:val="24"/>
        </w:rPr>
      </w:pPr>
      <w:r>
        <w:rPr>
          <w:rFonts w:ascii="XO Thames" w:hAnsi="XO Thames" w:cs="XO Thames"/>
          <w:color w:val="000000" w:themeColor="text1"/>
          <w:sz w:val="24"/>
          <w:szCs w:val="24"/>
        </w:rPr>
        <w:t xml:space="preserve">9.10. Положения настоящего раздела Контракта не применяются в случае заключения Контракта с участником закупки, который является казенным учреждением.</w:t>
      </w:r>
      <w:r>
        <w:rPr>
          <w:rFonts w:ascii="XO Thames" w:hAnsi="XO Thames"/>
          <w:sz w:val="24"/>
          <w:szCs w:val="24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</w:rPr>
        <w:t xml:space="preserve">9.11. Участник закупки, с которым заключается контракт по результатам определения Исполнителя (подрядчика, исполнителя) в соответствии с </w:t>
      </w:r>
      <w:hyperlink r:id="rId24" w:tooltip="https://login.consultant.ru/link/?req=doc&amp;base=LAW&amp;n=421875&amp;dst=101858&amp;field=134&amp;date=28.08.2022" w:history="1">
        <w:r>
          <w:rPr>
            <w:rFonts w:ascii="XO Thames" w:hAnsi="XO Thames" w:cs="XO Thames"/>
            <w:color w:val="000000" w:themeColor="text1"/>
          </w:rPr>
          <w:t xml:space="preserve">пунктом 1 части 1 статьи 30</w:t>
        </w:r>
      </w:hyperlink>
      <w:r>
        <w:rPr>
          <w:rFonts w:ascii="XO Thames" w:hAnsi="XO Thames" w:cs="XO Thames"/>
          <w:color w:val="000000" w:themeColor="text1"/>
        </w:rPr>
        <w:t xml:space="preserve"> Федерального закона № 44-ФЗ, освобождается от предоставления обеспечения исполнения контракта, в том числе с учетом положений </w:t>
      </w:r>
      <w:hyperlink r:id="rId25" w:tooltip="https://login.consultant.ru/link/?req=doc&amp;base=LAW&amp;n=421875&amp;dst=100437&amp;field=134&amp;date=28.08.2022" w:history="1">
        <w:r>
          <w:rPr>
            <w:rFonts w:ascii="XO Thames" w:hAnsi="XO Thames" w:cs="XO Thames"/>
            <w:color w:val="000000" w:themeColor="text1"/>
          </w:rPr>
          <w:t xml:space="preserve">статьи 37</w:t>
        </w:r>
      </w:hyperlink>
      <w:r>
        <w:rPr>
          <w:rFonts w:ascii="XO Thames" w:hAnsi="XO Thames" w:cs="XO Thames"/>
          <w:color w:val="000000" w:themeColor="text1"/>
        </w:rPr>
        <w:t xml:space="preserve"> Федерального закона № 44-ФЗ в случае </w:t>
      </w:r>
      <w:r>
        <w:rPr>
          <w:rFonts w:ascii="XO Thames" w:hAnsi="XO Thames" w:cs="XO Thames"/>
          <w:color w:val="000000" w:themeColor="text1"/>
        </w:rPr>
        <w:t xml:space="preserve">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</w:t>
      </w:r>
      <w:r>
        <w:rPr>
          <w:rFonts w:ascii="XO Thames" w:hAnsi="XO Thames" w:cs="XO Thames"/>
          <w:color w:val="000000" w:themeColor="text1"/>
        </w:rPr>
        <w:t xml:space="preserve">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</w:t>
      </w:r>
      <w:r>
        <w:rPr>
          <w:rFonts w:ascii="XO Thames" w:hAnsi="XO Thames" w:cs="XO Thames"/>
          <w:color w:val="000000" w:themeColor="text1"/>
        </w:rPr>
        <w:t xml:space="preserve"> случаях, установленных Федеральным законом № 44-ФЗ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  <w:r>
        <w:rPr>
          <w:rFonts w:ascii="XO Thames" w:hAnsi="XO Thames"/>
        </w:rPr>
      </w:r>
    </w:p>
    <w:p>
      <w:pPr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color w:val="000000" w:themeColor="text1"/>
        </w:rPr>
        <w:t xml:space="preserve">9.12. Реквизиты Заказчика для перечисления Исполнителем денежных средств в качестве обеспечения исполнения Контракта (в случае выбора Исполнителем такого способа обеспечения исполнения Контракта):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Получатель: Г</w:t>
      </w:r>
      <w:r>
        <w:rPr>
          <w:rFonts w:ascii="XO Thames" w:hAnsi="XO Thames" w:cs="XO Thames"/>
          <w:i/>
          <w:iCs/>
        </w:rPr>
        <w:t xml:space="preserve">осударственное</w:t>
      </w:r>
      <w:r>
        <w:rPr>
          <w:rFonts w:ascii="XO Thames" w:hAnsi="XO Thames" w:cs="XO Thames"/>
          <w:i/>
          <w:iCs/>
        </w:rPr>
        <w:t xml:space="preserve"> казенное учреждение</w:t>
      </w:r>
      <w:r>
        <w:rPr>
          <w:rFonts w:ascii="XO Thames" w:hAnsi="XO Thames" w:cs="XO Thames"/>
          <w:i/>
          <w:iCs/>
        </w:rPr>
        <w:t xml:space="preserve"> федеральной территории «Сириус»</w:t>
      </w:r>
      <w:r>
        <w:rPr>
          <w:rFonts w:ascii="XO Thames" w:hAnsi="XO Thames" w:cs="XO Thames"/>
          <w:i/>
          <w:iCs/>
        </w:rPr>
        <w:t xml:space="preserve"> «ЦИФРА.ФТ»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ИНН 2367026222 КПП 237801001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р/счет 03222643020000003200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корр. счет 40102810745370000024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ОКЦ № 1 ВВГУ Банка России//УФК по Нижегородской области, г Нижний Новгород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БИК 012202102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  <w:i/>
          <w:iCs/>
        </w:rPr>
        <w:t xml:space="preserve">УФК по Краснодарскому краю (ГКУ «ЦИФРА.ФТ» л/с 052ИИ038000)</w:t>
      </w:r>
      <w:r>
        <w:rPr>
          <w:rFonts w:ascii="XO Thames" w:hAnsi="XO Thames"/>
        </w:rPr>
      </w:r>
    </w:p>
    <w:p>
      <w:pPr>
        <w:ind w:firstLine="567"/>
        <w:jc w:val="both"/>
        <w:rPr>
          <w:rFonts w:ascii="XO Thames" w:hAnsi="XO Thames"/>
        </w:rPr>
      </w:pPr>
      <w:r>
        <w:rPr>
          <w:rFonts w:ascii="XO Thames" w:hAnsi="XO Thames" w:eastAsia="Calibri" w:cs="XO Thames"/>
          <w:i/>
          <w:iCs/>
          <w:color w:val="000000" w:themeColor="text1"/>
          <w:lang w:eastAsia="en-US" w:bidi="ru-RU"/>
        </w:rPr>
        <w:t xml:space="preserve">  Назначение платежа: обеспечение исполнения контракта №_______________.</w:t>
      </w:r>
      <w:r>
        <w:rPr>
          <w:rFonts w:ascii="XO Thames" w:hAnsi="XO Thames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СРОК ДЕЙСТВИЯ, ПОРЯДОК ИЗМЕНЕНИЯ И РАСТОРЖЕНИЯ КОНТРАКТА</w:t>
      </w:r>
      <w:r>
        <w:rPr>
          <w:rFonts w:ascii="XO Thames" w:hAnsi="XO Thames"/>
          <w:b/>
          <w:bCs w:val="0"/>
          <w:szCs w:val="24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tabs>
          <w:tab w:val="left" w:pos="567" w:leader="none"/>
          <w:tab w:val="left" w:pos="800" w:leader="none"/>
          <w:tab w:val="left" w:pos="851" w:leader="none"/>
          <w:tab w:val="left" w:pos="993" w:leader="none"/>
        </w:tabs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Контракт составлен в форме электронного документа и подписан усиленными квалифицированными электронными подписями Сторон. </w:t>
      </w:r>
      <w:r>
        <w:rPr>
          <w:rFonts w:ascii="XO Thames" w:hAnsi="XO Thames"/>
          <w:lang w:val="ru-RU"/>
        </w:rPr>
      </w:r>
    </w:p>
    <w:p>
      <w:pPr>
        <w:ind w:firstLine="709"/>
        <w:jc w:val="both"/>
        <w:tabs>
          <w:tab w:val="left" w:pos="567" w:leader="none"/>
          <w:tab w:val="left" w:pos="851" w:leader="none"/>
          <w:tab w:val="left" w:pos="993" w:leader="none"/>
        </w:tabs>
        <w:rPr>
          <w:rFonts w:ascii="XO Thames" w:hAnsi="XO Thames"/>
          <w:lang w:eastAsia="en-US"/>
        </w:rPr>
      </w:pPr>
      <w:r>
        <w:rPr>
          <w:rFonts w:ascii="XO Thames" w:hAnsi="XO Thames"/>
          <w:lang w:eastAsia="en-US"/>
        </w:rPr>
        <w:t xml:space="preserve">Настоящий Контракт считается заключенным с даты его подписания и действует </w:t>
      </w:r>
      <w:r>
        <w:rPr>
          <w:rFonts w:ascii="XO Thames" w:hAnsi="XO Thames"/>
          <w:lang w:eastAsia="en-US"/>
        </w:rPr>
        <w:br/>
      </w:r>
      <w:r>
        <w:rPr>
          <w:rFonts w:ascii="XO Thames" w:hAnsi="XO Thames"/>
          <w:lang w:eastAsia="en-US"/>
        </w:rPr>
        <w:t xml:space="preserve">до «31» декабря 2026 г. Обязательства Сторон, не исполненные до даты истечения срока действия Контракта, подлежат исполнению в полном объеме.</w:t>
      </w:r>
      <w:r>
        <w:rPr>
          <w:rFonts w:ascii="XO Thames" w:hAnsi="XO Thames"/>
          <w:lang w:eastAsia="en-US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Окончание срока действия Контракта не освобождает Стороны от ответственности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за его нарушение.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Изменение условий Контракта при его исполнении не допускается, за исключением случаев, предусмотренных </w:t>
      </w:r>
      <w:hyperlink r:id="rId26" w:tooltip="consultantplus://offline/ref=353FD7E4D2C6A8B4108B561671A1054153B82B56A1EA8A1BEC4237AB00068924592B75959EC76FD18C3FCADD4974F191D9E9DE77AD2D7BE1SACBM" w:history="1">
        <w:r>
          <w:rPr>
            <w:rFonts w:ascii="XO Thames" w:hAnsi="XO Thames"/>
            <w:sz w:val="24"/>
            <w:szCs w:val="24"/>
          </w:rPr>
          <w:t xml:space="preserve">статьей 95</w:t>
        </w:r>
      </w:hyperlink>
      <w:r>
        <w:rPr>
          <w:rFonts w:ascii="XO Thames" w:hAnsi="XO Thames"/>
          <w:sz w:val="24"/>
          <w:szCs w:val="24"/>
        </w:rPr>
        <w:t xml:space="preserve"> Федерального закона № 44-ФЗ, Контрактом. 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Любые изменения и дополнения к настоящему Контракту имеют силу только в том случа</w:t>
      </w:r>
      <w:r>
        <w:rPr>
          <w:rFonts w:ascii="XO Thames" w:hAnsi="XO Thames"/>
          <w:sz w:val="24"/>
          <w:szCs w:val="24"/>
        </w:rPr>
        <w:t xml:space="preserve">е, если они оформлены в письменном виде и подписаны обеими Сторонами. В случае изменения места нахождения, названия, банковских реквизитов и прочего (далее – реквизиты) одной из Сторон, она уведомляет другую Сторону в срок не позднее 2 (двух) рабочих дней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со дня соответствующего изменения. Все риски, связанные с несвоевременным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или ненадлежащим уведомлением Стороны об изменении реквизитов, несет Сторона, у которой сменились реквизиты.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При исполнении Контракта не допускается перемена Исполнителя, за исключением случая, если новый Исполнитель является правопреемником Исполнителя вследствие реорганизации юридического лица в форме преобразования, слияния или присоединения. 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Передача прав и обязанностей по Контракту правопреемнику Исполнителя осуществляется путем заключения соответствующего дополнительного соглашения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к Контракту.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Расторжение Контракта допускается по соглашению Сторон, по решению суда </w:t>
      </w:r>
      <w:r>
        <w:rPr>
          <w:rFonts w:ascii="XO Thames" w:hAnsi="XO Thames"/>
          <w:sz w:val="24"/>
          <w:szCs w:val="24"/>
        </w:rPr>
        <w:br/>
        <w:t xml:space="preserve">или в связи с односторонним отказом Стороны от исполнения Контракта в соответствии </w:t>
      </w:r>
      <w:r>
        <w:rPr>
          <w:rFonts w:ascii="XO Thames" w:hAnsi="XO Thames"/>
          <w:sz w:val="24"/>
          <w:szCs w:val="24"/>
        </w:rPr>
        <w:br/>
        <w:t xml:space="preserve">с гражданским законодательством Российской Федерации, требованиями Федерального закона № 44-ФЗ.</w:t>
      </w:r>
      <w:r>
        <w:rPr>
          <w:rFonts w:ascii="XO Thames" w:hAnsi="XO Thames"/>
          <w:sz w:val="24"/>
          <w:szCs w:val="24"/>
        </w:rPr>
      </w:r>
    </w:p>
    <w:p>
      <w:pPr>
        <w:pStyle w:val="860"/>
        <w:numPr>
          <w:ilvl w:val="1"/>
          <w:numId w:val="3"/>
        </w:numPr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Во всем, что не предусмотрено настоящим Контрактом, Стороны руководствуются действующим законодательством Российской Федерации.</w:t>
      </w:r>
      <w:r>
        <w:rPr>
          <w:rFonts w:ascii="XO Thames" w:hAnsi="XO Thames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ДЕЙСТВИЕ ОБСТОЯТЕЛЬСТВ НЕПРЕОДОЛИМОЙ СИЛЫ</w:t>
      </w:r>
      <w:r>
        <w:rPr>
          <w:rFonts w:ascii="XO Thames" w:hAnsi="XO Thames"/>
          <w:b/>
          <w:bCs w:val="0"/>
          <w:szCs w:val="24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Сторона освобождается от уплаты неустойки (штрафа, пени), если докажет, </w:t>
      </w:r>
      <w:r>
        <w:rPr>
          <w:rFonts w:ascii="XO Thames" w:hAnsi="XO Thames"/>
          <w:lang w:val="ru-RU"/>
        </w:rPr>
        <w:br/>
        <w:t xml:space="preserve"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</w:rPr>
      </w:pPr>
      <w:r>
        <w:rPr>
          <w:rFonts w:ascii="XO Thames" w:hAnsi="XO Thames"/>
          <w:lang w:val="ru-RU"/>
        </w:rPr>
        <w:t xml:space="preserve">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силы, такая Сторона не позднее 3 (трех) дней со дня их наступления в письменной форме извещает другую </w:t>
      </w:r>
      <w:r>
        <w:rPr>
          <w:rFonts w:ascii="XO Thames" w:hAnsi="XO Thames"/>
        </w:rPr>
        <w:t xml:space="preserve">Сторону с приложением документов, удостоверяющих факт наступления указанных обстоятельств.</w:t>
      </w:r>
      <w:r>
        <w:rPr>
          <w:rFonts w:ascii="XO Thames" w:hAnsi="XO Thames"/>
        </w:rPr>
      </w:r>
    </w:p>
    <w:p>
      <w:pPr>
        <w:pStyle w:val="863"/>
        <w:numPr>
          <w:ilvl w:val="0"/>
          <w:numId w:val="3"/>
        </w:numPr>
        <w:ind w:left="0" w:firstLine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ПОРЯДОК РАЗРЕШЕНИЯ СПОРОВ</w:t>
      </w:r>
      <w:r>
        <w:rPr>
          <w:rFonts w:ascii="XO Thames" w:hAnsi="XO Thames"/>
          <w:b/>
          <w:bCs w:val="0"/>
          <w:szCs w:val="24"/>
        </w:rPr>
      </w:r>
    </w:p>
    <w:p>
      <w:pPr>
        <w:pStyle w:val="865"/>
        <w:numPr>
          <w:ilvl w:val="1"/>
          <w:numId w:val="3"/>
        </w:numPr>
        <w:ind w:firstLine="709"/>
        <w:jc w:val="both"/>
        <w:rPr>
          <w:rFonts w:ascii="XO Thames" w:hAnsi="XO Thames" w:cs="Times New Roman"/>
          <w:sz w:val="24"/>
          <w:szCs w:val="24"/>
        </w:rPr>
      </w:pPr>
      <w:r>
        <w:rPr>
          <w:rFonts w:ascii="XO Thames" w:hAnsi="XO Thames" w:cs="Times New Roman"/>
          <w:sz w:val="24"/>
          <w:szCs w:val="24"/>
        </w:rPr>
        <w:t xml:space="preserve">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  <w:r>
        <w:rPr>
          <w:rFonts w:ascii="XO Thames" w:hAnsi="XO Thames" w:cs="Times New Roman"/>
          <w:sz w:val="24"/>
          <w:szCs w:val="24"/>
        </w:rPr>
      </w:r>
    </w:p>
    <w:p>
      <w:pPr>
        <w:pStyle w:val="877"/>
        <w:numPr>
          <w:ilvl w:val="1"/>
          <w:numId w:val="3"/>
        </w:numPr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</w:t>
      </w:r>
      <w:r>
        <w:rPr>
          <w:rFonts w:ascii="XO Thames" w:hAnsi="XO Thames"/>
          <w:color w:val="000000" w:themeColor="text1"/>
        </w:rPr>
        <w:t xml:space="preserve">а такой обмен осуществляется с использованием ЕИС путем направления электронных уведомлений. Такие уведомления формируются с использованием ЕИС, подписываются усиленной электронной подписью лица, имеющего право действовать от имени Заказчика, Исполнителя, </w:t>
      </w:r>
      <w:r>
        <w:rPr>
          <w:rFonts w:ascii="XO Thames" w:hAnsi="XO Thames"/>
          <w:color w:val="000000" w:themeColor="text1"/>
        </w:rPr>
        <w:br/>
        <w:t xml:space="preserve">и размещаются в ЕИС без размещения на официальном сайте.</w:t>
      </w:r>
      <w:r>
        <w:rPr>
          <w:rFonts w:ascii="XO Thames" w:hAnsi="XO Thames"/>
          <w:color w:val="000000" w:themeColor="text1"/>
        </w:rPr>
      </w:r>
    </w:p>
    <w:p>
      <w:pPr>
        <w:pStyle w:val="877"/>
        <w:numPr>
          <w:ilvl w:val="1"/>
          <w:numId w:val="3"/>
        </w:numPr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В претензии перечисляются допущенные при исполнении Контракта нарушения </w:t>
      </w:r>
      <w:r>
        <w:rPr>
          <w:rFonts w:ascii="XO Thames" w:hAnsi="XO Thames"/>
          <w:color w:val="000000" w:themeColor="text1"/>
        </w:rPr>
        <w:br/>
        <w:t xml:space="preserve">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>
        <w:rPr>
          <w:rFonts w:ascii="XO Thames" w:hAnsi="XO Thames"/>
          <w:color w:val="000000" w:themeColor="text1"/>
        </w:rPr>
      </w:r>
    </w:p>
    <w:p>
      <w:pPr>
        <w:pStyle w:val="877"/>
        <w:numPr>
          <w:ilvl w:val="1"/>
          <w:numId w:val="3"/>
        </w:numPr>
        <w:ind w:firstLine="709"/>
        <w:spacing w:before="0" w:after="0"/>
        <w:rPr>
          <w:rFonts w:ascii="XO Thames" w:hAnsi="XO Thames"/>
          <w:strike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Срок рассмотрения претензии не может превышать 14 (четырнадцать) дней с даты ее получения Стороной. </w:t>
      </w:r>
      <w:r>
        <w:rPr>
          <w:rFonts w:ascii="XO Thames" w:hAnsi="XO Thames"/>
          <w:strike/>
          <w:color w:val="000000" w:themeColor="text1"/>
        </w:rPr>
      </w:r>
    </w:p>
    <w:p>
      <w:pPr>
        <w:pStyle w:val="877"/>
        <w:numPr>
          <w:ilvl w:val="1"/>
          <w:numId w:val="3"/>
        </w:numPr>
        <w:ind w:firstLine="709"/>
        <w:spacing w:before="0" w:after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При неурегулировании Сторонами спора в досудебном порядке, спор разрешается </w:t>
      </w:r>
      <w:r>
        <w:rPr>
          <w:rFonts w:ascii="XO Thames" w:hAnsi="XO Thames"/>
          <w:color w:val="000000" w:themeColor="text1"/>
        </w:rPr>
        <w:br/>
        <w:t xml:space="preserve">в судебном порядке в Арбитражном суде Краснодарского края.</w:t>
      </w:r>
      <w:r>
        <w:rPr>
          <w:rFonts w:ascii="XO Thames" w:hAnsi="XO Thames"/>
          <w:color w:val="000000" w:themeColor="text1"/>
        </w:rPr>
      </w:r>
    </w:p>
    <w:p>
      <w:pPr>
        <w:pStyle w:val="869"/>
        <w:numPr>
          <w:ilvl w:val="0"/>
          <w:numId w:val="3"/>
        </w:numPr>
        <w:contextualSpacing w:val="0"/>
        <w:ind w:left="0" w:firstLine="0"/>
        <w:jc w:val="center"/>
        <w:spacing w:before="120" w:after="120"/>
        <w:widowControl w:val="off"/>
        <w:tabs>
          <w:tab w:val="left" w:pos="786" w:leader="none"/>
        </w:tabs>
        <w:rPr>
          <w:rFonts w:ascii="XO Thames" w:hAnsi="XO Thames"/>
        </w:rPr>
      </w:pPr>
      <w:r>
        <w:rPr>
          <w:rFonts w:ascii="XO Thames" w:hAnsi="XO Thames"/>
          <w:b/>
        </w:rPr>
        <w:t xml:space="preserve">КОНФИДЕНЦИАЛЬНОСТЬ. ПЕРСОНАЛЬНЫЕ ДАННЫЕ ЗАКАЗЧИ</w:t>
      </w:r>
      <w:r>
        <w:rPr>
          <w:rFonts w:ascii="XO Thames" w:hAnsi="XO Thames"/>
          <w:b/>
          <w:lang w:val="ru-RU"/>
        </w:rPr>
        <w:t xml:space="preserve">КА</w:t>
      </w:r>
      <w:r>
        <w:rPr>
          <w:rFonts w:ascii="XO Thames" w:hAnsi="XO Thames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Стороны обязуются не разглашать сведения конфиденциального характера друг </w:t>
      </w:r>
      <w:r>
        <w:rPr>
          <w:rFonts w:ascii="XO Thames" w:hAnsi="XO Thames"/>
          <w:lang w:val="ru-RU"/>
        </w:rPr>
        <w:br/>
        <w:t xml:space="preserve">о друге и об их хозяйственной деятельности, а также не использовать во вред друг другу информацию, полученную в рамках выполнения настоящего Контракта.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Конфиденциальной считается любая информация относительно финансового </w:t>
      </w:r>
      <w:r>
        <w:rPr>
          <w:rFonts w:ascii="XO Thames" w:hAnsi="XO Thames"/>
          <w:lang w:val="ru-RU"/>
        </w:rPr>
        <w:br/>
        <w:t xml:space="preserve">или коммерческого положения Сторон или информация, которая прямо названа Сторонами конфиденциальной, а также любые факты, данные и информация, о которой Сторонам стало известно в процессе исполнения настоящего Контракта.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</w:rPr>
      </w:pPr>
      <w:r>
        <w:rPr>
          <w:rFonts w:ascii="XO Thames" w:hAnsi="XO Thames"/>
          <w:lang w:val="ru-RU"/>
        </w:rPr>
        <w:t xml:space="preserve">В проц</w:t>
      </w:r>
      <w:r>
        <w:rPr>
          <w:rFonts w:ascii="XO Thames" w:hAnsi="XO Thames"/>
          <w:lang w:val="ru-RU"/>
        </w:rPr>
        <w:t xml:space="preserve">ессе исполнения настоящего Контракта Заказчик передает, а Исполнитель принимает персональные данные сотрудников Заказчика, которые необходимы Исполнителю для качественного исполнения обязанностей по Контракту, предусмотренных п. 1.1. настоящего Контракта. </w:t>
      </w:r>
      <w:r>
        <w:rPr>
          <w:rFonts w:ascii="XO Thames" w:hAnsi="XO Thames"/>
        </w:rPr>
        <w:t xml:space="preserve">К таким сведениям могут относиться:</w:t>
      </w:r>
      <w:r>
        <w:rPr>
          <w:rFonts w:ascii="XO Thames" w:hAnsi="XO Thames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фамилии, имена и отчества лиц, ответственны</w:t>
      </w:r>
      <w:r>
        <w:rPr>
          <w:rFonts w:ascii="XO Thames" w:hAnsi="XO Thames"/>
          <w:lang w:val="ru-RU"/>
        </w:rPr>
        <w:t xml:space="preserve">х за организацию и обеспечение обработки персональных данных, классификацию информационных систем персональных данных, хранение материальных носителей персональных данных, защиту информации, а также работу со средствами криптографической защиты информации;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сведения о занимаемых должностях указанных сотрудников;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рабочий адрес, телефон и электронная почта должностных лиц Заказчика, ответственных за организацию обработки персональных данных.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Исполнитель имеет право использовать полученные персональные данные только для исполнения обязанностей по Контракту, предусмотренных п. 1.1. настоящего Контракта, </w:t>
      </w:r>
      <w:r>
        <w:rPr>
          <w:rFonts w:ascii="XO Thames" w:hAnsi="XO Thames"/>
          <w:lang w:val="ru-RU"/>
        </w:rPr>
        <w:br/>
        <w:t xml:space="preserve">с использованием средств автоматизации либо без таковых.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Исполнитель обязуется соблюдать конфиденциальность полученных персональных данных сотрудников Заказчика и принимать меры, направленные на обеспечение безопасности персональных данных в соответствии с нормами законодательства и настоящим Контрактом.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Обеспечение безопасности персональных данных сотрудников Заказчика достигается следующими способами: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определение угроз безопасности персональных данных при их обработке </w:t>
      </w:r>
      <w:r>
        <w:rPr>
          <w:rFonts w:ascii="XO Thames" w:hAnsi="XO Thames"/>
          <w:lang w:val="ru-RU"/>
        </w:rPr>
        <w:br/>
        <w:t xml:space="preserve">в информационных системах персональных данных;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применение организационных и технических мер по обеспечению безопасност</w:t>
      </w:r>
      <w:r>
        <w:rPr>
          <w:rFonts w:ascii="XO Thames" w:hAnsi="XO Thames"/>
          <w:lang w:val="ru-RU"/>
        </w:rPr>
        <w:t xml:space="preserve">и персональных данных при их обработке в информационных системах персональных данных, необходимых для выполнения требований к защите персональных данных, исполнение которых обеспечивает установленные Правительством Российской Федерации уровни защищённости;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применение прошедших в установленном порядке процедуру оценки соответствия средств защиты информации;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учёт машинных носителей персональных данных;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обнаружение фактов несанкционированного доступа к персональным данным </w:t>
      </w:r>
      <w:r>
        <w:rPr>
          <w:rFonts w:ascii="XO Thames" w:hAnsi="XO Thames"/>
          <w:lang w:val="ru-RU"/>
        </w:rPr>
        <w:br/>
        <w:t xml:space="preserve">и принятие мер;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восстановление персональных данных, модифицированных или уничтоженных вследствие несанкционированного доступа к ним;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установление правил доступа к персональным данным, обрабатываемым </w:t>
      </w:r>
      <w:r>
        <w:rPr>
          <w:rFonts w:ascii="XO Thames" w:hAnsi="XO Thames"/>
          <w:lang w:val="ru-RU"/>
        </w:rPr>
        <w:br/>
      </w:r>
      <w:r>
        <w:rPr>
          <w:rFonts w:ascii="XO Thames" w:hAnsi="XO Thames"/>
          <w:lang w:val="ru-RU"/>
        </w:rPr>
        <w:t xml:space="preserve">в информационной системе персональных данных, а также обеспечение регистрации и учёта всех действий, совершаемых с персональными данными в информационной системе персональных данных;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2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контроль за принимаемыми мерами по обеспечению безопасности персональных данных и уровня защищённости информационных систем персональных данных.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Исполнитель обязуется уничтожить ставшие известными ему персональные данные сотрудников Заказчика в срок не позднее 1 (одного) календарного года с даты исполнения настоящего Контракта.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Разглашение третьим лицам и использование в любых целях полностью </w:t>
      </w:r>
      <w:r>
        <w:rPr>
          <w:rFonts w:ascii="XO Thames" w:hAnsi="XO Thames"/>
          <w:lang w:val="ru-RU"/>
        </w:rPr>
        <w:br/>
      </w:r>
      <w:r>
        <w:rPr>
          <w:rFonts w:ascii="XO Thames" w:hAnsi="XO Thames"/>
          <w:lang w:val="ru-RU"/>
        </w:rPr>
        <w:t xml:space="preserve">или частично указанных фактов, данных и информации, допускается лишь с предварительного письменного согласия другой стороны.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Обязательства конфиденциальности, возложенные на каждую из сторон, не будут распространяться на общедоступную информацию, а также информацию, которая станет известна не по вине сторон.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Не считается разглашением предоставление информации по запросу уполномоченного органа в порядке и в случаях, предусмотренных действующим законодательством.</w:t>
      </w:r>
      <w:r>
        <w:rPr>
          <w:rFonts w:ascii="XO Thames" w:hAnsi="XO Thames"/>
          <w:lang w:val="ru-RU"/>
        </w:rPr>
      </w:r>
    </w:p>
    <w:p>
      <w:pPr>
        <w:pStyle w:val="869"/>
        <w:numPr>
          <w:ilvl w:val="1"/>
          <w:numId w:val="3"/>
        </w:numPr>
        <w:contextualSpacing w:val="0"/>
        <w:ind w:firstLine="680"/>
        <w:jc w:val="both"/>
        <w:rPr>
          <w:rFonts w:ascii="XO Thames" w:hAnsi="XO Thames"/>
          <w:lang w:val="ru-RU"/>
        </w:rPr>
      </w:pPr>
      <w:r>
        <w:rPr>
          <w:rFonts w:ascii="XO Thames" w:hAnsi="XO Thames"/>
          <w:lang w:val="ru-RU"/>
        </w:rPr>
        <w:t xml:space="preserve">Сам факт заключения и предмет настоящего Контракта не являются конфиденциальными.</w:t>
      </w:r>
      <w:r>
        <w:rPr>
          <w:rFonts w:ascii="XO Thames" w:hAnsi="XO Thames"/>
          <w:lang w:val="ru-RU"/>
        </w:rPr>
      </w:r>
    </w:p>
    <w:p>
      <w:pPr>
        <w:jc w:val="center"/>
        <w:spacing w:before="120" w:after="120"/>
        <w:rPr>
          <w:rFonts w:ascii="XO Thames" w:hAnsi="XO Thames" w:cs="XO Thames"/>
          <w:b/>
          <w:bCs/>
        </w:rPr>
      </w:pPr>
      <w:r>
        <w:rPr>
          <w:rFonts w:ascii="XO Thames" w:hAnsi="XO Thames" w:cs="XO Thames"/>
          <w:b/>
          <w:bCs/>
        </w:rPr>
        <w:t xml:space="preserve">14. АНТИКОРРУПЦИОННАЯ ОГОВОРКА</w:t>
      </w:r>
      <w:r>
        <w:rPr>
          <w:rFonts w:ascii="XO Thames" w:hAnsi="XO Thames" w:cs="XO Thames"/>
          <w:b/>
          <w:bCs/>
        </w:rPr>
      </w:r>
    </w:p>
    <w:p>
      <w:pPr>
        <w:pStyle w:val="883"/>
        <w:ind w:firstLine="709"/>
        <w:jc w:val="both"/>
        <w:spacing w:beforeAutospacing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14.1. При исполнении обязательств по Контракту Стороны, их аффилированные лица </w:t>
      </w:r>
      <w:r>
        <w:rPr>
          <w:rFonts w:ascii="XO Thames" w:hAnsi="XO Thames"/>
          <w:color w:val="000000"/>
        </w:rPr>
        <w:br/>
      </w:r>
      <w:r>
        <w:rPr>
          <w:rFonts w:ascii="XO Thames" w:hAnsi="XO Thames"/>
          <w:color w:val="000000"/>
        </w:rPr>
        <w:t xml:space="preserve">не выплачивают, н</w:t>
      </w:r>
      <w:r>
        <w:rPr>
          <w:rFonts w:ascii="XO Thames" w:hAnsi="XO Thames"/>
          <w:color w:val="000000"/>
        </w:rPr>
        <w:t xml:space="preserve">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>
        <w:rPr>
          <w:rFonts w:ascii="XO Thames" w:hAnsi="XO Thames"/>
          <w:color w:val="000000"/>
        </w:rPr>
      </w:r>
    </w:p>
    <w:p>
      <w:pPr>
        <w:pStyle w:val="883"/>
        <w:ind w:firstLine="709"/>
        <w:jc w:val="both"/>
        <w:spacing w:beforeAutospacing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14.2. При исполнении обязательств по Контракту Стороны, их аффилированные лица </w:t>
      </w:r>
      <w:r>
        <w:rPr>
          <w:rFonts w:ascii="XO Thames" w:hAnsi="XO Thames"/>
          <w:color w:val="000000"/>
        </w:rPr>
        <w:br/>
      </w:r>
      <w:r>
        <w:rPr>
          <w:rFonts w:ascii="XO Thames" w:hAnsi="XO Thames"/>
          <w:color w:val="000000"/>
        </w:rPr>
        <w:t xml:space="preserve">не осуществляют действия, квалифицируемые применимым для целей Контракта законодательством Российской Федерации, как дача/получение взятки, коммерческий подкуп, </w:t>
      </w:r>
      <w:r>
        <w:rPr>
          <w:rFonts w:ascii="XO Thames" w:hAnsi="XO Thames"/>
          <w:color w:val="000000"/>
        </w:rPr>
        <w:br/>
      </w:r>
      <w:r>
        <w:rPr>
          <w:rFonts w:ascii="XO Thames" w:hAnsi="XO Thames"/>
          <w:color w:val="000000"/>
        </w:rPr>
        <w:t xml:space="preserve">а также иные действия, нарушающие требования применимого законодательства Российской Федерации и международных актов о противодействии коррупции.</w:t>
      </w:r>
      <w:r>
        <w:rPr>
          <w:rFonts w:ascii="XO Thames" w:hAnsi="XO Thames"/>
          <w:color w:val="000000"/>
        </w:rPr>
      </w:r>
    </w:p>
    <w:p>
      <w:pPr>
        <w:pStyle w:val="883"/>
        <w:ind w:firstLine="709"/>
        <w:jc w:val="both"/>
        <w:spacing w:beforeAutospacing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14.3. В случае возникновения у Стороны обоснованных подозрений, что произошло </w:t>
      </w:r>
      <w:r>
        <w:rPr>
          <w:rFonts w:ascii="XO Thames" w:hAnsi="XO Thames"/>
          <w:color w:val="000000"/>
        </w:rPr>
        <w:br/>
      </w:r>
      <w:r>
        <w:rPr>
          <w:rFonts w:ascii="XO Thames" w:hAnsi="XO Thames"/>
          <w:color w:val="000000"/>
        </w:rPr>
        <w:t xml:space="preserve">или может произойти нарушение каких-либо положений раздела 14 Контракта, соответствующая </w:t>
      </w:r>
      <w:r>
        <w:rPr>
          <w:rFonts w:ascii="XO Thames" w:hAnsi="XO Thames"/>
          <w:color w:val="000000"/>
        </w:rPr>
        <w:t xml:space="preserve">Сторона обязуется уведомить об этом другую Сторону в письменной форме. По</w:t>
      </w:r>
      <w:r>
        <w:rPr>
          <w:rFonts w:ascii="XO Thames" w:hAnsi="XO Thames"/>
          <w:color w:val="000000"/>
        </w:rPr>
        <w:t xml:space="preserve">сле получения письменного уведомления другая Сторона обязана направить подтверждение того, что нарушения не произошло или не произойдет. Это подтверждение должно быть направлено в течение 10 (десяти) рабочих дней с даты письменного уведомления о нарушении.</w:t>
      </w:r>
      <w:r>
        <w:rPr>
          <w:rFonts w:ascii="XO Thames" w:hAnsi="XO Thames"/>
          <w:color w:val="000000"/>
        </w:rPr>
      </w:r>
    </w:p>
    <w:p>
      <w:pPr>
        <w:pStyle w:val="883"/>
        <w:ind w:firstLine="709"/>
        <w:jc w:val="both"/>
        <w:spacing w:beforeAutospacing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В письменном уведомлении другая Сто</w:t>
      </w:r>
      <w:r>
        <w:rPr>
          <w:rFonts w:ascii="XO Thames" w:hAnsi="XO Thames"/>
          <w:color w:val="000000"/>
        </w:rPr>
        <w:t xml:space="preserve">рона обязана сослаться на обоснованные факты или предоставить материалы, достоверно подтверждающие или не дающие основание предполагать, что произошло или может произойти нарушение каких-либо положений Контракта Стороной, ее аффилированными лицами, выражаю</w:t>
      </w:r>
      <w:r>
        <w:rPr>
          <w:rFonts w:ascii="XO Thames" w:hAnsi="XO Thames"/>
          <w:color w:val="000000"/>
        </w:rPr>
        <w:t xml:space="preserve">щееся в действиях, квалифицируемых применимым законодательством Российской Федерации, как дача или получение взятки, коммерческий подкуп, а также иных действиях, нарушающих требования применимого законодательства Российской Федерации и международных актов </w:t>
      </w:r>
      <w:r>
        <w:rPr>
          <w:rFonts w:ascii="XO Thames" w:hAnsi="XO Thames"/>
          <w:color w:val="000000"/>
        </w:rPr>
        <w:br/>
      </w:r>
      <w:r>
        <w:rPr>
          <w:rFonts w:ascii="XO Thames" w:hAnsi="XO Thames"/>
          <w:color w:val="000000"/>
        </w:rPr>
        <w:t xml:space="preserve">о противодействии коррупции.</w:t>
      </w:r>
      <w:r>
        <w:rPr>
          <w:rFonts w:ascii="XO Thames" w:hAnsi="XO Thames"/>
          <w:color w:val="000000"/>
        </w:rPr>
      </w:r>
    </w:p>
    <w:p>
      <w:pPr>
        <w:pStyle w:val="883"/>
        <w:ind w:firstLine="709"/>
        <w:jc w:val="both"/>
        <w:spacing w:beforeAutospacing="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color w:val="000000"/>
        </w:rPr>
        <w:t xml:space="preserve">14.4. В случае нарушения одной Стороной обязательств воздерживаться от запрещенных в разделе 14 Контракта действий и/или неполучения другой Стороной в устано</w:t>
      </w:r>
      <w:r>
        <w:rPr>
          <w:rFonts w:ascii="XO Thames" w:hAnsi="XO Thames"/>
          <w:color w:val="000000"/>
        </w:rPr>
        <w:t xml:space="preserve">вленный Контрактом срок подтверждения, что нарушения не произошло или не произойдет,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Федерации.</w:t>
      </w:r>
      <w:r>
        <w:rPr>
          <w:rFonts w:ascii="XO Thames" w:hAnsi="XO Thames"/>
          <w:color w:val="000000"/>
        </w:rPr>
      </w:r>
    </w:p>
    <w:p>
      <w:pPr>
        <w:pStyle w:val="883"/>
        <w:jc w:val="center"/>
        <w:spacing w:before="120" w:beforeAutospacing="0" w:after="120" w:afterAutospacing="0"/>
        <w:shd w:val="clear" w:color="auto" w:fill="ffffff"/>
        <w:rPr>
          <w:rFonts w:ascii="XO Thames" w:hAnsi="XO Thames"/>
          <w:color w:val="000000"/>
        </w:rPr>
      </w:pPr>
      <w:r>
        <w:rPr>
          <w:rFonts w:ascii="XO Thames" w:hAnsi="XO Thames"/>
          <w:b/>
        </w:rPr>
        <w:t xml:space="preserve">15. ПРОЧИЕ УСЛОВИЯ</w:t>
      </w:r>
      <w:r>
        <w:rPr>
          <w:rFonts w:ascii="XO Thames" w:hAnsi="XO Thames"/>
          <w:color w:val="000000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15.1. Все уведомления Сторон, связанные с исполнением Контракта (за исключением документов, указанных в п. 12.2, п. 15.2, п. 15.3 Контракта) направляются в письменной форме по почте заказным письмом по фактическому адресу Стороны, указанному в разделе </w:t>
      </w:r>
      <w:r>
        <w:rPr>
          <w:rFonts w:ascii="XO Thames" w:hAnsi="XO Thames"/>
          <w:sz w:val="24"/>
          <w:szCs w:val="24"/>
        </w:rPr>
        <w:t xml:space="preserve">16 Контракта, или с использованием электронной почты с последующим предоставлением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15.2. В случае обмена документами при применении мер ответственности и совершении иных действий в связи с нарушением Исполнителем или Заказчиком условий настоящего Контракта, такой обмен осущес</w:t>
      </w:r>
      <w:r>
        <w:rPr>
          <w:rFonts w:ascii="XO Thames" w:hAnsi="XO Thames"/>
          <w:sz w:val="24"/>
          <w:szCs w:val="24"/>
        </w:rPr>
        <w:t xml:space="preserve">твляется с использованием ЕИС путем направления электронных уведомлений. Такие уведомления формируются с использованием ЕИС, подписываются усиленной электронной подписью лица, имеющего право действовать от имени Заказчика, Исполнителя, и размещаются в ЕИС.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/>
          <w:sz w:val="24"/>
          <w:szCs w:val="24"/>
        </w:rPr>
        <w:t xml:space="preserve">15.3. Документы о приемке выполненных </w:t>
      </w:r>
      <w:r>
        <w:rPr>
          <w:rFonts w:ascii="XO Thames" w:hAnsi="XO Thames"/>
          <w:sz w:val="24"/>
          <w:szCs w:val="24"/>
        </w:rPr>
        <w:t xml:space="preserve">Р</w:t>
      </w:r>
      <w:r>
        <w:rPr>
          <w:rFonts w:ascii="XO Thames" w:hAnsi="XO Thames"/>
          <w:sz w:val="24"/>
          <w:szCs w:val="24"/>
        </w:rPr>
        <w:t xml:space="preserve">абот подписываются Сторонами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с использованием ЕИС усиленными электронными подписями лиц, имеющих право действовать от имени Заказчика, Исполнителя, и размещаются в ЕИС.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/>
          <w:sz w:val="24"/>
          <w:szCs w:val="24"/>
        </w:rPr>
        <w:t xml:space="preserve">15.4. Заказчик предоставляет Исполнителю права использования программ для ЭВМ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или баз данных Заказчика, входящих в состав Системы, безвозмездно на срок выполнения работ по Контракту на условиях простой (неисключительной) лицензии в целях выполнения Работ, предусмотренных Контрактом. Исполнитель имеет право использовать программы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для ЭВМ или базы данных Заказчика, входящие в состав Системы, на территории Российской Федерации и исключительно в рамках выполнения Работ по Контракту следующими способам</w:t>
      </w:r>
      <w:r>
        <w:rPr>
          <w:rFonts w:ascii="XO Thames" w:hAnsi="XO Thames"/>
          <w:sz w:val="24"/>
          <w:szCs w:val="24"/>
        </w:rPr>
        <w:t xml:space="preserve">и: инсталляция, запуск, воспроизведение, модификация, переработка, доработка, адаптация. Подрядчик имеет право предоставить права использования программ для ЭВМ или баз данных Заказчика, входящих в состав Системы, субподрядчикам для целей выполнения Работ </w:t>
      </w:r>
      <w:r>
        <w:rPr>
          <w:rFonts w:ascii="XO Thames" w:hAnsi="XO Thames"/>
          <w:sz w:val="24"/>
          <w:szCs w:val="24"/>
        </w:rPr>
        <w:br/>
      </w:r>
      <w:r>
        <w:rPr>
          <w:rFonts w:ascii="XO Thames" w:hAnsi="XO Thames"/>
          <w:sz w:val="24"/>
          <w:szCs w:val="24"/>
        </w:rPr>
        <w:t xml:space="preserve">по Контракту при письменном согласии Заказчика на такое предоставление прав использования. 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15.5. Во всем, что не предусмотрено Контрактом, Стороны руководствуются действующим законодательством Российской Федерации.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  <w:sz w:val="24"/>
          <w:szCs w:val="24"/>
        </w:rPr>
      </w:pPr>
      <w:r>
        <w:rPr>
          <w:rFonts w:ascii="XO Thames" w:hAnsi="XO Thames"/>
          <w:sz w:val="24"/>
          <w:szCs w:val="24"/>
        </w:rPr>
        <w:t xml:space="preserve">15.6. Неотъемлемыми частями Контракта являются: </w:t>
      </w:r>
      <w:r>
        <w:rPr>
          <w:rFonts w:ascii="XO Thames" w:hAnsi="XO Thames"/>
          <w:sz w:val="24"/>
          <w:szCs w:val="24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/>
          <w:sz w:val="24"/>
          <w:szCs w:val="24"/>
        </w:rPr>
        <w:t xml:space="preserve">приложение № 1 «Спецификация».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</w:rPr>
      </w:pPr>
      <w:r>
        <w:rPr>
          <w:rFonts w:ascii="XO Thames" w:hAnsi="XO Thames"/>
          <w:sz w:val="24"/>
          <w:szCs w:val="24"/>
        </w:rPr>
        <w:t xml:space="preserve">приложение № 2 «Техническое задание </w:t>
      </w:r>
      <w:r>
        <w:rPr>
          <w:rFonts w:ascii="XO Thames" w:hAnsi="XO Thames"/>
          <w:color w:val="000000" w:themeColor="text1"/>
          <w:sz w:val="24"/>
          <w:szCs w:val="24"/>
        </w:rPr>
        <w:t xml:space="preserve">на выполнение работ по развитию государственной информационной системы «Единый цифровой профиль жителя и гостя федеральной территории «Сириус» («Сириус — просветительская среда») в части подсистемы </w:t>
      </w:r>
      <w:r>
        <w:rPr>
          <w:rFonts w:ascii="XO Thames" w:hAnsi="XO Thames"/>
          <w:color w:val="000000" w:themeColor="text1"/>
          <w:sz w:val="24"/>
          <w:szCs w:val="24"/>
        </w:rPr>
        <w:t xml:space="preserve">«Межведомственное взаимодействие», создание сервисов «Социальный помощник», «Читательский билет», «Аккредитация»</w:t>
      </w:r>
      <w:r>
        <w:rPr>
          <w:rFonts w:ascii="XO Thames" w:hAnsi="XO Thames"/>
          <w:sz w:val="24"/>
          <w:szCs w:val="24"/>
        </w:rPr>
        <w:t xml:space="preserve">.</w:t>
      </w:r>
      <w:r>
        <w:rPr>
          <w:rFonts w:ascii="XO Thames" w:hAnsi="XO Thames"/>
        </w:rPr>
      </w:r>
    </w:p>
    <w:p>
      <w:pPr>
        <w:pStyle w:val="860"/>
        <w:ind w:firstLine="709"/>
        <w:rPr>
          <w:rFonts w:ascii="XO Thames" w:hAnsi="XO Thames"/>
          <w:shd w:val="clear" w:color="auto" w:fill="ffffff"/>
        </w:rPr>
      </w:pPr>
      <w:r>
        <w:rPr>
          <w:rFonts w:ascii="XO Thames" w:hAnsi="XO Thames"/>
          <w:sz w:val="24"/>
          <w:szCs w:val="24"/>
          <w:shd w:val="clear" w:color="auto" w:fill="ffffff"/>
        </w:rPr>
        <w:t xml:space="preserve">приложение № 3 </w:t>
      </w:r>
      <w:r>
        <w:rPr>
          <w:rFonts w:ascii="XO Thames" w:hAnsi="XO Thames" w:eastAsia="XO Thames" w:cs="XO Thames"/>
          <w:sz w:val="24"/>
          <w:szCs w:val="24"/>
          <w:shd w:val="clear" w:color="auto" w:fill="ffffff"/>
        </w:rPr>
        <w:t xml:space="preserve">«</w:t>
      </w:r>
      <w:r>
        <w:rPr>
          <w:rFonts w:ascii="XO Thames" w:hAnsi="XO Thames" w:cs="XO Thames" w:eastAsiaTheme="minorHAnsi"/>
          <w:sz w:val="24"/>
          <w:szCs w:val="24"/>
          <w:shd w:val="clear" w:color="auto" w:fill="ffffff"/>
        </w:rPr>
        <w:t xml:space="preserve">Акт сдачи-приемки выполненных работ. Форма</w:t>
      </w:r>
      <w:r>
        <w:rPr>
          <w:rFonts w:ascii="XO Thames" w:hAnsi="XO Thames" w:eastAsia="XO Thames" w:cs="XO Thames"/>
          <w:sz w:val="24"/>
          <w:szCs w:val="24"/>
          <w:shd w:val="clear" w:color="auto" w:fill="ffffff"/>
        </w:rPr>
        <w:t xml:space="preserve">».</w:t>
      </w:r>
      <w:r>
        <w:rPr>
          <w:rFonts w:ascii="XO Thames" w:hAnsi="XO Thames"/>
        </w:rPr>
        <w:br w:type="page" w:clear="all"/>
      </w:r>
      <w:r>
        <w:rPr>
          <w:rFonts w:ascii="XO Thames" w:hAnsi="XO Thames"/>
          <w:shd w:val="clear" w:color="auto" w:fill="ffffff"/>
        </w:rPr>
      </w:r>
    </w:p>
    <w:p>
      <w:pPr>
        <w:pStyle w:val="863"/>
        <w:ind w:left="0"/>
        <w:jc w:val="center"/>
        <w:keepNext w:val="0"/>
        <w:spacing w:before="120" w:after="120"/>
        <w:widowControl w:val="off"/>
        <w:rPr>
          <w:rFonts w:ascii="XO Thames" w:hAnsi="XO Thames"/>
          <w:b/>
          <w:bCs w:val="0"/>
          <w:szCs w:val="24"/>
        </w:rPr>
      </w:pPr>
      <w:r>
        <w:rPr>
          <w:rFonts w:ascii="XO Thames" w:hAnsi="XO Thames"/>
          <w:b/>
          <w:bCs w:val="0"/>
          <w:szCs w:val="24"/>
        </w:rPr>
        <w:t xml:space="preserve">16. МЕСТА НАХОЖДЕНИЯ, БАНКОВСКИЕ РЕКВИЗИТЫ И ПОДПИСИ СТОРОН</w:t>
      </w:r>
      <w:r>
        <w:rPr>
          <w:rFonts w:ascii="XO Thames" w:hAnsi="XO Thames"/>
          <w:b/>
          <w:bCs w:val="0"/>
          <w:szCs w:val="24"/>
        </w:rPr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813"/>
        <w:gridCol w:w="5098"/>
      </w:tblGrid>
      <w:tr>
        <w:tblPrEx/>
        <w:trPr>
          <w:trHeight w:val="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28" w:type="pct"/>
            <w:textDirection w:val="lrTb"/>
            <w:noWrap w:val="false"/>
          </w:tcPr>
          <w:p>
            <w:pPr>
              <w:pStyle w:val="862"/>
              <w:rPr>
                <w:rFonts w:ascii="XO Thames" w:hAnsi="XO Thames"/>
                <w:bCs/>
              </w:rPr>
            </w:pPr>
            <w:r>
              <w:rPr>
                <w:rFonts w:ascii="XO Thames" w:hAnsi="XO Thames"/>
                <w:bCs/>
              </w:rPr>
              <w:t xml:space="preserve">Заказчик:</w:t>
            </w:r>
            <w:r>
              <w:rPr>
                <w:rFonts w:ascii="XO Thames" w:hAnsi="XO Thames"/>
                <w:bCs/>
              </w:rPr>
            </w:r>
          </w:p>
          <w:p>
            <w:pPr>
              <w:rPr>
                <w:rFonts w:ascii="XO Thames" w:hAnsi="XO Thames"/>
                <w:bCs/>
              </w:rPr>
            </w:pPr>
            <w:r>
              <w:rPr>
                <w:rFonts w:ascii="XO Thames" w:hAnsi="XO Thames"/>
                <w:bCs/>
              </w:rPr>
              <w:t xml:space="preserve">Государственное казенное учреждение </w:t>
            </w:r>
            <w:r>
              <w:rPr>
                <w:rFonts w:ascii="XO Thames" w:hAnsi="XO Thames"/>
                <w:bCs/>
              </w:rPr>
              <w:t xml:space="preserve">федеральной территории «Сириус» </w:t>
            </w:r>
            <w:r>
              <w:rPr>
                <w:rFonts w:ascii="XO Thames" w:hAnsi="XO Thames"/>
                <w:bCs/>
              </w:rPr>
              <w:t xml:space="preserve">«Цифра.ФТ»</w:t>
            </w:r>
            <w:r>
              <w:rPr>
                <w:rFonts w:ascii="XO Thames" w:hAnsi="XO Thames"/>
                <w:bCs/>
              </w:rPr>
            </w:r>
          </w:p>
          <w:p>
            <w:pPr>
              <w:rPr>
                <w:rFonts w:ascii="XO Thames" w:hAnsi="XO Thames"/>
                <w:bCs/>
              </w:rPr>
            </w:pPr>
            <w:r>
              <w:rPr>
                <w:rFonts w:ascii="XO Thames" w:hAnsi="XO Thames"/>
                <w:bCs/>
              </w:rPr>
              <w:t xml:space="preserve">ГКУ «Цифра.ФТ»</w:t>
            </w:r>
            <w:r>
              <w:rPr>
                <w:rFonts w:ascii="XO Thames" w:hAnsi="XO Thames"/>
                <w:bCs/>
              </w:rPr>
            </w:r>
          </w:p>
          <w:p>
            <w:pPr>
              <w:rPr>
                <w:rFonts w:ascii="XO Thames" w:hAnsi="XO Thames"/>
                <w:bCs/>
              </w:rPr>
            </w:pPr>
            <w:r>
              <w:rPr>
                <w:rFonts w:ascii="XO Thames" w:hAnsi="XO Thames"/>
                <w:bCs/>
              </w:rPr>
            </w:r>
            <w:r>
              <w:rPr>
                <w:rFonts w:ascii="XO Thames" w:hAnsi="XO Thames"/>
                <w:bCs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lang w:eastAsia="ar-SA"/>
              </w:rPr>
              <w:t xml:space="preserve">Место нахождения: 354340, Краснодарский край, Ф.Т. Сириус, пгт. Сириус, </w:t>
            </w:r>
            <w:r>
              <w:rPr>
                <w:rFonts w:ascii="XO Thames" w:hAnsi="XO Thames"/>
                <w:color w:val="000000" w:themeColor="text1"/>
                <w:lang w:eastAsia="ar-SA"/>
              </w:rPr>
              <w:br w:type="textWrapping" w:clear="all"/>
              <w:t xml:space="preserve">ул. Международная, д. 2, офис 117.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lang w:eastAsia="ar-SA"/>
              </w:rPr>
              <w:t xml:space="preserve">Почтовый адрес: 354340, Краснодарский край, Ф.Т. Сириус, пгт. Сириус, </w:t>
            </w:r>
            <w:r>
              <w:rPr>
                <w:rFonts w:ascii="XO Thames" w:hAnsi="XO Thames"/>
                <w:color w:val="000000" w:themeColor="text1"/>
                <w:lang w:eastAsia="ar-SA"/>
              </w:rPr>
              <w:br w:type="textWrapping" w:clear="all"/>
              <w:t xml:space="preserve">ул. Международная, д. 2, офис 117.</w:t>
            </w:r>
            <w:r>
              <w:rPr>
                <w:rFonts w:ascii="XO Thames" w:hAnsi="XO Thames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zCs w:val="24"/>
              </w:rPr>
              <w:t xml:space="preserve">ИНН 2367026222 КПП 237801001</w:t>
            </w:r>
            <w:r>
              <w:rPr>
                <w:rFonts w:ascii="XO Thames" w:hAnsi="XO Thames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zCs w:val="24"/>
              </w:rPr>
              <w:t xml:space="preserve">УФК по Краснодарскому краю </w:t>
            </w:r>
            <w:r>
              <w:rPr>
                <w:rFonts w:ascii="XO Thames" w:hAnsi="XO Thames"/>
                <w:color w:val="000000" w:themeColor="text1"/>
                <w:szCs w:val="24"/>
              </w:rPr>
              <w:br/>
              <w:t xml:space="preserve">(ГКУ «ЦИФРА.ФТ» л/с 03812ИИ0380)</w:t>
            </w:r>
            <w:r>
              <w:rPr>
                <w:rFonts w:ascii="XO Thames" w:hAnsi="XO Thames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zCs w:val="24"/>
                <w:shd w:val="clear" w:color="auto" w:fill="ffffff"/>
              </w:rPr>
              <w:t xml:space="preserve">Банк получателя: ОКЦ №1 ЮГУ Банка России //УФК по Краснодарскому краю </w:t>
            </w:r>
            <w:r>
              <w:rPr>
                <w:rFonts w:ascii="XO Thames" w:hAnsi="XO Thames"/>
                <w:color w:val="000000" w:themeColor="text1"/>
                <w:szCs w:val="24"/>
                <w:shd w:val="clear" w:color="auto" w:fill="ffffff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zCs w:val="24"/>
                <w:shd w:val="clear" w:color="auto" w:fill="ffffff"/>
              </w:rPr>
              <w:t xml:space="preserve">г. Краснодар</w:t>
            </w:r>
            <w:r>
              <w:rPr>
                <w:rFonts w:ascii="XO Thames" w:hAnsi="XO Thames"/>
                <w:shd w:val="clear" w:color="auto" w:fill="ffffff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zCs w:val="24"/>
                <w:shd w:val="clear" w:color="auto" w:fill="ffffff"/>
              </w:rPr>
              <w:t xml:space="preserve">БИК: 010349101</w:t>
            </w:r>
            <w:r>
              <w:rPr>
                <w:rFonts w:ascii="XO Thames" w:hAnsi="XO Thames"/>
                <w:shd w:val="clear" w:color="auto" w:fill="ffffff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</w:rPr>
              <w:t xml:space="preserve">Корр. счет: 40102810045370000088</w:t>
            </w:r>
            <w:r>
              <w:rPr>
                <w:rFonts w:ascii="XO Thames" w:hAnsi="XO Thames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zCs w:val="24"/>
                <w:shd w:val="clear" w:color="auto" w:fill="ffffff"/>
              </w:rPr>
              <w:t xml:space="preserve">Расчетный счет: </w:t>
            </w:r>
            <w:r>
              <w:rPr>
                <w:rFonts w:ascii="XO Thames" w:hAnsi="XO Thames" w:eastAsia="Arial"/>
                <w:color w:val="000000" w:themeColor="text1"/>
                <w:szCs w:val="24"/>
                <w:shd w:val="clear" w:color="auto" w:fill="ffffff"/>
                <w:lang w:eastAsia="zh-CN" w:bidi="hi-IN"/>
              </w:rPr>
              <w:t xml:space="preserve">03221643020000008100</w:t>
            </w:r>
            <w:r>
              <w:rPr>
                <w:rFonts w:ascii="XO Thames" w:hAnsi="XO Thames"/>
                <w:shd w:val="clear" w:color="auto" w:fill="ffffff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zCs w:val="24"/>
                <w:shd w:val="clear" w:color="auto" w:fill="ffffff"/>
                <w:lang w:eastAsia="ar-SA"/>
              </w:rPr>
              <w:t xml:space="preserve">ОГРН 1222300037981</w:t>
            </w:r>
            <w:r>
              <w:rPr>
                <w:rFonts w:ascii="XO Thames" w:hAnsi="XO Thames"/>
                <w:shd w:val="clear" w:color="auto" w:fill="ffffff"/>
              </w:rPr>
            </w:r>
          </w:p>
          <w:p>
            <w:pPr>
              <w:pStyle w:val="886"/>
              <w:ind w:left="0" w:firstLine="0"/>
              <w:jc w:val="left"/>
              <w:spacing w:line="240" w:lineRule="auto"/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zCs w:val="24"/>
                <w:shd w:val="clear" w:color="auto" w:fill="ffffff"/>
                <w:lang w:eastAsia="ar-SA"/>
              </w:rPr>
              <w:t xml:space="preserve">ОКТМО 02000000</w:t>
            </w:r>
            <w:r>
              <w:rPr>
                <w:rFonts w:ascii="XO Thames" w:hAnsi="XO Thames"/>
                <w:shd w:val="clear" w:color="auto" w:fill="ffffff"/>
              </w:rPr>
            </w:r>
          </w:p>
          <w:p>
            <w:pPr>
              <w:rPr>
                <w:rFonts w:ascii="XO Thames" w:hAnsi="XO Thames"/>
                <w:color w:val="000000" w:themeColor="text1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hd w:val="clear" w:color="auto" w:fill="ffffff"/>
                <w:lang w:eastAsia="ar-SA"/>
              </w:rPr>
              <w:t xml:space="preserve">ОКПО 97616179</w:t>
            </w:r>
            <w:r>
              <w:rPr>
                <w:rFonts w:ascii="XO Thames" w:hAnsi="XO Thames"/>
                <w:color w:val="000000" w:themeColor="text1"/>
                <w:shd w:val="clear" w:color="auto" w:fill="ffffff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  <w:shd w:val="clear" w:color="auto" w:fill="ffffff"/>
              </w:rPr>
            </w:pPr>
            <w:r>
              <w:rPr>
                <w:rFonts w:ascii="XO Thames" w:hAnsi="XO Thames"/>
                <w:color w:val="000000" w:themeColor="text1"/>
                <w:shd w:val="clear" w:color="auto" w:fill="ffffff"/>
                <w:lang w:eastAsia="ar-SA"/>
              </w:rPr>
              <w:t xml:space="preserve">Телефон: 8 862 4455570 доб. 233</w:t>
            </w:r>
            <w:r>
              <w:rPr>
                <w:rFonts w:ascii="XO Thames" w:hAnsi="XO Thames"/>
                <w:shd w:val="clear" w:color="auto" w:fill="ffffff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  <w:color w:val="000000" w:themeColor="text1"/>
                <w:shd w:val="clear" w:color="auto" w:fill="ffffff"/>
                <w:lang w:eastAsia="ar-SA"/>
              </w:rPr>
              <w:t xml:space="preserve">Электронная почта: </w:t>
            </w:r>
            <w:hyperlink r:id="rId27" w:tooltip="mailto:cifra@sirius-ft.ru" w:history="1">
              <w:r>
                <w:rPr>
                  <w:rStyle w:val="807"/>
                  <w:rFonts w:ascii="XO Thames" w:hAnsi="XO Thames"/>
                  <w:color w:val="000000" w:themeColor="text1"/>
                  <w:u w:val="none"/>
                  <w:shd w:val="clear" w:color="auto" w:fill="ffffff"/>
                  <w:lang w:eastAsia="ar-SA"/>
                </w:rPr>
                <w:t xml:space="preserve">cifra@sirius-ft.ru</w:t>
              </w:r>
            </w:hyperlink>
            <w:r/>
            <w:r>
              <w:rPr>
                <w:rFonts w:ascii="XO Thames" w:hAnsi="XO Thame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72" w:type="pct"/>
            <w:textDirection w:val="lrTb"/>
            <w:noWrap w:val="false"/>
          </w:tcPr>
          <w:p>
            <w:pPr>
              <w:pStyle w:val="862"/>
              <w:rPr>
                <w:rFonts w:ascii="XO Thames" w:hAnsi="XO Thames"/>
                <w:bCs/>
              </w:rPr>
            </w:pPr>
            <w:r>
              <w:rPr>
                <w:rFonts w:ascii="XO Thames" w:hAnsi="XO Thames"/>
                <w:bCs/>
              </w:rPr>
              <w:t xml:space="preserve">Исполнитель:</w:t>
            </w:r>
            <w:r>
              <w:rPr>
                <w:rFonts w:ascii="XO Thames" w:hAnsi="XO Thames"/>
                <w:bCs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Наименование</w:t>
            </w:r>
            <w:r>
              <w:rPr>
                <w:rFonts w:ascii="XO Thames" w:hAnsi="XO Thames"/>
                <w:szCs w:val="24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Юридический адрес: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Почтовый адрес: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ИНН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КПП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р/счет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корр. счет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Банк</w:t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БИК</w:t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</w:r>
            <w:r>
              <w:rPr>
                <w:rFonts w:ascii="XO Thames" w:hAnsi="XO Thames"/>
                <w:szCs w:val="24"/>
              </w:rPr>
            </w:r>
          </w:p>
          <w:p>
            <w:pPr>
              <w:pStyle w:val="859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Телефон:</w:t>
            </w:r>
            <w:r>
              <w:rPr>
                <w:rFonts w:ascii="XO Thames" w:hAnsi="XO Thames"/>
              </w:rPr>
            </w:r>
          </w:p>
          <w:p>
            <w:pPr>
              <w:pStyle w:val="859"/>
              <w:rPr>
                <w:rFonts w:ascii="XO Thames" w:hAnsi="XO Thames"/>
                <w:szCs w:val="24"/>
              </w:rPr>
            </w:pPr>
            <w:r>
              <w:rPr>
                <w:rFonts w:ascii="XO Thames" w:hAnsi="XO Thames"/>
                <w:szCs w:val="24"/>
              </w:rPr>
              <w:t xml:space="preserve">Электронная почта:</w:t>
            </w:r>
            <w:r>
              <w:rPr>
                <w:rFonts w:ascii="XO Thames" w:hAnsi="XO Thames"/>
                <w:szCs w:val="24"/>
              </w:rPr>
            </w:r>
          </w:p>
        </w:tc>
      </w:tr>
    </w:tbl>
    <w:p>
      <w:pPr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tbl>
      <w:tblPr>
        <w:tblpPr w:horzAnchor="page" w:tblpX="1276" w:vertAnchor="page" w:tblpY="9368" w:leftFromText="180" w:topFromText="0" w:rightFromText="180" w:bottomFromText="0"/>
        <w:tblW w:w="5155" w:type="pct"/>
        <w:tblLayout w:type="fixed"/>
        <w:tblLook w:val="0000" w:firstRow="0" w:lastRow="0" w:firstColumn="0" w:lastColumn="0" w:noHBand="0" w:noVBand="0"/>
      </w:tblPr>
      <w:tblGrid>
        <w:gridCol w:w="4855"/>
        <w:gridCol w:w="5374"/>
      </w:tblGrid>
      <w:tr>
        <w:tblPrEx/>
        <w:trPr>
          <w:trHeight w:val="267"/>
        </w:trPr>
        <w:tc>
          <w:tcPr>
            <w:tcW w:w="4961" w:type="dxa"/>
            <w:textDirection w:val="lrTb"/>
            <w:noWrap w:val="false"/>
          </w:tcPr>
          <w:p>
            <w:pPr>
              <w:rPr>
                <w:rFonts w:ascii="XO Thames" w:hAnsi="XO Thames"/>
                <w:b/>
                <w:color w:val="000000" w:themeColor="text1"/>
              </w:rPr>
            </w:pPr>
            <w:r>
              <w:rPr>
                <w:rFonts w:ascii="XO Thames" w:hAnsi="XO Thames"/>
                <w:b/>
                <w:color w:val="000000" w:themeColor="text1"/>
              </w:rPr>
              <w:t xml:space="preserve">Заказчик:</w:t>
            </w:r>
            <w:r>
              <w:rPr>
                <w:rFonts w:ascii="XO Thames" w:hAnsi="XO Thames"/>
                <w:b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ГКУ «Цифра.ФТ»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Директор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_______________Л.В. Мартыненко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</w:tc>
        <w:tc>
          <w:tcPr>
            <w:tcW w:w="5491" w:type="dxa"/>
            <w:textDirection w:val="lrTb"/>
            <w:noWrap w:val="false"/>
          </w:tcPr>
          <w:p>
            <w:pPr>
              <w:rPr>
                <w:rFonts w:ascii="XO Thames" w:hAnsi="XO Thames"/>
                <w:b/>
                <w:color w:val="000000" w:themeColor="text1"/>
              </w:rPr>
            </w:pPr>
            <w:r>
              <w:rPr>
                <w:rFonts w:ascii="XO Thames" w:hAnsi="XO Thames"/>
                <w:b/>
                <w:color w:val="000000" w:themeColor="text1"/>
              </w:rPr>
              <w:t xml:space="preserve">Исполнитель:</w:t>
            </w:r>
            <w:r>
              <w:rPr>
                <w:rFonts w:ascii="XO Thames" w:hAnsi="XO Thames"/>
                <w:b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___________________/                /</w:t>
            </w:r>
            <w:r>
              <w:rPr>
                <w:rFonts w:ascii="XO Thames" w:hAnsi="XO Thames" w:cs="XO Thames"/>
              </w:rPr>
            </w:r>
          </w:p>
        </w:tc>
      </w:tr>
    </w:tbl>
    <w:p>
      <w:pPr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rPr>
          <w:rFonts w:ascii="XO Thames" w:hAnsi="XO Thames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6" w:h="16838" w:orient="portrait"/>
          <w:pgMar w:top="1134" w:right="567" w:bottom="1134" w:left="1418" w:header="720" w:footer="0" w:gutter="0"/>
          <w:cols w:num="1" w:sep="0" w:space="1701" w:equalWidth="1"/>
          <w:docGrid w:linePitch="360"/>
          <w:titlePg/>
        </w:sect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pStyle w:val="877"/>
        <w:ind w:firstLine="11482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Приложение № 1 к Контракту </w:t>
      </w:r>
      <w:r>
        <w:rPr>
          <w:rFonts w:ascii="XO Thames" w:hAnsi="XO Thames"/>
          <w:color w:val="000000" w:themeColor="text1"/>
        </w:rPr>
      </w:r>
    </w:p>
    <w:p>
      <w:pPr>
        <w:pStyle w:val="877"/>
        <w:ind w:firstLine="11482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  <w:t xml:space="preserve">от «___» ________ 2026 года № </w:t>
      </w:r>
      <w:r>
        <w:rPr>
          <w:rFonts w:ascii="XO Thames" w:hAnsi="XO Thames"/>
          <w:color w:val="000000" w:themeColor="text1"/>
        </w:rPr>
      </w:r>
    </w:p>
    <w:p>
      <w:pPr>
        <w:pStyle w:val="877"/>
        <w:ind w:firstLine="0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color w:val="000000" w:themeColor="text1"/>
        </w:rPr>
      </w:pPr>
      <w:r>
        <w:rPr>
          <w:rFonts w:ascii="XO Thames" w:hAnsi="XO Thames"/>
          <w:b/>
          <w:color w:val="000000" w:themeColor="text1"/>
        </w:rPr>
        <w:t xml:space="preserve">СПЕЦИФИКАЦИЯ</w:t>
      </w:r>
      <w:r>
        <w:rPr>
          <w:rFonts w:ascii="XO Thames" w:hAnsi="XO Thames"/>
          <w:b/>
          <w:color w:val="000000" w:themeColor="text1"/>
        </w:rPr>
      </w:r>
    </w:p>
    <w:p>
      <w:pPr>
        <w:pStyle w:val="877"/>
        <w:ind w:firstLine="0"/>
        <w:jc w:val="center"/>
        <w:spacing w:before="0" w:after="0"/>
        <w:rPr>
          <w:rFonts w:ascii="XO Thames" w:hAnsi="XO Thames"/>
          <w:b/>
          <w:color w:val="000000" w:themeColor="text1"/>
        </w:rPr>
      </w:pPr>
      <w:r>
        <w:rPr>
          <w:rFonts w:ascii="XO Thames" w:hAnsi="XO Thames"/>
          <w:b/>
          <w:color w:val="000000" w:themeColor="text1"/>
        </w:rPr>
      </w:r>
      <w:r>
        <w:rPr>
          <w:rFonts w:ascii="XO Thames" w:hAnsi="XO Thames"/>
          <w:b/>
          <w:color w:val="000000" w:themeColor="text1"/>
        </w:rPr>
      </w:r>
    </w:p>
    <w:tbl>
      <w:tblPr>
        <w:tblW w:w="5033" w:type="pct"/>
        <w:jc w:val="right"/>
        <w:tblLook w:val="0000" w:firstRow="0" w:lastRow="0" w:firstColumn="0" w:lastColumn="0" w:noHBand="0" w:noVBand="0"/>
      </w:tblPr>
      <w:tblGrid>
        <w:gridCol w:w="98"/>
        <w:gridCol w:w="638"/>
        <w:gridCol w:w="4115"/>
        <w:gridCol w:w="1324"/>
        <w:gridCol w:w="2065"/>
        <w:gridCol w:w="1387"/>
        <w:gridCol w:w="702"/>
        <w:gridCol w:w="2286"/>
        <w:gridCol w:w="96"/>
        <w:gridCol w:w="2134"/>
        <w:gridCol w:w="96"/>
      </w:tblGrid>
      <w:tr>
        <w:tblPrEx/>
        <w:trPr>
          <w:gridAfter w:val="1"/>
          <w:jc w:val="right"/>
          <w:trHeight w:val="500"/>
          <w:tblHeader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</w:rPr>
              <w:t xml:space="preserve">№ п\п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7" w:type="pct"/>
            <w:vAlign w:val="center"/>
            <w:textDirection w:val="lrTb"/>
            <w:noWrap w:val="false"/>
          </w:tcPr>
          <w:p>
            <w:pPr>
              <w:ind w:firstLine="24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</w:rPr>
              <w:t xml:space="preserve">Наименование работ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43" w:type="pct"/>
            <w:vAlign w:val="center"/>
            <w:textDirection w:val="lrTb"/>
            <w:noWrap w:val="false"/>
          </w:tcPr>
          <w:p>
            <w:pPr>
              <w:ind w:firstLine="24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</w:rPr>
              <w:t xml:space="preserve">ОКПД2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pct"/>
            <w:vAlign w:val="center"/>
            <w:textDirection w:val="lrTb"/>
            <w:noWrap w:val="false"/>
          </w:tcPr>
          <w:p>
            <w:pPr>
              <w:ind w:firstLine="24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</w:rPr>
              <w:t xml:space="preserve">Срок выполнения работ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64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</w:rPr>
              <w:t xml:space="preserve">Ед.изм.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23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</w:rPr>
              <w:t xml:space="preserve">Кол-во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6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  <w:lang w:eastAsia="ar-SA"/>
              </w:rPr>
              <w:t xml:space="preserve">Цена за ед.,</w:t>
            </w:r>
            <w:r>
              <w:rPr>
                <w:rFonts w:ascii="XO Thames" w:hAnsi="XO Thames"/>
                <w:sz w:val="21"/>
                <w:szCs w:val="21"/>
              </w:rPr>
            </w:r>
          </w:p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  <w:lang w:eastAsia="ar-SA"/>
              </w:rPr>
              <w:t xml:space="preserve">руб.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46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  <w:lang w:eastAsia="ar-SA"/>
              </w:rPr>
              <w:t xml:space="preserve">Сумма,</w:t>
            </w:r>
            <w:r>
              <w:rPr>
                <w:rFonts w:ascii="XO Thames" w:hAnsi="XO Thames"/>
                <w:sz w:val="21"/>
                <w:szCs w:val="21"/>
              </w:rPr>
            </w:r>
          </w:p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  <w:lang w:eastAsia="ar-SA"/>
              </w:rPr>
              <w:t xml:space="preserve">руб.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</w:tr>
      <w:tr>
        <w:tblPrEx/>
        <w:trPr>
          <w:gridAfter w:val="1"/>
          <w:jc w:val="right"/>
          <w:trHeight w:val="1605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7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sz w:val="21"/>
                <w:szCs w:val="21"/>
              </w:rPr>
              <w:t xml:space="preserve">1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77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 w:eastAsia="Liberation Serif" w:cs="XO Thames"/>
                <w:sz w:val="21"/>
                <w:szCs w:val="21"/>
              </w:rPr>
              <w:t xml:space="preserve">Выполнение работ по развитию государственной информ</w:t>
            </w:r>
            <w:r>
              <w:rPr>
                <w:rFonts w:ascii="XO Thames" w:hAnsi="XO Thames" w:eastAsia="Liberation Serif" w:cs="XO Thames"/>
                <w:sz w:val="21"/>
                <w:szCs w:val="21"/>
              </w:rPr>
              <w:t xml:space="preserve">ационной системы «Единый цифровой профиль жителя и гостя федеральной территории «Сириус» («Сириус — просветительская среда») в части подсистемы «Межведомственное взаимодействие», создание сервисов «Социальный помощник», «Читательский билет», «Аккредитация»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43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sz w:val="21"/>
                <w:szCs w:val="21"/>
              </w:rPr>
              <w:t xml:space="preserve">62.01.11.000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91" w:type="pct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sz w:val="21"/>
                <w:szCs w:val="21"/>
              </w:rPr>
              <w:t xml:space="preserve">С даты заключения Контракта</w:t>
            </w:r>
            <w:r>
              <w:rPr>
                <w:rFonts w:ascii="XO Thames" w:hAnsi="XO Thames"/>
                <w:sz w:val="21"/>
                <w:szCs w:val="21"/>
              </w:rPr>
            </w:r>
          </w:p>
          <w:p>
            <w:pPr>
              <w:jc w:val="center"/>
              <w:widowControl w:val="off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sz w:val="21"/>
                <w:szCs w:val="21"/>
              </w:rPr>
              <w:t xml:space="preserve">по 14.12.2026 (включительно)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64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sz w:val="21"/>
                <w:szCs w:val="21"/>
              </w:rPr>
              <w:t xml:space="preserve">усл.ед.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235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sz w:val="21"/>
                <w:szCs w:val="21"/>
              </w:rPr>
              <w:t xml:space="preserve">1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65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Заполняется</w:t>
            </w:r>
            <w:r>
              <w:rPr>
                <w:rFonts w:ascii="XO Thames" w:hAnsi="XO Thames"/>
                <w:i/>
                <w:iCs/>
                <w:sz w:val="21"/>
                <w:szCs w:val="21"/>
              </w:rPr>
            </w:r>
          </w:p>
          <w:p>
            <w:pPr>
              <w:ind w:firstLine="23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по итогам </w:t>
            </w: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конкурса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46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Заполняется</w:t>
            </w:r>
            <w:r>
              <w:rPr>
                <w:rFonts w:ascii="XO Thames" w:hAnsi="XO Thames"/>
                <w:i/>
                <w:iCs/>
                <w:sz w:val="21"/>
                <w:szCs w:val="21"/>
              </w:rPr>
            </w:r>
          </w:p>
          <w:p>
            <w:pPr>
              <w:ind w:firstLine="23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по итогам </w:t>
            </w: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конкурса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</w:tr>
      <w:tr>
        <w:tblPrEx/>
        <w:trPr>
          <w:gridBefore w:val="1"/>
          <w:jc w:val="right"/>
        </w:trPr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221" w:type="pct"/>
            <w:vAlign w:val="center"/>
            <w:textDirection w:val="lrTb"/>
            <w:noWrap w:val="false"/>
          </w:tcPr>
          <w:p>
            <w:pPr>
              <w:ind w:firstLine="23"/>
              <w:jc w:val="right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b/>
                <w:sz w:val="21"/>
                <w:szCs w:val="21"/>
              </w:rPr>
              <w:t xml:space="preserve">ИТОГО: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46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Заполняется</w:t>
            </w:r>
            <w:r>
              <w:rPr>
                <w:rFonts w:ascii="XO Thames" w:hAnsi="XO Thames"/>
                <w:i/>
                <w:iCs/>
                <w:sz w:val="21"/>
                <w:szCs w:val="21"/>
              </w:rPr>
            </w:r>
          </w:p>
          <w:p>
            <w:pPr>
              <w:ind w:firstLine="23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по итогам конкурса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</w:tr>
      <w:tr>
        <w:tblPrEx/>
        <w:trPr>
          <w:gridBefore w:val="1"/>
          <w:jc w:val="right"/>
          <w:trHeight w:val="503" w:hRule="exact"/>
        </w:trPr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221" w:type="pct"/>
            <w:vAlign w:val="center"/>
            <w:textDirection w:val="lrTb"/>
            <w:noWrap w:val="false"/>
          </w:tcPr>
          <w:p>
            <w:pPr>
              <w:ind w:firstLine="23"/>
              <w:jc w:val="right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 w:cs="Liberation Serif"/>
                <w:b/>
                <w:color w:val="000000" w:themeColor="text1"/>
                <w:sz w:val="21"/>
                <w:szCs w:val="21"/>
              </w:rPr>
              <w:t xml:space="preserve">В том числе НДС (если предусмотрен):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46" w:type="pct"/>
            <w:vAlign w:val="center"/>
            <w:textDirection w:val="lrTb"/>
            <w:noWrap w:val="false"/>
          </w:tcPr>
          <w:p>
            <w:pPr>
              <w:ind w:firstLine="23"/>
              <w:jc w:val="center"/>
              <w:rPr>
                <w:rFonts w:ascii="XO Thames" w:hAnsi="XO Thames"/>
                <w:i/>
                <w:iCs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Заполняется</w:t>
            </w:r>
            <w:r>
              <w:rPr>
                <w:rFonts w:ascii="XO Thames" w:hAnsi="XO Thames"/>
                <w:i/>
                <w:iCs/>
                <w:sz w:val="21"/>
                <w:szCs w:val="21"/>
              </w:rPr>
            </w:r>
          </w:p>
          <w:p>
            <w:pPr>
              <w:ind w:firstLine="23"/>
              <w:jc w:val="center"/>
              <w:rPr>
                <w:rFonts w:ascii="XO Thames" w:hAnsi="XO Thames"/>
                <w:sz w:val="21"/>
                <w:szCs w:val="21"/>
              </w:rPr>
            </w:pPr>
            <w:r>
              <w:rPr>
                <w:rFonts w:ascii="XO Thames" w:hAnsi="XO Thames"/>
                <w:i/>
                <w:iCs/>
                <w:sz w:val="21"/>
                <w:szCs w:val="21"/>
              </w:rPr>
              <w:t xml:space="preserve">по итогам конкурса</w:t>
            </w:r>
            <w:r>
              <w:rPr>
                <w:rFonts w:ascii="XO Thames" w:hAnsi="XO Thames"/>
                <w:sz w:val="21"/>
                <w:szCs w:val="21"/>
              </w:rPr>
            </w:r>
          </w:p>
        </w:tc>
      </w:tr>
    </w:tbl>
    <w:p>
      <w:pPr>
        <w:pStyle w:val="877"/>
        <w:ind w:left="-142" w:firstLine="142"/>
        <w:rPr>
          <w:rFonts w:ascii="XO Thames" w:hAnsi="XO Thames"/>
          <w:color w:val="000000" w:themeColor="text1"/>
        </w:r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tbl>
      <w:tblPr>
        <w:tblpPr w:horzAnchor="page" w:tblpX="1590" w:vertAnchor="text" w:tblpY="142" w:leftFromText="180" w:topFromText="0" w:rightFromText="180" w:bottomFromText="0"/>
        <w:tblW w:w="5000" w:type="pct"/>
        <w:tblLayout w:type="fixed"/>
        <w:tblLook w:val="0000" w:firstRow="0" w:lastRow="0" w:firstColumn="0" w:lastColumn="0" w:noHBand="0" w:noVBand="0"/>
      </w:tblPr>
      <w:tblGrid>
        <w:gridCol w:w="8374"/>
        <w:gridCol w:w="6479"/>
      </w:tblGrid>
      <w:tr>
        <w:tblPrEx/>
        <w:trPr>
          <w:trHeight w:val="267"/>
        </w:trPr>
        <w:tc>
          <w:tcPr>
            <w:tcW w:w="8373" w:type="dxa"/>
            <w:textDirection w:val="lrTb"/>
            <w:noWrap w:val="false"/>
          </w:tcPr>
          <w:p>
            <w:pPr>
              <w:rPr>
                <w:rFonts w:ascii="XO Thames" w:hAnsi="XO Thames"/>
                <w:b/>
                <w:color w:val="000000" w:themeColor="text1"/>
              </w:rPr>
            </w:pPr>
            <w:r>
              <w:rPr>
                <w:rFonts w:ascii="XO Thames" w:hAnsi="XO Thames"/>
                <w:b/>
                <w:color w:val="000000" w:themeColor="text1"/>
              </w:rPr>
              <w:t xml:space="preserve">Заказчик:</w:t>
            </w:r>
            <w:r>
              <w:rPr>
                <w:rFonts w:ascii="XO Thames" w:hAnsi="XO Thames"/>
                <w:b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ГКУ «Цифра.ФТ»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Директор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  <w:p>
            <w:pPr>
              <w:rPr>
                <w:rFonts w:ascii="XO Thames" w:hAnsi="XO Thames"/>
                <w:bCs/>
                <w:color w:val="000000" w:themeColor="text1"/>
              </w:rPr>
            </w:pPr>
            <w:r>
              <w:rPr>
                <w:rFonts w:ascii="XO Thames" w:hAnsi="XO Thames"/>
                <w:bCs/>
                <w:color w:val="000000" w:themeColor="text1"/>
              </w:rPr>
              <w:t xml:space="preserve">_______________Л.В. Мартыненко</w:t>
            </w:r>
            <w:r>
              <w:rPr>
                <w:rFonts w:ascii="XO Thames" w:hAnsi="XO Thames"/>
                <w:bCs/>
                <w:color w:val="000000" w:themeColor="text1"/>
              </w:rPr>
            </w:r>
          </w:p>
        </w:tc>
        <w:tc>
          <w:tcPr>
            <w:tcW w:w="6479" w:type="dxa"/>
            <w:textDirection w:val="lrTb"/>
            <w:noWrap w:val="false"/>
          </w:tcPr>
          <w:p>
            <w:pPr>
              <w:rPr>
                <w:rFonts w:ascii="XO Thames" w:hAnsi="XO Thames"/>
                <w:b/>
                <w:color w:val="000000" w:themeColor="text1"/>
              </w:rPr>
            </w:pPr>
            <w:r>
              <w:rPr>
                <w:rFonts w:ascii="XO Thames" w:hAnsi="XO Thames"/>
                <w:b/>
                <w:color w:val="000000" w:themeColor="text1"/>
              </w:rPr>
              <w:t xml:space="preserve">Исполнитель:</w:t>
            </w:r>
            <w:r>
              <w:rPr>
                <w:rFonts w:ascii="XO Thames" w:hAnsi="XO Thames"/>
                <w:b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rPr>
                <w:rFonts w:ascii="XO Thames" w:hAnsi="XO Thames"/>
                <w:color w:val="000000" w:themeColor="text1"/>
              </w:rPr>
            </w:pPr>
            <w:r>
              <w:rPr>
                <w:rFonts w:ascii="XO Thames" w:hAnsi="XO Thames"/>
                <w:color w:val="000000" w:themeColor="text1"/>
              </w:rPr>
            </w:r>
            <w:r>
              <w:rPr>
                <w:rFonts w:ascii="XO Thames" w:hAnsi="XO Thames"/>
                <w:color w:val="000000" w:themeColor="text1"/>
              </w:rPr>
            </w:r>
          </w:p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___________________/                /</w:t>
            </w:r>
            <w:r>
              <w:rPr>
                <w:rFonts w:ascii="XO Thames" w:hAnsi="XO Thames" w:cs="XO Thames"/>
              </w:rPr>
            </w:r>
          </w:p>
        </w:tc>
      </w:tr>
    </w:tbl>
    <w:p>
      <w:pPr>
        <w:pStyle w:val="877"/>
        <w:ind w:firstLine="0"/>
        <w:rPr>
          <w:rFonts w:ascii="XO Thames" w:hAnsi="XO Thames"/>
          <w:color w:val="000000" w:themeColor="text1"/>
        </w:rPr>
        <w:sectPr>
          <w:headerReference w:type="default" r:id="rId12"/>
          <w:headerReference w:type="even" r:id="rId13"/>
          <w:headerReference w:type="first" r:id="rId14"/>
          <w:footnotePr/>
          <w:endnotePr/>
          <w:type w:val="nextPage"/>
          <w:pgSz w:w="16838" w:h="11906" w:orient="landscape"/>
          <w:pgMar w:top="1134" w:right="567" w:bottom="1134" w:left="1418" w:header="720" w:footer="0" w:gutter="0"/>
          <w:cols w:num="1" w:sep="0" w:space="1701" w:equalWidth="1"/>
          <w:docGrid w:linePitch="360"/>
          <w:titlePg/>
        </w:sectPr>
      </w:pPr>
      <w:r>
        <w:rPr>
          <w:rFonts w:ascii="XO Thames" w:hAnsi="XO Thames"/>
          <w:color w:val="000000" w:themeColor="text1"/>
        </w:rPr>
      </w:r>
      <w:r>
        <w:rPr>
          <w:rFonts w:ascii="XO Thames" w:hAnsi="XO Thames"/>
          <w:color w:val="000000" w:themeColor="text1"/>
        </w:rPr>
      </w:r>
    </w:p>
    <w:p>
      <w:pPr>
        <w:contextualSpacing/>
        <w:ind w:firstLine="6663"/>
        <w:shd w:val="clear" w:color="auto" w:fill="ffffff"/>
        <w:rPr>
          <w:rFonts w:ascii="XO Thames" w:hAnsi="XO Thames"/>
        </w:rPr>
      </w:pPr>
      <w:r>
        <w:rPr>
          <w:rFonts w:ascii="XO Thames" w:hAnsi="XO Thames" w:cs="XO Thames"/>
        </w:rPr>
        <w:t xml:space="preserve">Приложение № 3 к Контракту </w:t>
      </w:r>
      <w:r>
        <w:rPr>
          <w:rFonts w:ascii="XO Thames" w:hAnsi="XO Thames"/>
        </w:rPr>
      </w:r>
    </w:p>
    <w:p>
      <w:pPr>
        <w:contextualSpacing/>
        <w:ind w:firstLine="6663"/>
        <w:tabs>
          <w:tab w:val="left" w:pos="6436" w:leader="none"/>
        </w:tabs>
        <w:rPr>
          <w:rFonts w:ascii="XO Thames" w:hAnsi="XO Thames"/>
        </w:rPr>
      </w:pPr>
      <w:r>
        <w:rPr>
          <w:rFonts w:ascii="XO Thames" w:hAnsi="XO Thames" w:cs="XO Thames"/>
        </w:rPr>
        <w:t xml:space="preserve">от «___» ________ 2026 года № </w:t>
      </w:r>
      <w:r>
        <w:rPr>
          <w:rFonts w:ascii="XO Thames" w:hAnsi="XO Thames"/>
        </w:rPr>
      </w:r>
    </w:p>
    <w:p>
      <w:pPr>
        <w:contextualSpacing/>
        <w:rPr>
          <w:rFonts w:ascii="XO Thames" w:hAnsi="XO Thames" w:cs="XO Thames"/>
          <w:b/>
          <w:bCs/>
        </w:rPr>
      </w:pPr>
      <w:r>
        <w:rPr>
          <w:rFonts w:ascii="XO Thames" w:hAnsi="XO Thames" w:cs="XO Thames"/>
          <w:b/>
          <w:bCs/>
        </w:rPr>
      </w:r>
      <w:r>
        <w:rPr>
          <w:rFonts w:ascii="XO Thames" w:hAnsi="XO Thames" w:cs="XO Thames"/>
          <w:b/>
          <w:bCs/>
        </w:rPr>
      </w:r>
    </w:p>
    <w:p>
      <w:pPr>
        <w:contextualSpacing/>
        <w:jc w:val="center"/>
        <w:rPr>
          <w:rFonts w:ascii="XO Thames" w:hAnsi="XO Thames" w:cs="XO Thames"/>
          <w:b/>
          <w:bCs/>
        </w:rPr>
      </w:pPr>
      <w:r>
        <w:rPr>
          <w:rFonts w:ascii="XO Thames" w:hAnsi="XO Thames" w:cs="XO Thames"/>
          <w:b/>
        </w:rPr>
        <w:t xml:space="preserve">ФОРМА</w:t>
      </w:r>
      <w:r>
        <w:rPr>
          <w:rFonts w:ascii="XO Thames" w:hAnsi="XO Thames" w:cs="XO Thames"/>
          <w:b/>
          <w:bCs/>
        </w:rPr>
      </w:r>
    </w:p>
    <w:p>
      <w:pPr>
        <w:contextualSpacing/>
        <w:jc w:val="center"/>
        <w:rPr>
          <w:rFonts w:ascii="XO Thames" w:hAnsi="XO Thames"/>
        </w:rPr>
      </w:pPr>
      <w:r>
        <w:rPr>
          <w:rFonts w:ascii="XO Thames" w:hAnsi="XO Thames" w:cs="XO Thames"/>
          <w:b/>
        </w:rPr>
        <w:t xml:space="preserve">Акт №_____</w:t>
      </w:r>
      <w:r>
        <w:rPr>
          <w:rFonts w:ascii="XO Thames" w:hAnsi="XO Thames"/>
        </w:rPr>
      </w:r>
    </w:p>
    <w:p>
      <w:pPr>
        <w:contextualSpacing/>
        <w:jc w:val="center"/>
        <w:rPr>
          <w:rFonts w:ascii="XO Thames" w:hAnsi="XO Thames"/>
        </w:rPr>
      </w:pPr>
      <w:r>
        <w:rPr>
          <w:rFonts w:ascii="XO Thames" w:hAnsi="XO Thames" w:cs="XO Thames"/>
          <w:b/>
        </w:rPr>
        <w:t xml:space="preserve">сдачи - приемки выполненных работ</w:t>
      </w:r>
      <w:r>
        <w:rPr>
          <w:rFonts w:ascii="XO Thames" w:hAnsi="XO Thames"/>
        </w:rPr>
      </w:r>
    </w:p>
    <w:tbl>
      <w:tblPr>
        <w:tblW w:w="5000" w:type="pct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5011"/>
        <w:gridCol w:w="4910"/>
      </w:tblGrid>
      <w:tr>
        <w:tblPrEx/>
        <w:trPr>
          <w:trHeight w:val="564"/>
        </w:trPr>
        <w:tc>
          <w:tcPr>
            <w:shd w:val="clear" w:color="ffffff" w:fill="ffffff"/>
            <w:tcW w:w="5010" w:type="dxa"/>
            <w:vAlign w:val="bottom"/>
            <w:textDirection w:val="lrTb"/>
            <w:noWrap w:val="false"/>
          </w:tcPr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федеральная территория «Сириус»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W w:w="4910" w:type="dxa"/>
            <w:vAlign w:val="bottom"/>
            <w:textDirection w:val="lrTb"/>
            <w:noWrap w:val="false"/>
          </w:tcPr>
          <w:p>
            <w:pPr>
              <w:contextualSpacing/>
              <w:jc w:val="right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«___»___________2026 г.</w:t>
            </w:r>
            <w:r>
              <w:rPr>
                <w:rFonts w:ascii="XO Thames" w:hAnsi="XO Thames" w:cs="XO Thames"/>
              </w:rPr>
            </w:r>
          </w:p>
        </w:tc>
      </w:tr>
    </w:tbl>
    <w:p>
      <w:pPr>
        <w:contextualSpacing/>
        <w:jc w:val="both"/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contextualSpacing/>
        <w:ind w:firstLine="709"/>
        <w:jc w:val="both"/>
        <w:rPr>
          <w:rFonts w:ascii="XO Thames" w:hAnsi="XO Thames"/>
        </w:rPr>
      </w:pPr>
      <w:r>
        <w:rPr>
          <w:rFonts w:ascii="XO Thames" w:hAnsi="XO Thames" w:cs="XO Thames"/>
        </w:rPr>
        <w:t xml:space="preserve">Государственное казенное учреждение</w:t>
      </w:r>
      <w:r>
        <w:rPr>
          <w:rFonts w:ascii="XO Thames" w:hAnsi="XO Thames" w:cs="XO Thames"/>
        </w:rPr>
        <w:t xml:space="preserve"> федеральной территории «Сириус»</w:t>
      </w:r>
      <w:r>
        <w:rPr>
          <w:rFonts w:ascii="XO Thames" w:hAnsi="XO Thames" w:cs="XO Thames"/>
        </w:rPr>
        <w:t xml:space="preserve"> «Цифра.ФТ» (ГКУ «Цифра.ФТ), именуемое</w:t>
      </w:r>
      <w:r>
        <w:rPr>
          <w:rFonts w:ascii="XO Thames" w:hAnsi="XO Thames" w:cs="XO Thames"/>
        </w:rPr>
        <w:t xml:space="preserve"> в</w:t>
      </w:r>
      <w:r>
        <w:rPr>
          <w:rFonts w:ascii="XO Thames" w:hAnsi="XO Thames" w:cs="XO Thames"/>
        </w:rPr>
        <w:t xml:space="preserve"> дальнейшем «Заказчик», в лице директора Мартыненко Любови Вячеславовны, действующего</w:t>
      </w:r>
      <w:r>
        <w:rPr>
          <w:rFonts w:ascii="XO Thames" w:hAnsi="XO Thames" w:cs="XO Thames"/>
        </w:rPr>
        <w:t xml:space="preserve"> </w:t>
      </w:r>
      <w:r>
        <w:rPr>
          <w:rFonts w:ascii="XO Thames" w:hAnsi="XO Thames" w:cs="XO Thames"/>
        </w:rPr>
        <w:t xml:space="preserve">на основании Устава, с одной стороны, </w:t>
      </w:r>
      <w:r>
        <w:rPr>
          <w:rFonts w:ascii="XO Thames" w:hAnsi="XO Thames" w:cs="XO Thames"/>
        </w:rPr>
        <w:br/>
      </w:r>
      <w:r>
        <w:rPr>
          <w:rFonts w:ascii="XO Thames" w:hAnsi="XO Thames" w:cs="XO Thames"/>
        </w:rPr>
        <w:t xml:space="preserve">и _______________ именуемое в дальнейшем «Исполнитель», в лице ___________, действующего на основании _______ с другой стороны, вместе именуемые в дальнейшем «Стороны», составили настоящий Акт сдачи - приемки выполненных работ (далее – «Акт») </w:t>
      </w:r>
      <w:r>
        <w:rPr>
          <w:rFonts w:ascii="XO Thames" w:hAnsi="XO Thames" w:cs="XO Thames"/>
        </w:rPr>
        <w:br/>
      </w:r>
      <w:r>
        <w:rPr>
          <w:rFonts w:ascii="XO Thames" w:hAnsi="XO Thames" w:cs="XO Thames"/>
        </w:rPr>
        <w:t xml:space="preserve">о нижеследующем. 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tabs>
          <w:tab w:val="left" w:pos="6436" w:leader="none"/>
        </w:tabs>
        <w:rPr>
          <w:rFonts w:ascii="XO Thames" w:hAnsi="XO Thames"/>
        </w:rPr>
      </w:pPr>
      <w:r>
        <w:rPr>
          <w:rFonts w:ascii="XO Thames" w:hAnsi="XO Thames" w:cs="XO Thames"/>
        </w:rPr>
        <w:t xml:space="preserve">1. В соответствии с Контрактом от «___» _________ 2026 г. № </w:t>
      </w:r>
      <w:r>
        <w:rPr>
          <w:rFonts w:ascii="XO Thames" w:hAnsi="XO Thames" w:cs="XO Thames"/>
          <w:caps/>
        </w:rPr>
        <w:t xml:space="preserve">______________________</w:t>
      </w:r>
      <w:r>
        <w:rPr>
          <w:rFonts w:ascii="XO Thames" w:hAnsi="XO Thames" w:cs="XO Thames"/>
        </w:rPr>
        <w:t xml:space="preserve"> (далее – «Контракт») Исполнитель выполнил, а Заказчик принял следующие работы: __________________________________________________________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tabs>
          <w:tab w:val="left" w:pos="6436" w:leader="none"/>
        </w:tabs>
        <w:rPr>
          <w:rFonts w:ascii="XO Thames" w:hAnsi="XO Thames"/>
        </w:rPr>
      </w:pPr>
      <w:r>
        <w:rPr>
          <w:rFonts w:ascii="XO Thames" w:hAnsi="XO Thames" w:cs="XO Thames"/>
        </w:rPr>
        <w:t xml:space="preserve">2. Перечень, объем и стоимость выполненных работ:</w:t>
      </w:r>
      <w:r>
        <w:rPr>
          <w:rFonts w:ascii="XO Thames" w:hAnsi="XO Thames"/>
        </w:rPr>
      </w:r>
    </w:p>
    <w:p>
      <w:pPr>
        <w:contextualSpacing/>
        <w:ind w:left="709"/>
        <w:jc w:val="both"/>
        <w:shd w:val="clear" w:color="auto" w:fill="ffffff"/>
        <w:tabs>
          <w:tab w:val="left" w:pos="6436" w:leader="none"/>
        </w:tabs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tbl>
      <w:tblPr>
        <w:tblW w:w="5000" w:type="pct"/>
        <w:jc w:val="center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518"/>
        <w:gridCol w:w="3705"/>
        <w:gridCol w:w="898"/>
        <w:gridCol w:w="1142"/>
        <w:gridCol w:w="1916"/>
        <w:gridCol w:w="1732"/>
      </w:tblGrid>
      <w:tr>
        <w:tblPrEx/>
        <w:trPr>
          <w:jc w:val="center"/>
          <w:trHeight w:val="72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№ п/п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Наименование работ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9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Кол-во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Ед. измерения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Цена за единицу (руб.)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4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Стоимость (руб.)</w:t>
            </w:r>
            <w:r>
              <w:rPr>
                <w:rFonts w:ascii="XO Thames" w:hAnsi="XO Thames" w:cs="XO Thames"/>
              </w:rPr>
            </w:r>
          </w:p>
        </w:tc>
      </w:tr>
      <w:tr>
        <w:tblPrEx/>
        <w:trPr>
          <w:jc w:val="center"/>
          <w:trHeight w:val="27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18" w:type="dxa"/>
            <w:textDirection w:val="lrTb"/>
            <w:noWrap w:val="false"/>
          </w:tcPr>
          <w:p>
            <w:pPr>
              <w:contextualSpacing/>
              <w:jc w:val="right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08" w:type="dxa"/>
            <w:textDirection w:val="lrTb"/>
            <w:noWrap w:val="false"/>
          </w:tcPr>
          <w:p>
            <w:pPr>
              <w:contextualSpacing/>
              <w:jc w:val="right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9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</w:tr>
      <w:tr>
        <w:tblPrEx/>
        <w:trPr>
          <w:jc w:val="center"/>
          <w:trHeight w:val="271"/>
        </w:trPr>
        <w:tc>
          <w:tcPr>
            <w:gridSpan w:val="2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26" w:type="dxa"/>
            <w:textDirection w:val="lrTb"/>
            <w:noWrap w:val="false"/>
          </w:tcPr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Итого:</w:t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99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43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1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3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</w:tc>
      </w:tr>
    </w:tbl>
    <w:p>
      <w:pPr>
        <w:pStyle w:val="86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 w:cs="XO Thames"/>
        </w:rPr>
        <w:t xml:space="preserve">3. Качество выполненных работ соответствует условиям Контракта. Претензий </w:t>
      </w:r>
      <w:r>
        <w:rPr>
          <w:rFonts w:ascii="XO Thames" w:hAnsi="XO Thames" w:cs="XO Thames"/>
        </w:rPr>
        <w:br/>
        <w:t xml:space="preserve">к Исполнителю по качеству выполненных работ у Заказчика не имеется.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 w:cs="XO Thames"/>
        </w:rPr>
        <w:t xml:space="preserve">4. Настоящий Акт составлен в двух экземплярах, имеющих одинаковую юридическую силу, по одному для каждой из Сторон.</w:t>
      </w:r>
      <w:r>
        <w:rPr>
          <w:rFonts w:ascii="XO Thames" w:hAnsi="XO Thames"/>
        </w:rPr>
      </w:r>
    </w:p>
    <w:p>
      <w:pPr>
        <w:contextualSpacing/>
        <w:ind w:firstLine="709"/>
        <w:jc w:val="both"/>
        <w:shd w:val="clear" w:color="auto" w:fill="ffffff"/>
        <w:rPr>
          <w:rFonts w:ascii="XO Thames" w:hAnsi="XO Thames"/>
        </w:rPr>
      </w:pPr>
      <w:r>
        <w:rPr>
          <w:rFonts w:ascii="XO Thames" w:hAnsi="XO Thames" w:cs="XO Thames"/>
        </w:rPr>
        <w:t xml:space="preserve">5. Настоящий Акт является неотъемлемой частью Контракта.</w:t>
      </w:r>
      <w:r>
        <w:rPr>
          <w:rFonts w:ascii="XO Thames" w:hAnsi="XO Thames"/>
        </w:rPr>
      </w:r>
    </w:p>
    <w:p>
      <w:pPr>
        <w:pStyle w:val="870"/>
        <w:contextualSpacing/>
        <w:ind w:left="720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</w:r>
      <w:r>
        <w:rPr>
          <w:rFonts w:ascii="XO Thames" w:hAnsi="XO Thames"/>
          <w:color w:val="auto"/>
        </w:rPr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76"/>
        <w:gridCol w:w="4545"/>
      </w:tblGrid>
      <w:tr>
        <w:tblPrEx/>
        <w:trPr>
          <w:trHeight w:val="1290"/>
        </w:trPr>
        <w:tc>
          <w:tcPr>
            <w:tcW w:w="5493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</w:rPr>
              <w:t xml:space="preserve">Исполнитель: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ind w:right="-108"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contextualSpacing/>
              <w:ind w:right="-108"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</w:rPr>
              <w:t xml:space="preserve">________________________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</w:rPr>
              <w:t xml:space="preserve">«____» ____________ 2026 г.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 w:cs="XO Thames"/>
                <w:b/>
                <w:bCs/>
              </w:rPr>
            </w:pPr>
            <w:r>
              <w:rPr>
                <w:rFonts w:ascii="XO Thames" w:hAnsi="XO Thames" w:cs="XO Thames"/>
                <w:b/>
                <w:bCs/>
              </w:rPr>
            </w:r>
            <w:r>
              <w:rPr>
                <w:rFonts w:ascii="XO Thames" w:hAnsi="XO Thames" w:cs="XO Thames"/>
                <w:b/>
                <w:bCs/>
              </w:rPr>
            </w:r>
          </w:p>
        </w:tc>
        <w:tc>
          <w:tcPr>
            <w:tcW w:w="4644" w:type="dxa"/>
            <w:textDirection w:val="lrTb"/>
            <w:noWrap w:val="false"/>
          </w:tcPr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</w:rPr>
              <w:t xml:space="preserve">Заказчик: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</w:rPr>
              <w:t xml:space="preserve">________________________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/>
              </w:rPr>
            </w:pPr>
            <w:r>
              <w:rPr>
                <w:rFonts w:ascii="XO Thames" w:hAnsi="XO Thames" w:cs="XO Thames"/>
              </w:rPr>
              <w:t xml:space="preserve">«____» ___________ 2026 г.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jc w:val="both"/>
              <w:tabs>
                <w:tab w:val="left" w:pos="4536" w:leader="none"/>
              </w:tabs>
              <w:rPr>
                <w:rFonts w:ascii="XO Thames" w:hAnsi="XO Thames" w:cs="XO Thames"/>
                <w:b/>
                <w:bCs/>
              </w:rPr>
            </w:pPr>
            <w:r>
              <w:rPr>
                <w:rFonts w:ascii="XO Thames" w:hAnsi="XO Thames" w:cs="XO Thames"/>
                <w:b/>
                <w:bCs/>
              </w:rPr>
            </w:r>
            <w:r>
              <w:rPr>
                <w:rFonts w:ascii="XO Thames" w:hAnsi="XO Thames" w:cs="XO Thames"/>
                <w:b/>
                <w:bCs/>
              </w:rPr>
            </w:r>
          </w:p>
        </w:tc>
      </w:tr>
    </w:tbl>
    <w:p>
      <w:pPr>
        <w:pStyle w:val="870"/>
        <w:contextualSpacing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</w:r>
      <w:r>
        <w:rPr>
          <w:rFonts w:ascii="XO Thames" w:hAnsi="XO Thames"/>
          <w:color w:val="auto"/>
        </w:rPr>
      </w:r>
    </w:p>
    <w:p>
      <w:pPr>
        <w:pStyle w:val="870"/>
        <w:contextualSpacing/>
        <w:jc w:val="center"/>
        <w:rPr>
          <w:rFonts w:ascii="XO Thames" w:hAnsi="XO Thames"/>
          <w:color w:val="auto"/>
        </w:rPr>
      </w:pPr>
      <w:r>
        <w:rPr>
          <w:rFonts w:ascii="XO Thames" w:hAnsi="XO Thames" w:cs="XO Thames"/>
          <w:b/>
          <w:color w:val="auto"/>
        </w:rPr>
        <w:t xml:space="preserve">ФОРМА СОГЛАСОВАНА:</w:t>
      </w:r>
      <w:r>
        <w:rPr>
          <w:rFonts w:ascii="XO Thames" w:hAnsi="XO Thames"/>
          <w:color w:val="auto"/>
        </w:rPr>
      </w:r>
    </w:p>
    <w:p>
      <w:pPr>
        <w:pStyle w:val="870"/>
        <w:contextualSpacing/>
        <w:jc w:val="center"/>
        <w:rPr>
          <w:rFonts w:ascii="XO Thames" w:hAnsi="XO Thames"/>
          <w:color w:val="auto"/>
        </w:rPr>
      </w:pPr>
      <w:r>
        <w:rPr>
          <w:rFonts w:ascii="XO Thames" w:hAnsi="XO Thames"/>
          <w:color w:val="auto"/>
        </w:rPr>
      </w:r>
      <w:r>
        <w:rPr>
          <w:rFonts w:ascii="XO Thames" w:hAnsi="XO Thames"/>
          <w:color w:val="auto"/>
        </w:rPr>
      </w:r>
    </w:p>
    <w:p>
      <w:pPr>
        <w:pStyle w:val="870"/>
        <w:contextualSpacing/>
        <w:rPr>
          <w:rFonts w:ascii="XO Thames" w:hAnsi="XO Thames" w:cs="XO Thames"/>
          <w:b/>
          <w:bCs/>
          <w:strike/>
          <w:color w:val="auto"/>
          <w:sz w:val="22"/>
          <w:szCs w:val="22"/>
        </w:rPr>
      </w:pPr>
      <w:r>
        <w:rPr>
          <w:rFonts w:ascii="XO Thames" w:hAnsi="XO Thames" w:cs="XO Thames"/>
          <w:b/>
          <w:bCs/>
          <w:strike/>
          <w:color w:val="auto"/>
          <w:sz w:val="22"/>
          <w:szCs w:val="22"/>
        </w:rPr>
      </w:r>
      <w:r>
        <w:rPr>
          <w:rFonts w:ascii="XO Thames" w:hAnsi="XO Thames" w:cs="XO Thames"/>
          <w:b/>
          <w:bCs/>
          <w:strike/>
          <w:color w:val="auto"/>
          <w:sz w:val="22"/>
          <w:szCs w:val="22"/>
        </w:rPr>
      </w:r>
    </w:p>
    <w:tbl>
      <w:tblPr>
        <w:tblStyle w:val="1016"/>
        <w:tblW w:w="5000" w:type="pct"/>
        <w:tblLayout w:type="fixed"/>
        <w:tblLook w:val="04A0" w:firstRow="1" w:lastRow="0" w:firstColumn="1" w:lastColumn="0" w:noHBand="0" w:noVBand="1"/>
      </w:tblPr>
      <w:tblGrid>
        <w:gridCol w:w="5376"/>
        <w:gridCol w:w="4545"/>
      </w:tblGrid>
      <w:tr>
        <w:tblPrEx/>
        <w:trPr>
          <w:trHeight w:val="161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93" w:type="dxa"/>
            <w:textDirection w:val="lrTb"/>
            <w:noWrap w:val="false"/>
          </w:tcPr>
          <w:p>
            <w:pPr>
              <w:contextualSpacing/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</w:rPr>
              <w:t xml:space="preserve">Заказчик: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rPr>
                <w:rFonts w:ascii="XO Thames" w:hAnsi="XO Thames"/>
              </w:rPr>
            </w:pPr>
            <w:r>
              <w:rPr>
                <w:rFonts w:ascii="XO Thames" w:hAnsi="XO Thames" w:cs="XO Thames"/>
              </w:rPr>
              <w:t xml:space="preserve">Директор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rPr>
                <w:rFonts w:ascii="XO Thames" w:hAnsi="XO Thames"/>
              </w:rPr>
            </w:pPr>
            <w:r>
              <w:rPr>
                <w:rFonts w:ascii="XO Thames" w:hAnsi="XO Thames" w:cs="XO Thames"/>
              </w:rPr>
              <w:t xml:space="preserve">ГКУ «Цифра.ФТ»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____________________ /Л.В. Мартыненко/</w:t>
            </w:r>
            <w:r>
              <w:rPr>
                <w:rFonts w:ascii="XO Thames" w:hAnsi="XO Thames" w:cs="XO Thame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644" w:type="dxa"/>
            <w:textDirection w:val="lrTb"/>
            <w:noWrap w:val="false"/>
          </w:tcPr>
          <w:p>
            <w:pPr>
              <w:contextualSpacing/>
              <w:rPr>
                <w:rFonts w:ascii="XO Thames" w:hAnsi="XO Thames"/>
              </w:rPr>
            </w:pPr>
            <w:r>
              <w:rPr>
                <w:rFonts w:ascii="XO Thames" w:hAnsi="XO Thames" w:cs="XO Thames"/>
                <w:b/>
                <w:bCs/>
              </w:rPr>
              <w:t xml:space="preserve">Исполнитель:</w:t>
            </w:r>
            <w:r>
              <w:rPr>
                <w:rFonts w:ascii="XO Thames" w:hAnsi="XO Thames"/>
              </w:rPr>
            </w:r>
          </w:p>
          <w:p>
            <w:pPr>
              <w:contextualSpacing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</w:r>
            <w:r>
              <w:rPr>
                <w:rFonts w:ascii="XO Thames" w:hAnsi="XO Thames"/>
              </w:rPr>
            </w:r>
          </w:p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</w:r>
            <w:r>
              <w:rPr>
                <w:rFonts w:ascii="XO Thames" w:hAnsi="XO Thames" w:cs="XO Thames"/>
              </w:rPr>
            </w:r>
          </w:p>
          <w:p>
            <w:pPr>
              <w:contextualSpacing/>
              <w:rPr>
                <w:rFonts w:ascii="XO Thames" w:hAnsi="XO Thames" w:cs="XO Thames"/>
              </w:rPr>
            </w:pPr>
            <w:r>
              <w:rPr>
                <w:rFonts w:ascii="XO Thames" w:hAnsi="XO Thames" w:cs="XO Thames"/>
              </w:rPr>
              <w:t xml:space="preserve">___________________/                /</w:t>
            </w:r>
            <w:bookmarkStart w:id="3" w:name="_GoBack"/>
            <w:r/>
            <w:bookmarkEnd w:id="3"/>
            <w:r/>
            <w:r>
              <w:rPr>
                <w:rFonts w:ascii="XO Thames" w:hAnsi="XO Thames" w:cs="XO Thames"/>
              </w:rPr>
            </w:r>
          </w:p>
        </w:tc>
      </w:tr>
    </w:tbl>
    <w:p>
      <w:pPr>
        <w:jc w:val="right"/>
        <w:rPr>
          <w:rFonts w:ascii="XO Thames" w:hAnsi="XO Thames"/>
        </w:rPr>
      </w:pPr>
      <w:r>
        <w:rPr>
          <w:rFonts w:ascii="XO Thames" w:hAnsi="XO Thames"/>
        </w:rPr>
      </w:r>
      <w:r>
        <w:rPr>
          <w:rFonts w:ascii="XO Thames" w:hAnsi="XO Thames"/>
        </w:rPr>
      </w:r>
    </w:p>
    <w:sectPr>
      <w:headerReference w:type="default" r:id="rId15"/>
      <w:headerReference w:type="even" r:id="rId16"/>
      <w:headerReference w:type="first" r:id="rId17"/>
      <w:footnotePr/>
      <w:endnotePr/>
      <w:type w:val="nextPage"/>
      <w:pgSz w:w="11906" w:h="16838" w:orient="portrait"/>
      <w:pgMar w:top="1134" w:right="567" w:bottom="1134" w:left="1418" w:header="72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XO Thames">
    <w:panose1 w:val="02000603000000000000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MS Mincho">
    <w:panose1 w:val="02020609040205080304"/>
  </w:font>
  <w:font w:name="Tahoma">
    <w:panose1 w:val="020B0604030504040204"/>
  </w:font>
  <w:font w:name="Noto Sans Devanagari">
    <w:panose1 w:val="020B0502040504020204"/>
  </w:font>
  <w:font w:name="Calibri">
    <w:panose1 w:val="020F0502020204030204"/>
  </w:font>
  <w:font w:name="Segoe UI">
    <w:panose1 w:val="020B0502040204020203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 xml:space="preserve">8</w:t>
    </w:r>
    <w:r>
      <w:rPr>
        <w:rFonts w:ascii="XO Thames" w:hAnsi="XO Thames"/>
      </w:rPr>
      <w:fldChar w:fldCharType="end"/>
    </w:r>
    <w:r>
      <w:rPr>
        <w:rFonts w:ascii="XO Thames" w:hAnsi="XO Thame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 xml:space="preserve">0</w:t>
    </w:r>
    <w:r>
      <w:rPr>
        <w:rFonts w:ascii="XO Thames" w:hAnsi="XO Thames"/>
      </w:rPr>
      <w:fldChar w:fldCharType="end"/>
    </w:r>
    <w:r>
      <w:rPr>
        <w:rFonts w:ascii="XO Thames" w:hAnsi="XO Thames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  <w:jc w:val="center"/>
      <w:rPr>
        <w:rFonts w:ascii="XO Thames" w:hAnsi="XO Thames"/>
      </w:rPr>
    </w:pPr>
    <w:r>
      <w:rPr>
        <w:rFonts w:ascii="XO Thames" w:hAnsi="XO Thames"/>
      </w:rPr>
      <w:fldChar w:fldCharType="begin"/>
    </w:r>
    <w:r>
      <w:rPr>
        <w:rFonts w:ascii="XO Thames" w:hAnsi="XO Thames"/>
      </w:rPr>
      <w:instrText xml:space="preserve"> PAGE </w:instrText>
    </w:r>
    <w:r>
      <w:rPr>
        <w:rFonts w:ascii="XO Thames" w:hAnsi="XO Thames"/>
      </w:rPr>
      <w:fldChar w:fldCharType="separate"/>
    </w:r>
    <w:r>
      <w:rPr>
        <w:rFonts w:ascii="XO Thames" w:hAnsi="XO Thames"/>
      </w:rPr>
      <w:t xml:space="preserve">0</w:t>
    </w:r>
    <w:r>
      <w:rPr>
        <w:rFonts w:ascii="XO Thames" w:hAnsi="XO Thames"/>
      </w:rPr>
      <w:fldChar w:fldCharType="end"/>
    </w:r>
    <w:r>
      <w:rPr>
        <w:rFonts w:ascii="XO Thames" w:hAnsi="XO Thames"/>
      </w:rPr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6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pStyle w:val="874"/>
      <w:isLgl/>
      <w:suff w:val="tab"/>
      <w:lvlText w:val=""/>
      <w:lvlJc w:val="left"/>
      <w:pPr>
        <w:ind w:left="1493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/>
      <w:suff w:val="tab"/>
      <w:lvlText w:val="o"/>
      <w:lvlJc w:val="left"/>
      <w:pPr>
        <w:ind w:left="221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/>
      <w:suff w:val="tab"/>
      <w:lvlText w:val=""/>
      <w:lvlJc w:val="left"/>
      <w:pPr>
        <w:ind w:left="2933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/>
      <w:suff w:val="tab"/>
      <w:lvlText w:val=""/>
      <w:lvlJc w:val="left"/>
      <w:pPr>
        <w:ind w:left="3653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/>
      <w:suff w:val="tab"/>
      <w:lvlText w:val="o"/>
      <w:lvlJc w:val="left"/>
      <w:pPr>
        <w:ind w:left="437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/>
      <w:suff w:val="tab"/>
      <w:lvlText w:val=""/>
      <w:lvlJc w:val="left"/>
      <w:pPr>
        <w:ind w:left="5093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/>
      <w:suff w:val="tab"/>
      <w:lvlText w:val=""/>
      <w:lvlJc w:val="left"/>
      <w:pPr>
        <w:ind w:left="5813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/>
      <w:suff w:val="tab"/>
      <w:lvlText w:val="o"/>
      <w:lvlJc w:val="left"/>
      <w:pPr>
        <w:ind w:left="6533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/>
      <w:suff w:val="tab"/>
      <w:lvlText w:val=""/>
      <w:lvlJc w:val="left"/>
      <w:pPr>
        <w:ind w:left="7253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decimal"/>
      <w:isLgl/>
      <w:suff w:val="space"/>
      <w:lvlText w:val="%1."/>
      <w:lvlJc w:val="left"/>
      <w:pPr>
        <w:ind w:left="2062" w:hanging="360"/>
        <w:tabs>
          <w:tab w:val="num" w:pos="0" w:leader="none"/>
        </w:tabs>
      </w:pPr>
      <w:rPr>
        <w:b/>
        <w:bCs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  <w:tabs>
          <w:tab w:val="num" w:pos="0" w:leader="none"/>
        </w:tabs>
      </w:pPr>
      <w:rPr>
        <w:b w:val="0"/>
        <w:strike w:val="0"/>
        <w:sz w:val="24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pStyle w:val="878"/>
      <w:isLgl/>
      <w:suff w:val="tab"/>
      <w:lvlText w:val="%1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pStyle w:val="879"/>
      <w:isLgl/>
      <w:suff w:val="tab"/>
      <w:lvlText w:val="%1.%2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pStyle w:val="880"/>
      <w:isLgl/>
      <w:suff w:val="tab"/>
      <w:lvlText w:val="%1.%2.%3"/>
      <w:lvlJc w:val="right"/>
      <w:pPr>
        <w:ind w:left="180" w:hanging="180"/>
        <w:tabs>
          <w:tab w:val="num" w:pos="180" w:leader="none"/>
        </w:tabs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vanish w:val="0"/>
        <w:spacing w:val="0"/>
        <w:position w:val="0"/>
        <w:sz w:val="22"/>
        <w:u w:val="none"/>
        <w:vertAlign w:val="baseline"/>
      </w:r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47">
    <w:name w:val="Caption Char"/>
    <w:basedOn w:val="773"/>
    <w:link w:val="833"/>
    <w:uiPriority w:val="35"/>
    <w:rPr>
      <w:b/>
      <w:bCs/>
      <w:color w:val="4f81bd" w:themeColor="accent1"/>
      <w:sz w:val="18"/>
      <w:szCs w:val="18"/>
    </w:rPr>
  </w:style>
  <w:style w:type="paragraph" w:styleId="763" w:default="1">
    <w:name w:val="Normal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64">
    <w:name w:val="Heading 1"/>
    <w:basedOn w:val="763"/>
    <w:next w:val="763"/>
    <w:link w:val="79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65">
    <w:name w:val="Heading 2"/>
    <w:basedOn w:val="763"/>
    <w:next w:val="763"/>
    <w:link w:val="7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66">
    <w:name w:val="Heading 3"/>
    <w:basedOn w:val="763"/>
    <w:next w:val="763"/>
    <w:link w:val="7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67">
    <w:name w:val="Heading 4"/>
    <w:basedOn w:val="763"/>
    <w:next w:val="763"/>
    <w:link w:val="7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68">
    <w:name w:val="Heading 5"/>
    <w:basedOn w:val="763"/>
    <w:next w:val="763"/>
    <w:link w:val="7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69">
    <w:name w:val="Heading 6"/>
    <w:basedOn w:val="763"/>
    <w:next w:val="763"/>
    <w:link w:val="7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0">
    <w:name w:val="Heading 7"/>
    <w:basedOn w:val="763"/>
    <w:next w:val="763"/>
    <w:link w:val="7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1">
    <w:name w:val="Heading 8"/>
    <w:basedOn w:val="763"/>
    <w:next w:val="763"/>
    <w:link w:val="7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2">
    <w:name w:val="Heading 9"/>
    <w:basedOn w:val="763"/>
    <w:next w:val="763"/>
    <w:link w:val="7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3" w:default="1">
    <w:name w:val="Default Paragraph Font"/>
    <w:uiPriority w:val="1"/>
    <w:semiHidden/>
    <w:unhideWhenUsed/>
  </w:style>
  <w:style w:type="table" w:styleId="7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75" w:default="1">
    <w:name w:val="No List"/>
    <w:uiPriority w:val="99"/>
    <w:semiHidden/>
    <w:unhideWhenUsed/>
  </w:style>
  <w:style w:type="character" w:styleId="776" w:customStyle="1">
    <w:name w:val="Heading 1 Char"/>
    <w:basedOn w:val="773"/>
    <w:uiPriority w:val="9"/>
    <w:qFormat/>
    <w:rPr>
      <w:rFonts w:ascii="Arial" w:hAnsi="Arial" w:eastAsia="Arial" w:cs="Arial"/>
      <w:sz w:val="40"/>
      <w:szCs w:val="40"/>
    </w:rPr>
  </w:style>
  <w:style w:type="character" w:styleId="777" w:customStyle="1">
    <w:name w:val="Heading 2 Char"/>
    <w:basedOn w:val="773"/>
    <w:uiPriority w:val="9"/>
    <w:qFormat/>
    <w:rPr>
      <w:rFonts w:ascii="Arial" w:hAnsi="Arial" w:eastAsia="Arial" w:cs="Arial"/>
      <w:sz w:val="34"/>
    </w:rPr>
  </w:style>
  <w:style w:type="character" w:styleId="778" w:customStyle="1">
    <w:name w:val="Heading 3 Char"/>
    <w:basedOn w:val="773"/>
    <w:uiPriority w:val="9"/>
    <w:qFormat/>
    <w:rPr>
      <w:rFonts w:ascii="Arial" w:hAnsi="Arial" w:eastAsia="Arial" w:cs="Arial"/>
      <w:sz w:val="30"/>
      <w:szCs w:val="30"/>
    </w:rPr>
  </w:style>
  <w:style w:type="character" w:styleId="779" w:customStyle="1">
    <w:name w:val="Heading 4 Char"/>
    <w:basedOn w:val="77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80" w:customStyle="1">
    <w:name w:val="Heading 5 Char"/>
    <w:basedOn w:val="773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81" w:customStyle="1">
    <w:name w:val="Heading 6 Char"/>
    <w:basedOn w:val="773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82" w:customStyle="1">
    <w:name w:val="Heading 7 Char"/>
    <w:basedOn w:val="773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83" w:customStyle="1">
    <w:name w:val="Heading 8 Char"/>
    <w:basedOn w:val="773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84" w:customStyle="1">
    <w:name w:val="Heading 9 Char"/>
    <w:basedOn w:val="773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85" w:customStyle="1">
    <w:name w:val="Title Char"/>
    <w:basedOn w:val="773"/>
    <w:uiPriority w:val="10"/>
    <w:qFormat/>
    <w:rPr>
      <w:sz w:val="48"/>
      <w:szCs w:val="48"/>
    </w:rPr>
  </w:style>
  <w:style w:type="character" w:styleId="786" w:customStyle="1">
    <w:name w:val="Subtitle Char"/>
    <w:basedOn w:val="773"/>
    <w:uiPriority w:val="11"/>
    <w:qFormat/>
    <w:rPr>
      <w:sz w:val="24"/>
      <w:szCs w:val="24"/>
    </w:rPr>
  </w:style>
  <w:style w:type="character" w:styleId="787" w:customStyle="1">
    <w:name w:val="Quote Char"/>
    <w:uiPriority w:val="29"/>
    <w:qFormat/>
    <w:rPr>
      <w:i/>
    </w:rPr>
  </w:style>
  <w:style w:type="character" w:styleId="788" w:customStyle="1">
    <w:name w:val="Intense Quote Char"/>
    <w:uiPriority w:val="30"/>
    <w:qFormat/>
    <w:rPr>
      <w:i/>
    </w:rPr>
  </w:style>
  <w:style w:type="character" w:styleId="789" w:customStyle="1">
    <w:name w:val="Footnote Text Char"/>
    <w:uiPriority w:val="99"/>
    <w:qFormat/>
    <w:rPr>
      <w:sz w:val="18"/>
    </w:rPr>
  </w:style>
  <w:style w:type="character" w:styleId="790" w:customStyle="1">
    <w:name w:val="Endnote Text Char"/>
    <w:uiPriority w:val="99"/>
    <w:qFormat/>
    <w:rPr>
      <w:sz w:val="20"/>
    </w:rPr>
  </w:style>
  <w:style w:type="character" w:styleId="791" w:customStyle="1">
    <w:name w:val="Заголовок 1 Знак"/>
    <w:basedOn w:val="773"/>
    <w:link w:val="764"/>
    <w:uiPriority w:val="9"/>
    <w:qFormat/>
    <w:rPr>
      <w:rFonts w:ascii="Arial" w:hAnsi="Arial" w:eastAsia="Arial" w:cs="Arial"/>
      <w:sz w:val="40"/>
      <w:szCs w:val="40"/>
    </w:rPr>
  </w:style>
  <w:style w:type="character" w:styleId="792" w:customStyle="1">
    <w:name w:val="Заголовок 2 Знак"/>
    <w:basedOn w:val="773"/>
    <w:link w:val="765"/>
    <w:uiPriority w:val="9"/>
    <w:qFormat/>
    <w:rPr>
      <w:rFonts w:ascii="Arial" w:hAnsi="Arial" w:eastAsia="Arial" w:cs="Arial"/>
      <w:sz w:val="34"/>
    </w:rPr>
  </w:style>
  <w:style w:type="character" w:styleId="793" w:customStyle="1">
    <w:name w:val="Заголовок 3 Знак"/>
    <w:basedOn w:val="773"/>
    <w:link w:val="766"/>
    <w:uiPriority w:val="9"/>
    <w:qFormat/>
    <w:rPr>
      <w:rFonts w:ascii="Arial" w:hAnsi="Arial" w:eastAsia="Arial" w:cs="Arial"/>
      <w:sz w:val="30"/>
      <w:szCs w:val="30"/>
    </w:rPr>
  </w:style>
  <w:style w:type="character" w:styleId="794" w:customStyle="1">
    <w:name w:val="Заголовок 4 Знак"/>
    <w:basedOn w:val="773"/>
    <w:link w:val="767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5" w:customStyle="1">
    <w:name w:val="Заголовок 5 Знак"/>
    <w:basedOn w:val="773"/>
    <w:link w:val="76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6" w:customStyle="1">
    <w:name w:val="Заголовок 6 Знак"/>
    <w:basedOn w:val="773"/>
    <w:link w:val="76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7" w:customStyle="1">
    <w:name w:val="Заголовок 7 Знак"/>
    <w:basedOn w:val="773"/>
    <w:link w:val="77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8" w:customStyle="1">
    <w:name w:val="Заголовок 8 Знак"/>
    <w:basedOn w:val="773"/>
    <w:link w:val="77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9" w:customStyle="1">
    <w:name w:val="Заголовок 9 Знак"/>
    <w:basedOn w:val="773"/>
    <w:link w:val="77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00" w:customStyle="1">
    <w:name w:val="Заголовок Знак"/>
    <w:basedOn w:val="773"/>
    <w:link w:val="830"/>
    <w:uiPriority w:val="10"/>
    <w:qFormat/>
    <w:rPr>
      <w:sz w:val="48"/>
      <w:szCs w:val="48"/>
    </w:rPr>
  </w:style>
  <w:style w:type="character" w:styleId="801" w:customStyle="1">
    <w:name w:val="Подзаголовок Знак"/>
    <w:basedOn w:val="773"/>
    <w:link w:val="838"/>
    <w:uiPriority w:val="11"/>
    <w:qFormat/>
    <w:rPr>
      <w:sz w:val="24"/>
      <w:szCs w:val="24"/>
    </w:rPr>
  </w:style>
  <w:style w:type="character" w:styleId="802" w:customStyle="1">
    <w:name w:val="Цитата 2 Знак"/>
    <w:link w:val="839"/>
    <w:uiPriority w:val="29"/>
    <w:qFormat/>
    <w:rPr>
      <w:i/>
    </w:rPr>
  </w:style>
  <w:style w:type="character" w:styleId="803" w:customStyle="1">
    <w:name w:val="Выделенная цитата Знак"/>
    <w:link w:val="840"/>
    <w:uiPriority w:val="30"/>
    <w:qFormat/>
    <w:rPr>
      <w:i/>
    </w:rPr>
  </w:style>
  <w:style w:type="character" w:styleId="804" w:customStyle="1">
    <w:name w:val="Header Char"/>
    <w:basedOn w:val="773"/>
    <w:uiPriority w:val="99"/>
    <w:qFormat/>
  </w:style>
  <w:style w:type="character" w:styleId="805" w:customStyle="1">
    <w:name w:val="Footer Char"/>
    <w:basedOn w:val="773"/>
    <w:uiPriority w:val="99"/>
    <w:qFormat/>
  </w:style>
  <w:style w:type="character" w:styleId="806" w:customStyle="1">
    <w:name w:val="Название объекта Знак"/>
    <w:link w:val="833"/>
    <w:uiPriority w:val="99"/>
    <w:qFormat/>
  </w:style>
  <w:style w:type="character" w:styleId="807">
    <w:name w:val="Hyperlink"/>
    <w:uiPriority w:val="99"/>
    <w:unhideWhenUsed/>
    <w:rPr>
      <w:color w:val="0563c1" w:themeColor="hyperlink"/>
      <w:u w:val="single"/>
    </w:rPr>
  </w:style>
  <w:style w:type="character" w:styleId="808" w:customStyle="1">
    <w:name w:val="Текст сноски Знак"/>
    <w:link w:val="841"/>
    <w:uiPriority w:val="99"/>
    <w:qFormat/>
    <w:rPr>
      <w:sz w:val="18"/>
    </w:rPr>
  </w:style>
  <w:style w:type="character" w:styleId="809" w:customStyle="1">
    <w:name w:val="Символ сноски (user)"/>
    <w:uiPriority w:val="99"/>
    <w:unhideWhenUsed/>
    <w:qFormat/>
    <w:rPr>
      <w:vertAlign w:val="superscript"/>
    </w:rPr>
  </w:style>
  <w:style w:type="character" w:styleId="810" w:customStyle="1">
    <w:name w:val="Символ сноски"/>
    <w:qFormat/>
    <w:rPr>
      <w:vertAlign w:val="superscript"/>
    </w:rPr>
  </w:style>
  <w:style w:type="character" w:styleId="811">
    <w:name w:val="footnote reference"/>
    <w:rPr>
      <w:vertAlign w:val="superscript"/>
    </w:rPr>
  </w:style>
  <w:style w:type="character" w:styleId="812" w:customStyle="1">
    <w:name w:val="Текст концевой сноски Знак"/>
    <w:link w:val="842"/>
    <w:uiPriority w:val="99"/>
    <w:qFormat/>
    <w:rPr>
      <w:sz w:val="20"/>
    </w:rPr>
  </w:style>
  <w:style w:type="character" w:styleId="813" w:customStyle="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814" w:customStyle="1">
    <w:name w:val="Символ концевой сноски"/>
    <w:qFormat/>
    <w:rPr>
      <w:vertAlign w:val="superscript"/>
    </w:rPr>
  </w:style>
  <w:style w:type="character" w:styleId="815">
    <w:name w:val="endnote reference"/>
    <w:rPr>
      <w:vertAlign w:val="superscript"/>
    </w:rPr>
  </w:style>
  <w:style w:type="character" w:styleId="816" w:customStyle="1">
    <w:name w:val="Верхний колонтитул Знак"/>
    <w:basedOn w:val="773"/>
    <w:link w:val="856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17" w:customStyle="1">
    <w:name w:val="Нижний колонтитул Знак"/>
    <w:basedOn w:val="773"/>
    <w:link w:val="857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18">
    <w:name w:val="annotation reference"/>
    <w:uiPriority w:val="99"/>
    <w:qFormat/>
    <w:rPr>
      <w:sz w:val="16"/>
      <w:szCs w:val="16"/>
    </w:rPr>
  </w:style>
  <w:style w:type="character" w:styleId="819" w:customStyle="1">
    <w:name w:val="Текст примечания Знак"/>
    <w:basedOn w:val="773"/>
    <w:link w:val="864"/>
    <w:uiPriority w:val="99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820" w:customStyle="1">
    <w:name w:val="ConsPlusNormal Знак"/>
    <w:link w:val="865"/>
    <w:qFormat/>
    <w:rPr>
      <w:rFonts w:ascii="Arial" w:hAnsi="Arial" w:eastAsia="Times New Roman" w:cs="Arial"/>
      <w:sz w:val="20"/>
      <w:szCs w:val="20"/>
      <w:lang w:eastAsia="ru-RU"/>
    </w:rPr>
  </w:style>
  <w:style w:type="character" w:styleId="821" w:customStyle="1">
    <w:name w:val="Текст выноски Знак"/>
    <w:basedOn w:val="773"/>
    <w:link w:val="867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822" w:customStyle="1">
    <w:name w:val="Тема примечания Знак"/>
    <w:basedOn w:val="819"/>
    <w:link w:val="868"/>
    <w:uiPriority w:val="99"/>
    <w:semiHidden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823" w:customStyle="1">
    <w:name w:val="Абзац списка Знак"/>
    <w:link w:val="869"/>
    <w:uiPriority w:val="34"/>
    <w:qFormat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824" w:customStyle="1">
    <w:name w:val="Абзац Знак"/>
    <w:link w:val="872"/>
    <w:qFormat/>
    <w:rPr>
      <w:rFonts w:ascii="Times New Roman" w:hAnsi="Times New Roman" w:eastAsia="Calibri" w:cs="Times New Roman"/>
      <w:sz w:val="24"/>
      <w:szCs w:val="24"/>
      <w:lang w:eastAsia="ar-SA"/>
    </w:rPr>
  </w:style>
  <w:style w:type="character" w:styleId="825" w:customStyle="1">
    <w:name w:val="Пункты Знак"/>
    <w:basedOn w:val="823"/>
    <w:link w:val="873"/>
    <w:qFormat/>
    <w:rPr>
      <w:rFonts w:ascii="Times New Roman" w:hAnsi="Times New Roman" w:eastAsia="Times New Roman" w:cs="Calibri"/>
      <w:b/>
      <w:sz w:val="24"/>
      <w:szCs w:val="24"/>
      <w:lang w:val="en-US"/>
    </w:rPr>
  </w:style>
  <w:style w:type="character" w:styleId="826" w:customStyle="1">
    <w:name w:val="Список без номера Знак"/>
    <w:link w:val="87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27" w:customStyle="1">
    <w:name w:val="ОБЫЧНЫЙ Знак"/>
    <w:basedOn w:val="773"/>
    <w:link w:val="875"/>
    <w:qFormat/>
    <w:rPr>
      <w:rFonts w:ascii="Times New Roman" w:hAnsi="Times New Roman" w:eastAsia="Times New Roman" w:cs="Times New Roman"/>
      <w:color w:val="000000"/>
      <w:sz w:val="24"/>
      <w:szCs w:val="24"/>
      <w:lang w:eastAsia="zh-CN"/>
    </w:rPr>
  </w:style>
  <w:style w:type="character" w:styleId="828" w:customStyle="1">
    <w:name w:val="Основной текст (2)_"/>
    <w:basedOn w:val="773"/>
    <w:link w:val="876"/>
    <w:qFormat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829">
    <w:name w:val="FollowedHyperlink"/>
    <w:rPr>
      <w:color w:val="800080"/>
      <w:u w:val="single"/>
    </w:rPr>
  </w:style>
  <w:style w:type="paragraph" w:styleId="830">
    <w:name w:val="Title"/>
    <w:basedOn w:val="763"/>
    <w:next w:val="831"/>
    <w:link w:val="80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31">
    <w:name w:val="Body Text"/>
    <w:basedOn w:val="763"/>
    <w:pPr>
      <w:spacing w:after="140" w:line="276" w:lineRule="auto"/>
    </w:pPr>
  </w:style>
  <w:style w:type="paragraph" w:styleId="832">
    <w:name w:val="List"/>
    <w:basedOn w:val="831"/>
    <w:rPr>
      <w:rFonts w:ascii="PT Astra Serif" w:hAnsi="PT Astra Serif" w:cs="Noto Sans Devanagari"/>
    </w:rPr>
  </w:style>
  <w:style w:type="paragraph" w:styleId="833">
    <w:name w:val="Caption"/>
    <w:basedOn w:val="763"/>
    <w:next w:val="763"/>
    <w:link w:val="80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834">
    <w:name w:val="index heading"/>
    <w:basedOn w:val="835"/>
  </w:style>
  <w:style w:type="paragraph" w:styleId="835" w:customStyle="1">
    <w:name w:val="Заголовок (user)"/>
    <w:basedOn w:val="763"/>
    <w:next w:val="83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836" w:customStyle="1">
    <w:name w:val="Указатель (user)"/>
    <w:basedOn w:val="763"/>
    <w:qFormat/>
    <w:pPr>
      <w:suppressLineNumbers/>
    </w:pPr>
    <w:rPr>
      <w:rFonts w:ascii="PT Astra Serif" w:hAnsi="PT Astra Serif" w:cs="Noto Sans Devanagari"/>
    </w:rPr>
  </w:style>
  <w:style w:type="paragraph" w:styleId="837">
    <w:name w:val="No Spacing"/>
    <w:uiPriority w:val="1"/>
    <w:qFormat/>
  </w:style>
  <w:style w:type="paragraph" w:styleId="838">
    <w:name w:val="Subtitle"/>
    <w:basedOn w:val="763"/>
    <w:next w:val="763"/>
    <w:link w:val="801"/>
    <w:uiPriority w:val="11"/>
    <w:qFormat/>
    <w:pPr>
      <w:spacing w:before="200" w:after="200"/>
    </w:pPr>
  </w:style>
  <w:style w:type="paragraph" w:styleId="839">
    <w:name w:val="Quote"/>
    <w:basedOn w:val="763"/>
    <w:next w:val="763"/>
    <w:link w:val="802"/>
    <w:uiPriority w:val="29"/>
    <w:qFormat/>
    <w:pPr>
      <w:ind w:left="720" w:right="720"/>
    </w:pPr>
    <w:rPr>
      <w:i/>
    </w:rPr>
  </w:style>
  <w:style w:type="paragraph" w:styleId="840">
    <w:name w:val="Intense Quote"/>
    <w:basedOn w:val="763"/>
    <w:next w:val="763"/>
    <w:link w:val="8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41">
    <w:name w:val="footnote text"/>
    <w:basedOn w:val="763"/>
    <w:link w:val="808"/>
    <w:uiPriority w:val="99"/>
    <w:semiHidden/>
    <w:unhideWhenUsed/>
    <w:pPr>
      <w:spacing w:after="40"/>
    </w:pPr>
    <w:rPr>
      <w:sz w:val="18"/>
    </w:rPr>
  </w:style>
  <w:style w:type="paragraph" w:styleId="842">
    <w:name w:val="endnote text"/>
    <w:basedOn w:val="763"/>
    <w:link w:val="812"/>
    <w:uiPriority w:val="99"/>
    <w:semiHidden/>
    <w:unhideWhenUsed/>
    <w:rPr>
      <w:sz w:val="20"/>
    </w:rPr>
  </w:style>
  <w:style w:type="paragraph" w:styleId="843">
    <w:name w:val="toc 1"/>
    <w:basedOn w:val="763"/>
    <w:next w:val="763"/>
    <w:uiPriority w:val="39"/>
    <w:unhideWhenUsed/>
    <w:pPr>
      <w:spacing w:after="57"/>
    </w:pPr>
  </w:style>
  <w:style w:type="paragraph" w:styleId="844">
    <w:name w:val="toc 2"/>
    <w:basedOn w:val="763"/>
    <w:next w:val="763"/>
    <w:uiPriority w:val="39"/>
    <w:unhideWhenUsed/>
    <w:pPr>
      <w:ind w:left="283"/>
      <w:spacing w:after="57"/>
    </w:pPr>
  </w:style>
  <w:style w:type="paragraph" w:styleId="845">
    <w:name w:val="toc 3"/>
    <w:basedOn w:val="763"/>
    <w:next w:val="763"/>
    <w:uiPriority w:val="39"/>
    <w:unhideWhenUsed/>
    <w:pPr>
      <w:ind w:left="567"/>
      <w:spacing w:after="57"/>
    </w:pPr>
  </w:style>
  <w:style w:type="paragraph" w:styleId="846">
    <w:name w:val="toc 4"/>
    <w:basedOn w:val="763"/>
    <w:next w:val="763"/>
    <w:uiPriority w:val="39"/>
    <w:unhideWhenUsed/>
    <w:pPr>
      <w:ind w:left="850"/>
      <w:spacing w:after="57"/>
    </w:pPr>
  </w:style>
  <w:style w:type="paragraph" w:styleId="847">
    <w:name w:val="toc 5"/>
    <w:basedOn w:val="763"/>
    <w:next w:val="763"/>
    <w:uiPriority w:val="39"/>
    <w:unhideWhenUsed/>
    <w:pPr>
      <w:ind w:left="1134"/>
      <w:spacing w:after="57"/>
    </w:pPr>
  </w:style>
  <w:style w:type="paragraph" w:styleId="848">
    <w:name w:val="toc 6"/>
    <w:basedOn w:val="763"/>
    <w:next w:val="763"/>
    <w:uiPriority w:val="39"/>
    <w:unhideWhenUsed/>
    <w:pPr>
      <w:ind w:left="1417"/>
      <w:spacing w:after="57"/>
    </w:pPr>
  </w:style>
  <w:style w:type="paragraph" w:styleId="849">
    <w:name w:val="toc 7"/>
    <w:basedOn w:val="763"/>
    <w:next w:val="763"/>
    <w:uiPriority w:val="39"/>
    <w:unhideWhenUsed/>
    <w:pPr>
      <w:ind w:left="1701"/>
      <w:spacing w:after="57"/>
    </w:pPr>
  </w:style>
  <w:style w:type="paragraph" w:styleId="850">
    <w:name w:val="toc 8"/>
    <w:basedOn w:val="763"/>
    <w:next w:val="763"/>
    <w:uiPriority w:val="39"/>
    <w:unhideWhenUsed/>
    <w:pPr>
      <w:ind w:left="1984"/>
      <w:spacing w:after="57"/>
    </w:pPr>
  </w:style>
  <w:style w:type="paragraph" w:styleId="851">
    <w:name w:val="toc 9"/>
    <w:basedOn w:val="763"/>
    <w:next w:val="763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  <w:qFormat/>
    <w:pPr>
      <w:spacing w:after="160" w:line="259" w:lineRule="auto"/>
    </w:pPr>
  </w:style>
  <w:style w:type="paragraph" w:styleId="853">
    <w:name w:val="table of figures"/>
    <w:basedOn w:val="763"/>
    <w:next w:val="763"/>
    <w:uiPriority w:val="99"/>
    <w:unhideWhenUsed/>
  </w:style>
  <w:style w:type="paragraph" w:styleId="854" w:customStyle="1">
    <w:name w:val="Колонтитулы (user)"/>
    <w:basedOn w:val="763"/>
    <w:qFormat/>
  </w:style>
  <w:style w:type="paragraph" w:styleId="855" w:customStyle="1">
    <w:name w:val="Колонтитулы"/>
    <w:basedOn w:val="763"/>
    <w:qFormat/>
  </w:style>
  <w:style w:type="paragraph" w:styleId="856">
    <w:name w:val="Header"/>
    <w:basedOn w:val="763"/>
    <w:link w:val="816"/>
    <w:uiPriority w:val="99"/>
    <w:pPr>
      <w:tabs>
        <w:tab w:val="center" w:pos="4677" w:leader="none"/>
        <w:tab w:val="right" w:pos="9355" w:leader="none"/>
      </w:tabs>
    </w:pPr>
  </w:style>
  <w:style w:type="paragraph" w:styleId="857">
    <w:name w:val="Footer"/>
    <w:basedOn w:val="763"/>
    <w:link w:val="817"/>
    <w:uiPriority w:val="99"/>
    <w:pPr>
      <w:tabs>
        <w:tab w:val="center" w:pos="4677" w:leader="none"/>
        <w:tab w:val="right" w:pos="9355" w:leader="none"/>
      </w:tabs>
    </w:pPr>
  </w:style>
  <w:style w:type="paragraph" w:styleId="858" w:customStyle="1">
    <w:name w:val="ГК Титул"/>
    <w:qFormat/>
    <w:pPr>
      <w:ind w:right="-5"/>
      <w:jc w:val="center"/>
    </w:pPr>
    <w:rPr>
      <w:rFonts w:ascii="Times New Roman" w:hAnsi="Times New Roman" w:eastAsia="Times New Roman" w:cs="Times New Roman"/>
      <w:sz w:val="28"/>
      <w:szCs w:val="27"/>
      <w:lang w:eastAsia="ru-RU"/>
    </w:rPr>
  </w:style>
  <w:style w:type="paragraph" w:styleId="859" w:customStyle="1">
    <w:name w:val="ГК Текст"/>
    <w:basedOn w:val="860"/>
    <w:qFormat/>
    <w:pPr>
      <w:ind w:firstLine="0"/>
    </w:pPr>
    <w:rPr>
      <w:sz w:val="24"/>
    </w:rPr>
  </w:style>
  <w:style w:type="paragraph" w:styleId="860" w:customStyle="1">
    <w:name w:val="ГК Абзац"/>
    <w:basedOn w:val="763"/>
    <w:qFormat/>
    <w:pPr>
      <w:ind w:firstLine="720"/>
      <w:jc w:val="both"/>
    </w:pPr>
    <w:rPr>
      <w:sz w:val="28"/>
      <w:szCs w:val="28"/>
    </w:rPr>
  </w:style>
  <w:style w:type="paragraph" w:styleId="861" w:customStyle="1">
    <w:name w:val="ГК Текст вправо"/>
    <w:qFormat/>
    <w:pPr>
      <w:ind w:right="-5" w:firstLine="540"/>
      <w:jc w:val="right"/>
    </w:pPr>
    <w:rPr>
      <w:rFonts w:ascii="Times New Roman" w:hAnsi="Times New Roman" w:eastAsia="Times New Roman" w:cs="Times New Roman"/>
      <w:sz w:val="28"/>
      <w:szCs w:val="27"/>
      <w:lang w:eastAsia="ru-RU"/>
    </w:rPr>
  </w:style>
  <w:style w:type="paragraph" w:styleId="862" w:customStyle="1">
    <w:name w:val="ГК Таблица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63" w:customStyle="1">
    <w:name w:val="ГК Статья"/>
    <w:next w:val="860"/>
    <w:qFormat/>
    <w:pPr>
      <w:ind w:left="851"/>
      <w:keepNext/>
      <w:spacing w:before="240" w:after="240"/>
    </w:pPr>
    <w:rPr>
      <w:rFonts w:ascii="Times New Roman" w:hAnsi="Times New Roman" w:eastAsia="Times New Roman" w:cs="Times New Roman"/>
      <w:bCs/>
      <w:color w:val="000000"/>
      <w:sz w:val="24"/>
      <w:szCs w:val="20"/>
      <w:lang w:eastAsia="ru-RU"/>
    </w:rPr>
  </w:style>
  <w:style w:type="paragraph" w:styleId="864">
    <w:name w:val="annotation text"/>
    <w:basedOn w:val="763"/>
    <w:link w:val="819"/>
    <w:uiPriority w:val="99"/>
    <w:qFormat/>
    <w:rPr>
      <w:sz w:val="20"/>
      <w:szCs w:val="20"/>
    </w:rPr>
  </w:style>
  <w:style w:type="paragraph" w:styleId="865" w:customStyle="1">
    <w:name w:val="ConsPlusNormal"/>
    <w:link w:val="820"/>
    <w:qFormat/>
    <w:pPr>
      <w:ind w:firstLine="720"/>
    </w:pPr>
    <w:rPr>
      <w:rFonts w:ascii="Arial" w:hAnsi="Arial" w:eastAsia="Times New Roman"/>
      <w:sz w:val="20"/>
      <w:szCs w:val="20"/>
      <w:lang w:eastAsia="ru-RU"/>
    </w:rPr>
  </w:style>
  <w:style w:type="paragraph" w:styleId="866" w:customStyle="1">
    <w:name w:val="parametervalue"/>
    <w:basedOn w:val="763"/>
    <w:qFormat/>
    <w:pPr>
      <w:spacing w:beforeAutospacing="1" w:afterAutospacing="1"/>
    </w:pPr>
  </w:style>
  <w:style w:type="paragraph" w:styleId="867">
    <w:name w:val="Balloon Text"/>
    <w:basedOn w:val="763"/>
    <w:link w:val="821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868">
    <w:name w:val="annotation subject"/>
    <w:basedOn w:val="864"/>
    <w:next w:val="864"/>
    <w:link w:val="822"/>
    <w:uiPriority w:val="99"/>
    <w:semiHidden/>
    <w:unhideWhenUsed/>
    <w:qFormat/>
    <w:rPr>
      <w:b/>
      <w:bCs/>
    </w:rPr>
  </w:style>
  <w:style w:type="paragraph" w:styleId="869">
    <w:name w:val="List Paragraph"/>
    <w:basedOn w:val="763"/>
    <w:link w:val="823"/>
    <w:uiPriority w:val="34"/>
    <w:qFormat/>
    <w:pPr>
      <w:contextualSpacing/>
      <w:ind w:left="720"/>
    </w:pPr>
    <w:rPr>
      <w:lang w:val="en-US" w:eastAsia="en-US"/>
    </w:rPr>
  </w:style>
  <w:style w:type="paragraph" w:styleId="870" w:customStyle="1">
    <w:name w:val="Default"/>
    <w:qFormat/>
    <w:rPr>
      <w:rFonts w:ascii="Times New Roman" w:hAnsi="Times New Roman" w:eastAsia="Calibri" w:cs="Times New Roman"/>
      <w:color w:val="000000"/>
      <w:sz w:val="24"/>
      <w:szCs w:val="24"/>
    </w:rPr>
  </w:style>
  <w:style w:type="paragraph" w:styleId="871">
    <w:name w:val="Revision"/>
    <w:uiPriority w:val="99"/>
    <w:semiHidden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2" w:customStyle="1">
    <w:name w:val="Абзац"/>
    <w:basedOn w:val="763"/>
    <w:link w:val="824"/>
    <w:qFormat/>
    <w:pPr>
      <w:contextualSpacing/>
      <w:ind w:firstLine="284"/>
      <w:jc w:val="both"/>
      <w:tabs>
        <w:tab w:val="left" w:pos="142" w:leader="none"/>
        <w:tab w:val="left" w:pos="567" w:leader="none"/>
      </w:tabs>
    </w:pPr>
    <w:rPr>
      <w:rFonts w:eastAsia="Calibri"/>
      <w:lang w:eastAsia="ar-SA"/>
    </w:rPr>
  </w:style>
  <w:style w:type="paragraph" w:styleId="873" w:customStyle="1">
    <w:name w:val="Пункты"/>
    <w:basedOn w:val="869"/>
    <w:link w:val="825"/>
    <w:qFormat/>
    <w:pPr>
      <w:ind w:left="0" w:firstLine="709"/>
      <w:spacing w:after="160" w:line="257" w:lineRule="auto"/>
    </w:pPr>
    <w:rPr>
      <w:rFonts w:cs="Calibri" w:eastAsiaTheme="minorHAnsi"/>
      <w:b/>
      <w:lang w:val="ru-RU"/>
    </w:rPr>
  </w:style>
  <w:style w:type="paragraph" w:styleId="874" w:customStyle="1">
    <w:name w:val="Список без номера"/>
    <w:basedOn w:val="869"/>
    <w:link w:val="826"/>
    <w:qFormat/>
    <w:pPr>
      <w:numPr>
        <w:ilvl w:val="0"/>
        <w:numId w:val="1"/>
      </w:numPr>
      <w:contextualSpacing w:val="0"/>
      <w:jc w:val="both"/>
      <w:spacing w:before="60" w:line="360" w:lineRule="auto"/>
      <w:tabs>
        <w:tab w:val="left" w:pos="1560" w:leader="none"/>
      </w:tabs>
    </w:pPr>
    <w:rPr>
      <w:lang w:val="ru-RU" w:eastAsia="ru-RU"/>
    </w:rPr>
  </w:style>
  <w:style w:type="paragraph" w:styleId="875" w:customStyle="1">
    <w:name w:val="ОБЫЧНЫЙ"/>
    <w:basedOn w:val="763"/>
    <w:link w:val="827"/>
    <w:qFormat/>
    <w:pPr>
      <w:ind w:firstLine="851"/>
      <w:jc w:val="both"/>
      <w:spacing w:line="360" w:lineRule="auto"/>
    </w:pPr>
    <w:rPr>
      <w:color w:val="000000"/>
      <w:lang w:eastAsia="zh-CN"/>
    </w:rPr>
  </w:style>
  <w:style w:type="paragraph" w:styleId="876" w:customStyle="1">
    <w:name w:val="Основной текст (2)"/>
    <w:basedOn w:val="763"/>
    <w:link w:val="828"/>
    <w:qFormat/>
    <w:pPr>
      <w:jc w:val="both"/>
      <w:spacing w:before="420" w:line="322" w:lineRule="exact"/>
      <w:shd w:val="clear" w:color="auto" w:fill="ffffff"/>
      <w:widowControl w:val="off"/>
    </w:pPr>
    <w:rPr>
      <w:sz w:val="28"/>
      <w:szCs w:val="28"/>
      <w:lang w:eastAsia="en-US"/>
    </w:rPr>
  </w:style>
  <w:style w:type="paragraph" w:styleId="877" w:customStyle="1">
    <w:name w:val="_Основной текст"/>
    <w:basedOn w:val="869"/>
    <w:qFormat/>
    <w:pPr>
      <w:ind w:left="0" w:firstLine="567"/>
      <w:jc w:val="both"/>
      <w:spacing w:before="30" w:after="200"/>
    </w:pPr>
    <w:rPr>
      <w:rFonts w:eastAsia="Calibri"/>
      <w:lang w:val="ru-RU"/>
    </w:rPr>
  </w:style>
  <w:style w:type="paragraph" w:styleId="878" w:customStyle="1">
    <w:name w:val="ДГВ Статья Заголовок"/>
    <w:qFormat/>
    <w:pPr>
      <w:numPr>
        <w:ilvl w:val="0"/>
        <w:numId w:val="2"/>
      </w:numPr>
      <w:jc w:val="center"/>
      <w:spacing w:before="120"/>
      <w:widowControl w:val="off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879" w:customStyle="1">
    <w:name w:val="ДГВ Статья Пункт 1_1"/>
    <w:qFormat/>
    <w:pPr>
      <w:numPr>
        <w:ilvl w:val="1"/>
        <w:numId w:val="2"/>
      </w:numPr>
      <w:jc w:val="both"/>
    </w:pPr>
    <w:rPr>
      <w:rFonts w:ascii="Times New Roman" w:hAnsi="Times New Roman" w:eastAsia="MS Mincho" w:cs="Times New Roman"/>
      <w:sz w:val="24"/>
      <w:szCs w:val="20"/>
      <w:lang w:eastAsia="ru-RU"/>
    </w:rPr>
  </w:style>
  <w:style w:type="paragraph" w:styleId="880" w:customStyle="1">
    <w:name w:val="ДГВ Статья Пункт 1_1_1"/>
    <w:basedOn w:val="763"/>
    <w:qFormat/>
    <w:pPr>
      <w:numPr>
        <w:ilvl w:val="2"/>
        <w:numId w:val="2"/>
      </w:numPr>
      <w:ind w:left="567" w:hanging="142"/>
      <w:jc w:val="both"/>
      <w:widowControl w:val="off"/>
      <w:tabs>
        <w:tab w:val="left" w:pos="567" w:leader="none"/>
      </w:tabs>
    </w:pPr>
    <w:rPr>
      <w:szCs w:val="20"/>
    </w:rPr>
  </w:style>
  <w:style w:type="paragraph" w:styleId="881" w:customStyle="1">
    <w:name w:val="ДГВ Текст"/>
    <w:qFormat/>
    <w:pPr>
      <w:ind w:right="-1"/>
      <w:jc w:val="both"/>
      <w:widowControl w:val="off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2" w:customStyle="1">
    <w:name w:val="Средняя сетка 1 - Акцент 21"/>
    <w:qFormat/>
    <w:pPr>
      <w:ind w:left="72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883">
    <w:name w:val="Normal (Web)"/>
    <w:basedOn w:val="763"/>
    <w:uiPriority w:val="99"/>
    <w:semiHidden/>
    <w:unhideWhenUsed/>
    <w:qFormat/>
    <w:pPr>
      <w:spacing w:beforeAutospacing="1" w:afterAutospacing="1"/>
    </w:pPr>
  </w:style>
  <w:style w:type="paragraph" w:styleId="884" w:customStyle="1">
    <w:name w:val="Содержимое врезки (user)"/>
    <w:basedOn w:val="763"/>
    <w:qFormat/>
  </w:style>
  <w:style w:type="paragraph" w:styleId="885" w:customStyle="1">
    <w:name w:val="Верхний колонтитул слева (user)"/>
    <w:basedOn w:val="856"/>
    <w:qFormat/>
  </w:style>
  <w:style w:type="paragraph" w:styleId="886">
    <w:name w:val="Body Text Indent"/>
    <w:basedOn w:val="763"/>
    <w:pPr>
      <w:ind w:left="283" w:firstLine="485"/>
      <w:jc w:val="both"/>
      <w:spacing w:line="100" w:lineRule="atLeast"/>
      <w:widowControl w:val="off"/>
      <w:tabs>
        <w:tab w:val="left" w:pos="708" w:leader="none"/>
      </w:tabs>
    </w:pPr>
    <w:rPr>
      <w:color w:val="000000"/>
      <w:szCs w:val="20"/>
    </w:rPr>
  </w:style>
  <w:style w:type="paragraph" w:styleId="887" w:customStyle="1">
    <w:name w:val="Содержимое таблицы (user)"/>
    <w:basedOn w:val="763"/>
    <w:qFormat/>
    <w:pPr>
      <w:widowControl w:val="off"/>
      <w:suppressLineNumbers/>
    </w:pPr>
  </w:style>
  <w:style w:type="paragraph" w:styleId="888" w:customStyle="1">
    <w:name w:val="Заголовок таблицы (user)"/>
    <w:basedOn w:val="887"/>
    <w:qFormat/>
    <w:pPr>
      <w:jc w:val="center"/>
    </w:pPr>
    <w:rPr>
      <w:b/>
      <w:bCs/>
    </w:rPr>
  </w:style>
  <w:style w:type="paragraph" w:styleId="889" w:customStyle="1">
    <w:name w:val="Содержимое врезки"/>
    <w:basedOn w:val="763"/>
    <w:qFormat/>
  </w:style>
  <w:style w:type="numbering" w:styleId="890" w:customStyle="1">
    <w:name w:val="Без списка (user)"/>
    <w:uiPriority w:val="99"/>
    <w:semiHidden/>
    <w:unhideWhenUsed/>
    <w:qFormat/>
  </w:style>
  <w:style w:type="table" w:styleId="891" w:customStyle="1">
    <w:name w:val="Table Grid Light"/>
    <w:basedOn w:val="7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92">
    <w:name w:val="Plain Table 1"/>
    <w:basedOn w:val="77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93">
    <w:name w:val="Plain Table 2"/>
    <w:basedOn w:val="77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894">
    <w:name w:val="Plain Table 3"/>
    <w:basedOn w:val="7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895">
    <w:name w:val="Plain Table 4"/>
    <w:basedOn w:val="7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896">
    <w:name w:val="Plain Table 5"/>
    <w:basedOn w:val="774"/>
    <w:uiPriority w:val="99"/>
    <w:tblPr>
      <w:tblStyleRowBandSize w:val="1"/>
      <w:tblStyleColBandSize w:val="1"/>
    </w:tblPr>
    <w:tblStylePr w:type="band1Horz">
      <w:rPr>
        <w:sz w:val="22"/>
      </w:rPr>
      <w:tcPr>
        <w:shd w:val="clear" w:color="f2f2f2" w:fill="ffffff" w:themeFill="text1" w:themeFillTint="00"/>
      </w:tcPr>
    </w:tblStylePr>
    <w:tblStylePr w:type="band1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97">
    <w:name w:val="Grid Table 1 Light"/>
    <w:basedOn w:val="77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8" w:customStyle="1">
    <w:name w:val="Grid Table 1 Light - Accent 1"/>
    <w:basedOn w:val="774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sz w:val="22"/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472C4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899" w:customStyle="1">
    <w:name w:val="Grid Table 1 Light - Accent 2"/>
    <w:basedOn w:val="77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0" w:customStyle="1">
    <w:name w:val="Grid Table 1 Light - Accent 3"/>
    <w:basedOn w:val="77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1" w:customStyle="1">
    <w:name w:val="Grid Table 1 Light - Accent 4"/>
    <w:basedOn w:val="77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2" w:customStyle="1">
    <w:name w:val="Grid Table 1 Light - Accent 5"/>
    <w:basedOn w:val="774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3" w:customStyle="1">
    <w:name w:val="Grid Table 1 Light - Accent 6"/>
    <w:basedOn w:val="77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04">
    <w:name w:val="Grid Table 2"/>
    <w:basedOn w:val="7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2 - Accent 1"/>
    <w:basedOn w:val="774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cPr>
        <w:shd w:val="clear" w:color="d8e2f3" w:fill="d8e2f3" w:themeFill="accent1" w:themeFillTint="34"/>
      </w:tcPr>
    </w:tblStylePr>
    <w:tblStylePr w:type="band1Vert">
      <w:rPr>
        <w:sz w:val="22"/>
      </w:rPr>
      <w:tcPr>
        <w:shd w:val="clear" w:color="d8e2f3" w:fill="d8e2f3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2 - Accent 2"/>
    <w:basedOn w:val="77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2 - Accent 3"/>
    <w:basedOn w:val="77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2 - Accent 4"/>
    <w:basedOn w:val="77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2 - Accent 5"/>
    <w:basedOn w:val="774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cPr>
        <w:shd w:val="clear" w:color="ddeaf6" w:fill="ddeaf6" w:themeFill="accent5" w:themeFillTint="34"/>
      </w:tcPr>
    </w:tblStylePr>
    <w:tblStylePr w:type="band1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2 - Accent 6"/>
    <w:basedOn w:val="77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3"/>
    <w:basedOn w:val="77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3 - Accent 1"/>
    <w:basedOn w:val="774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sz w:val="22"/>
      </w:rPr>
      <w:tcPr>
        <w:shd w:val="clear" w:color="d8e2f3" w:fill="d8e2f3" w:themeFill="accent1" w:themeFillTint="34"/>
      </w:tcPr>
    </w:tblStylePr>
    <w:tblStylePr w:type="band1Vert">
      <w:rPr>
        <w:sz w:val="22"/>
      </w:rPr>
      <w:tcPr>
        <w:shd w:val="clear" w:color="d8e2f3" w:fill="d8e2f3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3 - Accent 2"/>
    <w:basedOn w:val="774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Grid Table 3 - Accent 3"/>
    <w:basedOn w:val="774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Grid Table 3 - Accent 4"/>
    <w:basedOn w:val="774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Grid Table 3 - Accent 5"/>
    <w:basedOn w:val="774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  <w:tcPr>
        <w:shd w:val="clear" w:color="ddeaf6" w:fill="ddeaf6" w:themeFill="accent5" w:themeFillTint="34"/>
      </w:tcPr>
    </w:tblStylePr>
    <w:tblStylePr w:type="band1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Grid Table 3 - Accent 6"/>
    <w:basedOn w:val="774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4"/>
    <w:basedOn w:val="77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19" w:customStyle="1">
    <w:name w:val="Grid Table 4 - Accent 1"/>
    <w:basedOn w:val="774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sz w:val="22"/>
      </w:rPr>
      <w:tcPr>
        <w:shd w:val="clear" w:color="dae3f3" w:fill="dae3f3" w:themeFill="accent1" w:themeFillTint="32"/>
      </w:tcPr>
    </w:tblStylePr>
    <w:tblStylePr w:type="band1Vert">
      <w:rPr>
        <w:sz w:val="22"/>
      </w:rPr>
      <w:tcPr>
        <w:shd w:val="clear" w:color="dae3f3" w:fill="dae3f3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37dc8" w:fill="537dc8" w:themeFill="accent1" w:themeFillTint="EA"/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1" w:sz="4" w:space="0"/>
        </w:tcBorders>
      </w:tcPr>
    </w:tblStylePr>
  </w:style>
  <w:style w:type="table" w:styleId="920" w:customStyle="1">
    <w:name w:val="Grid Table 4 - Accent 2"/>
    <w:basedOn w:val="774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be5d6" w:fill="fbe5d6" w:themeFill="accent2" w:themeFillTint="32"/>
      </w:tcPr>
    </w:tblStylePr>
    <w:tblStylePr w:type="band1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</w:tcBorders>
      </w:tcPr>
    </w:tblStylePr>
  </w:style>
  <w:style w:type="table" w:styleId="921" w:customStyle="1">
    <w:name w:val="Grid Table 4 - Accent 3"/>
    <w:basedOn w:val="774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cecec" w:fill="ececec" w:themeFill="accent3" w:themeFillTint="34"/>
      </w:tcPr>
    </w:tblStylePr>
    <w:tblStylePr w:type="band1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 w:themeFillTint="FE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</w:tcBorders>
      </w:tcPr>
    </w:tblStylePr>
  </w:style>
  <w:style w:type="table" w:styleId="922" w:customStyle="1">
    <w:name w:val="Grid Table 4 - Accent 4"/>
    <w:basedOn w:val="774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f2cb" w:fill="fff2cb" w:themeFill="accent4" w:themeFillTint="34"/>
      </w:tcPr>
    </w:tblStylePr>
    <w:tblStylePr w:type="band1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</w:tcBorders>
      </w:tcPr>
    </w:tblStylePr>
  </w:style>
  <w:style w:type="table" w:styleId="923" w:customStyle="1">
    <w:name w:val="Grid Table 4 - Accent 5"/>
    <w:basedOn w:val="774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sz w:val="22"/>
      </w:rPr>
      <w:tcPr>
        <w:shd w:val="clear" w:color="ddeaf6" w:fill="ddeaf6" w:themeFill="accent5" w:themeFillTint="34"/>
      </w:tcPr>
    </w:tblStylePr>
    <w:tblStylePr w:type="band1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5" w:sz="4" w:space="0"/>
        </w:tcBorders>
      </w:tcPr>
    </w:tblStylePr>
  </w:style>
  <w:style w:type="table" w:styleId="924" w:customStyle="1">
    <w:name w:val="Grid Table 4 - Accent 6"/>
    <w:basedOn w:val="774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e1efd8" w:fill="e1efd8" w:themeFill="accent6" w:themeFillTint="34"/>
      </w:tcPr>
    </w:tblStylePr>
    <w:tblStylePr w:type="band1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</w:tcBorders>
      </w:tcPr>
    </w:tblStylePr>
  </w:style>
  <w:style w:type="table" w:styleId="925">
    <w:name w:val="Grid Table 5 Dark"/>
    <w:basedOn w:val="7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26" w:customStyle="1">
    <w:name w:val="Grid Table 5 Dark- Accent 1"/>
    <w:basedOn w:val="7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9bee4" w:fill="a9bee4" w:themeFill="accent1" w:themeFillTint="75"/>
      </w:tcPr>
    </w:tblStylePr>
    <w:tblStylePr w:type="band1Vert">
      <w:tcPr>
        <w:shd w:val="clear" w:color="a9bee4" w:fill="a9bee4" w:themeFill="accent1" w:themeFillTint="75"/>
      </w:tcPr>
    </w:tblStylePr>
    <w:tblStylePr w:type="firstCol">
      <w:rPr>
        <w:b/>
        <w:sz w:val="22"/>
      </w:rPr>
      <w:tcPr>
        <w:shd w:val="clear" w:color="4472c4" w:fill="4472c4" w:themeFill="accent1"/>
      </w:tcPr>
    </w:tblStylePr>
    <w:tblStylePr w:type="firstRow">
      <w:rPr>
        <w:b/>
        <w:sz w:val="22"/>
      </w:rPr>
      <w:tcPr>
        <w:shd w:val="clear" w:color="4472c4" w:fill="4472c4" w:themeFill="accent1"/>
      </w:tcPr>
    </w:tblStylePr>
    <w:tblStylePr w:type="lastCol">
      <w:rPr>
        <w:b/>
        <w:sz w:val="22"/>
      </w:rPr>
      <w:tcPr>
        <w:shd w:val="clear" w:color="4472c4" w:fill="4472c4" w:themeFill="accent1"/>
      </w:tcPr>
    </w:tblStylePr>
    <w:tblStylePr w:type="lastRow">
      <w:rPr>
        <w:b/>
        <w:sz w:val="22"/>
      </w:rPr>
      <w:tcPr>
        <w:shd w:val="clear" w:color="4472c4" w:fill="4472c4" w:themeFill="accent1"/>
        <w:tcBorders>
          <w:top w:val="single" w:color="FFFFFF" w:themeColor="light1" w:sz="4" w:space="0"/>
        </w:tcBorders>
      </w:tcPr>
    </w:tblStylePr>
  </w:style>
  <w:style w:type="table" w:styleId="927" w:customStyle="1">
    <w:name w:val="Grid Table 5 Dark - Accent 2"/>
    <w:basedOn w:val="7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6c3a0" w:fill="f6c3a0" w:themeFill="accent2" w:themeFillTint="75"/>
      </w:tcPr>
    </w:tblStylePr>
    <w:tblStylePr w:type="band1Vert">
      <w:tcPr>
        <w:shd w:val="clear" w:color="f6c3a0" w:fill="f6c3a0" w:themeFill="accent2" w:themeFillTint="75"/>
      </w:tcPr>
    </w:tblStylePr>
    <w:tblStylePr w:type="firstCol">
      <w:rPr>
        <w:b/>
        <w:sz w:val="22"/>
      </w:rPr>
      <w:tcPr>
        <w:shd w:val="clear" w:color="ed7d31" w:fill="ed7d31" w:themeFill="accent2"/>
      </w:tc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  <w:sz w:val="22"/>
      </w:rPr>
      <w:tcPr>
        <w:shd w:val="clear" w:color="ed7d31" w:fill="ed7d31" w:themeFill="accent2"/>
      </w:tcPr>
    </w:tblStylePr>
    <w:tblStylePr w:type="lastRow">
      <w:rPr>
        <w:b/>
        <w:sz w:val="22"/>
      </w:r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</w:style>
  <w:style w:type="table" w:styleId="928" w:customStyle="1">
    <w:name w:val="Grid Table 5 Dark - Accent 3"/>
    <w:basedOn w:val="7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d5d5d5" w:fill="d5d5d5" w:themeFill="accent3" w:themeFillTint="75"/>
      </w:tcPr>
    </w:tblStylePr>
    <w:tblStylePr w:type="band1Vert">
      <w:tcPr>
        <w:shd w:val="clear" w:color="d5d5d5" w:fill="d5d5d5" w:themeFill="accent3" w:themeFillTint="75"/>
      </w:tcPr>
    </w:tblStylePr>
    <w:tblStylePr w:type="firstCol">
      <w:rPr>
        <w:b/>
        <w:sz w:val="22"/>
      </w:rPr>
      <w:tcPr>
        <w:shd w:val="clear" w:color="a5a5a5" w:fill="a5a5a5" w:themeFill="accent3"/>
      </w:tc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  <w:sz w:val="22"/>
      </w:rPr>
      <w:tcPr>
        <w:shd w:val="clear" w:color="a5a5a5" w:fill="a5a5a5" w:themeFill="accent3"/>
      </w:tcPr>
    </w:tblStylePr>
    <w:tblStylePr w:type="lastRow">
      <w:rPr>
        <w:b/>
        <w:sz w:val="22"/>
      </w:r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</w:style>
  <w:style w:type="table" w:styleId="929" w:customStyle="1">
    <w:name w:val="Grid Table 5 Dark- Accent 4"/>
    <w:basedOn w:val="7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ffe28a" w:fill="ffe28a" w:themeFill="accent4" w:themeFillTint="75"/>
      </w:tcPr>
    </w:tblStylePr>
    <w:tblStylePr w:type="band1Vert">
      <w:tcPr>
        <w:shd w:val="clear" w:color="ffe28a" w:fill="ffe28a" w:themeFill="accent4" w:themeFillTint="75"/>
      </w:tcPr>
    </w:tblStylePr>
    <w:tblStylePr w:type="firstCol">
      <w:rPr>
        <w:b/>
        <w:sz w:val="22"/>
      </w:rPr>
      <w:tcPr>
        <w:shd w:val="clear" w:color="ffc000" w:fill="ffc000" w:themeFill="accent4"/>
      </w:tc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  <w:sz w:val="22"/>
      </w:rPr>
      <w:tcPr>
        <w:shd w:val="clear" w:color="ffc000" w:fill="ffc000" w:themeFill="accent4"/>
      </w:tcPr>
    </w:tblStylePr>
    <w:tblStylePr w:type="lastRow">
      <w:rPr>
        <w:b/>
        <w:sz w:val="22"/>
      </w:r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</w:style>
  <w:style w:type="table" w:styleId="930" w:customStyle="1">
    <w:name w:val="Grid Table 5 Dark - Accent 5"/>
    <w:basedOn w:val="7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3d0eb" w:fill="b3d0eb" w:themeFill="accent5" w:themeFillTint="75"/>
      </w:tcPr>
    </w:tblStylePr>
    <w:tblStylePr w:type="band1Vert">
      <w:tcPr>
        <w:shd w:val="clear" w:color="b3d0eb" w:fill="b3d0eb" w:themeFill="accent5" w:themeFillTint="75"/>
      </w:tcPr>
    </w:tblStylePr>
    <w:tblStylePr w:type="firstCol">
      <w:rPr>
        <w:b/>
        <w:sz w:val="22"/>
      </w:rPr>
      <w:tcPr>
        <w:shd w:val="clear" w:color="5b9bd5" w:fill="5b9bd5" w:themeFill="accent5"/>
      </w:tcPr>
    </w:tblStylePr>
    <w:tblStylePr w:type="firstRow">
      <w:rPr>
        <w:b/>
        <w:sz w:val="22"/>
      </w:rPr>
      <w:tcPr>
        <w:shd w:val="clear" w:color="5b9bd5" w:fill="5b9bd5" w:themeFill="accent5"/>
      </w:tcPr>
    </w:tblStylePr>
    <w:tblStylePr w:type="lastCol">
      <w:rPr>
        <w:b/>
        <w:sz w:val="22"/>
      </w:rPr>
      <w:tcPr>
        <w:shd w:val="clear" w:color="5b9bd5" w:fill="5b9bd5" w:themeFill="accent5"/>
      </w:tcPr>
    </w:tblStylePr>
    <w:tblStylePr w:type="lastRow">
      <w:rPr>
        <w:b/>
        <w:sz w:val="22"/>
      </w:rPr>
      <w:tcPr>
        <w:shd w:val="clear" w:color="5b9bd5" w:fill="5b9bd5" w:themeFill="accent5"/>
        <w:tcBorders>
          <w:top w:val="single" w:color="FFFFFF" w:themeColor="light1" w:sz="4" w:space="0"/>
        </w:tcBorders>
      </w:tcPr>
    </w:tblStylePr>
  </w:style>
  <w:style w:type="table" w:styleId="931" w:customStyle="1">
    <w:name w:val="Grid Table 5 Dark - Accent 6"/>
    <w:basedOn w:val="77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bcdba8" w:fill="bcdba8" w:themeFill="accent6" w:themeFillTint="75"/>
      </w:tcPr>
    </w:tblStylePr>
    <w:tblStylePr w:type="band1Vert">
      <w:tcPr>
        <w:shd w:val="clear" w:color="bcdba8" w:fill="bcdba8" w:themeFill="accent6" w:themeFillTint="75"/>
      </w:tcPr>
    </w:tblStylePr>
    <w:tblStylePr w:type="firstCol">
      <w:rPr>
        <w:b/>
        <w:sz w:val="22"/>
      </w:rPr>
      <w:tcPr>
        <w:shd w:val="clear" w:color="70ad47" w:fill="70ad47" w:themeFill="accent6"/>
      </w:tc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  <w:sz w:val="22"/>
      </w:rPr>
      <w:tcPr>
        <w:shd w:val="clear" w:color="70ad47" w:fill="70ad47" w:themeFill="accent6"/>
      </w:tcPr>
    </w:tblStylePr>
    <w:tblStylePr w:type="lastRow">
      <w:rPr>
        <w:b/>
        <w:sz w:val="22"/>
      </w:r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</w:style>
  <w:style w:type="table" w:styleId="932">
    <w:name w:val="Grid Table 6 Colorful"/>
    <w:basedOn w:val="77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33" w:customStyle="1">
    <w:name w:val="Grid Table 6 Colorful - Accent 1"/>
    <w:basedOn w:val="774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cPr>
        <w:shd w:val="clear" w:color="d8e2f3" w:fill="d8e2f3" w:themeFill="accent1" w:themeFillTint="34"/>
      </w:tcPr>
    </w:tblStylePr>
    <w:tblStylePr w:type="band1Vert"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4472C4" w:themeColor="accent1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34" w:customStyle="1">
    <w:name w:val="Grid Table 6 Colorful - Accent 2"/>
    <w:basedOn w:val="77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35" w:customStyle="1">
    <w:name w:val="Grid Table 6 Colorful - Accent 3"/>
    <w:basedOn w:val="774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36" w:customStyle="1">
    <w:name w:val="Grid Table 6 Colorful - Accent 4"/>
    <w:basedOn w:val="77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37" w:customStyle="1">
    <w:name w:val="Grid Table 6 Colorful - Accent 5"/>
    <w:basedOn w:val="774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color w:val="245a8d" w:themeColor="accent5" w:themeShade="95"/>
        <w:sz w:val="22"/>
      </w:rPr>
      <w:tcPr>
        <w:shd w:val="clear" w:color="ddeaf6" w:fill="ddeaf6" w:themeFill="accent5" w:themeFillTint="34"/>
      </w:tcPr>
    </w:tblStylePr>
    <w:tblStylePr w:type="band1Vert"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38" w:customStyle="1">
    <w:name w:val="Grid Table 6 Colorful - Accent 6"/>
    <w:basedOn w:val="774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color w:val="245a8d" w:themeColor="accent5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39">
    <w:name w:val="Grid Table 7 Colorful"/>
    <w:basedOn w:val="77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f2f2f2" w:fill="ffffff" w:themeFill="text1" w:themeFillTint="00"/>
      </w:tcPr>
    </w:tblStylePr>
    <w:tblStylePr w:type="band1Vert"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0" w:customStyle="1">
    <w:name w:val="Grid Table 7 Colorful - Accent 1"/>
    <w:basedOn w:val="774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color w:val="a0b7e1" w:themeColor="accent1" w:themeTint="80" w:themeShade="95"/>
        <w:sz w:val="22"/>
      </w:rPr>
      <w:tcPr>
        <w:shd w:val="clear" w:color="d8e2f3" w:fill="d8e2f3" w:themeFill="accent1" w:themeFillTint="34"/>
      </w:tcPr>
    </w:tblStylePr>
    <w:tblStylePr w:type="band1Vert">
      <w:tcPr>
        <w:shd w:val="clear" w:color="d8e2f3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  <w:tblStylePr w:type="firstCol">
      <w:rPr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b/>
        <w:color w:val="a0b7e1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0b7e1" w:themeColor="accent1" w:themeTint="80" w:themeShade="95"/>
        <w:sz w:val="22"/>
      </w:rPr>
      <w:tcPr>
        <w:shd w:val="clear" w:color="ffffff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1" w:customStyle="1">
    <w:name w:val="Grid Table 7 Colorful - Accent 2"/>
    <w:basedOn w:val="774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be5d6" w:fill="fbe5d6" w:themeFill="accent2" w:themeFillTint="32"/>
      </w:tcPr>
    </w:tblStylePr>
    <w:tblStylePr w:type="band1Vert"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2" w:customStyle="1">
    <w:name w:val="Grid Table 7 Colorful - Accent 3"/>
    <w:basedOn w:val="774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color w:val="a5a5a5" w:themeColor="accent3" w:themeTint="FE" w:themeShade="95"/>
        <w:sz w:val="22"/>
      </w:rPr>
      <w:tcPr>
        <w:shd w:val="clear" w:color="ececec" w:fill="ececec" w:themeFill="accent3" w:themeFillTint="34"/>
      </w:tcPr>
    </w:tblStylePr>
    <w:tblStylePr w:type="band1Vert"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  <w:tblStylePr w:type="firstCol">
      <w:rPr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3" w:customStyle="1">
    <w:name w:val="Grid Table 7 Colorful - Accent 4"/>
    <w:basedOn w:val="774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f2cb" w:fill="fff2cb" w:themeFill="accent4" w:themeFillTint="34"/>
      </w:tcPr>
    </w:tblStylePr>
    <w:tblStylePr w:type="band1Vert"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4" w:customStyle="1">
    <w:name w:val="Grid Table 7 Colorful - Accent 5"/>
    <w:basedOn w:val="774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color w:val="245a8d" w:themeColor="accent5" w:themeShade="95"/>
        <w:sz w:val="22"/>
      </w:rPr>
      <w:tcPr>
        <w:shd w:val="clear" w:color="ddeaf6" w:fill="ddeaf6" w:themeFill="accent5" w:themeFillTint="34"/>
      </w:tcPr>
    </w:tblStylePr>
    <w:tblStylePr w:type="band1Vert">
      <w:tcPr>
        <w:shd w:val="clear" w:color="ddeaf6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  <w:tblStylePr w:type="firstCol">
      <w:rPr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</w:tcPr>
    </w:tblStylePr>
    <w:tblStylePr w:type="firstRow">
      <w:rPr>
        <w:b/>
        <w:color w:val="245a8d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</w:tcPr>
    </w:tblStylePr>
    <w:tblStylePr w:type="lastCol">
      <w:rPr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45a8d" w:themeColor="accent5" w:themeShade="95"/>
        <w:sz w:val="22"/>
      </w:rPr>
      <w:tcPr>
        <w:shd w:val="clear" w:color="ffffff" w:fill="ffffff" w:themeFill="light1"/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5" w:customStyle="1">
    <w:name w:val="Grid Table 7 Colorful - Accent 6"/>
    <w:basedOn w:val="774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color w:val="416429" w:themeColor="accent6" w:themeShade="95"/>
        <w:sz w:val="22"/>
      </w:rPr>
      <w:tcPr>
        <w:shd w:val="clear" w:color="e1efd8" w:fill="e1efd8" w:themeFill="accent6" w:themeFillTint="34"/>
      </w:tcPr>
    </w:tblStylePr>
    <w:tblStylePr w:type="band1Vert"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  <w:tblStylePr w:type="firstCol">
      <w:rPr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46">
    <w:name w:val="List Table 1 Light"/>
    <w:basedOn w:val="774"/>
    <w:uiPriority w:val="99"/>
    <w:tblPr>
      <w:tblStyleRowBandSize w:val="1"/>
      <w:tblStyleColBandSize w:val="1"/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List Table 1 Light - Accent 1"/>
    <w:basedOn w:val="774"/>
    <w:uiPriority w:val="99"/>
    <w:tblPr>
      <w:tblStyleRowBandSize w:val="1"/>
      <w:tblStyleColBandSize w:val="1"/>
    </w:tblPr>
    <w:tblStylePr w:type="band1Horz">
      <w:tcPr>
        <w:shd w:val="clear" w:color="cfdbf0" w:fill="cfdbf0" w:themeFill="accent1" w:themeFillTint="40"/>
      </w:tcPr>
    </w:tblStylePr>
    <w:tblStylePr w:type="band1Vert">
      <w:tcPr>
        <w:shd w:val="clear" w:color="cfdbf0" w:fill="cfdbf0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List Table 1 Light - Accent 2"/>
    <w:basedOn w:val="774"/>
    <w:uiPriority w:val="99"/>
    <w:tblPr>
      <w:tblStyleRowBandSize w:val="1"/>
      <w:tblStyleColBandSize w:val="1"/>
    </w:tblPr>
    <w:tblStylePr w:type="band1Horz"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List Table 1 Light - Accent 3"/>
    <w:basedOn w:val="774"/>
    <w:uiPriority w:val="99"/>
    <w:tblPr>
      <w:tblStyleRowBandSize w:val="1"/>
      <w:tblStyleColBandSize w:val="1"/>
    </w:tblPr>
    <w:tblStylePr w:type="band1Horz"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List Table 1 Light - Accent 4"/>
    <w:basedOn w:val="774"/>
    <w:uiPriority w:val="99"/>
    <w:tblPr>
      <w:tblStyleRowBandSize w:val="1"/>
      <w:tblStyleColBandSize w:val="1"/>
    </w:tblPr>
    <w:tblStylePr w:type="band1Horz"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List Table 1 Light - Accent 5"/>
    <w:basedOn w:val="774"/>
    <w:uiPriority w:val="99"/>
    <w:tblPr>
      <w:tblStyleRowBandSize w:val="1"/>
      <w:tblStyleColBandSize w:val="1"/>
    </w:tblPr>
    <w:tblStylePr w:type="band1Horz"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 w:customStyle="1">
    <w:name w:val="List Table 1 Light - Accent 6"/>
    <w:basedOn w:val="774"/>
    <w:uiPriority w:val="99"/>
    <w:tblPr>
      <w:tblStyleRowBandSize w:val="1"/>
      <w:tblStyleColBandSize w:val="1"/>
    </w:tblPr>
    <w:tblStylePr w:type="band1Horz"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List Table 2"/>
    <w:basedOn w:val="77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54" w:customStyle="1">
    <w:name w:val="List Table 2 - Accent 1"/>
    <w:basedOn w:val="774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cPr>
        <w:shd w:val="clear" w:color="cfdbf0" w:fill="cfdbf0" w:themeFill="accent1" w:themeFillTint="40"/>
      </w:tcPr>
    </w:tblStylePr>
    <w:tblStylePr w:type="band1Vert">
      <w:rPr>
        <w:sz w:val="22"/>
      </w:rPr>
      <w:tcPr>
        <w:shd w:val="clear" w:color="cfdbf0" w:fill="cfdbf0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472C4" w:themeColor="accent1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</w:style>
  <w:style w:type="table" w:styleId="955" w:customStyle="1">
    <w:name w:val="List Table 2 - Accent 2"/>
    <w:basedOn w:val="774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</w:style>
  <w:style w:type="table" w:styleId="956" w:customStyle="1">
    <w:name w:val="List Table 2 - Accent 3"/>
    <w:basedOn w:val="774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</w:style>
  <w:style w:type="table" w:styleId="957" w:customStyle="1">
    <w:name w:val="List Table 2 - Accent 4"/>
    <w:basedOn w:val="774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</w:style>
  <w:style w:type="table" w:styleId="958" w:customStyle="1">
    <w:name w:val="List Table 2 - Accent 5"/>
    <w:basedOn w:val="774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cPr>
        <w:shd w:val="clear" w:color="d5e5f4" w:fill="d5e5f4" w:themeFill="accent5" w:themeFillTint="40"/>
      </w:tcPr>
    </w:tblStylePr>
    <w:tblStylePr w:type="band1Vert">
      <w:rPr>
        <w:sz w:val="22"/>
      </w:rPr>
      <w:tcPr>
        <w:shd w:val="clear" w:color="d5e5f4" w:fill="d5e5f4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5B9BD5" w:themeColor="accent5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</w:style>
  <w:style w:type="table" w:styleId="959" w:customStyle="1">
    <w:name w:val="List Table 2 - Accent 6"/>
    <w:basedOn w:val="774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</w:style>
  <w:style w:type="table" w:styleId="960">
    <w:name w:val="List Table 3"/>
    <w:basedOn w:val="7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1" w:customStyle="1">
    <w:name w:val="List Table 3 - Accent 1"/>
    <w:basedOn w:val="774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2" w:customStyle="1">
    <w:name w:val="List Table 3 - Accent 2"/>
    <w:basedOn w:val="774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4b184" w:fill="f4b184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3" w:customStyle="1">
    <w:name w:val="List Table 3 - Accent 3"/>
    <w:basedOn w:val="774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9c9c9" w:fill="c9c9c9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4" w:customStyle="1">
    <w:name w:val="List Table 3 - Accent 4"/>
    <w:basedOn w:val="774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d865" w:fill="ffd865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5" w:customStyle="1">
    <w:name w:val="List Table 3 - Accent 5"/>
    <w:basedOn w:val="774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sz w:val="22"/>
      </w:rPr>
      <w:tcPr>
        <w:tcBorders>
          <w:top w:val="single" w:color="5B9BD5" w:themeColor="accent5" w:sz="4" w:space="0"/>
          <w:bottom w:val="single" w:color="5B9BD5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5B9BD5" w:themeColor="accent5" w:sz="4" w:space="0"/>
          <w:right w:val="single" w:color="5B9BD5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c2e5" w:fill="9bc2e5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6" w:customStyle="1">
    <w:name w:val="List Table 3 - Accent 6"/>
    <w:basedOn w:val="774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9d08e" w:fill="a9d08e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7">
    <w:name w:val="List Table 4"/>
    <w:basedOn w:val="77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8" w:customStyle="1">
    <w:name w:val="List Table 4 - Accent 1"/>
    <w:basedOn w:val="774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sz w:val="22"/>
      </w:rPr>
      <w:tcPr>
        <w:shd w:val="clear" w:color="cfdbf0" w:fill="cfdbf0" w:themeFill="accent1" w:themeFillTint="40"/>
      </w:tcPr>
    </w:tblStylePr>
    <w:tblStylePr w:type="band1Vert">
      <w:rPr>
        <w:sz w:val="22"/>
      </w:rPr>
      <w:tcPr>
        <w:shd w:val="clear" w:color="cfdbf0" w:fill="cfdbf0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472c4" w:fill="4472c4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69" w:customStyle="1">
    <w:name w:val="List Table 4 - Accent 2"/>
    <w:basedOn w:val="774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sz w:val="22"/>
      </w:rPr>
      <w:tcPr>
        <w:shd w:val="clear" w:color="fadecb" w:fill="fadecb" w:themeFill="accent2" w:themeFillTint="40"/>
      </w:tcPr>
    </w:tblStylePr>
    <w:tblStylePr w:type="band1Vert">
      <w:rPr>
        <w:sz w:val="22"/>
      </w:rPr>
      <w:tcPr>
        <w:shd w:val="clear" w:color="fadecb" w:fill="fadecb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ed7d31" w:fill="ed7d31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0" w:customStyle="1">
    <w:name w:val="List Table 4 - Accent 3"/>
    <w:basedOn w:val="774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sz w:val="22"/>
      </w:rPr>
      <w:tcPr>
        <w:shd w:val="clear" w:color="e8e8e8" w:fill="e8e8e8" w:themeFill="accent3" w:themeFillTint="40"/>
      </w:tcPr>
    </w:tblStylePr>
    <w:tblStylePr w:type="band1Vert">
      <w:rPr>
        <w:sz w:val="22"/>
      </w:rPr>
      <w:tcPr>
        <w:shd w:val="clear" w:color="e8e8e8" w:fill="e8e8e8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a5a5a5" w:fill="a5a5a5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1" w:customStyle="1">
    <w:name w:val="List Table 4 - Accent 4"/>
    <w:basedOn w:val="774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sz w:val="22"/>
      </w:rPr>
      <w:tcPr>
        <w:shd w:val="clear" w:color="ffefbf" w:fill="ffefbf" w:themeFill="accent4" w:themeFillTint="40"/>
      </w:tcPr>
    </w:tblStylePr>
    <w:tblStylePr w:type="band1Vert">
      <w:rPr>
        <w:sz w:val="22"/>
      </w:rPr>
      <w:tcPr>
        <w:shd w:val="clear" w:color="ffefbf" w:fill="ffefbf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fc000" w:fill="ffc000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2" w:customStyle="1">
    <w:name w:val="List Table 4 - Accent 5"/>
    <w:basedOn w:val="774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sz w:val="22"/>
      </w:rPr>
      <w:tcPr>
        <w:shd w:val="clear" w:color="d5e5f4" w:fill="d5e5f4" w:themeFill="accent5" w:themeFillTint="40"/>
      </w:tcPr>
    </w:tblStylePr>
    <w:tblStylePr w:type="band1Vert">
      <w:rPr>
        <w:sz w:val="22"/>
      </w:rPr>
      <w:tcPr>
        <w:shd w:val="clear" w:color="d5e5f4" w:fill="d5e5f4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b9bd5" w:fill="5b9bd5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3" w:customStyle="1">
    <w:name w:val="List Table 4 - Accent 6"/>
    <w:basedOn w:val="774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sz w:val="22"/>
      </w:rPr>
      <w:tcPr>
        <w:shd w:val="clear" w:color="daebcf" w:fill="daebcf" w:themeFill="accent6" w:themeFillTint="40"/>
      </w:tcPr>
    </w:tblStylePr>
    <w:tblStylePr w:type="band1Vert">
      <w:rPr>
        <w:sz w:val="22"/>
      </w:rPr>
      <w:tcPr>
        <w:shd w:val="clear" w:color="daebcf" w:fill="daebcf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70ad47" w:fill="70ad47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74">
    <w:name w:val="List Table 5 Dark"/>
    <w:basedOn w:val="77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75" w:customStyle="1">
    <w:name w:val="List Table 5 Dark - Accent 1"/>
    <w:basedOn w:val="774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band1Horz">
      <w:tcPr>
        <w:shd w:val="clear" w:color="4472c4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472c4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76" w:customStyle="1">
    <w:name w:val="List Table 5 Dark - Accent 2"/>
    <w:basedOn w:val="774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band1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4b184" w:fill="f4b184" w:themeFill="accent2" w:themeFillTint="97"/>
        <w:tcBorders>
          <w:top w:val="single" w:color="ED7D31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77" w:customStyle="1">
    <w:name w:val="List Table 5 Dark - Accent 3"/>
    <w:basedOn w:val="774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band1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9c9c9" w:fill="c9c9c9" w:themeFill="accent3" w:themeFillTint="98"/>
        <w:tcBorders>
          <w:top w:val="single" w:color="A5A5A5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78" w:customStyle="1">
    <w:name w:val="List Table 5 Dark - Accent 4"/>
    <w:basedOn w:val="774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band1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d865" w:fill="ffd865" w:themeFill="accent4" w:themeFillTint="9A"/>
        <w:tcBorders>
          <w:top w:val="single" w:color="FFC000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79" w:customStyle="1">
    <w:name w:val="List Table 5 Dark - Accent 5"/>
    <w:basedOn w:val="774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band1Horz">
      <w:tcPr>
        <w:shd w:val="clear" w:color="9bc2e5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5B9BD5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bc2e5" w:fill="9bc2e5" w:themeFill="accent5" w:themeFillTint="9A"/>
        <w:tcBorders>
          <w:top w:val="single" w:color="5B9BD5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0" w:customStyle="1">
    <w:name w:val="List Table 5 Dark - Accent 6"/>
    <w:basedOn w:val="774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band1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a9d08e" w:fill="a9d08e" w:themeFill="accent6" w:themeFillTint="98"/>
        <w:tcBorders>
          <w:top w:val="single" w:color="70AD47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981">
    <w:name w:val="List Table 6 Colorful"/>
    <w:basedOn w:val="77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982" w:customStyle="1">
    <w:name w:val="List Table 6 Colorful - Accent 1"/>
    <w:basedOn w:val="774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cPr>
        <w:shd w:val="clear" w:color="cfdbf0" w:fill="cfdbf0" w:themeFill="accent1" w:themeFillTint="40"/>
      </w:tcPr>
    </w:tblStylePr>
    <w:tblStylePr w:type="band1Vert"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83" w:customStyle="1">
    <w:name w:val="List Table 6 Colorful - Accent 2"/>
    <w:basedOn w:val="774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ED7D31" w:themeColor="accent2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ED7D31" w:themeColor="accent2" w:sz="4" w:space="0"/>
        </w:tcBorders>
      </w:tcPr>
    </w:tblStylePr>
  </w:style>
  <w:style w:type="table" w:styleId="984" w:customStyle="1">
    <w:name w:val="List Table 6 Colorful - Accent 3"/>
    <w:basedOn w:val="774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A5A5A5" w:themeColor="accent3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A5A5A5" w:themeColor="accent3" w:sz="4" w:space="0"/>
        </w:tcBorders>
      </w:tcPr>
    </w:tblStylePr>
  </w:style>
  <w:style w:type="table" w:styleId="985" w:customStyle="1">
    <w:name w:val="List Table 6 Colorful - Accent 4"/>
    <w:basedOn w:val="774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C000" w:themeColor="accent4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C000" w:themeColor="accent4" w:sz="4" w:space="0"/>
        </w:tcBorders>
      </w:tcPr>
    </w:tblStylePr>
  </w:style>
  <w:style w:type="table" w:styleId="986" w:customStyle="1">
    <w:name w:val="List Table 6 Colorful - Accent 5"/>
    <w:basedOn w:val="774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5B9BD5" w:themeColor="accent5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5B9BD5" w:themeColor="accent5" w:sz="4" w:space="0"/>
        </w:tcBorders>
      </w:tcPr>
    </w:tblStylePr>
  </w:style>
  <w:style w:type="table" w:styleId="987" w:customStyle="1">
    <w:name w:val="List Table 6 Colorful - Accent 6"/>
    <w:basedOn w:val="774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70AD47" w:themeColor="accent6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70AD47" w:themeColor="accent6" w:sz="4" w:space="0"/>
        </w:tcBorders>
      </w:tcPr>
    </w:tblStylePr>
  </w:style>
  <w:style w:type="table" w:styleId="988">
    <w:name w:val="List Table 7 Colorful"/>
    <w:basedOn w:val="77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89" w:customStyle="1">
    <w:name w:val="List Table 7 Colorful - Accent 1"/>
    <w:basedOn w:val="774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color w:val="254175" w:themeColor="accent1" w:themeShade="95"/>
        <w:sz w:val="22"/>
      </w:rPr>
      <w:tcPr>
        <w:shd w:val="clear" w:color="cfdbf0" w:fill="cfdbf0" w:themeFill="accent1" w:themeFillTint="40"/>
      </w:tcPr>
    </w:tblStylePr>
    <w:tblStylePr w:type="band1Vert">
      <w:tcPr>
        <w:shd w:val="clear" w:color="cfdbf0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  <w:tblStylePr w:type="firstCol">
      <w:rPr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i/>
        <w:color w:val="254175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54175" w:themeColor="accent1" w:themeShade="95"/>
        <w:sz w:val="22"/>
      </w:rPr>
      <w:tcPr>
        <w:shd w:val="clear" w:color="ffffff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0" w:customStyle="1">
    <w:name w:val="List Table 7 Colorful - Accent 2"/>
    <w:basedOn w:val="774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color w:val="f4b184" w:themeColor="accent2" w:themeTint="97" w:themeShade="95"/>
        <w:sz w:val="22"/>
      </w:rPr>
      <w:tcPr>
        <w:shd w:val="clear" w:color="fadecb" w:fill="fadecb" w:themeFill="accent2" w:themeFillTint="40"/>
      </w:tcPr>
    </w:tblStylePr>
    <w:tblStylePr w:type="band1Vert"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  <w:tblStylePr w:type="firstCol">
      <w:rPr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ED7D31" w:themeColor="accent2" w:sz="4" w:space="0"/>
        </w:tcBorders>
      </w:tcPr>
    </w:tblStylePr>
    <w:tblStylePr w:type="fir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ED7D31" w:themeColor="accent2" w:sz="4" w:space="0"/>
          <w:right w:val="none" w:color="000000" w:sz="0" w:space="0"/>
        </w:tcBorders>
      </w:tcPr>
    </w:tblStylePr>
    <w:tblStylePr w:type="lastCol">
      <w:rPr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ED7D31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ED7D31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1" w:customStyle="1">
    <w:name w:val="List Table 7 Colorful - Accent 3"/>
    <w:basedOn w:val="774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color w:val="c9c9c9" w:themeColor="accent3" w:themeTint="98" w:themeShade="95"/>
        <w:sz w:val="22"/>
      </w:rPr>
      <w:tcPr>
        <w:shd w:val="clear" w:color="e8e8e8" w:fill="e8e8e8" w:themeFill="accent3" w:themeFillTint="40"/>
      </w:tcPr>
    </w:tblStylePr>
    <w:tblStylePr w:type="band1Vert"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  <w:tblStylePr w:type="firstCol">
      <w:rPr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sz="4" w:space="0"/>
        </w:tcBorders>
      </w:tcPr>
    </w:tblStylePr>
    <w:tblStylePr w:type="fir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sz="4" w:space="0"/>
          <w:right w:val="none" w:color="000000" w:sz="0" w:space="0"/>
        </w:tcBorders>
      </w:tcPr>
    </w:tblStylePr>
    <w:tblStylePr w:type="lastCol">
      <w:rPr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A5A5A5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2" w:customStyle="1">
    <w:name w:val="List Table 7 Colorful - Accent 4"/>
    <w:basedOn w:val="774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color w:val="ffd865" w:themeColor="accent4" w:themeTint="9A" w:themeShade="95"/>
        <w:sz w:val="22"/>
      </w:rPr>
      <w:tcPr>
        <w:shd w:val="clear" w:color="ffefbf" w:fill="ffefbf" w:themeFill="accent4" w:themeFillTint="40"/>
      </w:tcPr>
    </w:tblStylePr>
    <w:tblStylePr w:type="band1Vert"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  <w:tblStylePr w:type="firstCol">
      <w:rPr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C000" w:themeColor="accent4" w:sz="4" w:space="0"/>
        </w:tcBorders>
      </w:tcPr>
    </w:tblStylePr>
    <w:tblStylePr w:type="fir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C000" w:themeColor="accent4" w:sz="4" w:space="0"/>
          <w:right w:val="none" w:color="000000" w:sz="0" w:space="0"/>
        </w:tcBorders>
      </w:tcPr>
    </w:tblStylePr>
    <w:tblStylePr w:type="lastCol">
      <w:rPr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C000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C000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3" w:customStyle="1">
    <w:name w:val="List Table 7 Colorful - Accent 5"/>
    <w:basedOn w:val="774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color w:val="9bc2e5" w:themeColor="accent5" w:themeTint="9A" w:themeShade="95"/>
        <w:sz w:val="22"/>
      </w:rPr>
      <w:tcPr>
        <w:shd w:val="clear" w:color="d5e5f4" w:fill="d5e5f4" w:themeFill="accent5" w:themeFillTint="40"/>
      </w:tcPr>
    </w:tblStylePr>
    <w:tblStylePr w:type="band1Vert">
      <w:tcPr>
        <w:shd w:val="clear" w:color="d5e5f4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  <w:tblStylePr w:type="firstCol">
      <w:rPr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5" w:sz="4" w:space="0"/>
        </w:tcBorders>
      </w:tcPr>
    </w:tblStylePr>
    <w:tblStylePr w:type="firstRow">
      <w:rPr>
        <w:i/>
        <w:color w:val="9bc2e5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5" w:sz="4" w:space="0"/>
          <w:right w:val="none" w:color="000000" w:sz="0" w:space="0"/>
        </w:tcBorders>
      </w:tcPr>
    </w:tblStylePr>
    <w:tblStylePr w:type="lastCol">
      <w:rPr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bc2e5" w:themeColor="accent5" w:themeTint="9A" w:themeShade="95"/>
        <w:sz w:val="22"/>
      </w:rPr>
      <w:tcPr>
        <w:shd w:val="clear" w:color="ffffff" w:fill="ffffff" w:themeFill="light1"/>
        <w:tcBorders>
          <w:top w:val="single" w:color="5B9BD5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4" w:customStyle="1">
    <w:name w:val="List Table 7 Colorful - Accent 6"/>
    <w:basedOn w:val="774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color w:val="a9d08e" w:themeColor="accent6" w:themeTint="98" w:themeShade="95"/>
        <w:sz w:val="22"/>
      </w:rPr>
      <w:tcPr>
        <w:shd w:val="clear" w:color="daebcf" w:fill="daebcf" w:themeFill="accent6" w:themeFillTint="40"/>
      </w:tcPr>
    </w:tblStylePr>
    <w:tblStylePr w:type="band1Vert"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  <w:tblStylePr w:type="firstCol">
      <w:rPr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0AD47" w:themeColor="accent6" w:sz="4" w:space="0"/>
        </w:tcBorders>
      </w:tcPr>
    </w:tblStylePr>
    <w:tblStylePr w:type="fir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0AD47" w:themeColor="accent6" w:sz="4" w:space="0"/>
          <w:right w:val="none" w:color="000000" w:sz="0" w:space="0"/>
        </w:tcBorders>
      </w:tcPr>
    </w:tblStylePr>
    <w:tblStylePr w:type="lastCol">
      <w:rPr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70AD47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70AD47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95" w:customStyle="1">
    <w:name w:val="Lined - Accent"/>
    <w:basedOn w:val="7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996" w:customStyle="1">
    <w:name w:val="Lined - Accent 1"/>
    <w:basedOn w:val="7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4d2ec" w:fill="c4d2ec" w:themeFill="accent1" w:themeFillTint="50"/>
      </w:tcPr>
    </w:tblStylePr>
    <w:tblStylePr w:type="band2Vert">
      <w:rPr>
        <w:sz w:val="22"/>
      </w:rPr>
      <w:tcPr>
        <w:shd w:val="clear" w:color="c4d2ec" w:fill="c4d2ec" w:themeFill="accent1" w:themeFillTint="50"/>
      </w:tcPr>
    </w:tblStylePr>
    <w:tblStylePr w:type="firstCol">
      <w:rPr>
        <w:sz w:val="22"/>
      </w:rPr>
      <w:tcPr>
        <w:shd w:val="clear" w:color="537dc8" w:fill="537dc8" w:themeFill="accent1" w:themeFillTint="EA"/>
      </w:tcPr>
    </w:tblStylePr>
    <w:tblStylePr w:type="firstRow">
      <w:rPr>
        <w:sz w:val="22"/>
      </w:rPr>
      <w:tcPr>
        <w:shd w:val="clear" w:color="537dc8" w:fill="537dc8" w:themeFill="accent1" w:themeFillTint="EA"/>
      </w:tcPr>
    </w:tblStylePr>
    <w:tblStylePr w:type="lastCol">
      <w:rPr>
        <w:sz w:val="22"/>
      </w:rPr>
      <w:tcPr>
        <w:shd w:val="clear" w:color="537dc8" w:fill="537dc8" w:themeFill="accent1" w:themeFillTint="EA"/>
      </w:tcPr>
    </w:tblStylePr>
    <w:tblStylePr w:type="lastRow">
      <w:rPr>
        <w:sz w:val="22"/>
      </w:rPr>
      <w:tcPr>
        <w:shd w:val="clear" w:color="537dc8" w:fill="537dc8" w:themeFill="accent1" w:themeFillTint="EA"/>
      </w:tcPr>
    </w:tblStylePr>
  </w:style>
  <w:style w:type="table" w:styleId="997" w:customStyle="1">
    <w:name w:val="Lined - Accent 2"/>
    <w:basedOn w:val="7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998" w:customStyle="1">
    <w:name w:val="Lined - Accent 3"/>
    <w:basedOn w:val="7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999" w:customStyle="1">
    <w:name w:val="Lined - Accent 4"/>
    <w:basedOn w:val="7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1000" w:customStyle="1">
    <w:name w:val="Lined - Accent 5"/>
    <w:basedOn w:val="7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deaf6" w:fill="ddeaf6" w:themeFill="accent5" w:themeFillTint="34"/>
      </w:tcPr>
    </w:tblStylePr>
    <w:tblStylePr w:type="band2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sz w:val="22"/>
      </w:rPr>
      <w:tcPr>
        <w:shd w:val="clear" w:color="5b9bd5" w:fill="5b9bd5" w:themeFill="accent5"/>
      </w:tcPr>
    </w:tblStylePr>
    <w:tblStylePr w:type="firstRow">
      <w:rPr>
        <w:sz w:val="22"/>
      </w:rPr>
      <w:tcPr>
        <w:shd w:val="clear" w:color="5b9bd5" w:fill="5b9bd5" w:themeFill="accent5"/>
      </w:tcPr>
    </w:tblStylePr>
    <w:tblStylePr w:type="lastCol">
      <w:rPr>
        <w:sz w:val="22"/>
      </w:rPr>
      <w:tcPr>
        <w:shd w:val="clear" w:color="5b9bd5" w:fill="5b9bd5" w:themeFill="accent5"/>
      </w:tcPr>
    </w:tblStylePr>
    <w:tblStylePr w:type="lastRow">
      <w:rPr>
        <w:sz w:val="22"/>
      </w:rPr>
      <w:tcPr>
        <w:shd w:val="clear" w:color="5b9bd5" w:fill="5b9bd5" w:themeFill="accent5"/>
      </w:tcPr>
    </w:tblStylePr>
  </w:style>
  <w:style w:type="table" w:styleId="1001" w:customStyle="1">
    <w:name w:val="Lined - Accent 6"/>
    <w:basedOn w:val="774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1002" w:customStyle="1">
    <w:name w:val="Bordered &amp; Lined - Accent"/>
    <w:basedOn w:val="7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fffff" w:themeFill="text1" w:themeFillTint="00"/>
      </w:tcPr>
    </w:tblStylePr>
    <w:tblStylePr w:type="band2Vert">
      <w:rPr>
        <w:sz w:val="22"/>
      </w:rPr>
      <w:tcPr>
        <w:shd w:val="clear" w:color="f2f2f2" w:fill="ffffff" w:themeFill="text1" w:themeFillTint="00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03" w:customStyle="1">
    <w:name w:val="Bordered &amp; Lined - Accent 1"/>
    <w:basedOn w:val="7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4472C4" w:themeColor="accent1" w:sz="4" w:space="0"/>
        <w:insideV w:val="single" w:color="4472C4" w:themeColor="accent1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4d2ec" w:fill="c4d2ec" w:themeFill="accent1" w:themeFillTint="50"/>
      </w:tcPr>
    </w:tblStylePr>
    <w:tblStylePr w:type="band2Vert">
      <w:rPr>
        <w:sz w:val="22"/>
      </w:rPr>
      <w:tcPr>
        <w:shd w:val="clear" w:color="c4d2ec" w:fill="c4d2ec" w:themeFill="accent1" w:themeFillTint="50"/>
      </w:tcPr>
    </w:tblStylePr>
    <w:tblStylePr w:type="firstCol">
      <w:rPr>
        <w:sz w:val="22"/>
      </w:rPr>
      <w:tcPr>
        <w:shd w:val="clear" w:color="537dc8" w:fill="537dc8" w:themeFill="accent1" w:themeFillTint="EA"/>
      </w:tcPr>
    </w:tblStylePr>
    <w:tblStylePr w:type="firstRow">
      <w:rPr>
        <w:sz w:val="22"/>
      </w:rPr>
      <w:tcPr>
        <w:shd w:val="clear" w:color="537dc8" w:fill="537dc8" w:themeFill="accent1" w:themeFillTint="EA"/>
      </w:tcPr>
    </w:tblStylePr>
    <w:tblStylePr w:type="lastCol">
      <w:rPr>
        <w:sz w:val="22"/>
      </w:rPr>
      <w:tcPr>
        <w:shd w:val="clear" w:color="537dc8" w:fill="537dc8" w:themeFill="accent1" w:themeFillTint="EA"/>
      </w:tcPr>
    </w:tblStylePr>
    <w:tblStylePr w:type="lastRow">
      <w:rPr>
        <w:sz w:val="22"/>
      </w:rPr>
      <w:tcPr>
        <w:shd w:val="clear" w:color="537dc8" w:fill="537dc8" w:themeFill="accent1" w:themeFillTint="EA"/>
      </w:tcPr>
    </w:tblStylePr>
  </w:style>
  <w:style w:type="table" w:styleId="1004" w:customStyle="1">
    <w:name w:val="Bordered &amp; Lined - Accent 2"/>
    <w:basedOn w:val="7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be5d6" w:fill="fbe5d6" w:themeFill="accent2" w:themeFillTint="32"/>
      </w:tcPr>
    </w:tblStylePr>
    <w:tblStylePr w:type="band2Vert">
      <w:rPr>
        <w:sz w:val="22"/>
      </w:rPr>
      <w:tcPr>
        <w:shd w:val="clear" w:color="fbe5d6" w:fill="fbe5d6" w:themeFill="accent2" w:themeFillTint="32"/>
      </w:tcPr>
    </w:tblStylePr>
    <w:tblStylePr w:type="firstCol">
      <w:rPr>
        <w:sz w:val="22"/>
      </w:rPr>
      <w:tcPr>
        <w:shd w:val="clear" w:color="f4b184" w:fill="f4b184" w:themeFill="accent2" w:themeFillTint="97"/>
      </w:tcPr>
    </w:tblStylePr>
    <w:tblStylePr w:type="firstRow">
      <w:rPr>
        <w:sz w:val="22"/>
      </w:rPr>
      <w:tcPr>
        <w:shd w:val="clear" w:color="f4b184" w:fill="f4b184" w:themeFill="accent2" w:themeFillTint="97"/>
      </w:tcPr>
    </w:tblStylePr>
    <w:tblStylePr w:type="lastCol">
      <w:rPr>
        <w:sz w:val="22"/>
      </w:rPr>
      <w:tcPr>
        <w:shd w:val="clear" w:color="f4b184" w:fill="f4b184" w:themeFill="accent2" w:themeFillTint="97"/>
      </w:tcPr>
    </w:tblStylePr>
    <w:tblStylePr w:type="lastRow">
      <w:rPr>
        <w:sz w:val="22"/>
      </w:rPr>
      <w:tcPr>
        <w:shd w:val="clear" w:color="f4b184" w:fill="f4b184" w:themeFill="accent2" w:themeFillTint="97"/>
      </w:tcPr>
    </w:tblStylePr>
  </w:style>
  <w:style w:type="table" w:styleId="1005" w:customStyle="1">
    <w:name w:val="Bordered &amp; Lined - Accent 3"/>
    <w:basedOn w:val="7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cecec" w:fill="ececec" w:themeFill="accent3" w:themeFillTint="34"/>
      </w:tcPr>
    </w:tblStylePr>
    <w:tblStylePr w:type="band2Vert">
      <w:rPr>
        <w:sz w:val="22"/>
      </w:rPr>
      <w:tcPr>
        <w:shd w:val="clear" w:color="ececec" w:fill="ececec" w:themeFill="accent3" w:themeFillTint="34"/>
      </w:tcPr>
    </w:tblStylePr>
    <w:tblStylePr w:type="firstCol">
      <w:rPr>
        <w:sz w:val="22"/>
      </w:rPr>
      <w:tcPr>
        <w:shd w:val="clear" w:color="a5a5a5" w:fill="a5a5a5" w:themeFill="accent3" w:themeFillTint="FE"/>
      </w:tcPr>
    </w:tblStylePr>
    <w:tblStylePr w:type="firstRow">
      <w:rPr>
        <w:sz w:val="22"/>
      </w:rPr>
      <w:tcPr>
        <w:shd w:val="clear" w:color="a5a5a5" w:fill="a5a5a5" w:themeFill="accent3" w:themeFillTint="FE"/>
      </w:tcPr>
    </w:tblStylePr>
    <w:tblStylePr w:type="lastCol">
      <w:rPr>
        <w:sz w:val="22"/>
      </w:rPr>
      <w:tcPr>
        <w:shd w:val="clear" w:color="a5a5a5" w:fill="a5a5a5" w:themeFill="accent3" w:themeFillTint="FE"/>
      </w:tcPr>
    </w:tblStylePr>
    <w:tblStylePr w:type="lastRow">
      <w:rPr>
        <w:sz w:val="22"/>
      </w:rPr>
      <w:tcPr>
        <w:shd w:val="clear" w:color="a5a5a5" w:fill="a5a5a5" w:themeFill="accent3" w:themeFillTint="FE"/>
      </w:tcPr>
    </w:tblStylePr>
  </w:style>
  <w:style w:type="table" w:styleId="1006" w:customStyle="1">
    <w:name w:val="Bordered &amp; Lined - Accent 4"/>
    <w:basedOn w:val="7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ff2cb" w:fill="fff2cb" w:themeFill="accent4" w:themeFillTint="34"/>
      </w:tcPr>
    </w:tblStylePr>
    <w:tblStylePr w:type="band2Vert">
      <w:rPr>
        <w:sz w:val="22"/>
      </w:rPr>
      <w:tcPr>
        <w:shd w:val="clear" w:color="fff2cb" w:fill="fff2cb" w:themeFill="accent4" w:themeFillTint="34"/>
      </w:tcPr>
    </w:tblStylePr>
    <w:tblStylePr w:type="firstCol">
      <w:rPr>
        <w:sz w:val="22"/>
      </w:rPr>
      <w:tcPr>
        <w:shd w:val="clear" w:color="ffd865" w:fill="ffd865" w:themeFill="accent4" w:themeFillTint="9A"/>
      </w:tcPr>
    </w:tblStylePr>
    <w:tblStylePr w:type="firstRow">
      <w:rPr>
        <w:sz w:val="22"/>
      </w:rPr>
      <w:tcPr>
        <w:shd w:val="clear" w:color="ffd865" w:fill="ffd865" w:themeFill="accent4" w:themeFillTint="9A"/>
      </w:tcPr>
    </w:tblStylePr>
    <w:tblStylePr w:type="lastCol">
      <w:rPr>
        <w:sz w:val="22"/>
      </w:rPr>
      <w:tcPr>
        <w:shd w:val="clear" w:color="ffd865" w:fill="ffd865" w:themeFill="accent4" w:themeFillTint="9A"/>
      </w:tcPr>
    </w:tblStylePr>
    <w:tblStylePr w:type="lastRow">
      <w:rPr>
        <w:sz w:val="22"/>
      </w:rPr>
      <w:tcPr>
        <w:shd w:val="clear" w:color="ffd865" w:fill="ffd865" w:themeFill="accent4" w:themeFillTint="9A"/>
      </w:tcPr>
    </w:tblStylePr>
  </w:style>
  <w:style w:type="table" w:styleId="1007" w:customStyle="1">
    <w:name w:val="Bordered &amp; Lined - Accent 5"/>
    <w:basedOn w:val="7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deaf6" w:fill="ddeaf6" w:themeFill="accent5" w:themeFillTint="34"/>
      </w:tcPr>
    </w:tblStylePr>
    <w:tblStylePr w:type="band2Vert">
      <w:rPr>
        <w:sz w:val="22"/>
      </w:rPr>
      <w:tcPr>
        <w:shd w:val="clear" w:color="ddeaf6" w:fill="ddeaf6" w:themeFill="accent5" w:themeFillTint="34"/>
      </w:tcPr>
    </w:tblStylePr>
    <w:tblStylePr w:type="firstCol">
      <w:rPr>
        <w:sz w:val="22"/>
      </w:rPr>
      <w:tcPr>
        <w:shd w:val="clear" w:color="5b9bd5" w:fill="5b9bd5" w:themeFill="accent5"/>
      </w:tcPr>
    </w:tblStylePr>
    <w:tblStylePr w:type="firstRow">
      <w:rPr>
        <w:sz w:val="22"/>
      </w:rPr>
      <w:tcPr>
        <w:shd w:val="clear" w:color="5b9bd5" w:fill="5b9bd5" w:themeFill="accent5"/>
      </w:tcPr>
    </w:tblStylePr>
    <w:tblStylePr w:type="lastCol">
      <w:rPr>
        <w:sz w:val="22"/>
      </w:rPr>
      <w:tcPr>
        <w:shd w:val="clear" w:color="5b9bd5" w:fill="5b9bd5" w:themeFill="accent5"/>
      </w:tcPr>
    </w:tblStylePr>
    <w:tblStylePr w:type="lastRow">
      <w:rPr>
        <w:sz w:val="22"/>
      </w:rPr>
      <w:tcPr>
        <w:shd w:val="clear" w:color="5b9bd5" w:fill="5b9bd5" w:themeFill="accent5"/>
      </w:tcPr>
    </w:tblStylePr>
  </w:style>
  <w:style w:type="table" w:styleId="1008" w:customStyle="1">
    <w:name w:val="Bordered &amp; Lined - Accent 6"/>
    <w:basedOn w:val="774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1efd8" w:fill="e1efd8" w:themeFill="accent6" w:themeFillTint="34"/>
      </w:tcPr>
    </w:tblStylePr>
    <w:tblStylePr w:type="band2Vert">
      <w:rPr>
        <w:sz w:val="22"/>
      </w:rPr>
      <w:tcPr>
        <w:shd w:val="clear" w:color="e1efd8" w:fill="e1efd8" w:themeFill="accent6" w:themeFillTint="34"/>
      </w:tcPr>
    </w:tblStylePr>
    <w:tblStylePr w:type="firstCol">
      <w:rPr>
        <w:sz w:val="22"/>
      </w:rPr>
      <w:tcPr>
        <w:shd w:val="clear" w:color="70ad47" w:fill="70ad47" w:themeFill="accent6"/>
      </w:tcPr>
    </w:tblStylePr>
    <w:tblStylePr w:type="firstRow">
      <w:rPr>
        <w:sz w:val="22"/>
      </w:rPr>
      <w:tcPr>
        <w:shd w:val="clear" w:color="70ad47" w:fill="70ad47" w:themeFill="accent6"/>
      </w:tcPr>
    </w:tblStylePr>
    <w:tblStylePr w:type="lastCol">
      <w:rPr>
        <w:sz w:val="22"/>
      </w:rPr>
      <w:tcPr>
        <w:shd w:val="clear" w:color="70ad47" w:fill="70ad47" w:themeFill="accent6"/>
      </w:tcPr>
    </w:tblStylePr>
    <w:tblStylePr w:type="lastRow">
      <w:rPr>
        <w:sz w:val="22"/>
      </w:rPr>
      <w:tcPr>
        <w:shd w:val="clear" w:color="70ad47" w:fill="70ad47" w:themeFill="accent6"/>
      </w:tcPr>
    </w:tblStylePr>
  </w:style>
  <w:style w:type="table" w:styleId="1009" w:customStyle="1">
    <w:name w:val="Bordered"/>
    <w:basedOn w:val="77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10" w:customStyle="1">
    <w:name w:val="Bordered - Accent 1"/>
    <w:basedOn w:val="774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sz w:val="22"/>
      </w:rPr>
      <w:tcPr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011" w:customStyle="1">
    <w:name w:val="Bordered - Accent 2"/>
    <w:basedOn w:val="774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sz w:val="22"/>
      </w:rPr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ED7D31" w:themeColor="accent2" w:sz="12" w:space="0"/>
        </w:tcBorders>
      </w:tcPr>
    </w:tblStylePr>
    <w:tblStylePr w:type="lastCol">
      <w:rPr>
        <w:sz w:val="22"/>
      </w:rPr>
      <w:tcPr>
        <w:tcBorders>
          <w:left w:val="single" w:color="ED7D31" w:themeColor="accent2" w:sz="12" w:space="0"/>
        </w:tcBorders>
      </w:tcPr>
    </w:tblStylePr>
    <w:tblStylePr w:type="lastRow">
      <w:rPr>
        <w:sz w:val="22"/>
      </w:rPr>
      <w:tcPr>
        <w:tcBorders>
          <w:top w:val="single" w:color="ED7D31" w:themeColor="accent2" w:sz="12" w:space="0"/>
        </w:tcBorders>
      </w:tcPr>
    </w:tblStylePr>
  </w:style>
  <w:style w:type="table" w:styleId="1012" w:customStyle="1">
    <w:name w:val="Bordered - Accent 3"/>
    <w:basedOn w:val="774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sz w:val="22"/>
      </w:rPr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A5A5A5" w:themeColor="accent3" w:sz="12" w:space="0"/>
        </w:tcBorders>
      </w:tcPr>
    </w:tblStylePr>
    <w:tblStylePr w:type="lastCol">
      <w:rPr>
        <w:sz w:val="22"/>
      </w:rPr>
      <w:tcPr>
        <w:tcBorders>
          <w:left w:val="single" w:color="A5A5A5" w:themeColor="accent3" w:sz="12" w:space="0"/>
        </w:tcBorders>
      </w:tcPr>
    </w:tblStylePr>
    <w:tblStylePr w:type="lastRow">
      <w:rPr>
        <w:sz w:val="22"/>
      </w:rPr>
      <w:tcPr>
        <w:tcBorders>
          <w:top w:val="single" w:color="A5A5A5" w:themeColor="accent3" w:sz="12" w:space="0"/>
        </w:tcBorders>
      </w:tcPr>
    </w:tblStylePr>
  </w:style>
  <w:style w:type="table" w:styleId="1013" w:customStyle="1">
    <w:name w:val="Bordered - Accent 4"/>
    <w:basedOn w:val="774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sz w:val="22"/>
      </w:rPr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FC000" w:themeColor="accent4" w:sz="12" w:space="0"/>
        </w:tcBorders>
      </w:tcPr>
    </w:tblStylePr>
    <w:tblStylePr w:type="lastCol">
      <w:rPr>
        <w:sz w:val="22"/>
      </w:rPr>
      <w:tcPr>
        <w:tcBorders>
          <w:left w:val="single" w:color="FFC000" w:themeColor="accent4" w:sz="12" w:space="0"/>
        </w:tcBorders>
      </w:tcPr>
    </w:tblStylePr>
    <w:tblStylePr w:type="lastRow">
      <w:rPr>
        <w:sz w:val="22"/>
      </w:rPr>
      <w:tcPr>
        <w:tcBorders>
          <w:top w:val="single" w:color="FFC000" w:themeColor="accent4" w:sz="12" w:space="0"/>
        </w:tcBorders>
      </w:tcPr>
    </w:tblStylePr>
  </w:style>
  <w:style w:type="table" w:styleId="1014" w:customStyle="1">
    <w:name w:val="Bordered - Accent 5"/>
    <w:basedOn w:val="774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5B9BD5" w:themeColor="accent5" w:sz="12" w:space="0"/>
        </w:tcBorders>
      </w:tcPr>
    </w:tblStylePr>
    <w:tblStylePr w:type="lastCol">
      <w:rPr>
        <w:sz w:val="22"/>
      </w:rPr>
      <w:tcPr>
        <w:tcBorders>
          <w:left w:val="single" w:color="5B9BD5" w:themeColor="accent5" w:sz="12" w:space="0"/>
        </w:tcBorders>
      </w:tcPr>
    </w:tblStylePr>
    <w:tblStylePr w:type="lastRow">
      <w:rPr>
        <w:sz w:val="22"/>
      </w:rPr>
      <w:tcPr>
        <w:tcBorders>
          <w:top w:val="single" w:color="5B9BD5" w:themeColor="accent5" w:sz="12" w:space="0"/>
        </w:tcBorders>
      </w:tcPr>
    </w:tblStylePr>
  </w:style>
  <w:style w:type="table" w:styleId="1015" w:customStyle="1">
    <w:name w:val="Bordered - Accent 6"/>
    <w:basedOn w:val="774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70AD47" w:themeColor="accent6" w:sz="12" w:space="0"/>
        </w:tcBorders>
      </w:tcPr>
    </w:tblStylePr>
    <w:tblStylePr w:type="lastCol">
      <w:rPr>
        <w:sz w:val="22"/>
      </w:rPr>
      <w:tcPr>
        <w:tcBorders>
          <w:left w:val="single" w:color="70AD47" w:themeColor="accent6" w:sz="12" w:space="0"/>
        </w:tcBorders>
      </w:tcPr>
    </w:tblStylePr>
    <w:tblStylePr w:type="lastRow">
      <w:rPr>
        <w:sz w:val="22"/>
      </w:rPr>
      <w:tcPr>
        <w:tcBorders>
          <w:top w:val="single" w:color="70AD47" w:themeColor="accent6" w:sz="12" w:space="0"/>
        </w:tcBorders>
      </w:tcPr>
    </w:tblStylePr>
  </w:style>
  <w:style w:type="table" w:styleId="1016">
    <w:name w:val="Table Grid"/>
    <w:basedOn w:val="774"/>
    <w:uiPriority w:val="59"/>
    <w:rPr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17" w:customStyle="1">
    <w:name w:val="glavni naslov1"/>
    <w:uiPriority w:val="59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customXml" Target="../customXml/item1.xml" /><Relationship Id="rId19" Type="http://schemas.openxmlformats.org/officeDocument/2006/relationships/hyperlink" Target="consultantplus://offline/ref=353FD7E4D2C6A8B4108B561671A1054153B82B56A1EA8A1BEC4237AB00068924592B759198CD3880C161938D0D3FFC99C7F5DE7CSBC3M" TargetMode="External"/><Relationship Id="rId20" Type="http://schemas.openxmlformats.org/officeDocument/2006/relationships/hyperlink" Target="consultantplus://offline/ref=353FD7E4D2C6A8B4108B561671A1054153B82B56A1EA8A1BEC4237AB000689244B2B2D999FC672D18C2A9C8C0FS2C1M" TargetMode="External"/><Relationship Id="rId21" Type="http://schemas.openxmlformats.org/officeDocument/2006/relationships/hyperlink" Target="consultantplus://offline/ref=353FD7E4D2C6A8B4108B561671A1054153B82B56A1EA8A1BEC4237AB00068924592B75959EC76FD18C3FCADD4974F191D9E9DE77AD2D7BE1SACBM" TargetMode="External"/><Relationship Id="rId22" Type="http://schemas.openxmlformats.org/officeDocument/2006/relationships/hyperlink" Target="consultantplus://offline/ref=353FD7E4D2C6A8B4108B561671A1054153B82B56A1EA8A1BEC4237AB00068924592B75959EC768D6813FCADD4974F191D9E9DE77AD2D7BE1SACBM" TargetMode="External"/><Relationship Id="rId23" Type="http://schemas.openxmlformats.org/officeDocument/2006/relationships/hyperlink" Target="consultantplus://offline/ref=353FD7E4D2C6A8B4108B561671A1054153B82B56A1EA8A1BEC4237AB00068924592B759599C76ADAD165DAD90020FC8ED9FEC07CB32DS7CBM" TargetMode="External"/><Relationship Id="rId24" Type="http://schemas.openxmlformats.org/officeDocument/2006/relationships/hyperlink" Target="https://login.consultant.ru/link/?req=doc&amp;base=LAW&amp;n=421875&amp;dst=101858&amp;field=134&amp;date=28.08.2022" TargetMode="External"/><Relationship Id="rId25" Type="http://schemas.openxmlformats.org/officeDocument/2006/relationships/hyperlink" Target="https://login.consultant.ru/link/?req=doc&amp;base=LAW&amp;n=421875&amp;dst=100437&amp;field=134&amp;date=28.08.2022" TargetMode="External"/><Relationship Id="rId26" Type="http://schemas.openxmlformats.org/officeDocument/2006/relationships/hyperlink" Target="consultantplus://offline/ref=353FD7E4D2C6A8B4108B561671A1054153B82B56A1EA8A1BEC4237AB00068924592B75959EC76FD18C3FCADD4974F191D9E9DE77AD2D7BE1SACBM" TargetMode="External"/><Relationship Id="rId27" Type="http://schemas.openxmlformats.org/officeDocument/2006/relationships/hyperlink" Target="mailto:cifra@sirius-ft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1B2956-5C5F-4A5D-9F63-84870E49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dc:description/>
  <dc:language>ru-RU</dc:language>
  <cp:lastModifiedBy>tim</cp:lastModifiedBy>
  <cp:revision>3</cp:revision>
  <dcterms:created xsi:type="dcterms:W3CDTF">2026-10-06T09:05:00Z</dcterms:created>
  <dcterms:modified xsi:type="dcterms:W3CDTF">2026-10-06T09:46:48Z</dcterms:modified>
</cp:coreProperties>
</file>