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0308" w:leader="none"/>
        </w:tabs>
        <w:jc w:val="right"/>
        <w:rPr>
          <w:rFonts w:ascii="XO Thames" w:hAnsi="XO Thames" w:eastAsia="Calibri"/>
        </w:rPr>
      </w:pPr>
      <w:bookmarkStart w:id="0" w:name="sub_130333"/>
      <w:r>
        <w:rPr>
          <w:rFonts w:cs="Times New Roman" w:ascii="XO Thames" w:hAnsi="XO Thames"/>
          <w:lang w:eastAsia="en-US"/>
        </w:rPr>
        <w:t>Приложение № 5 к извещению об аукционе в электронной форме</w:t>
      </w:r>
      <w:bookmarkStart w:id="1" w:name="_GoBack"/>
      <w:bookmarkEnd w:id="1"/>
    </w:p>
    <w:p>
      <w:pPr>
        <w:pStyle w:val="Normal"/>
        <w:tabs>
          <w:tab w:val="clear" w:pos="720"/>
          <w:tab w:val="left" w:pos="10308" w:leader="none"/>
        </w:tabs>
        <w:ind w:hanging="0"/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hanging="0"/>
        <w:jc w:val="center"/>
        <w:rPr>
          <w:rFonts w:ascii="XO Thames" w:hAnsi="XO Thames" w:cs="Times New Roman"/>
          <w:b/>
          <w:bCs/>
          <w:i/>
          <w:i/>
        </w:rPr>
      </w:pPr>
      <w:r>
        <w:rPr>
          <w:rFonts w:cs="Times New Roman" w:ascii="XO Thames" w:hAnsi="XO Thames"/>
          <w:b/>
          <w:bCs/>
        </w:rPr>
        <w:t>Порядок предоставления обеспечения заявок на участие в закупке</w:t>
      </w:r>
    </w:p>
    <w:p>
      <w:pPr>
        <w:pStyle w:val="Normal"/>
        <w:tabs>
          <w:tab w:val="clear" w:pos="720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Согласно </w:t>
      </w:r>
      <w:hyperlink r:id="rId2" w:tooltip="http://internet.garant.ru/document/redirect/70353464/442">
        <w:r>
          <w:rPr>
            <w:rStyle w:val="Style"/>
            <w:rFonts w:cs="Times New Roman" w:ascii="XO Thames" w:hAnsi="XO Thames"/>
          </w:rPr>
          <w:t>части 4 статьи 44</w:t>
        </w:r>
      </w:hyperlink>
      <w:r>
        <w:rPr>
          <w:rFonts w:cs="Times New Roman" w:ascii="XO Thames" w:hAnsi="XO Thames"/>
        </w:rPr>
        <w:t xml:space="preserve"> Федерального закона от 5 апреля 2013 г. № 44-ФЗ </w:t>
        <w:br/>
        <w:t>«О контрактной системе в сфере закупок товаров, работ, услуг для обеспечения государственных и муниципальных нужд» (далее – Федеральный закон № 44-ФЗ) обеспечение заявки на участие в конкурентных закупках (далее – закупка) может предоставляться участником закупки в виде денежных средств или независимой гарантии.</w:t>
      </w:r>
    </w:p>
    <w:p>
      <w:pPr>
        <w:pStyle w:val="Normal"/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Выбор способа обеспечения осуществляется участником закупки самостоятельно.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Требование об обеспечении заявки на участие в закупке в равной мере относится ко всем участникам закупки, за исключением государственных, муниципальных учреждений, которые </w:t>
        <w:br/>
        <w:t>не предоставляют обеспечение подаваемых ими заявок на участие в определении поставщиков (подрядчиков, исполнителей).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Обеспечение заявки на участие в закупке предоставляется в размере, указанном </w:t>
        <w:br/>
        <w:t>в извещении об осуществлении закупки.</w:t>
      </w:r>
    </w:p>
    <w:p>
      <w:pPr>
        <w:pStyle w:val="Normal"/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Предприятия уголовно-исполнительной системы, организации инвалидов, предусмотренные </w:t>
      </w:r>
      <w:hyperlink r:id="rId3" w:tooltip="consultantplus://offline/ref=A6DC24C4A4E2B997F64779DCC154812BB9402FEB44E4C99ECCB5FFC53558FCAEF0526EE758697CE1BF4AB4C8799011AC4D421B7F1155HAn5H">
        <w:r>
          <w:rPr>
            <w:rStyle w:val="Style"/>
            <w:rFonts w:cs="Times New Roman" w:ascii="XO Thames" w:hAnsi="XO Thames"/>
          </w:rPr>
          <w:t>частью 2 статьи 29</w:t>
        </w:r>
      </w:hyperlink>
      <w:r>
        <w:rPr>
          <w:rFonts w:cs="Times New Roman" w:ascii="XO Thames" w:hAnsi="XO Thames"/>
        </w:rPr>
        <w:t xml:space="preserve"> Федерального закона № 44-ФЗ, предоставляют обеспечение заявки на участие в закупке в размере одной второй процента начальной (максимальной) цены контракта. </w:t>
      </w:r>
    </w:p>
    <w:p>
      <w:pPr>
        <w:pStyle w:val="Normal"/>
        <w:ind w:firstLine="709"/>
        <w:rPr>
          <w:rFonts w:ascii="XO Thames" w:hAnsi="XO Thames" w:cs="Times New Roman"/>
          <w:i/>
          <w:i/>
        </w:rPr>
      </w:pPr>
      <w:r>
        <w:rPr>
          <w:rFonts w:cs="Times New Roman" w:ascii="XO Thames" w:hAnsi="XO Thames"/>
        </w:rPr>
        <w:t xml:space="preserve">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гарантий, размещенного в единой информационной системе. </w:t>
      </w:r>
    </w:p>
    <w:p>
      <w:pPr>
        <w:pStyle w:val="Normal"/>
        <w:tabs>
          <w:tab w:val="clear" w:pos="720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hanging="0"/>
        <w:jc w:val="center"/>
        <w:rPr>
          <w:rFonts w:ascii="XO Thames" w:hAnsi="XO Thames" w:cs="Times New Roman"/>
          <w:b/>
          <w:bCs/>
        </w:rPr>
      </w:pPr>
      <w:bookmarkStart w:id="2" w:name="sub_3001"/>
      <w:r>
        <w:rPr>
          <w:rFonts w:cs="Times New Roman" w:ascii="XO Thames" w:hAnsi="XO Thames"/>
          <w:b/>
          <w:bCs/>
        </w:rPr>
        <w:t>Часть 1. Внесение денежных средств в качестве обеспечения заявки</w:t>
      </w:r>
      <w:bookmarkEnd w:id="2"/>
    </w:p>
    <w:p>
      <w:pPr>
        <w:pStyle w:val="Normal"/>
        <w:tabs>
          <w:tab w:val="clear" w:pos="720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  <w:i/>
          <w:i/>
        </w:rPr>
      </w:pPr>
      <w:r>
        <w:rPr>
          <w:rFonts w:cs="Times New Roman" w:ascii="XO Thames" w:hAnsi="XO Thames"/>
        </w:rPr>
        <w:t xml:space="preserve">Денежные средства, предназначенные для обеспечения заявок, предоставляются путем блокирования денежных средств, внесенных участником закупки на банковский счет, открытый таким участником в банке, включенном в </w:t>
      </w:r>
      <w:hyperlink r:id="rId4" w:tooltip="consultantplus://offline/ref=F5847C3AA9651617D4122F9CFBFF19DA88F78D591C0A4B8444D647FED036FA9DF4FCC79843C43FB22EB93D179C42CFAE9BCCDF2981D61C71F2oEO">
        <w:r>
          <w:rPr>
            <w:rStyle w:val="Style"/>
            <w:rFonts w:cs="Times New Roman" w:ascii="XO Thames" w:hAnsi="XO Thames"/>
          </w:rPr>
          <w:t>перечень</w:t>
        </w:r>
      </w:hyperlink>
      <w:r>
        <w:rPr>
          <w:rFonts w:cs="Times New Roman" w:ascii="XO Thames" w:hAnsi="XO Thames"/>
        </w:rPr>
        <w:t xml:space="preserve">, утвержденный Правительством Российской Федерации. Требования к таким банкам, к договору специального счета, к порядку использования имеющегося у участника закупки банковского счета в качестве специального счета устанавливаются </w:t>
      </w:r>
      <w:hyperlink r:id="rId5" w:tooltip="http://internet.garant.ru/document/redirect/71958250/0">
        <w:r>
          <w:rPr>
            <w:rStyle w:val="Style"/>
            <w:rFonts w:cs="Times New Roman" w:ascii="XO Thames" w:hAnsi="XO Thames"/>
          </w:rPr>
          <w:t>постановлением</w:t>
        </w:r>
      </w:hyperlink>
      <w:r>
        <w:rPr>
          <w:rFonts w:cs="Times New Roman" w:ascii="XO Thames" w:hAnsi="XO Thames"/>
        </w:rPr>
        <w:t xml:space="preserve"> Правительства Российской Федерации от 20 декабря 2021 г. № 2369 «О требованиях к банкам и фондам содействия кредитованию (гарантийным фондам, фондам поручительств) для целей осуществления закупок товаров (работ, услуг) </w:t>
        <w:br/>
        <w:t>для обеспечения государственных и муниципальных нужд, об изменении и признании утратившими силу некоторых актов и отдельных положений некоторых актов Правительства Российской Федерации».</w:t>
      </w:r>
    </w:p>
    <w:p>
      <w:pPr>
        <w:pStyle w:val="Normal"/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Подача заявки на участие в закупке означает согласие участника закупки на блокирование денежных средств, находящихся на его специальном счете, в размере обеспечения заявки на участие в закупке.</w:t>
      </w:r>
    </w:p>
    <w:p>
      <w:pPr>
        <w:pStyle w:val="Normal"/>
        <w:ind w:firstLine="709"/>
        <w:rPr>
          <w:rFonts w:ascii="XO Thames" w:hAnsi="XO Thames" w:cs="Times New Roman"/>
        </w:rPr>
      </w:pPr>
      <w:bookmarkStart w:id="3" w:name="Par0"/>
      <w:bookmarkEnd w:id="3"/>
      <w:r>
        <w:rPr>
          <w:rFonts w:cs="Times New Roman" w:ascii="XO Thames" w:hAnsi="XO Thames"/>
        </w:rPr>
        <w:t>В случае получения от банка информации об отсутствии на специальном счете денежных средств в размере, необходимом для обеспечения заявки на участие в закупке, оператор электронной площадки осуществляет возврат заявки подавшему ее участнику закупки.</w:t>
      </w:r>
    </w:p>
    <w:p>
      <w:pPr>
        <w:pStyle w:val="Normal"/>
        <w:tabs>
          <w:tab w:val="clear" w:pos="720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hanging="0"/>
        <w:jc w:val="center"/>
        <w:rPr>
          <w:rFonts w:ascii="XO Thames" w:hAnsi="XO Thames" w:cs="Times New Roman"/>
          <w:b/>
          <w:bCs/>
        </w:rPr>
      </w:pPr>
      <w:bookmarkStart w:id="4" w:name="sub_3002"/>
      <w:r>
        <w:rPr>
          <w:rFonts w:cs="Times New Roman" w:ascii="XO Thames" w:hAnsi="XO Thames"/>
          <w:b/>
          <w:bCs/>
        </w:rPr>
        <w:t>Часть 2. Независимая гарантия</w:t>
      </w:r>
      <w:bookmarkEnd w:id="4"/>
      <w:r>
        <w:rPr>
          <w:rFonts w:cs="Times New Roman" w:ascii="XO Thames" w:hAnsi="XO Thames"/>
          <w:b/>
          <w:bCs/>
        </w:rPr>
        <w:br/>
      </w:r>
      <w:bookmarkEnd w:id="0"/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Независимая гарантия должна быть безотзывной и должна содержать: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1) сумму независимой гарантии, подлежащую уплате гарантом бенефициару (заказчику) в установленных частью 15 статьи 44 Федерального закона № 44-ФЗ случаях, а также идентификационный код закупки, при осуществлении которой предоставляется такая независимая гарантия;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2) обязательства принципала, надлежащее исполнение которых обеспечивается независимой гарантией;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3) обязанность гаранта в случае просрочки исполнения обязательств по независимой гарантии,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действия, за каждый день просрочки уплатить заказчику неустойку в размере 0,1 процента денежной суммы, подлежащей уплате по такой независимой гарантии;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4) условие,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заказчику;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5) срок действия независимой гарантии с учетом требований ст. 44 Федерального закона № 44-ФЗ;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6) установленный постановлением Правительства Российской Федерации от 8 ноября 2013 года № 1005 «О независимых гарантиях, используемых для целей Федерального закона «О контрактной системе в сфере закупок товаров, работ, услуг для обеспечения государственных и муниципальных нужд» (далее - Постановление № 1005) перечень документов, предоставляемых заказчиком гаранту одновременно с требованием об осуществлении уплаты денежной суммы по независимой гарантии.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В соответствии с Постановлением № 1005 </w:t>
      </w:r>
      <w:bookmarkStart w:id="5" w:name="undefined"/>
      <w:r>
        <w:rPr>
          <w:rFonts w:cs="Times New Roman" w:ascii="XO Thames" w:hAnsi="XO Thames"/>
        </w:rPr>
        <w:t>независимая гарантия оформляется в письменной форме на бумажном носителе или в форме электронного документа, подписанного электронной подписью, вид которой предусмотрен Федеральным законом № 44-ФЗ, лица, имеющего право действовать от имени гаранта, на условиях, определенных гражданским законодательством и статьей 45 Федерального закона № 44-ФЗ, с учетом следующих дополнительных требований: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1) обязательное закрепление в независимой гарантии: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права заказчика в случае, предусмотренном п. 7 ч. 10 ст. 44 Федерального закона </w:t>
        <w:br/>
        <w:t>№ 44-ФЗ, представлять на бумажном носителе или в форме электронного документа требование об уплате денежной суммы по независимой гарантии, предоставленной в качестве обеспечения заявки, в размере обеспечения заявки, установленном в извещении об осуществлении закупки;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права заказчика по передаче права требования по независимой гарантии при перемене заказчика в случаях, предусмотренных законодательством Российской Федерации, </w:t>
        <w:br/>
        <w:t>с предварительным извещением об этом гаранта;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условия о том, что расходы, возникающие в связи с перечислением денежных средств гарантом по независимой гарантии, несет гарант;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перечня документов, представляемых заказчиком гаранту одновременно с требованием </w:t>
        <w:br/>
        <w:t xml:space="preserve">об осуществлении уплаты денежной суммы по независимой гарантии, утвержденного Постановлением № 1005 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2) недопустимость включения в независимую гарантию: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</w:t>
        <w:br/>
        <w:t>о нарушении поставщиком (подрядчиком, исполнителем) условий контракта, гарантийных обязательств или расторжении контракта (за исключением случаев, когда направление такого уведомления предусмотрено условиями контракта или законодательством Российской Федерации);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требований о предоставлении заказчиком гаранту отчета об исполнении контракта, гарантийных обязательств;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требований о предоставлении заказчиком гаранту одновременно с требованием </w:t>
        <w:br/>
        <w:t xml:space="preserve">об осуществлении уплаты денежной суммы по независимой гарантии документов, </w:t>
        <w:br/>
        <w:t xml:space="preserve">не включенных в перечень документов, представляемых заказчиком гаранту одновременно </w:t>
        <w:br/>
        <w:t>с требованием об осуществлении уплаты денежной суммы по независимой гарантии, утвержденный Постановлением № 1005;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3)</w:t>
      </w:r>
      <w:r>
        <w:rPr>
          <w:rFonts w:cs="Times New Roman" w:ascii="XO Thames" w:hAnsi="XO Thames"/>
          <w:lang w:val="en-US"/>
        </w:rPr>
        <w:t> </w:t>
      </w:r>
      <w:r>
        <w:rPr>
          <w:rFonts w:cs="Times New Roman" w:ascii="XO Thames" w:hAnsi="XO Thames"/>
        </w:rPr>
        <w:t xml:space="preserve">обязательное наличие нумерации на всех листах независимой гарантии, которые должны быть прошиты, подписаны и скреплены печатью (при наличии) гаранта, в случае </w:t>
        <w:br/>
        <w:t>ее оформления в письменной форме на бумажном носителе на нескольких листах.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В независимую гарантию включается условие об обязанности гаранта уплатить заказчику (бенефициару) денежную сумму по независимой гарантии не позднее десяти рабочих дней </w:t>
        <w:br/>
        <w:t>со дня, 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  <w:bookmarkEnd w:id="5"/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Запрещается включение в условия независимой гарантии требования о представлении заказчиком гаранту судебных актов, подтверждающих неисполнение принципалом обязательств, обеспечиваемых независимой гарантией.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Заказчик рассматривает поступившую независимую гарантию в срок, не превышающий трех рабочих дней со дня ее поступления, если Федеральным законом № 44-ФЗ не установлено иное.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Основанием для отказа в принятии независимой гарантии заказчиком является: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1) отсутствие информации о независимой гарантии в предусмотренном статьей 45 Федерального закона № 44-ФЗ реестре независимых гарантий;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2) несоответствие независимой гарантии требованиям, предусмотренным ч. 2, 3 и 8.2 </w:t>
        <w:br/>
        <w:t>ст. 45 Федерального закона № 44-ФЗ;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3) несоответствие независимой гарантии требованиям, содержащимся в Извещении.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В случае отказа в принятии независимой гарантии заказчик в срок, установленный </w:t>
        <w:br/>
        <w:t>ч. 5 ст. 45 Федерального закона № 44-ФЗ, информирует в письменной форме или в форме электронного документа об этом лицо, предоставившее независимую гарантию, с указанием причин, послуживших основанием для отказа, за исключением случаев, предусмотренных Федерального законом № 44-ФЗ, при которых заказчик информирует лицо, предоставившее независимую гарантию, путем указания таких причин в протоколах определения поставщиков (подрядчиков, исполнителей).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Независимая гарантия, информация о ней и документы, предусмотренные ч. 9 ст. 45 Федерального закона № 44-ФЗ, должны быть включены в реестр независимых гарантий, размещенный в ЕИС, за исключением независимых гарантий, указанных в ч. 8.1 ст. 45 Федерального закона № 44-ФЗ. Ведение такого реестра осуществляется путем включения </w:t>
        <w:br/>
        <w:t>в соответствии с порядком, предусмотренным ч. 8.2 ст. 45 Федерального закона № 44-ФЗ, таких информации и документов в реестр и присвоения номера реестровой записи.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</w:r>
    </w:p>
    <w:p>
      <w:pPr>
        <w:pStyle w:val="Style33"/>
        <w:tabs>
          <w:tab w:val="clear" w:pos="720"/>
          <w:tab w:val="left" w:pos="10308" w:leader="none"/>
        </w:tabs>
        <w:ind w:hanging="0" w:left="-107"/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418" w:right="567" w:gutter="0" w:header="720" w:top="1134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 CYR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XO Thame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90478726"/>
    </w:sdtPr>
    <w:sdtContent>
      <w:p>
        <w:pPr>
          <w:pStyle w:val="Header"/>
          <w:ind w:hanging="0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ind w:hanging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Times New Roman CYR" w:hAnsi="Times New Roman CYR" w:eastAsia="Times New Roman" w:cs="Times New Roman CYR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keepLines/>
      <w:spacing w:before="40" w:after="0"/>
      <w:outlineLvl w:val="2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7f" w:val="1F3763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tyle5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6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" w:customStyle="1">
    <w:name w:val="Заголовок 1 Знак"/>
    <w:uiPriority w:val="99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7" w:customStyle="1">
    <w:name w:val="Цветовое выделение"/>
    <w:uiPriority w:val="99"/>
    <w:qFormat/>
    <w:rPr>
      <w:b/>
      <w:color w:val="26282F"/>
    </w:rPr>
  </w:style>
  <w:style w:type="character" w:styleId="Style8" w:customStyle="1">
    <w:name w:val="Гипертекстовая ссылка"/>
    <w:uiPriority w:val="99"/>
    <w:qFormat/>
    <w:rPr>
      <w:rFonts w:cs="Times New Roman"/>
      <w:b w:val="false"/>
      <w:color w:val="106BBE"/>
    </w:rPr>
  </w:style>
  <w:style w:type="character" w:styleId="Style9" w:customStyle="1">
    <w:name w:val="Цветовое выделение для Текст"/>
    <w:uiPriority w:val="99"/>
    <w:qFormat/>
    <w:rPr>
      <w:rFonts w:ascii="Times New Roman CYR" w:hAnsi="Times New Roman CYR"/>
    </w:rPr>
  </w:style>
  <w:style w:type="character" w:styleId="Style10" w:customStyle="1">
    <w:name w:val="Верхний колонтитул Знак"/>
    <w:uiPriority w:val="99"/>
    <w:qFormat/>
    <w:rPr>
      <w:rFonts w:ascii="Times New Roman CYR" w:hAnsi="Times New Roman CYR" w:cs="Times New Roman CYR"/>
      <w:sz w:val="24"/>
      <w:szCs w:val="24"/>
    </w:rPr>
  </w:style>
  <w:style w:type="character" w:styleId="Style11" w:customStyle="1">
    <w:name w:val="Нижний колонтитул Знак"/>
    <w:uiPriority w:val="99"/>
    <w:qFormat/>
    <w:rPr>
      <w:rFonts w:ascii="Times New Roman CYR" w:hAnsi="Times New Roman CYR" w:cs="Times New Roman CYR"/>
      <w:sz w:val="24"/>
      <w:szCs w:val="24"/>
    </w:rPr>
  </w:style>
  <w:style w:type="character" w:styleId="Style12" w:customStyle="1">
    <w:name w:val="Основной текст Знак"/>
    <w:uiPriority w:val="99"/>
    <w:semiHidden/>
    <w:qFormat/>
    <w:rPr>
      <w:rFonts w:ascii="Times New Roman CYR" w:hAnsi="Times New Roman CYR" w:cs="Times New Roman CYR"/>
      <w:sz w:val="24"/>
      <w:szCs w:val="24"/>
    </w:rPr>
  </w:style>
  <w:style w:type="character" w:styleId="Style13" w:customStyle="1">
    <w:name w:val="Текст концевой сноски Знак"/>
    <w:uiPriority w:val="99"/>
    <w:semiHidden/>
    <w:qFormat/>
    <w:rPr>
      <w:rFonts w:ascii="Times New Roman CYR" w:hAnsi="Times New Roman CYR" w:cs="Times New Roman CYR"/>
      <w:sz w:val="20"/>
      <w:szCs w:val="20"/>
    </w:rPr>
  </w:style>
  <w:style w:type="character" w:styleId="user">
    <w:name w:val="Символ концевой сноски (user)"/>
    <w:uiPriority w:val="99"/>
    <w:qFormat/>
    <w:rPr>
      <w:rFonts w:cs="Times New Roman"/>
      <w:vertAlign w:val="superscript"/>
    </w:rPr>
  </w:style>
  <w:style w:type="character" w:styleId="Style14">
    <w:name w:val="Символ концевой сноски"/>
    <w:qFormat/>
    <w:rPr>
      <w:rFonts w:cs="Times New Roman"/>
      <w:vertAlign w:val="superscript"/>
    </w:rPr>
  </w:style>
  <w:style w:type="character" w:styleId="EndnoteReference">
    <w:name w:val="endnote reference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unhideWhenUsed/>
    <w:qFormat/>
    <w:rPr>
      <w:rFonts w:cs="Times New Roman"/>
      <w:sz w:val="16"/>
    </w:rPr>
  </w:style>
  <w:style w:type="character" w:styleId="Style15" w:customStyle="1">
    <w:name w:val="Текст примечания Знак"/>
    <w:uiPriority w:val="99"/>
    <w:semiHidden/>
    <w:qFormat/>
    <w:rPr>
      <w:rFonts w:ascii="Calibri" w:hAnsi="Calibri" w:cs="Times New Roman"/>
      <w:sz w:val="20"/>
      <w:szCs w:val="20"/>
      <w:lang w:eastAsia="en-US"/>
    </w:rPr>
  </w:style>
  <w:style w:type="character" w:styleId="Style16" w:customStyle="1">
    <w:name w:val="Текст выноски Знак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Style17" w:customStyle="1">
    <w:name w:val="Текст сноски Знак"/>
    <w:uiPriority w:val="99"/>
    <w:semiHidden/>
    <w:qFormat/>
    <w:rPr>
      <w:rFonts w:ascii="Times New Roman CYR" w:hAnsi="Times New Roman CYR" w:cs="Times New Roman CYR"/>
    </w:rPr>
  </w:style>
  <w:style w:type="character" w:styleId="user1">
    <w:name w:val="Символ сноски (user)"/>
    <w:uiPriority w:val="99"/>
    <w:semiHidden/>
    <w:unhideWhenUsed/>
    <w:qFormat/>
    <w:rPr>
      <w:vertAlign w:val="superscript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11" w:customStyle="1">
    <w:name w:val="Неразрешенное упоминание1"/>
    <w:uiPriority w:val="99"/>
    <w:semiHidden/>
    <w:unhideWhenUsed/>
    <w:qFormat/>
    <w:rPr>
      <w:color w:val="605E5C"/>
      <w:shd w:fill="E1DFDD" w:val="clear"/>
    </w:rPr>
  </w:style>
  <w:style w:type="character" w:styleId="LineNumber">
    <w:name w:val="line number"/>
    <w:uiPriority w:val="99"/>
    <w:semiHidden/>
    <w:unhideWhenUsed/>
    <w:rPr/>
  </w:style>
  <w:style w:type="character" w:styleId="FollowedHyperlink">
    <w:name w:val="FollowedHyperlink"/>
    <w:uiPriority w:val="99"/>
    <w:semiHidden/>
    <w:unhideWhenUsed/>
    <w:rPr>
      <w:color w:val="954F72"/>
      <w:u w:val="single"/>
    </w:rPr>
  </w:style>
  <w:style w:type="character" w:styleId="Style19" w:customStyle="1">
    <w:name w:val="Название Знак"/>
    <w:link w:val="StGen0"/>
    <w:uiPriority w:val="99"/>
    <w:qFormat/>
    <w:rPr>
      <w:rFonts w:ascii="Cambria" w:hAnsi="Cambria"/>
      <w:b/>
      <w:bCs/>
      <w:sz w:val="32"/>
      <w:szCs w:val="32"/>
    </w:rPr>
  </w:style>
  <w:style w:type="character" w:styleId="Style20" w:customStyle="1">
    <w:name w:val="Заголовок Знак"/>
    <w:basedOn w:val="DefaultParagraphFont"/>
    <w:uiPriority w:val="10"/>
    <w:qFormat/>
    <w:rPr>
      <w:rFonts w:ascii="Calibri Light" w:hAnsi="Calibri Light" w:eastAsia="Arial" w:cs="Arial" w:asciiTheme="majorHAnsi" w:cstheme="majorBidi" w:eastAsiaTheme="majorEastAsia" w:hAnsiTheme="majorHAnsi"/>
      <w:spacing w:val="-10"/>
      <w:sz w:val="56"/>
      <w:szCs w:val="56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ConsPlusNormal" w:customStyle="1">
    <w:name w:val="ConsPlusNormal Знак"/>
    <w:link w:val="ConsPlusNormal1"/>
    <w:qFormat/>
    <w:rPr>
      <w:rFonts w:cs="Calibri"/>
      <w:sz w:val="22"/>
    </w:rPr>
  </w:style>
  <w:style w:type="character" w:styleId="Style21" w:customStyle="1">
    <w:name w:val="Основной текст с отступом Знак"/>
    <w:basedOn w:val="DefaultParagraphFont"/>
    <w:qFormat/>
    <w:rPr>
      <w:rFonts w:ascii="Times New Roman" w:hAnsi="Times New Roman"/>
      <w:sz w:val="24"/>
      <w:szCs w:val="24"/>
    </w:rPr>
  </w:style>
  <w:style w:type="character" w:styleId="Style22" w:customStyle="1">
    <w:name w:val="Тема примечания Знак"/>
    <w:basedOn w:val="Style15"/>
    <w:link w:val="annotationsubject"/>
    <w:uiPriority w:val="99"/>
    <w:semiHidden/>
    <w:qFormat/>
    <w:rPr>
      <w:rFonts w:ascii="Times New Roman CYR" w:hAnsi="Times New Roman CYR" w:cs="Times New Roman CYR"/>
      <w:b/>
      <w:bCs/>
      <w:sz w:val="20"/>
      <w:szCs w:val="20"/>
      <w:lang w:eastAsia="en-US"/>
    </w:rPr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2"/>
    <w:uiPriority w:val="99"/>
    <w:semiHidden/>
    <w:unhideWhenUsed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472C4"/>
      <w:sz w:val="18"/>
      <w:szCs w:val="18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ubtitle">
    <w:name w:val="Subtitle"/>
    <w:basedOn w:val="Normal"/>
    <w:next w:val="Normal"/>
    <w:link w:val="Style5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Style25" w:customStyle="1">
    <w:name w:val="Текст (справка)"/>
    <w:basedOn w:val="Normal"/>
    <w:next w:val="Normal"/>
    <w:uiPriority w:val="99"/>
    <w:qFormat/>
    <w:pPr>
      <w:ind w:hanging="0" w:left="170" w:right="170"/>
      <w:jc w:val="left"/>
    </w:pPr>
    <w:rPr/>
  </w:style>
  <w:style w:type="paragraph" w:styleId="Style26" w:customStyle="1">
    <w:name w:val="Комментарий"/>
    <w:basedOn w:val="Style25"/>
    <w:next w:val="Normal"/>
    <w:uiPriority w:val="99"/>
    <w:qFormat/>
    <w:pPr>
      <w:spacing w:before="75" w:after="0"/>
      <w:ind w:right="0"/>
      <w:jc w:val="both"/>
    </w:pPr>
    <w:rPr>
      <w:color w:val="353842"/>
    </w:rPr>
  </w:style>
  <w:style w:type="paragraph" w:styleId="Style27" w:customStyle="1">
    <w:name w:val="Информация о версии"/>
    <w:basedOn w:val="Style26"/>
    <w:next w:val="Normal"/>
    <w:uiPriority w:val="99"/>
    <w:qFormat/>
    <w:pPr/>
    <w:rPr>
      <w:i/>
      <w:iCs/>
    </w:rPr>
  </w:style>
  <w:style w:type="paragraph" w:styleId="Style28" w:customStyle="1">
    <w:name w:val="Текст информации об изменениях"/>
    <w:basedOn w:val="Normal"/>
    <w:next w:val="Normal"/>
    <w:uiPriority w:val="99"/>
    <w:qFormat/>
    <w:pPr/>
    <w:rPr>
      <w:color w:val="353842"/>
      <w:sz w:val="20"/>
      <w:szCs w:val="20"/>
    </w:rPr>
  </w:style>
  <w:style w:type="paragraph" w:styleId="Style29" w:customStyle="1">
    <w:name w:val="Информация об изменениях"/>
    <w:basedOn w:val="Style28"/>
    <w:next w:val="Normal"/>
    <w:uiPriority w:val="99"/>
    <w:qFormat/>
    <w:pPr>
      <w:spacing w:before="180" w:after="0"/>
      <w:ind w:hanging="0" w:left="360" w:right="360"/>
    </w:pPr>
    <w:rPr/>
  </w:style>
  <w:style w:type="paragraph" w:styleId="Style30" w:customStyle="1">
    <w:name w:val="Нормальный (таблица)"/>
    <w:basedOn w:val="Normal"/>
    <w:next w:val="Normal"/>
    <w:uiPriority w:val="99"/>
    <w:qFormat/>
    <w:pPr>
      <w:ind w:hanging="0"/>
    </w:pPr>
    <w:rPr/>
  </w:style>
  <w:style w:type="paragraph" w:styleId="Style31" w:customStyle="1">
    <w:name w:val="Таблицы (моноширинный)"/>
    <w:basedOn w:val="Normal"/>
    <w:next w:val="Normal"/>
    <w:uiPriority w:val="99"/>
    <w:qFormat/>
    <w:pPr>
      <w:ind w:hanging="0"/>
      <w:jc w:val="left"/>
    </w:pPr>
    <w:rPr>
      <w:rFonts w:ascii="Courier New" w:hAnsi="Courier New" w:cs="Courier New"/>
    </w:rPr>
  </w:style>
  <w:style w:type="paragraph" w:styleId="Style32" w:customStyle="1">
    <w:name w:val="Подзаголовок для информации об изменениях"/>
    <w:basedOn w:val="Style28"/>
    <w:next w:val="Normal"/>
    <w:uiPriority w:val="99"/>
    <w:qFormat/>
    <w:pPr/>
    <w:rPr>
      <w:b/>
      <w:bCs/>
    </w:rPr>
  </w:style>
  <w:style w:type="paragraph" w:styleId="Style33" w:customStyle="1">
    <w:name w:val="Прижатый влево"/>
    <w:basedOn w:val="Normal"/>
    <w:next w:val="Normal"/>
    <w:uiPriority w:val="99"/>
    <w:qFormat/>
    <w:pPr>
      <w:ind w:hanging="0"/>
      <w:jc w:val="left"/>
    </w:pPr>
    <w:rPr/>
  </w:style>
  <w:style w:type="paragraph" w:styleId="user4">
    <w:name w:val="Колонтитулы (user)"/>
    <w:basedOn w:val="Normal"/>
    <w:qFormat/>
    <w:pPr/>
    <w:rPr/>
  </w:style>
  <w:style w:type="paragraph" w:styleId="Style34">
    <w:name w:val="Колонтитулы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EndnoteText">
    <w:name w:val="endnote text"/>
    <w:basedOn w:val="Normal"/>
    <w:link w:val="Style13"/>
    <w:uiPriority w:val="99"/>
    <w:semiHidden/>
    <w:unhideWhenUsed/>
    <w:pPr/>
    <w:rPr>
      <w:sz w:val="20"/>
      <w:szCs w:val="20"/>
    </w:rPr>
  </w:style>
  <w:style w:type="paragraph" w:styleId="CommentText">
    <w:name w:val="annotation text"/>
    <w:basedOn w:val="Normal"/>
    <w:link w:val="Style15"/>
    <w:uiPriority w:val="99"/>
    <w:semiHidden/>
    <w:unhideWhenUsed/>
    <w:pPr>
      <w:widowControl/>
      <w:spacing w:before="0" w:after="160"/>
      <w:ind w:hanging="0"/>
      <w:jc w:val="left"/>
    </w:pPr>
    <w:rPr>
      <w:rFonts w:ascii="Calibri" w:hAnsi="Calibri" w:cs="Times New Roman"/>
      <w:sz w:val="20"/>
      <w:szCs w:val="20"/>
      <w:lang w:eastAsia="en-US"/>
    </w:rPr>
  </w:style>
  <w:style w:type="paragraph" w:styleId="ConsPlusNormal1" w:customStyle="1">
    <w:name w:val="ConsPlusNormal"/>
    <w:link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ConsPlusNonformat" w:customStyle="1">
    <w:name w:val="ConsPlusNonformat"/>
    <w:uiPriority w:val="99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FootnoteText">
    <w:name w:val="footnote text"/>
    <w:basedOn w:val="Normal"/>
    <w:link w:val="Style17"/>
    <w:uiPriority w:val="99"/>
    <w:semiHidden/>
    <w:unhideWhenUsed/>
    <w:pPr/>
    <w:rPr>
      <w:sz w:val="20"/>
      <w:szCs w:val="20"/>
    </w:rPr>
  </w:style>
  <w:style w:type="paragraph" w:styleId="StGen0" w:customStyle="1">
    <w:name w:val="StGen0"/>
    <w:basedOn w:val="Normal"/>
    <w:next w:val="Title"/>
    <w:link w:val="Style19"/>
    <w:uiPriority w:val="99"/>
    <w:qFormat/>
    <w:pPr>
      <w:widowControl/>
      <w:ind w:hanging="0"/>
      <w:jc w:val="center"/>
    </w:pPr>
    <w:rPr>
      <w:rFonts w:ascii="Cambria" w:hAnsi="Cambria" w:cs="Times New Roman"/>
      <w:b/>
      <w:bCs/>
      <w:sz w:val="32"/>
      <w:szCs w:val="32"/>
    </w:rPr>
  </w:style>
  <w:style w:type="paragraph" w:styleId="Title">
    <w:name w:val="Title"/>
    <w:basedOn w:val="Normal"/>
    <w:next w:val="Normal"/>
    <w:link w:val="Style20"/>
    <w:uiPriority w:val="10"/>
    <w:qFormat/>
    <w:pPr>
      <w:spacing w:before="0" w:after="0"/>
      <w:contextualSpacing/>
    </w:pPr>
    <w:rPr>
      <w:rFonts w:ascii="Calibri Light" w:hAnsi="Calibri Light" w:eastAsia="Arial" w:cs="Arial" w:asciiTheme="majorHAnsi" w:cstheme="majorBidi" w:eastAsiaTheme="majorEastAsia" w:hAnsiTheme="majorHAnsi"/>
      <w:spacing w:val="-10"/>
      <w:sz w:val="56"/>
      <w:szCs w:val="56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12" w:customStyle="1">
    <w:name w:val="Без интервала1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BodyTextIndent">
    <w:name w:val="Body Text Indent"/>
    <w:basedOn w:val="Normal"/>
    <w:link w:val="Style21"/>
    <w:pPr>
      <w:widowControl/>
      <w:spacing w:before="0" w:after="120"/>
      <w:ind w:hanging="0" w:left="283"/>
      <w:jc w:val="left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annotationsubject">
    <w:name w:val="annotation subject"/>
    <w:basedOn w:val="CommentText"/>
    <w:next w:val="CommentText"/>
    <w:link w:val="Style22"/>
    <w:uiPriority w:val="99"/>
    <w:semiHidden/>
    <w:unhideWhenUsed/>
    <w:qFormat/>
    <w:pPr>
      <w:widowControl w:val="false"/>
      <w:spacing w:before="0" w:after="0"/>
      <w:ind w:firstLine="720"/>
      <w:jc w:val="both"/>
    </w:pPr>
    <w:rPr>
      <w:rFonts w:ascii="Times New Roman CYR" w:hAnsi="Times New Roman CYR" w:cs="Times New Roman CYR"/>
      <w:b/>
      <w:bCs/>
      <w:lang w:eastAsia="ru-RU"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0B7E1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0B7E1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A2C6E7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C2E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9BC2E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ff">
    <w:name w:val="Table Grid"/>
    <w:basedOn w:val="a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nternet.garant.ru/document/redirect/70353464/442" TargetMode="External"/><Relationship Id="rId3" Type="http://schemas.openxmlformats.org/officeDocument/2006/relationships/hyperlink" Target="consultantplus://offline/ref=A6DC24C4A4E2B997F64779DCC154812BB9402FEB44E4C99ECCB5FFC53558FCAEF0526EE758697CE1BF4AB4C8799011AC4D421B7F1155HAn5H" TargetMode="External"/><Relationship Id="rId4" Type="http://schemas.openxmlformats.org/officeDocument/2006/relationships/hyperlink" Target="consultantplus://offline/ref=F5847C3AA9651617D4122F9CFBFF19DA88F78D591C0A4B8444D647FED036FA9DF4FCC79843C43FB22EB93D179C42CFAE9BCCDF2981D61C71F2oEO" TargetMode="External"/><Relationship Id="rId5" Type="http://schemas.openxmlformats.org/officeDocument/2006/relationships/hyperlink" Target="http://internet.garant.ru/document/redirect/71958250/0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B1E3F-C766-47B4-A06D-8B6A2505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LibreOffice/25.2.6.2$Linux_X86_64 LibreOffice_project/520$Build-2</Application>
  <AppVersion>15.0000</AppVersion>
  <Pages>3</Pages>
  <Words>1184</Words>
  <Characters>8339</Characters>
  <CharactersWithSpaces>9504</CharactersWithSpaces>
  <Paragraphs>41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2024-05-24T13:09:00Z</dcterms:created>
  <dc:creator>НПП "Гарант-Сервис"</dc:creator>
  <dc:description/>
  <dc:language>ru-RU</dc:language>
  <cp:lastModifiedBy/>
  <dcterms:modified xsi:type="dcterms:W3CDTF">2026-08-21T11:58:01Z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