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0308" w:leader="none"/>
        </w:tabs>
        <w:spacing w:lineRule="auto" w:line="230"/>
        <w:ind w:hanging="0"/>
        <w:jc w:val="right"/>
        <w:rPr>
          <w:rFonts w:ascii="XO Thames" w:hAnsi="XO Thames" w:eastAsia="Calibri"/>
        </w:rPr>
      </w:pPr>
      <w:bookmarkStart w:id="0" w:name="_Hlk101628444"/>
      <w:r>
        <w:rPr>
          <w:rFonts w:cs="Times New Roman" w:ascii="XO Thames" w:hAnsi="XO Thames"/>
          <w:lang w:eastAsia="en-US"/>
        </w:rPr>
        <w:t xml:space="preserve">Приложение № 6 </w:t>
      </w:r>
      <w:bookmarkEnd w:id="0"/>
      <w:r>
        <w:rPr>
          <w:rFonts w:cs="Times New Roman" w:ascii="XO Thames" w:hAnsi="XO Thames"/>
          <w:lang w:eastAsia="en-US"/>
        </w:rPr>
        <w:t>к извещению об аукционе в электронной форме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spacing w:lineRule="auto" w:line="230"/>
        <w:ind w:hanging="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hanging="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  <w:t xml:space="preserve">Порядок предоставления обеспечения исполнения контракта,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hanging="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  <w:t xml:space="preserve">требования к такому обеспечению </w:t>
      </w:r>
    </w:p>
    <w:p>
      <w:pPr>
        <w:pStyle w:val="Normal"/>
        <w:tabs>
          <w:tab w:val="clear" w:pos="708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Контракт заключается после предоставления одновременно с проектом контракта </w:t>
        <w:br/>
        <w:t>(без подписи заказчика) документов, подтверждающих предоставление обеспечения исполнения контракта, победителем конкурентной закупки (далее – закупка) или иным его участником, с которым заключается контракт, для подписания контракта.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  <w:i/>
          <w:i/>
        </w:rPr>
      </w:pPr>
      <w:r>
        <w:rPr>
          <w:rFonts w:cs="Times New Roman" w:ascii="XO Thames" w:hAnsi="XO Thames"/>
        </w:rPr>
        <w:t xml:space="preserve">Исполнение контракта может обеспечиваться в виде денежных средств или независимой гарантии, с учетом положений статьи 37 Федерального закона от 5 апреля 2013 г. № 44-ФЗ </w:t>
        <w:br/>
        <w:t>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  <w:r>
        <w:rPr>
          <w:rFonts w:cs="Times New Roman" w:ascii="XO Thames" w:hAnsi="XO Thames"/>
          <w:i/>
        </w:rPr>
        <w:t xml:space="preserve"> 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Способ обеспечения исполнения контракта определяется участником закупки, с которым заключается контракт, самостоятельно. 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Размер обеспечения исполнения контракта указан в извещении об осуществлении закупки.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r:id="rId2" w:tooltip="http://internet.garant.ru/document/redirect/70353464/9672">
        <w:r>
          <w:rPr>
            <w:rStyle w:val="Style"/>
            <w:rFonts w:cs="Times New Roman" w:ascii="XO Thames" w:hAnsi="XO Thames"/>
          </w:rPr>
          <w:t>частями 7.2</w:t>
        </w:r>
      </w:hyperlink>
      <w:r>
        <w:rPr>
          <w:rFonts w:cs="Times New Roman" w:ascii="XO Thames" w:hAnsi="XO Thames"/>
        </w:rPr>
        <w:t xml:space="preserve"> и </w:t>
      </w:r>
      <w:hyperlink r:id="rId3" w:tooltip="http://internet.garant.ru/document/redirect/70353464/9673">
        <w:r>
          <w:rPr>
            <w:rStyle w:val="Style"/>
            <w:rFonts w:cs="Times New Roman" w:ascii="XO Thames" w:hAnsi="XO Thames"/>
          </w:rPr>
          <w:t>7.3 статьи 96</w:t>
        </w:r>
      </w:hyperlink>
      <w:r>
        <w:rPr>
          <w:rFonts w:cs="Times New Roman" w:ascii="XO Thames" w:hAnsi="XO Thames"/>
        </w:rPr>
        <w:t xml:space="preserve"> Федерального закона № 44-ФЗ.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Положения настоящего приложения об обеспечении исполнения контракта, включая положения о предоставлении такого обеспечения с учетом положений статьи 37 Федерального закона № 44-ФЗ, не применяются в случае: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заключения контракта с участником закупки, который является казенным учреждением;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2) осуществления закупки услуги по предоставлению кредита;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 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</w:r>
    </w:p>
    <w:p>
      <w:pPr>
        <w:pStyle w:val="Normal"/>
        <w:ind w:firstLine="709"/>
        <w:rPr>
          <w:rFonts w:ascii="XO Thames" w:hAnsi="XO Thames" w:eastAsia="Calibri" w:cs="Times New Roman" w:eastAsiaTheme="minorHAnsi"/>
        </w:rPr>
      </w:pPr>
      <w:r>
        <w:rPr>
          <w:rFonts w:cs="Times New Roman" w:ascii="XO Thames" w:hAnsi="XO Thames"/>
        </w:rPr>
        <w:t xml:space="preserve">В случае заключения контракта по результатам определения поставщиков (подрядчиков, исполнителей) в соответствии с </w:t>
      </w:r>
      <w:hyperlink r:id="rId4" w:tooltip="http://internet.garant.ru/document/redirect/70353464/30101">
        <w:r>
          <w:rPr>
            <w:rStyle w:val="Style"/>
            <w:rFonts w:cs="Times New Roman" w:ascii="XO Thames" w:hAnsi="XO Thames"/>
          </w:rPr>
          <w:t>пунктом 1 части 1 статьи 30</w:t>
        </w:r>
      </w:hyperlink>
      <w:r>
        <w:rPr>
          <w:rFonts w:cs="Times New Roman" w:ascii="XO Thames" w:hAnsi="XO Thames"/>
        </w:rPr>
        <w:t xml:space="preserve"> Федерального закона № 44-ФЗ размер обеспечения исполнения контракта, в том числе предоставляемого с учетом положений </w:t>
      </w:r>
      <w:hyperlink r:id="rId5" w:tooltip="http://internet.garant.ru/document/redirect/70353464/37">
        <w:r>
          <w:rPr>
            <w:rStyle w:val="Style"/>
            <w:rFonts w:cs="Times New Roman" w:ascii="XO Thames" w:hAnsi="XO Thames"/>
          </w:rPr>
          <w:t>статьи 37</w:t>
        </w:r>
      </w:hyperlink>
      <w:r>
        <w:rPr>
          <w:rFonts w:cs="Times New Roman" w:ascii="XO Thames" w:hAnsi="XO Thames"/>
        </w:rPr>
        <w:t xml:space="preserve"> Федерального закона № 44-ФЗ, устанавливается от цены, по которой в соответствии </w:t>
        <w:br/>
        <w:t xml:space="preserve">с </w:t>
      </w:r>
      <w:hyperlink r:id="rId6" w:tooltip="http://internet.garant.ru/document/redirect/70353464/0">
        <w:r>
          <w:rPr>
            <w:rStyle w:val="Style"/>
            <w:rFonts w:cs="Times New Roman" w:ascii="XO Thames" w:hAnsi="XO Thames"/>
          </w:rPr>
          <w:t>Федеральным законом</w:t>
        </w:r>
      </w:hyperlink>
      <w:r>
        <w:rPr>
          <w:rFonts w:cs="Times New Roman" w:ascii="XO Thames" w:hAnsi="XO Thames"/>
        </w:rPr>
        <w:t xml:space="preserve"> № 44-ФЗ заключается контракт, но не может составлять менее чем размер аванса. Если контрактом предусмотрена выплата аванса и расчеты по такому контракту подлежат казначейскому сопровождению, то </w:t>
      </w:r>
      <w:r>
        <w:rPr>
          <w:rFonts w:eastAsia="Calibri" w:cs="Times New Roman" w:ascii="XO Thames" w:hAnsi="XO Thames" w:eastAsiaTheme="minorHAnsi"/>
          <w:lang w:eastAsia="en-US"/>
        </w:rPr>
        <w:t>размер обеспечения исполнения контракта устанавливается заказчиком от цены контракта, уменьшенной на размер такого аванса.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Участник закупки, с которым заключается контракт по результатам определения поставщика (подрядчика, исполнителя) в соответствии с </w:t>
      </w:r>
      <w:hyperlink r:id="rId7" w:tooltip="http://internet.garant.ru/document/redirect/70353464/30101">
        <w:r>
          <w:rPr>
            <w:rStyle w:val="Style"/>
            <w:rFonts w:cs="Times New Roman" w:ascii="XO Thames" w:hAnsi="XO Thames"/>
          </w:rPr>
          <w:t xml:space="preserve">пунктом 1 части 1 статьи 30 </w:t>
        </w:r>
      </w:hyperlink>
      <w:r>
        <w:rPr>
          <w:rFonts w:cs="Times New Roman" w:ascii="XO Thames" w:hAnsi="XO Thames"/>
        </w:rPr>
        <w:t xml:space="preserve">Федерального закона № 44-ФЗ (субъект малого предпринимательства, социально ориентированная некоммерческая организация) освобождается от предоставления обеспечения исполнения контракта, в том числе с учетом положений </w:t>
      </w:r>
      <w:hyperlink r:id="rId8" w:tooltip="http://internet.garant.ru/document/redirect/70353464/37">
        <w:r>
          <w:rPr>
            <w:rStyle w:val="Style"/>
            <w:rFonts w:cs="Times New Roman" w:ascii="XO Thames" w:hAnsi="XO Thames"/>
          </w:rPr>
          <w:t>статьи 37</w:t>
        </w:r>
      </w:hyperlink>
      <w:r>
        <w:rPr>
          <w:rFonts w:cs="Times New Roman" w:ascii="XO Thames" w:hAnsi="XO Thames"/>
        </w:rPr>
        <w:t xml:space="preserve"> Федерального закона </w:t>
        <w:br/>
        <w:t xml:space="preserve">№ 44-ФЗ, в случае предоставления таким участником закупки информации, содержащейся </w:t>
        <w:br/>
        <w:t xml:space="preserve">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</w:t>
        <w:br/>
        <w:t xml:space="preserve">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</w:t>
        <w:br/>
        <w:t xml:space="preserve">в случаях, установленных </w:t>
      </w:r>
      <w:hyperlink r:id="rId9" w:tooltip="http://internet.garant.ru/document/redirect/70353464/0">
        <w:r>
          <w:rPr>
            <w:rStyle w:val="Style"/>
            <w:rFonts w:cs="Times New Roman" w:ascii="XO Thames" w:hAnsi="XO Thames"/>
          </w:rPr>
          <w:t>Федеральным законом</w:t>
        </w:r>
      </w:hyperlink>
      <w:r>
        <w:rPr>
          <w:rFonts w:cs="Times New Roman" w:ascii="XO Thames" w:hAnsi="XO Thames"/>
        </w:rPr>
        <w:t xml:space="preserve"> № 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>
      <w:pPr>
        <w:pStyle w:val="Normal"/>
        <w:tabs>
          <w:tab w:val="clear" w:pos="708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hanging="0" w:left="0"/>
        <w:jc w:val="center"/>
        <w:outlineLvl w:val="0"/>
        <w:rPr>
          <w:rFonts w:ascii="XO Thames" w:hAnsi="XO Thames" w:cs="Times New Roman"/>
          <w:b/>
          <w:bCs/>
        </w:rPr>
      </w:pPr>
      <w:bookmarkStart w:id="1" w:name="sub_3101"/>
      <w:bookmarkEnd w:id="1"/>
      <w:r>
        <w:rPr>
          <w:rFonts w:cs="Times New Roman" w:ascii="XO Thames" w:hAnsi="XO Thames"/>
          <w:b/>
          <w:bCs/>
        </w:rPr>
        <w:t>Часть 1. Условия предоставления обеспечения исполнения контракта при применении антидемпинговых мер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firstLine="72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bookmarkStart w:id="2" w:name="sub_3101_Копия_1"/>
      <w:bookmarkStart w:id="3" w:name="sub_3111"/>
      <w:bookmarkEnd w:id="2"/>
      <w:bookmarkEnd w:id="3"/>
      <w:r>
        <w:rPr>
          <w:rFonts w:cs="Times New Roman" w:ascii="XO Thames" w:hAnsi="XO Thames"/>
        </w:rPr>
        <w:t xml:space="preserve">1. В случае, если при проведении открытого конкурса в электронной форме, аукциона </w:t>
        <w:br/>
        <w:t>в электронной форме цена контракта снижена на двадцать пять процентов и более от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победитель такой закупки предоставляет:</w:t>
      </w:r>
    </w:p>
    <w:p>
      <w:pPr>
        <w:pStyle w:val="Normal"/>
        <w:ind w:firstLine="709"/>
        <w:rPr>
          <w:rFonts w:ascii="XO Thames" w:hAnsi="XO Thames" w:cs="Times New Roman"/>
        </w:rPr>
      </w:pPr>
      <w:bookmarkStart w:id="4" w:name="sub_31111"/>
      <w:bookmarkStart w:id="5" w:name="sub_3111_Копия_1"/>
      <w:bookmarkEnd w:id="5"/>
      <w:r>
        <w:rPr>
          <w:rFonts w:cs="Times New Roman" w:ascii="XO Thames" w:hAnsi="XO Thames"/>
        </w:rPr>
        <w:t xml:space="preserve">а) если начальная (максимальная) цена контракта составляет более чем пятнадцать миллионов рублей – обеспечение исполнения контракта в размере, превышающем в полтора раза размер обеспечения исполнения контракта, указанный в извещении об осуществлении закупки, </w:t>
      </w:r>
      <w:bookmarkStart w:id="6" w:name="sub_31112"/>
      <w:bookmarkEnd w:id="4"/>
      <w:r>
        <w:rPr>
          <w:rFonts w:cs="Times New Roman" w:ascii="XO Thames" w:hAnsi="XO Thames"/>
        </w:rPr>
        <w:t xml:space="preserve">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</w:t>
      </w:r>
      <w:hyperlink r:id="rId10" w:tooltip="consultantplus://offline/ref=9D726E0D118295F6F09758CB7322086F4E9F150FA86E1F664FEE67917835AC25475D99A69200DD2B4933FEF4D0A8E04375DB931D6843I3bDI">
        <w:r>
          <w:rPr>
            <w:rStyle w:val="Style"/>
            <w:rFonts w:cs="Times New Roman" w:ascii="XO Thames" w:hAnsi="XO Thames"/>
          </w:rPr>
          <w:t>пунктом 1 части 1 статьи 30</w:t>
        </w:r>
      </w:hyperlink>
      <w:r>
        <w:rPr>
          <w:rFonts w:cs="Times New Roman" w:ascii="XO Thames" w:hAnsi="XO Thames"/>
        </w:rPr>
        <w:t xml:space="preserve"> Федерального закона № 44-ФЗ) и не менее размера аванса (если контрактом предусмотрена выплата аванса);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б) если начальная (максимальная) цена контракта составляет пятнадцать миллионов рублей и менее – обеспечение исполнения контракта в размере, превышающем в полтора раза размер обеспечения исполнения контракта, указанный в извещении об осуществлении закупки, </w:t>
      </w:r>
      <w:r>
        <w:rPr>
          <w:rFonts w:eastAsia="Calibri" w:cs="Times New Roman" w:ascii="XO Thames" w:hAnsi="XO Thames" w:eastAsiaTheme="minorHAnsi"/>
          <w:lang w:eastAsia="en-US"/>
        </w:rPr>
        <w:t xml:space="preserve">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</w:t>
      </w:r>
      <w:hyperlink r:id="rId11" w:tooltip="consultantplus://offline/ref=3B5977B6A9F7A57CFEC361EF4A3CC365A8319175476E1BE7AFA5FCB947A0185B4326AC7BC7DDD283E14D39B66FA207CF6F9932CD5ECFR3z4G">
        <w:r>
          <w:rPr>
            <w:rStyle w:val="Style"/>
            <w:rFonts w:eastAsia="Calibri" w:cs="Times New Roman" w:ascii="XO Thames" w:hAnsi="XO Thames" w:eastAsiaTheme="minorHAnsi"/>
            <w:lang w:eastAsia="en-US"/>
          </w:rPr>
          <w:t>пунктом 1 части 1 статьи 30</w:t>
        </w:r>
      </w:hyperlink>
      <w:r>
        <w:rPr>
          <w:rFonts w:eastAsia="Calibri" w:cs="Times New Roman" w:ascii="XO Thames" w:hAnsi="XO Thames" w:eastAsiaTheme="minorHAnsi"/>
          <w:lang w:eastAsia="en-US"/>
        </w:rPr>
        <w:t xml:space="preserve"> Федерального закона </w:t>
        <w:br/>
        <w:t>№ 44-ФЗ и не менее размера аванса (если контрактом предусмотрена выплата аванса)</w:t>
      </w:r>
      <w:r>
        <w:rPr>
          <w:rFonts w:cs="Times New Roman" w:ascii="XO Thames" w:hAnsi="XO Thames"/>
        </w:rPr>
        <w:t xml:space="preserve">, или информации, подтверждающей добросовестность такого участника в соответствии с </w:t>
      </w:r>
      <w:hyperlink r:id="rId12" w:tooltip="http://internet.garant.ru/document/redirect/70353464/373">
        <w:r>
          <w:rPr>
            <w:rStyle w:val="Style"/>
            <w:rFonts w:cs="Times New Roman" w:ascii="XO Thames" w:hAnsi="XO Thames"/>
          </w:rPr>
          <w:t>частью 3 статьи 37</w:t>
        </w:r>
      </w:hyperlink>
      <w:r>
        <w:rPr>
          <w:rFonts w:cs="Times New Roman" w:ascii="XO Thames" w:hAnsi="XO Thames"/>
        </w:rPr>
        <w:t xml:space="preserve"> Федерального закона № 44-ФЗ, с одновременным предоставлением таким участником обеспечения исполнения контракта в размере обеспечения исполнения контракта, указанном </w:t>
        <w:br/>
        <w:t>в извещении об осуществлении закупки.</w:t>
      </w:r>
      <w:bookmarkEnd w:id="6"/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Если при осуществлении закупок лекарственных препаратов, которые включены </w:t>
        <w:br/>
        <w:t xml:space="preserve">в утвержденный Правительством Российской Федерации перечень жизненно необходимых </w:t>
        <w:br/>
        <w:t xml:space="preserve">и важнейших лекарственных препаратов, участником закупки, с которым заключается контракт, предложена цена всех закупаемых лекарственных препаратов, сниженная не более чем на двадцать пять процентов относительно их зарегистрированной в соответствии </w:t>
        <w:br/>
        <w:t xml:space="preserve">с </w:t>
      </w:r>
      <w:hyperlink r:id="rId13" w:tooltip="http://internet.garant.ru/document/redirect/12174909/3">
        <w:r>
          <w:rPr>
            <w:rStyle w:val="Style"/>
            <w:rFonts w:cs="Times New Roman" w:ascii="XO Thames" w:hAnsi="XO Thames"/>
          </w:rPr>
          <w:t>законодательством</w:t>
        </w:r>
      </w:hyperlink>
      <w:r>
        <w:rPr>
          <w:rFonts w:cs="Times New Roman" w:ascii="XO Thames" w:hAnsi="XO Thames"/>
        </w:rPr>
        <w:t xml:space="preserve"> об обращении лекарственных средств предельной отпускной цены, антидемпинговые меры не применяются.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bookmarkStart w:id="7" w:name="sub_3112"/>
      <w:bookmarkEnd w:id="7"/>
      <w:r>
        <w:rPr>
          <w:rFonts w:cs="Times New Roman" w:ascii="XO Thames" w:hAnsi="XO Thames"/>
        </w:rPr>
        <w:t>2. Обеспечение исполнения контракта в размере, указанном в пункте 1 части 1 настоящего приложения, предоставляется участником закупки, с которым заключается контракт, до его заключения.</w:t>
      </w:r>
    </w:p>
    <w:p>
      <w:pPr>
        <w:pStyle w:val="Normal"/>
        <w:ind w:firstLine="709"/>
        <w:rPr>
          <w:rFonts w:ascii="XO Thames" w:hAnsi="XO Thames" w:eastAsia="Calibri" w:cs="Times New Roman" w:eastAsiaTheme="minorHAnsi"/>
          <w:lang w:eastAsia="en-US"/>
        </w:rPr>
      </w:pPr>
      <w:bookmarkStart w:id="8" w:name="sub_3113"/>
      <w:bookmarkStart w:id="9" w:name="sub_3112_Копия_1"/>
      <w:bookmarkEnd w:id="9"/>
      <w:r>
        <w:rPr>
          <w:rFonts w:cs="Times New Roman" w:ascii="XO Thames" w:hAnsi="XO Thames"/>
        </w:rPr>
        <w:t xml:space="preserve">3. Если предметом контракта является поставка товара, необходимого для нормального жизнеобеспечения граждан – </w:t>
      </w:r>
      <w:r>
        <w:rPr>
          <w:rFonts w:eastAsia="Calibri" w:cs="Times New Roman" w:ascii="XO Thames" w:hAnsi="XO Thames" w:eastAsiaTheme="minorHAnsi"/>
          <w:lang w:eastAsia="en-US"/>
        </w:rPr>
        <w:t>контракт, предусматривающий поставку продовольствия, средств, необходимых для оказания скорой, в том числе скорой специализированной, медицинской помощи в экстренной или неотложной форме, лекарственных средств, топлива, отсутствие которых приведет к нарушению нормального жизнеобеспечения граждан</w:t>
      </w:r>
      <w:r>
        <w:rPr>
          <w:rFonts w:cs="Times New Roman" w:ascii="XO Thames" w:hAnsi="XO Thames"/>
        </w:rPr>
        <w:t xml:space="preserve">, </w:t>
      </w:r>
      <w:r>
        <w:rPr>
          <w:rFonts w:eastAsia="Calibri" w:cs="Times New Roman" w:ascii="XO Thames" w:hAnsi="XO Thames" w:eastAsiaTheme="minorHAnsi"/>
          <w:lang w:eastAsia="en-US"/>
        </w:rPr>
        <w:t xml:space="preserve">участник закупки, предложивший цену контракта, сумму цен единиц товара на двадцать пять и более процентов ниже начальной (максимальной) цены контракта, начальной суммы цен единиц товара, наряду </w:t>
        <w:br/>
        <w:t>с требованиями, предусмотренными настоящей статьей, обязан представить заказчику обоснование предлагаемых цены контракта, суммы цен единиц товара, которое может включать в себя гарантийное письмо от производителя с указанием цены и количества поставляемого товара (за 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предлагаемым цене, сумме цен единиц товара.</w:t>
      </w:r>
      <w:bookmarkEnd w:id="8"/>
    </w:p>
    <w:p>
      <w:pPr>
        <w:pStyle w:val="Normal"/>
        <w:ind w:firstLine="709"/>
        <w:rPr>
          <w:rFonts w:ascii="XO Thames" w:hAnsi="XO Thames" w:eastAsia="Calibri" w:cs="Times New Roman" w:eastAsiaTheme="minorHAnsi"/>
          <w:lang w:eastAsia="en-US"/>
        </w:rPr>
      </w:pPr>
      <w:r>
        <w:rPr>
          <w:rFonts w:eastAsia="Calibri" w:cs="Times New Roman" w:eastAsiaTheme="minorHAnsi" w:ascii="XO Thames" w:hAnsi="XO Thames"/>
          <w:lang w:eastAsia="en-US"/>
        </w:rPr>
      </w:r>
    </w:p>
    <w:p>
      <w:pPr>
        <w:pStyle w:val="Normal"/>
        <w:ind w:firstLine="709"/>
        <w:rPr>
          <w:rFonts w:ascii="XO Thames" w:hAnsi="XO Thames" w:eastAsia="Calibri" w:cs="Times New Roman" w:eastAsiaTheme="minorHAnsi"/>
          <w:lang w:eastAsia="en-US"/>
        </w:rPr>
      </w:pPr>
      <w:bookmarkStart w:id="10" w:name="sub_3102"/>
      <w:bookmarkEnd w:id="10"/>
      <w:r>
        <w:rPr>
          <w:rFonts w:cs="Times New Roman" w:ascii="XO Thames" w:hAnsi="XO Thames"/>
          <w:b/>
          <w:bCs/>
        </w:rPr>
        <w:t>Часть 2. Независимая гарантия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firstLine="72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</w:r>
      <w:bookmarkStart w:id="11" w:name="sub_3102_Копия_1"/>
      <w:bookmarkStart w:id="12" w:name="sub_3102_Копия_1"/>
      <w:bookmarkEnd w:id="12"/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1. В качестве обеспечения исполнения контракта заказчиком принимаются независимые гарантии. Независимая гарантия должна быть безотзывной и должна содержать: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1) сумму независимой гарантии, подлежащую уплате гарантом бенефициару (заказчику) в установленных частью 15 статьи 44 Федерального закона № 44-ФЗ случаях, а также идентификационный код закупки, при осуществлении которой предоставляется такая независимая гарантия;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2) обязательства принципала, надлежащее исполнение которых обеспечивается независимой гарантией;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3) 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гарантии;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4) 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заказчику: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Получатель: Государственное казенное учреждение федеральной территории «Сириус» «ЦИФРА.ФТ»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ИНН 2367026222 КПП 237801001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р/счет 03222643020000003200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корр. счет 40102810745370000024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ОКЦ № 1 ВВГУ Банка России//УФК по Нижегородской области, г. Нижний Новгород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БИК 012202102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УФК по Краснодарскому краю (ГКУ «ЦИФРА.ФТ» л/с 052ИИ038000)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rFonts w:eastAsia="Calibri" w:cs="XO Thames" w:ascii="XO Thames" w:hAnsi="XO Thames"/>
          <w:i/>
          <w:iCs/>
          <w:color w:themeColor="text1" w:val="000000"/>
          <w:sz w:val="24"/>
          <w:szCs w:val="24"/>
          <w:shd w:fill="auto" w:val="clear"/>
          <w:lang w:eastAsia="en-US" w:bidi="ru-RU"/>
        </w:rPr>
        <w:t xml:space="preserve">   </w:t>
      </w:r>
      <w:r>
        <w:rPr>
          <w:rFonts w:eastAsia="Calibri" w:cs="XO Thames" w:ascii="XO Thames" w:hAnsi="XO Thames"/>
          <w:i/>
          <w:iCs/>
          <w:color w:themeColor="text1" w:val="000000"/>
          <w:sz w:val="24"/>
          <w:szCs w:val="24"/>
          <w:shd w:fill="auto" w:val="clear"/>
          <w:lang w:eastAsia="en-US" w:bidi="ru-RU"/>
        </w:rPr>
        <w:t>Назначение платежа: обеспечение исполнения контракта (закупка №______________).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5) срок действия независимой гарантии с учетом требований ст. 44 Федерального закона № 44-ФЗ;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6) установленный постановлением Правительства Российской Федерации от 8 ноября 2013 года № 1005 «О независимых гарантиях, используемых для целей Федерального закона «О контрактной системе в сфере закупок товаров, работ, услуг для обеспечения государственных и муниципальных нужд» (далее - Постановление № 1005) перечень документов, предоставляемых заказчиком гаранту одновременно с требованием об осуществлении уплаты денежной суммы по независимой гарантии.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В соответствии с Постановлением № 1005 независимая гарантия оформляется в письменной форме на бумажном носителе или в форме электронного документа, подписанного электронной подписью, вид которой предусмотрен Федеральным законом № 44-ФЗ, лица, имеющего право действовать от имени гаранта, на условиях, определенных гражданским законодательством и статьей 45 Федерального закона № 44-ФЗ, с учетом следующих дополнительных требований: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1) обязательное закрепление в независимой гарантии: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права заказчика в случае, предусмотренном п. 7 ч. 10 ст. 44 Федерального закона </w:t>
        <w:br/>
        <w:t>№ 44-ФЗ,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заявки, в размере обеспечения заявки, установленном в извещении об осуществлении закупки;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права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</w:t>
        <w:br/>
        <w:t>с предварительным извещением об этом гаранта;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условия о том, что расходы, возникающие в связи с перечислением денежных средств гарантом по независимой гарантии, несет гарант;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перечня документов, представляемых заказчиком гаранту одновременно с требованием </w:t>
        <w:br/>
        <w:t xml:space="preserve">об осуществлении уплаты денежной суммы по независимой гарантии, утвержденного Постановлением № 1005 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2) недопустимость включения в независимую гарантию: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</w:t>
        <w:br/>
        <w:t>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предусмотрено условиями контракта или законодательством Российской Федерации);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требований о предоставлении заказчиком гаранту отчета об исполнении контракта, гарантийных обязательств;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требований о предоставлении заказчиком гаранту одновременно с требованием </w:t>
        <w:br/>
        <w:t xml:space="preserve">об осуществлении уплаты денежной суммы по независимой гарантии документов, </w:t>
        <w:br/>
        <w:t xml:space="preserve">не включенных в перечень документов, представляемых заказчиком гаранту одновременно </w:t>
        <w:br/>
        <w:t>с требованием об осуществлении уплаты денежной суммы по независимой гарантии, утвержденный Постановлением № 1005;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3)</w:t>
      </w:r>
      <w:r>
        <w:rPr>
          <w:rFonts w:cs="Times New Roman" w:ascii="XO Thames" w:hAnsi="XO Thames"/>
          <w:lang w:val="en-US"/>
        </w:rPr>
        <w:t> </w:t>
      </w:r>
      <w:r>
        <w:rPr>
          <w:rFonts w:cs="Times New Roman" w:ascii="XO Thames" w:hAnsi="XO Thames"/>
        </w:rPr>
        <w:t>обязательное наличие нумерации на всех листах независимой гарантии, которые должны быть прошиты, подписаны и скреплены печатью (при наличии) гаранта, в случае ее оформления в письменной форме на бумажном носителе на нескольких листах.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В независимую гарантию включается условие об обязанности гаранта уплатить заказчику (бенефициару) денежную сумму по независимой гарантии не позднее десяти рабочих дней </w:t>
        <w:br/>
        <w:t>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Запрещается включение в условия независимой гарантии 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Заказчик рассматривает поступившую независимую гарантию в срок, не превышающий трех рабочих дней со дня ее поступления, если Федеральным законом № 44-ФЗ не установлено иное.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Основанием для отказа в принятии независимой гарантии заказчиком является: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1) отсутствие информации о независимой гарантии в предусмотренном статьей 45 Федерального закона № 44-ФЗ реестре независимых гарантий;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2) несоответствие независимой гарантии требованиям, предусмотренным ч. 2, 3 и 8.2 </w:t>
        <w:br/>
        <w:t>ст. 45 Федерального закона № 44-ФЗ;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>3) несоответствие независимой гарантии требованиям, содержащимся в Извещении.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/>
        </w:rPr>
      </w:pPr>
      <w:r>
        <w:rPr>
          <w:rFonts w:cs="Times New Roman" w:ascii="XO Thames" w:hAnsi="XO Thames"/>
        </w:rPr>
        <w:t xml:space="preserve">В случае отказа в принятии независимой гарантии заказчик в срок, установленный </w:t>
        <w:br/>
        <w:t>ч.5 ст. 45 Федерального закона № 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исключением случаев, предусмотренных Федерального законом № 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Независимая гарантия, информация о ней и документы, предусмотренные ч. 9 ст. 45 Федерального закона № 44-ФЗ, должны быть включены в реестр независимых гарантий, размещенный в ЕИС, за исключением независимых гарантий, указанных в ч. 8.1 ст. 45 Федерального закона № 44-ФЗ. Ведение такого реестра осуществляется путем включения </w:t>
        <w:br/>
        <w:t>в соответствии с порядком, предусмотренным ч. 8.2 ст. 45 Федерального закона № 44-ФЗ,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firstLine="720" w:left="0"/>
        <w:jc w:val="center"/>
        <w:outlineLvl w:val="0"/>
        <w:rPr>
          <w:rFonts w:ascii="XO Thames" w:hAnsi="XO Thames" w:cs="Times New Roman"/>
          <w:b/>
          <w:bCs/>
        </w:rPr>
      </w:pPr>
      <w:bookmarkStart w:id="13" w:name="sub_3103"/>
      <w:bookmarkEnd w:id="13"/>
      <w:r>
        <w:rPr>
          <w:rFonts w:cs="Times New Roman" w:ascii="XO Thames" w:hAnsi="XO Thames"/>
          <w:b/>
          <w:bCs/>
        </w:rPr>
        <w:t>Часть 3. Внесение денежных средств в качестве обеспечения исполнения контракта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0308" w:leader="none"/>
        </w:tabs>
        <w:ind w:firstLine="720" w:left="0"/>
        <w:jc w:val="center"/>
        <w:outlineLvl w:val="0"/>
        <w:rPr>
          <w:rFonts w:ascii="XO Thames" w:hAnsi="XO Thames" w:cs="Times New Roman"/>
          <w:b/>
          <w:bCs/>
        </w:rPr>
      </w:pPr>
      <w:r>
        <w:rPr>
          <w:rFonts w:cs="Times New Roman" w:ascii="XO Thames" w:hAnsi="XO Thames"/>
          <w:b/>
          <w:bCs/>
        </w:rPr>
      </w:r>
      <w:bookmarkStart w:id="14" w:name="sub_3103_Копия_1"/>
      <w:bookmarkStart w:id="15" w:name="sub_3103_Копия_1"/>
      <w:bookmarkEnd w:id="15"/>
    </w:p>
    <w:p>
      <w:pPr>
        <w:pStyle w:val="Normal"/>
        <w:tabs>
          <w:tab w:val="clear" w:pos="708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Участник закупки должен внести денежные средства в качестве обеспечения исполнения контракта в размере, установленном в извещении об осуществлении закупки или в размерах, указанных в пункте 1 части 1 настоящего приложения, на банковский счет: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Получатель: Государственное казенное учреждение федеральной территории «Сириус» «ЦИФРА.ФТ»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ИНН 2367026222 КПП 237801001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р/счет 03222643020000003200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корр. счет 40102810745370000024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ОКЦ № 1 ВВГУ Банка России//УФК по Нижегородской области, г. Нижний Новгород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БИК 012202102</w:t>
      </w:r>
    </w:p>
    <w:p>
      <w:pPr>
        <w:pStyle w:val="Normal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XO Thames" w:ascii="XO Thames" w:hAnsi="XO Thames"/>
          <w:i/>
          <w:iCs/>
          <w:sz w:val="24"/>
          <w:szCs w:val="24"/>
          <w:shd w:fill="auto" w:val="clear"/>
        </w:rPr>
        <w:t>УФК по Краснодарскому краю (ГКУ «ЦИФРА.ФТ» л/с 052ИИ038000)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rFonts w:eastAsia="Calibri" w:cs="XO Thames" w:ascii="XO Thames" w:hAnsi="XO Thames"/>
          <w:i/>
          <w:iCs/>
          <w:color w:themeColor="text1" w:val="000000"/>
          <w:sz w:val="24"/>
          <w:szCs w:val="24"/>
          <w:shd w:fill="auto" w:val="clear"/>
          <w:lang w:eastAsia="en-US" w:bidi="ru-RU"/>
        </w:rPr>
        <w:t xml:space="preserve">   </w:t>
      </w:r>
      <w:r>
        <w:rPr>
          <w:rFonts w:eastAsia="Calibri" w:cs="XO Thames" w:ascii="XO Thames" w:hAnsi="XO Thames"/>
          <w:i/>
          <w:iCs/>
          <w:color w:themeColor="text1" w:val="000000"/>
          <w:sz w:val="24"/>
          <w:szCs w:val="24"/>
          <w:shd w:fill="auto" w:val="clear"/>
          <w:lang w:eastAsia="en-US" w:bidi="ru-RU"/>
        </w:rPr>
        <w:t>Назначение платежа: обеспечение исполнения контракта (закупка №______________).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Если отсутствует возможность идентифицировать необходимые реквизиты, содержащиеся в платежном поручении, указывающие на назначение платежа: «обеспечение исполнения контракта», «номер извещения об осуществлении закупки», участник, с которым заключается контракт, несет риски, связанные с непредоставлением обеспечения исполнения контракта.</w:t>
      </w:r>
    </w:p>
    <w:p>
      <w:pPr>
        <w:pStyle w:val="Normal"/>
        <w:ind w:firstLine="709"/>
        <w:rPr>
          <w:rFonts w:ascii="XO Thames" w:hAnsi="XO Thames"/>
        </w:rPr>
      </w:pPr>
      <w:r>
        <w:rPr>
          <w:rFonts w:ascii="XO Thames" w:hAnsi="XO Thames"/>
        </w:rPr>
      </w:r>
      <w:bookmarkStart w:id="16" w:name="_GoBack"/>
      <w:bookmarkStart w:id="17" w:name="_GoBack"/>
      <w:bookmarkEnd w:id="17"/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w="11906" w:h="16838"/>
      <w:pgMar w:left="1418" w:right="567" w:gutter="0" w:header="709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 CYR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1155" w:leader="none"/>
      </w:tabs>
      <w:ind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93119816"/>
    </w:sdtPr>
    <w:sdtContent>
      <w:p>
        <w:pPr>
          <w:pStyle w:val="Header"/>
          <w:jc w:val="center"/>
          <w:rPr>
            <w:rFonts w:ascii="XO Thames" w:hAnsi="XO Thames"/>
          </w:rPr>
        </w:pPr>
        <w:r>
          <w:rPr>
            <w:rFonts w:ascii="XO Thames" w:hAnsi="XO Thames"/>
          </w:rPr>
          <w:fldChar w:fldCharType="begin"/>
        </w:r>
        <w:r>
          <w:rPr>
            <w:rFonts w:ascii="XO Thames" w:hAnsi="XO Thames"/>
          </w:rPr>
          <w:instrText xml:space="preserve"> PAGE </w:instrText>
        </w:r>
        <w:r>
          <w:rPr>
            <w:rFonts w:ascii="XO Thames" w:hAnsi="XO Thames"/>
          </w:rPr>
          <w:fldChar w:fldCharType="separate"/>
        </w:r>
        <w:r>
          <w:rPr>
            <w:rFonts w:ascii="XO Thames" w:hAnsi="XO Thames"/>
          </w:rPr>
          <w:t>5</w:t>
        </w:r>
        <w:r>
          <w:rPr>
            <w:rFonts w:ascii="XO Thames" w:hAnsi="XO Thames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5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40" w:before="0" w:after="0"/>
      <w:ind w:firstLine="720"/>
      <w:jc w:val="both"/>
    </w:pPr>
    <w:rPr>
      <w:rFonts w:ascii="Times New Roman CYR" w:hAnsi="Times New Roman CYR" w:eastAsia="Times New Roman" w:cs="Times New Roman CYR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2" w:customStyle="1">
    <w:name w:val="Цветовое выделение"/>
    <w:uiPriority w:val="99"/>
    <w:qFormat/>
    <w:rPr>
      <w:b/>
      <w:color w:val="26282F"/>
    </w:rPr>
  </w:style>
  <w:style w:type="character" w:styleId="Style13" w:customStyle="1">
    <w:name w:val="Верхний колонтитул Знак"/>
    <w:basedOn w:val="DefaultParagraphFont"/>
    <w:uiPriority w:val="99"/>
    <w:qFormat/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6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5B9BD5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8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19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20" w:customStyle="1">
    <w:name w:val="Прижатый влево"/>
    <w:basedOn w:val="Normal"/>
    <w:next w:val="Normal"/>
    <w:uiPriority w:val="99"/>
    <w:qFormat/>
    <w:pPr>
      <w:ind w:hanging="0"/>
      <w:jc w:val="left"/>
    </w:pPr>
    <w:rPr/>
  </w:style>
  <w:style w:type="paragraph" w:styleId="Style2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Style16"/>
    <w:pPr>
      <w:widowControl/>
      <w:tabs>
        <w:tab w:val="clear" w:pos="708"/>
        <w:tab w:val="left" w:pos="8364" w:leader="none"/>
      </w:tabs>
      <w:ind w:hanging="709" w:left="709"/>
    </w:pPr>
    <w:rPr>
      <w:rFonts w:ascii="Times New Roman" w:hAnsi="Times New Roman" w:cs="Times New Roman"/>
      <w:b/>
      <w:bCs/>
      <w:szCs w:val="20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nternet.garant.ru/document/redirect/70353464/9672" TargetMode="External"/><Relationship Id="rId3" Type="http://schemas.openxmlformats.org/officeDocument/2006/relationships/hyperlink" Target="http://internet.garant.ru/document/redirect/70353464/9673" TargetMode="External"/><Relationship Id="rId4" Type="http://schemas.openxmlformats.org/officeDocument/2006/relationships/hyperlink" Target="http://internet.garant.ru/document/redirect/70353464/30101" TargetMode="External"/><Relationship Id="rId5" Type="http://schemas.openxmlformats.org/officeDocument/2006/relationships/hyperlink" Target="http://internet.garant.ru/document/redirect/70353464/37" TargetMode="External"/><Relationship Id="rId6" Type="http://schemas.openxmlformats.org/officeDocument/2006/relationships/hyperlink" Target="http://internet.garant.ru/document/redirect/70353464/0" TargetMode="External"/><Relationship Id="rId7" Type="http://schemas.openxmlformats.org/officeDocument/2006/relationships/hyperlink" Target="http://internet.garant.ru/document/redirect/70353464/30101" TargetMode="External"/><Relationship Id="rId8" Type="http://schemas.openxmlformats.org/officeDocument/2006/relationships/hyperlink" Target="http://internet.garant.ru/document/redirect/70353464/37" TargetMode="External"/><Relationship Id="rId9" Type="http://schemas.openxmlformats.org/officeDocument/2006/relationships/hyperlink" Target="http://internet.garant.ru/document/redirect/70353464/0" TargetMode="External"/><Relationship Id="rId10" Type="http://schemas.openxmlformats.org/officeDocument/2006/relationships/hyperlink" Target="consultantplus://offline/ref=9D726E0D118295F6F09758CB7322086F4E9F150FA86E1F664FEE67917835AC25475D99A69200DD2B4933FEF4D0A8E04375DB931D6843I3bDI" TargetMode="External"/><Relationship Id="rId11" Type="http://schemas.openxmlformats.org/officeDocument/2006/relationships/hyperlink" Target="consultantplus://offline/ref=3B5977B6A9F7A57CFEC361EF4A3CC365A8319175476E1BE7AFA5FCB947A0185B4326AC7BC7DDD283E14D39B66FA207CF6F9932CD5ECFR3z4G" TargetMode="External"/><Relationship Id="rId12" Type="http://schemas.openxmlformats.org/officeDocument/2006/relationships/hyperlink" Target="http://internet.garant.ru/document/redirect/70353464/373" TargetMode="External"/><Relationship Id="rId13" Type="http://schemas.openxmlformats.org/officeDocument/2006/relationships/hyperlink" Target="http://internet.garant.ru/document/redirect/12174909/3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LibreOffice/25.2.6.2$Linux_X86_64 LibreOffice_project/520$Build-2</Application>
  <AppVersion>15.0000</AppVersion>
  <Pages>5</Pages>
  <Words>1921</Words>
  <Characters>13786</Characters>
  <CharactersWithSpaces>15679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2026-02-05T16:00:00Z</dcterms:created>
  <dc:creator>Пономаренко Анна Владимировна</dc:creator>
  <dc:description/>
  <dc:language>ru-RU</dc:language>
  <cp:lastModifiedBy/>
  <dcterms:modified xsi:type="dcterms:W3CDTF">2026-09-30T16:42:11Z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