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EDBC4" w14:textId="77777777" w:rsidR="00F91C9F" w:rsidRPr="00F91C9F" w:rsidRDefault="005C6B6F" w:rsidP="00F91C9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541C">
        <w:rPr>
          <w:rFonts w:ascii="Times New Roman" w:hAnsi="Times New Roman" w:cs="Times New Roman"/>
          <w:b/>
          <w:sz w:val="24"/>
          <w:szCs w:val="24"/>
        </w:rPr>
        <w:t xml:space="preserve">Ответ на запрос </w:t>
      </w:r>
      <w:r w:rsidR="0050588C" w:rsidRPr="00EC541C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EC541C">
        <w:rPr>
          <w:rFonts w:ascii="Times New Roman" w:hAnsi="Times New Roman" w:cs="Times New Roman"/>
          <w:b/>
          <w:sz w:val="24"/>
          <w:szCs w:val="24"/>
        </w:rPr>
        <w:t xml:space="preserve">разъяснение </w:t>
      </w:r>
      <w:r w:rsidR="00117248" w:rsidRPr="00EC541C">
        <w:rPr>
          <w:rFonts w:ascii="Times New Roman" w:hAnsi="Times New Roman" w:cs="Times New Roman"/>
          <w:b/>
          <w:sz w:val="24"/>
          <w:szCs w:val="24"/>
        </w:rPr>
        <w:t xml:space="preserve">положений закупочной документации </w:t>
      </w:r>
      <w:r w:rsidR="0050588C" w:rsidRPr="00EC541C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117248" w:rsidRPr="00EC541C">
        <w:rPr>
          <w:rFonts w:ascii="Times New Roman" w:hAnsi="Times New Roman" w:cs="Times New Roman"/>
          <w:b/>
          <w:sz w:val="24"/>
          <w:szCs w:val="24"/>
        </w:rPr>
        <w:t xml:space="preserve">закупке </w:t>
      </w:r>
      <w:r w:rsidR="00F91C9F" w:rsidRPr="00F91C9F">
        <w:rPr>
          <w:rFonts w:ascii="Times New Roman" w:hAnsi="Times New Roman" w:cs="Times New Roman"/>
          <w:b/>
          <w:sz w:val="24"/>
          <w:szCs w:val="24"/>
        </w:rPr>
        <w:tab/>
      </w:r>
    </w:p>
    <w:p w14:paraId="648E1AE6" w14:textId="77777777" w:rsidR="00636598" w:rsidRDefault="00636598" w:rsidP="00D96F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598">
        <w:rPr>
          <w:rFonts w:ascii="Times New Roman" w:hAnsi="Times New Roman" w:cs="Times New Roman"/>
          <w:b/>
          <w:sz w:val="24"/>
          <w:szCs w:val="24"/>
        </w:rPr>
        <w:t>32616360229</w:t>
      </w:r>
    </w:p>
    <w:p w14:paraId="28672871" w14:textId="07FF52CD" w:rsidR="00577DA9" w:rsidRPr="008E1230" w:rsidRDefault="00117248" w:rsidP="00D96FF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54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Запрос № </w:t>
      </w:r>
      <w:r w:rsidR="00F04B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50588C" w:rsidRPr="00EC54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C6B6F" w:rsidRPr="00EC54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</w:t>
      </w:r>
      <w:r w:rsidR="00152DF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5427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D96FFF" w:rsidRPr="00D96F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  <w:r w:rsidR="00F91C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041A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.2026 </w:t>
      </w:r>
      <w:r w:rsidR="006365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F04B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D96FFF" w:rsidRPr="00D96FF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F04B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55</w:t>
      </w:r>
    </w:p>
    <w:p w14:paraId="18874C66" w14:textId="0C5BE929" w:rsidR="0079049C" w:rsidRDefault="0079049C" w:rsidP="000E3DF2">
      <w:pPr>
        <w:jc w:val="both"/>
        <w:rPr>
          <w:rFonts w:ascii="Times New Roman" w:hAnsi="Times New Roman" w:cs="Times New Roman"/>
          <w:sz w:val="24"/>
          <w:szCs w:val="24"/>
        </w:rPr>
      </w:pPr>
      <w:r w:rsidRPr="006223B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П</w:t>
      </w:r>
      <w:r w:rsidRPr="004D404C">
        <w:rPr>
          <w:rFonts w:ascii="Times New Roman" w:hAnsi="Times New Roman" w:cs="Times New Roman"/>
          <w:b/>
          <w:sz w:val="24"/>
          <w:szCs w:val="24"/>
          <w:u w:val="single"/>
        </w:rPr>
        <w:t>редмет</w:t>
      </w:r>
      <w:r w:rsidRPr="004D404C">
        <w:rPr>
          <w:rFonts w:ascii="Times New Roman" w:hAnsi="Times New Roman" w:cs="Times New Roman"/>
          <w:b/>
          <w:sz w:val="24"/>
          <w:szCs w:val="24"/>
        </w:rPr>
        <w:t>:</w:t>
      </w:r>
      <w:r w:rsidRPr="00EC541C">
        <w:rPr>
          <w:rFonts w:ascii="Times New Roman" w:hAnsi="Times New Roman" w:cs="Times New Roman"/>
          <w:sz w:val="24"/>
          <w:szCs w:val="24"/>
        </w:rPr>
        <w:t xml:space="preserve"> </w:t>
      </w:r>
      <w:r w:rsidR="00636598" w:rsidRPr="00636598">
        <w:rPr>
          <w:rFonts w:ascii="Times New Roman" w:hAnsi="Times New Roman" w:cs="Times New Roman"/>
          <w:sz w:val="24"/>
          <w:szCs w:val="24"/>
        </w:rPr>
        <w:t>Выполнение работ по разработке аналитического модуля как обособленного модуля системы обработки обращений граждан для нужд Филиала ГАУ «МосжилНИИпроект»</w:t>
      </w:r>
    </w:p>
    <w:p w14:paraId="198A9443" w14:textId="77777777" w:rsidR="00CF0AA1" w:rsidRPr="00EC541C" w:rsidRDefault="00CF0AA1" w:rsidP="008327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4669272" w14:textId="20DC43F9" w:rsidR="0050588C" w:rsidRDefault="0050588C" w:rsidP="008327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404C">
        <w:rPr>
          <w:rFonts w:ascii="Times New Roman" w:hAnsi="Times New Roman" w:cs="Times New Roman"/>
          <w:b/>
          <w:sz w:val="24"/>
          <w:szCs w:val="24"/>
          <w:u w:val="single"/>
        </w:rPr>
        <w:t>Текст запроса:</w:t>
      </w:r>
    </w:p>
    <w:p w14:paraId="3D285C48" w14:textId="77777777" w:rsidR="0076209F" w:rsidRPr="004D404C" w:rsidRDefault="0076209F" w:rsidP="008327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E2EE8B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>На каком стеке/платформе реализована текущая система?</w:t>
      </w:r>
    </w:p>
    <w:p w14:paraId="40E63E8F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>Есть ли требования/ограничения по стеку технологий для разработки аналитического модуля?</w:t>
      </w:r>
    </w:p>
    <w:p w14:paraId="5BFADBB9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>Допустимо ли использование OSS-решений, к примеру для построения витрин данных / панелей мониторинга?</w:t>
      </w:r>
    </w:p>
    <w:p w14:paraId="41CC3800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>Для интеграции с операционным модулем, просьба уточнить объем передаваемых в реальном времени изменений – по обращениям, действиям пользователей и т.п.</w:t>
      </w:r>
    </w:p>
    <w:p w14:paraId="528D3223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>Каков объем данных (обращений и т.п.) для первичного импорта из существующей системы в хранилище аналитического модуля?</w:t>
      </w:r>
    </w:p>
    <w:p w14:paraId="0DC95643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>Для реализации ролевой модели (Приложение №1), требуется ли синхронизация прав доступа (в т.ч. по зонам/территориям/подразделениям) с существующей системой, или права могут быть назначены локально в аналитическом модуле?</w:t>
      </w:r>
    </w:p>
    <w:p w14:paraId="7FFF113E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>Кто и каким образом организовывает мониторинг системы?</w:t>
      </w:r>
    </w:p>
    <w:p w14:paraId="77456D9B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>Из каких источников данных (в том числе внешних информационных систем), не входящих в состав системы необходимо получать и обрабатывать информацию?</w:t>
      </w:r>
    </w:p>
    <w:p w14:paraId="3D8ADDB4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>Предоставляется ли Исполнителю доступ к системам мониторинга?</w:t>
      </w:r>
    </w:p>
    <w:p w14:paraId="136808C0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 xml:space="preserve"> Кто является правообладателем ПО, являющегося объектом данной закупки?</w:t>
      </w:r>
    </w:p>
    <w:p w14:paraId="192476BC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 xml:space="preserve"> Включено ли ПО в Реестр Российского программного обеспечения? </w:t>
      </w:r>
    </w:p>
    <w:p w14:paraId="26EBBAA1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 xml:space="preserve"> Требуется ли Исполнителю наличие каких-либо лицензионных прав на ПО для выполнения работ по контракту?</w:t>
      </w:r>
    </w:p>
    <w:p w14:paraId="3C636C09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 xml:space="preserve"> Кто осуществляет закупку необходимого ПО? </w:t>
      </w:r>
    </w:p>
    <w:p w14:paraId="4D345BED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 xml:space="preserve"> Если в ходе реализации контракта потребуется приобретение прав на стороннее проприетарное ПО: за чей счёт осуществляется приобретение?</w:t>
      </w:r>
    </w:p>
    <w:p w14:paraId="6CB777F3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 xml:space="preserve"> Каким образом предоставляется удаленный доступ для выполнения работ?</w:t>
      </w:r>
    </w:p>
    <w:p w14:paraId="558191D9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 xml:space="preserve"> Ведутся ли в настоящий момент какие-либо работы по данной системе другим подрядчиком (поддержка, развитие, гарантийные обязательства)?</w:t>
      </w:r>
    </w:p>
    <w:p w14:paraId="66C51350" w14:textId="77777777" w:rsidR="00F04BBF" w:rsidRDefault="00F04BBF" w:rsidP="00F04BBF">
      <w:pPr>
        <w:pStyle w:val="ac"/>
        <w:numPr>
          <w:ilvl w:val="0"/>
          <w:numId w:val="9"/>
        </w:numPr>
        <w:shd w:val="clear" w:color="auto" w:fill="FFFFFF"/>
        <w:ind w:left="0" w:firstLine="397"/>
        <w:contextualSpacing/>
        <w:jc w:val="both"/>
        <w:rPr>
          <w:color w:val="1A1A1A"/>
        </w:rPr>
      </w:pPr>
      <w:r>
        <w:rPr>
          <w:color w:val="1A1A1A"/>
        </w:rPr>
        <w:t xml:space="preserve"> Если работы по данной системе ведутся другим подрядчиком, каким образом разграничиваются зоны ответственности между Исполнителями (</w:t>
      </w:r>
      <w:proofErr w:type="spellStart"/>
      <w:r>
        <w:rPr>
          <w:color w:val="1A1A1A"/>
        </w:rPr>
        <w:t>релизная</w:t>
      </w:r>
      <w:proofErr w:type="spellEnd"/>
      <w:r>
        <w:rPr>
          <w:color w:val="1A1A1A"/>
        </w:rPr>
        <w:t xml:space="preserve"> политика, корректировка документации, устранение дефектов и тому подобное)?</w:t>
      </w:r>
    </w:p>
    <w:p w14:paraId="282FE852" w14:textId="6122F186" w:rsidR="00636598" w:rsidRPr="005427EC" w:rsidRDefault="00636598" w:rsidP="005427E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073F5B" w14:textId="42B155A8" w:rsidR="0071654B" w:rsidRDefault="002614C2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41C">
        <w:rPr>
          <w:rFonts w:ascii="Times New Roman" w:hAnsi="Times New Roman" w:cs="Times New Roman"/>
          <w:b/>
          <w:sz w:val="24"/>
          <w:szCs w:val="24"/>
          <w:u w:val="single"/>
        </w:rPr>
        <w:t>Ответ</w:t>
      </w:r>
      <w:r w:rsidRPr="00EC541C">
        <w:rPr>
          <w:rFonts w:ascii="Times New Roman" w:hAnsi="Times New Roman" w:cs="Times New Roman"/>
          <w:b/>
          <w:sz w:val="24"/>
          <w:szCs w:val="24"/>
        </w:rPr>
        <w:t>:</w:t>
      </w:r>
    </w:p>
    <w:p w14:paraId="3FE224FC" w14:textId="77777777" w:rsidR="00E621DB" w:rsidRDefault="00E621DB" w:rsidP="00E621DB">
      <w:pPr>
        <w:pStyle w:val="ac"/>
      </w:pPr>
      <w:r w:rsidRPr="000755DC">
        <w:t xml:space="preserve">По вопросу № 1. Текущая система обработки обращений граждан реализована на технологической платформе Microsoft .NET (язык программирования C#): серверная часть — ASP.NET Core, клиентская часть — веб-интерфейс, в качестве системы управления базами данных используется </w:t>
      </w:r>
      <w:proofErr w:type="spellStart"/>
      <w:r w:rsidRPr="000755DC">
        <w:t>PostgreSQL</w:t>
      </w:r>
      <w:proofErr w:type="spellEnd"/>
      <w:r w:rsidRPr="000755DC">
        <w:t xml:space="preserve">. Развёртывание осуществляется в </w:t>
      </w:r>
      <w:proofErr w:type="spellStart"/>
      <w:r w:rsidRPr="000755DC">
        <w:t>контейнеризованном</w:t>
      </w:r>
      <w:proofErr w:type="spellEnd"/>
      <w:r w:rsidRPr="000755DC">
        <w:t xml:space="preserve"> виде в инфраструктуре Заказчика.</w:t>
      </w:r>
    </w:p>
    <w:p w14:paraId="61B1B3EF" w14:textId="77777777" w:rsidR="00E621DB" w:rsidRDefault="00E621DB" w:rsidP="00E621DB">
      <w:pPr>
        <w:pStyle w:val="ac"/>
      </w:pPr>
      <w:r w:rsidRPr="000755DC">
        <w:lastRenderedPageBreak/>
        <w:t xml:space="preserve">По вопросу № 2. Заказчиком рекомендуется реализация аналитического модуля на технологической платформе .NET версии не ниже 8.0 (язык программирования C#) с использованием СУБД </w:t>
      </w:r>
      <w:proofErr w:type="spellStart"/>
      <w:r w:rsidRPr="000755DC">
        <w:t>PostgreSQL</w:t>
      </w:r>
      <w:proofErr w:type="spellEnd"/>
      <w:r w:rsidRPr="000755DC">
        <w:t>, поскольку указанные решения обеспечивают технологическую однородность с текущей системой, единство инструментов сборки, развёртывания и последующего сопровождения.</w:t>
      </w:r>
      <w:r>
        <w:t xml:space="preserve"> Вместе с тем жёстких ограничений по стеку технологий не устанавливается: Исполнитель вправе применить иной технологический стек по своему выбору при условии, что применяемые технологические решения в полном объёме соответствуют требованиям Министерства цифрового развития, связи и массовых коммуникаций Российской Федерации, а также нормативным правовым актам Российской Федерации в сфере использования отечественного программного обеспечения при осуществлении закупок для государственных нужд. Применение иного технологического стека подлежит обоснованию Исполнителем и согласованию с Заказчиком на этапе технического проектирования; при этом не допускается снижение требований к производительности, информационной безопасности, возможности интеграции с операционным модулем и дальнейшему сопровождению системы силами Заказчика.</w:t>
      </w:r>
      <w:r w:rsidRPr="000755DC">
        <w:t xml:space="preserve"> Применяемое общесистемное и прикладное программное обеспечение должно быть включено в единый реестр российских программ для электронных вычислительных машин и баз данных либо относиться к свободно распространяемому программному обеспечению. Использование программного обеспечения, требующего приобретения проприетарных лицензий, не предусмотрено.</w:t>
      </w:r>
    </w:p>
    <w:p w14:paraId="7950B03D" w14:textId="77777777" w:rsidR="00E621DB" w:rsidRDefault="00E621DB" w:rsidP="00E621DB">
      <w:pPr>
        <w:pStyle w:val="ac"/>
      </w:pPr>
      <w:r w:rsidRPr="000755DC">
        <w:t>По вопросу № 3. Использование решений с открытым исходным кодом допускается при одновременном соблюдении следующих условий: лицензия является свободной, не требует выплаты лицензионных платежей и не содержит ограничений на использование в интересах органов государственной власти и государственных учреждений Российской Федерации; решение не подпадает под ограничения, установленные законодательством Российской Федерации; решение обеспечивает возможность развёртывания в закрытом контуре инфраструктуры Заказчика без обращения к внешним сервисам.</w:t>
      </w:r>
    </w:p>
    <w:p w14:paraId="2785FAE3" w14:textId="77777777" w:rsidR="00E621DB" w:rsidRDefault="00E621DB" w:rsidP="00E621DB">
      <w:pPr>
        <w:pStyle w:val="ac"/>
      </w:pPr>
      <w:r w:rsidRPr="000755DC">
        <w:t>По вопросу № 4. Прогнозная нагрузка по операционному модулю составляет до 1 000 обращений граждан в сутки. С учётом сопутствующих событий (регистрация обращения, изменение статуса, назначение исполнителя, действия пользователей, вложения, исходящая корреспонденция) среднее количество передаваемых в реальном времени изменений принимается в объёме от 10 до 15 событий на одно обращение, что составляет до 15 000 событий в сутки. Средняя интенсивность в течение рабочего дня — до 0,5 событий в секунду, пиковая интенсивность с учётом коэффициента неравномерности 3 — до 1,5 событий в секунду. Архитектурные решения аналитического модуля должны обеспечивать возможность увеличения указанных показателей не менее чем в 3 (три) раза (до 3 000 обращений и до 45 000 событий в сутки) без изменения архитектуры и без замены программной платформы, исключительно за счёт масштабирования вычислительных ресурсов.</w:t>
      </w:r>
    </w:p>
    <w:p w14:paraId="59F6B180" w14:textId="77777777" w:rsidR="00E621DB" w:rsidRDefault="00E621DB" w:rsidP="00E621DB">
      <w:pPr>
        <w:pStyle w:val="ac"/>
      </w:pPr>
      <w:r w:rsidRPr="000755DC">
        <w:t>По вопросу № 5. Объём данных для первичного импорта из существующей системы в хранилище аналитического модуля составляет порядка 1 000 000 (одного миллиона) обращений, накопленных за период эксплуатации системы с 2022 года, общим объёмом порядка 15 Тбайт. Указанный объём распределяется следующим образом: структурированные данные (обращения, статусы, действия пользователей, справочники) — порядка 25 Гбайт; тексты обращений граждан, хранимые в виде документов формата PDF (в среднем 3–5 страниц, около 5 Мбайт на документ) — порядка 5 Тбайт; ответы на обращения граждан, хранимые в виде документов формата PDF (в среднем 2–3 страницы, около 3 Мбайт на документ) — порядка 3 Тбайт; прочие файлы вложений (фотоматериалы, акты, сканированные копии документов) — порядка 7 Тбайт. Годовой прирост объёма данных составляет порядка 3,5–4 Тбайт, что необходимо учитывать при расчёте емкости хранилища. Исполнителю необходимо предусмотреть выполнение первичной загрузки в режиме однократной миграции с последующим переходом на инкрементальное обновление.</w:t>
      </w:r>
    </w:p>
    <w:p w14:paraId="68046FF0" w14:textId="77777777" w:rsidR="00E621DB" w:rsidRDefault="00E621DB" w:rsidP="00E621DB">
      <w:pPr>
        <w:pStyle w:val="ac"/>
      </w:pPr>
      <w:r w:rsidRPr="000755DC">
        <w:lastRenderedPageBreak/>
        <w:t>По вопросу № 6. Требуется синхронизация прав доступа с существующей системой. Мастер-системой в части ролевой модели, организационной структуры и закреплённых зон (территорий, подразделений) является операционный модуль системы обработки обращений граждан; аналитический модуль обеспечивает получение и применение указанных сведений посредством интеграционного взаимодействия. Локальное назначение прав доступа допускается исключительно в части ролей, не имеющих аналогов в существующей системе, и подлежит согласованию с Заказчиком на этапе проектирования.</w:t>
      </w:r>
    </w:p>
    <w:p w14:paraId="0D472E5F" w14:textId="77777777" w:rsidR="00E621DB" w:rsidRDefault="00E621DB" w:rsidP="00E621DB">
      <w:pPr>
        <w:pStyle w:val="ac"/>
      </w:pPr>
      <w:r w:rsidRPr="000755DC">
        <w:t>По вопросу № 7. Мониторинг системы организуется Заказчиком с использованием собственных средств мониторинга инфраструктуры. Исполнитель обеспечивает со своей стороны: предоставление метрик работоспособности и производительности аналитического модуля в машиночитаемом формате, совместимом с применяемыми Заказчиком средствами сбора метрик; ведение журналов событий и ошибок с возможностью централизованного сбора; реализацию программного интерфейса проверки доступности компонентов. Состав контролируемых показателей и пороговых значений согласовывается с Заказчиком на этапе технического проектирования.</w:t>
      </w:r>
    </w:p>
    <w:p w14:paraId="7ECAA05D" w14:textId="77777777" w:rsidR="00E621DB" w:rsidRDefault="00E621DB" w:rsidP="00E621DB">
      <w:pPr>
        <w:pStyle w:val="ac"/>
      </w:pPr>
      <w:r w:rsidRPr="000755DC">
        <w:t>По вопросу № 8. Получение и обработка информации из внешних информационных систем, не входящих в состав системы, настоящей закупкой не предусматривается. Единственным источником данных для аналитического модуля является операционный модуль системы обработки обращений граждан.</w:t>
      </w:r>
    </w:p>
    <w:p w14:paraId="3E771648" w14:textId="77777777" w:rsidR="00E621DB" w:rsidRDefault="00E621DB" w:rsidP="00E621DB">
      <w:pPr>
        <w:pStyle w:val="ac"/>
      </w:pPr>
      <w:r w:rsidRPr="000755DC">
        <w:t>По вопросу № 9. Доступ Исполнителя к средствам мониторинга Заказчика не предоставляется. Взаимодействие осуществляется в части передачи метрик и журналов событий в порядке, указанном в ответе на вопрос № 7.</w:t>
      </w:r>
    </w:p>
    <w:p w14:paraId="799EA3CA" w14:textId="77777777" w:rsidR="00E621DB" w:rsidRDefault="00E621DB" w:rsidP="00E621DB">
      <w:pPr>
        <w:pStyle w:val="ac"/>
      </w:pPr>
      <w:r>
        <w:t>По вопросу № 10. Исключительные права на программное обеспечение, создаваемое в рамках настоящей закупки, принадлежат Заказчику в полном объёме с момента приёмки результатов работ. Исключительные права на существующую систему обработки обращений граждан, в составе которой создаётся аналитический модуль как обособленный модуль, также принадлежат Заказчику.</w:t>
      </w:r>
    </w:p>
    <w:p w14:paraId="55FE8234" w14:textId="77777777" w:rsidR="00E621DB" w:rsidRDefault="00E621DB" w:rsidP="00E621DB">
      <w:pPr>
        <w:pStyle w:val="ac"/>
      </w:pPr>
      <w:r>
        <w:t>По вопросу № 11. Существующая система обработки обращений граждан в единый реестр российских программ для электронных вычислительных машин и баз данных не включена. Требование о включении создаваемого аналитического модуля в указанный реестр условиями закупки не устанавливается; при этом применяемое общесистемное и прикладное программное обеспечение должно соответствовать требованиям, указанным в ответе на вопрос № 2.</w:t>
      </w:r>
    </w:p>
    <w:p w14:paraId="1FD5EE9E" w14:textId="77777777" w:rsidR="00E621DB" w:rsidRDefault="00E621DB" w:rsidP="00E621DB">
      <w:pPr>
        <w:pStyle w:val="ac"/>
      </w:pPr>
      <w:r>
        <w:t xml:space="preserve">По вопросу № 12. Наличие у Исполнителя лицензионных прав на какое-либо программное обеспечение для выполнения работ по контракту не требуется. </w:t>
      </w:r>
      <w:r w:rsidRPr="00062028">
        <w:t>Права доступа к компонентам существующей системы и инфраструктуры, необходимые для разработки, отладки и внедрения аналитического модуля, предоставляются Заказчиком. Исключение составляют случаи, когда Исполнитель в составе создаваемого аналитического модуля использует готовые решения, библиотеки или иные готовые компоненты (в том числе собственные разработки Исполнителя и решения третьих лиц): в таких случаях Исполнитель самостоятельно обеспечивает наличие прав, необходимых для использования таких компонентов, и передаёт Заказчику права, обеспечивающие возможность бессрочного использования, модификации и сопровождения аналитического модуля без выплаты лицензионных платежей и без необходимости привлечения Исполнителя. Состав используемых готовых компонентов и условия их лицензирования раскрываются Исполнителем и согласовываются с Заказчиком на этапе технического проектирования</w:t>
      </w:r>
      <w:r>
        <w:t>.</w:t>
      </w:r>
    </w:p>
    <w:p w14:paraId="6D2FE230" w14:textId="77777777" w:rsidR="00E621DB" w:rsidRDefault="00E621DB" w:rsidP="00E621DB">
      <w:pPr>
        <w:pStyle w:val="ac"/>
      </w:pPr>
      <w:r>
        <w:lastRenderedPageBreak/>
        <w:t>По вопросу № 13. Закупка программного обеспечения в рамках настоящего контракта не предусматривается. Общесистемное программное обеспечение и вычислительные ресурсы инфраструктуры предоставляются Заказчиком.</w:t>
      </w:r>
    </w:p>
    <w:p w14:paraId="61052D84" w14:textId="77777777" w:rsidR="00E621DB" w:rsidRDefault="00E621DB" w:rsidP="00E621DB">
      <w:pPr>
        <w:pStyle w:val="ac"/>
      </w:pPr>
      <w:r>
        <w:t>По вопросу № 14. Приобретение прав на стороннее проприетарное программное обеспечение условиями контракта не предусмотрено (см. ответ на вопрос № 2). В случае если предложенное Исполнителем техническое решение потребует приобретения таких прав, их приобретение осуществляется за счёт Исполнителя в пределах цены контракта и подлежит предварительному согласованию с Заказчиком.</w:t>
      </w:r>
    </w:p>
    <w:p w14:paraId="1EB01851" w14:textId="77777777" w:rsidR="00E621DB" w:rsidRDefault="00E621DB" w:rsidP="00E621DB">
      <w:pPr>
        <w:pStyle w:val="ac"/>
      </w:pPr>
      <w:r>
        <w:t xml:space="preserve">По вопросу № 15. Удалённый доступ предоставляется к тестовому контуру инфраструктуры Заказчика </w:t>
      </w:r>
      <w:r w:rsidRPr="00062028">
        <w:t>через криптографический шлюз Заказчика с использованием сертифицированных средств криптографической защиты информации и</w:t>
      </w:r>
      <w:r>
        <w:t xml:space="preserve"> многофакторной аутентификации, на основании заявки Исполнителя с указанием перечня работников, которым требуется доступ. Доступ предоставляется в объёме, необходимом для выполнения работ, при условии подписания Исполнителем соглашения о конфиденциальности и соблюдения требований информационной безопасности Заказчика.</w:t>
      </w:r>
    </w:p>
    <w:p w14:paraId="64A19C76" w14:textId="77777777" w:rsidR="00E621DB" w:rsidRDefault="00E621DB" w:rsidP="00E621DB">
      <w:pPr>
        <w:pStyle w:val="ac"/>
      </w:pPr>
      <w:r>
        <w:t>По вопросу № 16. Работы по развитию существующей системы обработки обращений граждан иными подрядчиками в настоящий момент не ведутся. Гарантийные обязательства в отношении операционного модуля исполняются его разработчиком в объёме, установленном ранее заключённым контрактом.</w:t>
      </w:r>
    </w:p>
    <w:p w14:paraId="26FC4E2F" w14:textId="77777777" w:rsidR="00E621DB" w:rsidRPr="000755DC" w:rsidRDefault="00E621DB" w:rsidP="00E621DB">
      <w:pPr>
        <w:pStyle w:val="ac"/>
      </w:pPr>
      <w:r>
        <w:t>По вопросу № 17. С учётом ответа на вопрос № 16 разграничение зон ответственности между несколькими исполнителями не требуется. Ответственность Исполнителя ограничивается создаваемым аналитическим модулем и интеграционным взаимодействием с операционным модулем. Порядок передачи релизов, состав и порядок корректировки документации, а также порядок устранения дефектов определяются на этапе технического проектирования и согласовываются с Заказчиком.</w:t>
      </w:r>
    </w:p>
    <w:p w14:paraId="49218909" w14:textId="77777777" w:rsidR="008E1230" w:rsidRDefault="008E1230" w:rsidP="008E1230">
      <w:pPr>
        <w:rPr>
          <w:rFonts w:ascii="Times New Roman" w:hAnsi="Times New Roman" w:cs="Times New Roman"/>
          <w:sz w:val="24"/>
        </w:rPr>
      </w:pPr>
    </w:p>
    <w:p w14:paraId="33AA73E7" w14:textId="77777777" w:rsidR="00544B1B" w:rsidRDefault="00544B1B" w:rsidP="00544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22614" w14:textId="62515C56" w:rsidR="00080EA4" w:rsidRPr="00283A50" w:rsidRDefault="00080EA4" w:rsidP="00080EA4">
      <w:pPr>
        <w:rPr>
          <w:rFonts w:ascii="Times New Roman" w:hAnsi="Times New Roman" w:cs="Times New Roman"/>
          <w:sz w:val="24"/>
          <w:szCs w:val="24"/>
        </w:rPr>
      </w:pPr>
    </w:p>
    <w:p w14:paraId="7FF18CEC" w14:textId="70B843E6" w:rsidR="00080EA4" w:rsidRDefault="00080EA4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11CCA8" w14:textId="77777777" w:rsidR="00080EA4" w:rsidRDefault="00080EA4" w:rsidP="002614C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80EA4" w:rsidSect="003E55B9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63"/>
    <w:multiLevelType w:val="hybridMultilevel"/>
    <w:tmpl w:val="7DBAB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A09D5"/>
    <w:multiLevelType w:val="hybridMultilevel"/>
    <w:tmpl w:val="A52AC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0131D"/>
    <w:multiLevelType w:val="hybridMultilevel"/>
    <w:tmpl w:val="8BF60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34026"/>
    <w:multiLevelType w:val="hybridMultilevel"/>
    <w:tmpl w:val="771C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B62AA"/>
    <w:multiLevelType w:val="hybridMultilevel"/>
    <w:tmpl w:val="A9F48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363AA"/>
    <w:multiLevelType w:val="hybridMultilevel"/>
    <w:tmpl w:val="552837E2"/>
    <w:lvl w:ilvl="0" w:tplc="B04862D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61147D44"/>
    <w:multiLevelType w:val="hybridMultilevel"/>
    <w:tmpl w:val="ED128250"/>
    <w:lvl w:ilvl="0" w:tplc="BCB292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25895"/>
    <w:multiLevelType w:val="hybridMultilevel"/>
    <w:tmpl w:val="1CB81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928C2"/>
    <w:multiLevelType w:val="hybridMultilevel"/>
    <w:tmpl w:val="3768E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21B"/>
    <w:rsid w:val="000103C0"/>
    <w:rsid w:val="00041AE0"/>
    <w:rsid w:val="0004218F"/>
    <w:rsid w:val="00042927"/>
    <w:rsid w:val="0004663C"/>
    <w:rsid w:val="00080EA4"/>
    <w:rsid w:val="000A543F"/>
    <w:rsid w:val="000B0E12"/>
    <w:rsid w:val="000E1C2D"/>
    <w:rsid w:val="000E3DF2"/>
    <w:rsid w:val="000F6455"/>
    <w:rsid w:val="0011652F"/>
    <w:rsid w:val="00117248"/>
    <w:rsid w:val="00152DF1"/>
    <w:rsid w:val="001577D3"/>
    <w:rsid w:val="001A3B48"/>
    <w:rsid w:val="001C7AE8"/>
    <w:rsid w:val="001D531C"/>
    <w:rsid w:val="001D6890"/>
    <w:rsid w:val="002614C2"/>
    <w:rsid w:val="00283A50"/>
    <w:rsid w:val="002F1A7F"/>
    <w:rsid w:val="002F1BC7"/>
    <w:rsid w:val="002F3E3B"/>
    <w:rsid w:val="00306A85"/>
    <w:rsid w:val="00312664"/>
    <w:rsid w:val="003358DA"/>
    <w:rsid w:val="003422A7"/>
    <w:rsid w:val="003675D4"/>
    <w:rsid w:val="003768C7"/>
    <w:rsid w:val="00395056"/>
    <w:rsid w:val="003A7A36"/>
    <w:rsid w:val="003C45E2"/>
    <w:rsid w:val="003C476F"/>
    <w:rsid w:val="003E55B9"/>
    <w:rsid w:val="00403433"/>
    <w:rsid w:val="00423600"/>
    <w:rsid w:val="004440C4"/>
    <w:rsid w:val="00450983"/>
    <w:rsid w:val="00473069"/>
    <w:rsid w:val="00484E5B"/>
    <w:rsid w:val="004875A0"/>
    <w:rsid w:val="004C3F88"/>
    <w:rsid w:val="004D404C"/>
    <w:rsid w:val="0050588C"/>
    <w:rsid w:val="0051031E"/>
    <w:rsid w:val="0052006F"/>
    <w:rsid w:val="005427EC"/>
    <w:rsid w:val="00544B1B"/>
    <w:rsid w:val="00553D99"/>
    <w:rsid w:val="00572755"/>
    <w:rsid w:val="00577DA9"/>
    <w:rsid w:val="005849D7"/>
    <w:rsid w:val="00590B98"/>
    <w:rsid w:val="005A4A20"/>
    <w:rsid w:val="005C2B34"/>
    <w:rsid w:val="005C6B6F"/>
    <w:rsid w:val="005D3893"/>
    <w:rsid w:val="005D41CB"/>
    <w:rsid w:val="005D735D"/>
    <w:rsid w:val="005F5A69"/>
    <w:rsid w:val="005F78A5"/>
    <w:rsid w:val="00605861"/>
    <w:rsid w:val="006223B9"/>
    <w:rsid w:val="00636598"/>
    <w:rsid w:val="00696B5B"/>
    <w:rsid w:val="006A39B9"/>
    <w:rsid w:val="006C6358"/>
    <w:rsid w:val="0071654B"/>
    <w:rsid w:val="00717F7C"/>
    <w:rsid w:val="0076209F"/>
    <w:rsid w:val="007666B9"/>
    <w:rsid w:val="00783ADF"/>
    <w:rsid w:val="0079049C"/>
    <w:rsid w:val="007B242C"/>
    <w:rsid w:val="007B4724"/>
    <w:rsid w:val="007C5995"/>
    <w:rsid w:val="007F7C55"/>
    <w:rsid w:val="008127AA"/>
    <w:rsid w:val="00832715"/>
    <w:rsid w:val="00837F29"/>
    <w:rsid w:val="008858FA"/>
    <w:rsid w:val="008D4C60"/>
    <w:rsid w:val="008E1230"/>
    <w:rsid w:val="008F06AB"/>
    <w:rsid w:val="00910BA6"/>
    <w:rsid w:val="0091646C"/>
    <w:rsid w:val="0092423F"/>
    <w:rsid w:val="0093296F"/>
    <w:rsid w:val="00937E56"/>
    <w:rsid w:val="00942CA1"/>
    <w:rsid w:val="00981B00"/>
    <w:rsid w:val="00986DAA"/>
    <w:rsid w:val="00995FF1"/>
    <w:rsid w:val="009A3FCC"/>
    <w:rsid w:val="00A0321B"/>
    <w:rsid w:val="00A1561E"/>
    <w:rsid w:val="00A557BD"/>
    <w:rsid w:val="00A7135A"/>
    <w:rsid w:val="00AB3C43"/>
    <w:rsid w:val="00AB62CD"/>
    <w:rsid w:val="00AC3864"/>
    <w:rsid w:val="00AE77AF"/>
    <w:rsid w:val="00B26D3D"/>
    <w:rsid w:val="00B31256"/>
    <w:rsid w:val="00B7061F"/>
    <w:rsid w:val="00B86BFB"/>
    <w:rsid w:val="00BB2E48"/>
    <w:rsid w:val="00C12C96"/>
    <w:rsid w:val="00C35608"/>
    <w:rsid w:val="00C70790"/>
    <w:rsid w:val="00C859A2"/>
    <w:rsid w:val="00CA2FF2"/>
    <w:rsid w:val="00CD2940"/>
    <w:rsid w:val="00CF0AA1"/>
    <w:rsid w:val="00D05C02"/>
    <w:rsid w:val="00D1087B"/>
    <w:rsid w:val="00D67BC5"/>
    <w:rsid w:val="00D72609"/>
    <w:rsid w:val="00D74532"/>
    <w:rsid w:val="00D96FFF"/>
    <w:rsid w:val="00DC1ADE"/>
    <w:rsid w:val="00DC621F"/>
    <w:rsid w:val="00DD12AE"/>
    <w:rsid w:val="00DD2168"/>
    <w:rsid w:val="00DD4E42"/>
    <w:rsid w:val="00E45AE4"/>
    <w:rsid w:val="00E513F3"/>
    <w:rsid w:val="00E51BF1"/>
    <w:rsid w:val="00E56EDD"/>
    <w:rsid w:val="00E621DB"/>
    <w:rsid w:val="00E650E9"/>
    <w:rsid w:val="00E82652"/>
    <w:rsid w:val="00EB67C5"/>
    <w:rsid w:val="00EC541C"/>
    <w:rsid w:val="00ED03FA"/>
    <w:rsid w:val="00EE1552"/>
    <w:rsid w:val="00F04BBF"/>
    <w:rsid w:val="00F91C9F"/>
    <w:rsid w:val="00F91CA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930B"/>
  <w15:docId w15:val="{0534712B-0583-4CDA-8571-0D4DD5FF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C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5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608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F91CAB"/>
  </w:style>
  <w:style w:type="character" w:styleId="a6">
    <w:name w:val="Strong"/>
    <w:basedOn w:val="a0"/>
    <w:uiPriority w:val="22"/>
    <w:qFormat/>
    <w:rsid w:val="00E51BF1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5200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200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200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200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2006F"/>
    <w:rPr>
      <w:b/>
      <w:bCs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F04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093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870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97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3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5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512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39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78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261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97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533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9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26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097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22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8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4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40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72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701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87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1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22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890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22897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12" w:space="0" w:color="D3D7DB"/>
                                            <w:left w:val="single" w:sz="12" w:space="0" w:color="D3D7DB"/>
                                            <w:bottom w:val="single" w:sz="12" w:space="0" w:color="D3D7DB"/>
                                            <w:right w:val="single" w:sz="12" w:space="0" w:color="D3D7DB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F0334-6A21-4DC6-9C9F-7243FFAD1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МГТС</Company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Панферова Елена Владимировна</dc:creator>
  <cp:lastModifiedBy>Велкова Виктория Анатольевна</cp:lastModifiedBy>
  <cp:revision>13</cp:revision>
  <cp:lastPrinted>2018-06-01T11:02:00Z</cp:lastPrinted>
  <dcterms:created xsi:type="dcterms:W3CDTF">2026-09-11T09:23:00Z</dcterms:created>
  <dcterms:modified xsi:type="dcterms:W3CDTF">2026-09-18T09:20:00Z</dcterms:modified>
</cp:coreProperties>
</file>