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10.xml" ContentType="application/vnd.openxmlformats-officedocument.wordprocessingml.footer+xml"/>
  <Override PartName="/word/footer2.xml" ContentType="application/vnd.openxmlformats-officedocument.wordprocessingml.footer+xml"/>
  <Override PartName="/word/header9.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media/image1.wmf" ContentType="image/x-wmf"/>
  <Override PartName="/word/media/image2.wmf" ContentType="image/x-wmf"/>
  <Override PartName="/word/media/image3.wmf" ContentType="image/x-wmf"/>
  <Override PartName="/word/media/image4.png" ContentType="image/png"/>
  <Override PartName="/word/media/image5.wmf" ContentType="image/x-wmf"/>
  <Override PartName="/word/media/image6.wmf" ContentType="image/x-wmf"/>
  <Override PartName="/word/footnotes.xml" ContentType="application/vnd.openxmlformats-officedocument.wordprocessingml.footnotes+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settings.xml" ContentType="application/vnd.openxmlformats-officedocument.wordprocessingml.settings+xml"/>
  <Override PartName="/word/header5.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ntTable.xml" ContentType="application/vnd.openxmlformats-officedocument.wordprocessingml.fontTable+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120" w:after="0"/>
        <w:ind w:hanging="11" w:left="4395"/>
        <w:rPr>
          <w:rStyle w:val="Style22"/>
          <w:b w:val="false"/>
        </w:rPr>
      </w:pPr>
      <w:r>
        <w:rPr>
          <w:rFonts w:eastAsia="Times New Roman" w:cs="Times New Roman"/>
          <w:sz w:val="26"/>
          <w:szCs w:val="26"/>
          <w:lang w:eastAsia="ru-RU"/>
        </w:rPr>
        <w:t xml:space="preserve">                   </w:t>
      </w:r>
      <w:r>
        <w:rPr>
          <w:rStyle w:val="Style11"/>
          <w:rFonts w:eastAsia="Times New Roman" w:cs="Times New Roman"/>
          <w:i w:val="false"/>
          <w:iCs w:val="false"/>
          <w:sz w:val="26"/>
          <w:szCs w:val="28"/>
          <w:shd w:fill="auto" w:val="clear"/>
          <w:lang w:eastAsia="ru-RU"/>
        </w:rPr>
        <w:t>«УТВЕРЖДАЮ»</w:t>
      </w:r>
    </w:p>
    <w:p>
      <w:pPr>
        <w:pStyle w:val="Normal"/>
        <w:ind w:hanging="11" w:left="5670"/>
        <w:rPr>
          <w:rFonts w:ascii="Times New Roman" w:hAnsi="Times New Roman"/>
          <w:i w:val="false"/>
          <w:i w:val="false"/>
          <w:iCs w:val="false"/>
        </w:rPr>
      </w:pPr>
      <w:r>
        <w:rPr>
          <w:i w:val="false"/>
          <w:iCs w:val="false"/>
          <w:szCs w:val="28"/>
        </w:rPr>
        <w:t>Председатель</w:t>
      </w:r>
    </w:p>
    <w:p>
      <w:pPr>
        <w:pStyle w:val="Normal"/>
        <w:ind w:hanging="11" w:left="5670"/>
        <w:rPr>
          <w:rFonts w:ascii="Times New Roman" w:hAnsi="Times New Roman"/>
          <w:i w:val="false"/>
          <w:i w:val="false"/>
          <w:iCs w:val="false"/>
        </w:rPr>
      </w:pPr>
      <w:r>
        <w:rPr>
          <w:i w:val="false"/>
          <w:iCs w:val="false"/>
          <w:szCs w:val="28"/>
        </w:rPr>
        <w:t>закупочной комиссии</w:t>
      </w:r>
    </w:p>
    <w:p>
      <w:pPr>
        <w:pStyle w:val="Normal"/>
        <w:ind w:hanging="11" w:left="5670"/>
        <w:rPr>
          <w:rFonts w:ascii="Times New Roman" w:hAnsi="Times New Roman"/>
          <w:i w:val="false"/>
          <w:i w:val="false"/>
          <w:iCs w:val="false"/>
        </w:rPr>
      </w:pPr>
      <w:r>
        <w:rPr>
          <w:i w:val="false"/>
          <w:iCs w:val="false"/>
          <w:szCs w:val="28"/>
        </w:rPr>
        <w:t>__________________ А.А. Киров</w:t>
      </w:r>
    </w:p>
    <w:p>
      <w:pPr>
        <w:pStyle w:val="Normal"/>
        <w:widowControl/>
        <w:suppressAutoHyphens w:val="true"/>
        <w:bidi w:val="0"/>
        <w:spacing w:lineRule="auto" w:line="276" w:before="120" w:after="0"/>
        <w:ind w:firstLine="1247" w:left="5613" w:right="0"/>
        <w:jc w:val="left"/>
        <w:rPr>
          <w:rStyle w:val="Style22"/>
          <w:b w:val="false"/>
        </w:rPr>
      </w:pPr>
      <w:r>
        <w:rPr>
          <w:rStyle w:val="Style11"/>
          <w:rFonts w:eastAsia="Times New Roman" w:cs="Times New Roman"/>
          <w:b w:val="false"/>
          <w:i w:val="false"/>
          <w:iCs w:val="false"/>
          <w:sz w:val="26"/>
          <w:szCs w:val="28"/>
          <w:shd w:fill="auto" w:val="clear"/>
          <w:lang w:eastAsia="ru-RU"/>
        </w:rPr>
        <w:t xml:space="preserve">                                                                                                  </w:t>
      </w:r>
      <w:r>
        <w:rPr>
          <w:rStyle w:val="Style11"/>
          <w:rFonts w:eastAsia="Times New Roman" w:cs="Times New Roman"/>
          <w:b w:val="false"/>
          <w:i w:val="false"/>
          <w:iCs w:val="false"/>
          <w:sz w:val="26"/>
          <w:szCs w:val="28"/>
          <w:shd w:fill="auto" w:val="clear"/>
          <w:lang w:eastAsia="ru-RU"/>
        </w:rPr>
        <w:t xml:space="preserve">«___» _______________ 2026 год </w:t>
      </w:r>
    </w:p>
    <w:p>
      <w:pPr>
        <w:pStyle w:val="Normal"/>
        <w:numPr>
          <w:ilvl w:val="0"/>
          <w:numId w:val="0"/>
        </w:numPr>
        <w:spacing w:before="480" w:after="360"/>
        <w:ind w:hanging="0" w:left="0"/>
        <w:jc w:val="center"/>
        <w:outlineLvl w:val="4"/>
        <w:rPr>
          <w:b/>
          <w:sz w:val="36"/>
        </w:rPr>
      </w:pPr>
      <w:r>
        <w:rPr>
          <w:b/>
          <w:sz w:val="36"/>
        </w:rPr>
      </w:r>
    </w:p>
    <w:p>
      <w:pPr>
        <w:pStyle w:val="Normal"/>
        <w:spacing w:lineRule="auto" w:line="360"/>
        <w:jc w:val="center"/>
        <w:rPr>
          <w:color w:val="000000"/>
          <w:sz w:val="28"/>
        </w:rPr>
      </w:pPr>
      <w:r>
        <w:rPr>
          <w:color w:val="000000"/>
          <w:sz w:val="28"/>
        </w:rPr>
      </w:r>
    </w:p>
    <w:p>
      <w:pPr>
        <w:pStyle w:val="Normal"/>
        <w:spacing w:lineRule="auto" w:line="360"/>
        <w:jc w:val="center"/>
        <w:rPr>
          <w:color w:val="000000"/>
          <w:sz w:val="28"/>
        </w:rPr>
      </w:pPr>
      <w:r>
        <w:rPr>
          <w:color w:val="000000"/>
          <w:sz w:val="28"/>
        </w:rPr>
      </w:r>
    </w:p>
    <w:p>
      <w:pPr>
        <w:pStyle w:val="Normal"/>
        <w:spacing w:lineRule="auto" w:line="360"/>
        <w:jc w:val="center"/>
        <w:rPr>
          <w:color w:val="000000"/>
          <w:sz w:val="28"/>
        </w:rPr>
      </w:pPr>
      <w:r>
        <w:rPr>
          <w:color w:val="000000"/>
          <w:sz w:val="28"/>
        </w:rPr>
      </w:r>
    </w:p>
    <w:p>
      <w:pPr>
        <w:pStyle w:val="Normal"/>
        <w:spacing w:lineRule="auto" w:line="360"/>
        <w:jc w:val="center"/>
        <w:rPr>
          <w:color w:val="000000"/>
          <w:sz w:val="28"/>
        </w:rPr>
      </w:pPr>
      <w:r>
        <w:rPr>
          <w:color w:val="000000"/>
          <w:sz w:val="28"/>
        </w:rPr>
      </w:r>
    </w:p>
    <w:p>
      <w:pPr>
        <w:pStyle w:val="Style32"/>
        <w:rPr/>
      </w:pPr>
      <w:r>
        <w:rPr/>
      </w:r>
    </w:p>
    <w:p>
      <w:pPr>
        <w:pStyle w:val="Style32"/>
        <w:keepNext w:val="true"/>
        <w:numPr>
          <w:ilvl w:val="0"/>
          <w:numId w:val="0"/>
        </w:numPr>
        <w:ind w:hanging="0" w:left="0"/>
        <w:jc w:val="center"/>
        <w:outlineLvl w:val="2"/>
        <w:rPr>
          <w:b/>
          <w:bCs/>
          <w:caps/>
        </w:rPr>
      </w:pPr>
      <w:r>
        <w:rPr>
          <w:b/>
          <w:bCs/>
          <w:caps/>
        </w:rPr>
        <w:t>Документация о закупке</w:t>
      </w:r>
    </w:p>
    <w:p>
      <w:pPr>
        <w:pStyle w:val="Style32"/>
        <w:keepNext w:val="true"/>
        <w:spacing w:before="240" w:after="60"/>
        <w:jc w:val="center"/>
        <w:rPr>
          <w:rStyle w:val="Style11"/>
        </w:rPr>
      </w:pPr>
      <w:r>
        <w:rPr/>
        <w:t>Конкурс в электронной форме, на право заключения договора на ОКПД 2: 62.01 Предоставление услуг по программно-техническому сопровождению ""1С:Бухгалтерия предприятия КОРП + БИТ.ФИНАНС.УУ"", ""1С:Зарплата и управление персоналом"", интеграции с «1С:Управление автотранспортом ПРОФ» для нужд АО «ТК РусГидро»</w:t>
      </w:r>
    </w:p>
    <w:p>
      <w:pPr>
        <w:pStyle w:val="Style32"/>
        <w:keepNext w:val="true"/>
        <w:spacing w:before="240" w:after="60"/>
        <w:jc w:val="center"/>
        <w:rPr/>
      </w:pPr>
      <w:r>
        <w:rPr/>
        <w:t>(Лот № </w:t>
      </w:r>
      <w:r>
        <w:rPr>
          <w:rFonts w:eastAsia="Times New Roman" w:cs="Times New Roman"/>
        </w:rPr>
        <w:t>1005-ЭКСП ДИТ-2027-ТК</w:t>
      </w:r>
      <w:r>
        <w:rPr/>
        <w:t>)</w:t>
      </w:r>
    </w:p>
    <w:p>
      <w:pPr>
        <w:pStyle w:val="Style32"/>
        <w:keepNext w:val="true"/>
        <w:rPr/>
      </w:pPr>
      <w:r>
        <w:rPr/>
      </w:r>
      <w:r>
        <w:br w:type="page"/>
      </w:r>
    </w:p>
    <w:p>
      <w:pPr>
        <w:pStyle w:val="Style31"/>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sz w:val="22"/>
              <w:lang w:eastAsia="ru-RU"/>
            </w:rPr>
          </w:pPr>
          <w:r>
            <w:fldChar w:fldCharType="begin"/>
          </w:r>
          <w:r>
            <w:rPr>
              <w:webHidden/>
              <w:rStyle w:val="Style21"/>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Перечисление,5,[РГ] Перечисление,5,[РГ] Перечисление,5,[РГ] Перечисление,5,[РГ] Перечисление,5,[РГ] Перечисление,5,[РГ] Перечисление,5,[РГ] Перечисление,5" \h</w:instrText>
          </w:r>
          <w:r>
            <w:rPr>
              <w:webHidden/>
              <w:rStyle w:val="Style21"/>
              <w:vanish w:val="false"/>
            </w:rPr>
            <w:fldChar w:fldCharType="separate"/>
          </w:r>
          <w:hyperlink w:anchor="_Toc236402250">
            <w:r>
              <w:rPr>
                <w:webHidden/>
              </w:rPr>
              <w:fldChar w:fldCharType="begin"/>
            </w:r>
            <w:r>
              <w:rPr>
                <w:webHidden/>
              </w:rPr>
              <w:instrText xml:space="preserve">PAGEREF _Toc236402250 \h</w:instrText>
            </w:r>
            <w:r>
              <w:rPr>
                <w:webHidden/>
              </w:rPr>
              <w:fldChar w:fldCharType="separate"/>
            </w:r>
            <w:r>
              <w:rPr>
                <w:webHidden/>
                <w:rStyle w:val="Style21"/>
                <w:vanish w:val="false"/>
              </w:rPr>
              <w:t>Сокращения</w:t>
              <w:tab/>
              <w:t>5</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251">
            <w:r>
              <w:rPr>
                <w:webHidden/>
              </w:rPr>
              <w:fldChar w:fldCharType="begin"/>
            </w:r>
            <w:r>
              <w:rPr>
                <w:webHidden/>
              </w:rPr>
              <w:instrText xml:space="preserve">PAGEREF _Toc236402251 \h</w:instrText>
            </w:r>
            <w:r>
              <w:rPr>
                <w:webHidden/>
              </w:rPr>
              <w:fldChar w:fldCharType="separate"/>
            </w:r>
            <w:r>
              <w:rPr>
                <w:webHidden/>
                <w:rStyle w:val="Style21"/>
                <w:vanish w:val="false"/>
              </w:rPr>
              <w:t>Термины и определения</w:t>
              <w:tab/>
              <w:t>7</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252">
            <w:r>
              <w:rPr>
                <w:webHidden/>
                <w:rStyle w:val="Style21"/>
                <w:rFonts w:cs="Times New Roman"/>
                <w:vanish w:val="false"/>
              </w:rPr>
              <w:t>1.</w:t>
            </w:r>
            <w:r>
              <w:rPr>
                <w:rStyle w:val="Style21"/>
                <w:rFonts w:eastAsia="" w:ascii="Calibri" w:hAnsi="Calibri" w:asciiTheme="minorHAnsi" w:eastAsiaTheme="minorEastAsia" w:hAnsiTheme="minorHAnsi"/>
                <w:b w:val="false"/>
                <w:caps w:val="false"/>
                <w:smallCaps w:val="false"/>
                <w:sz w:val="22"/>
                <w:lang w:eastAsia="ru-RU"/>
              </w:rPr>
              <w:tab/>
            </w:r>
            <w:r>
              <w:rPr>
                <w:rStyle w:val="Style21"/>
                <w:rFonts w:cs="Times New Roman"/>
              </w:rPr>
              <w:t>Основные сведения о закупке</w:t>
            </w:r>
            <w:r>
              <w:rPr>
                <w:webHidden/>
              </w:rPr>
              <w:fldChar w:fldCharType="begin"/>
            </w:r>
            <w:r>
              <w:rPr>
                <w:webHidden/>
              </w:rPr>
              <w:instrText xml:space="preserve">PAGEREF _Toc236402252 \h</w:instrText>
            </w:r>
            <w:r>
              <w:rPr>
                <w:webHidden/>
              </w:rPr>
              <w:fldChar w:fldCharType="separate"/>
            </w:r>
            <w:r>
              <w:rPr>
                <w:rStyle w:val="Style21"/>
                <w:vanish w:val="false"/>
              </w:rPr>
              <w:tab/>
              <w:t>11</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53">
            <w:r>
              <w:rPr>
                <w:webHidden/>
                <w:rStyle w:val="Style21"/>
                <w:rFonts w:cs="Times New Roman"/>
                <w:vanish w:val="false"/>
              </w:rPr>
              <w:t>1.1</w:t>
            </w:r>
            <w:r>
              <w:rPr>
                <w:rStyle w:val="Style21"/>
                <w:rFonts w:eastAsia="" w:ascii="Calibri" w:hAnsi="Calibri" w:asciiTheme="minorHAnsi" w:eastAsiaTheme="minorEastAsia" w:hAnsiTheme="minorHAnsi"/>
                <w:sz w:val="22"/>
                <w:lang w:eastAsia="ru-RU"/>
              </w:rPr>
              <w:tab/>
            </w:r>
            <w:r>
              <w:rPr>
                <w:rStyle w:val="Style21"/>
                <w:rFonts w:cs="Times New Roman"/>
              </w:rPr>
              <w:t>Статус настоящего раздела</w:t>
            </w:r>
            <w:r>
              <w:rPr>
                <w:webHidden/>
              </w:rPr>
              <w:fldChar w:fldCharType="begin"/>
            </w:r>
            <w:r>
              <w:rPr>
                <w:webHidden/>
              </w:rPr>
              <w:instrText xml:space="preserve">PAGEREF _Toc236402253 \h</w:instrText>
            </w:r>
            <w:r>
              <w:rPr>
                <w:webHidden/>
              </w:rPr>
              <w:fldChar w:fldCharType="separate"/>
            </w:r>
            <w:r>
              <w:rPr>
                <w:rStyle w:val="Style21"/>
                <w:vanish w:val="false"/>
              </w:rPr>
              <w:tab/>
              <w:t>11</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54">
            <w:r>
              <w:rPr>
                <w:webHidden/>
                <w:rStyle w:val="Style21"/>
                <w:rFonts w:cs="Times New Roman"/>
                <w:vanish w:val="false"/>
              </w:rPr>
              <w:t>1.2</w:t>
            </w:r>
            <w:r>
              <w:rPr>
                <w:rStyle w:val="Style21"/>
                <w:rFonts w:eastAsia="" w:ascii="Calibri" w:hAnsi="Calibri" w:asciiTheme="minorHAnsi" w:eastAsiaTheme="minorEastAsia" w:hAnsiTheme="minorHAnsi"/>
                <w:sz w:val="22"/>
                <w:lang w:eastAsia="ru-RU"/>
              </w:rPr>
              <w:tab/>
            </w:r>
            <w:r>
              <w:rPr>
                <w:rStyle w:val="Style21"/>
                <w:rFonts w:cs="Times New Roman"/>
              </w:rPr>
              <w:t>Информация о проводимой закупке</w:t>
            </w:r>
            <w:r>
              <w:rPr>
                <w:webHidden/>
              </w:rPr>
              <w:fldChar w:fldCharType="begin"/>
            </w:r>
            <w:r>
              <w:rPr>
                <w:webHidden/>
              </w:rPr>
              <w:instrText xml:space="preserve">PAGEREF _Toc236402254 \h</w:instrText>
            </w:r>
            <w:r>
              <w:rPr>
                <w:webHidden/>
              </w:rPr>
              <w:fldChar w:fldCharType="separate"/>
            </w:r>
            <w:r>
              <w:rPr>
                <w:rStyle w:val="Style21"/>
                <w:vanish w:val="false"/>
              </w:rPr>
              <w:tab/>
              <w:t>11</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255">
            <w:r>
              <w:rPr>
                <w:webHidden/>
                <w:rStyle w:val="Style21"/>
                <w:vanish w:val="false"/>
              </w:rPr>
              <w:t>2.</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Общие положения</w:t>
            </w:r>
            <w:r>
              <w:rPr>
                <w:webHidden/>
              </w:rPr>
              <w:fldChar w:fldCharType="begin"/>
            </w:r>
            <w:r>
              <w:rPr>
                <w:webHidden/>
              </w:rPr>
              <w:instrText xml:space="preserve">PAGEREF _Toc236402255 \h</w:instrText>
            </w:r>
            <w:r>
              <w:rPr>
                <w:webHidden/>
              </w:rPr>
              <w:fldChar w:fldCharType="separate"/>
            </w:r>
            <w:r>
              <w:rPr>
                <w:rStyle w:val="Style21"/>
                <w:vanish w:val="false"/>
              </w:rPr>
              <w:tab/>
              <w:t>17</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56">
            <w:r>
              <w:rPr>
                <w:webHidden/>
                <w:rStyle w:val="Style21"/>
                <w:vanish w:val="false"/>
              </w:rPr>
              <w:t>2.1</w:t>
            </w:r>
            <w:r>
              <w:rPr>
                <w:rStyle w:val="Style21"/>
                <w:rFonts w:eastAsia="" w:ascii="Calibri" w:hAnsi="Calibri" w:asciiTheme="minorHAnsi" w:eastAsiaTheme="minorEastAsia" w:hAnsiTheme="minorHAnsi"/>
                <w:sz w:val="22"/>
                <w:lang w:eastAsia="ru-RU"/>
              </w:rPr>
              <w:tab/>
            </w:r>
            <w:r>
              <w:rPr>
                <w:rStyle w:val="Style21"/>
              </w:rPr>
              <w:t>Общие сведения о закупке</w:t>
            </w:r>
            <w:r>
              <w:rPr>
                <w:webHidden/>
              </w:rPr>
              <w:fldChar w:fldCharType="begin"/>
            </w:r>
            <w:r>
              <w:rPr>
                <w:webHidden/>
              </w:rPr>
              <w:instrText xml:space="preserve">PAGEREF _Toc236402256 \h</w:instrText>
            </w:r>
            <w:r>
              <w:rPr>
                <w:webHidden/>
              </w:rPr>
              <w:fldChar w:fldCharType="separate"/>
            </w:r>
            <w:r>
              <w:rPr>
                <w:rStyle w:val="Style21"/>
                <w:vanish w:val="false"/>
              </w:rPr>
              <w:tab/>
              <w:t>17</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57">
            <w:r>
              <w:rPr>
                <w:webHidden/>
                <w:rStyle w:val="Style21"/>
                <w:vanish w:val="false"/>
              </w:rPr>
              <w:t>2.2</w:t>
            </w:r>
            <w:r>
              <w:rPr>
                <w:rStyle w:val="Style21"/>
                <w:rFonts w:eastAsia="" w:ascii="Calibri" w:hAnsi="Calibri" w:asciiTheme="minorHAnsi" w:eastAsiaTheme="minorEastAsia" w:hAnsiTheme="minorHAnsi"/>
                <w:sz w:val="22"/>
                <w:lang w:eastAsia="ru-RU"/>
              </w:rPr>
              <w:tab/>
            </w:r>
            <w:r>
              <w:rPr>
                <w:rStyle w:val="Style21"/>
              </w:rPr>
              <w:t>Правовой статус документов</w:t>
            </w:r>
            <w:r>
              <w:rPr>
                <w:webHidden/>
              </w:rPr>
              <w:fldChar w:fldCharType="begin"/>
            </w:r>
            <w:r>
              <w:rPr>
                <w:webHidden/>
              </w:rPr>
              <w:instrText xml:space="preserve">PAGEREF _Toc236402257 \h</w:instrText>
            </w:r>
            <w:r>
              <w:rPr>
                <w:webHidden/>
              </w:rPr>
              <w:fldChar w:fldCharType="separate"/>
            </w:r>
            <w:r>
              <w:rPr>
                <w:rStyle w:val="Style21"/>
                <w:vanish w:val="false"/>
              </w:rPr>
              <w:tab/>
              <w:t>17</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58">
            <w:r>
              <w:rPr>
                <w:webHidden/>
                <w:rStyle w:val="Style21"/>
                <w:vanish w:val="false"/>
              </w:rPr>
              <w:t>2.3</w:t>
            </w:r>
            <w:r>
              <w:rPr>
                <w:rStyle w:val="Style21"/>
                <w:rFonts w:eastAsia="" w:ascii="Calibri" w:hAnsi="Calibri" w:asciiTheme="minorHAnsi" w:eastAsiaTheme="minorEastAsia" w:hAnsiTheme="minorHAnsi"/>
                <w:sz w:val="22"/>
                <w:lang w:eastAsia="ru-RU"/>
              </w:rPr>
              <w:tab/>
            </w:r>
            <w:r>
              <w:rPr>
                <w:rStyle w:val="Style21"/>
              </w:rPr>
              <w:t>Обжалование</w:t>
            </w:r>
            <w:r>
              <w:rPr>
                <w:webHidden/>
              </w:rPr>
              <w:fldChar w:fldCharType="begin"/>
            </w:r>
            <w:r>
              <w:rPr>
                <w:webHidden/>
              </w:rPr>
              <w:instrText xml:space="preserve">PAGEREF _Toc236402258 \h</w:instrText>
            </w:r>
            <w:r>
              <w:rPr>
                <w:webHidden/>
              </w:rPr>
              <w:fldChar w:fldCharType="separate"/>
            </w:r>
            <w:r>
              <w:rPr>
                <w:rStyle w:val="Style21"/>
                <w:vanish w:val="false"/>
              </w:rPr>
              <w:tab/>
              <w:t>18</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59">
            <w:r>
              <w:rPr>
                <w:webHidden/>
                <w:rStyle w:val="Style21"/>
                <w:vanish w:val="false"/>
              </w:rPr>
              <w:t>2.4</w:t>
            </w:r>
            <w:r>
              <w:rPr>
                <w:rStyle w:val="Style21"/>
                <w:rFonts w:eastAsia="" w:ascii="Calibri" w:hAnsi="Calibri" w:asciiTheme="minorHAnsi" w:eastAsiaTheme="minorEastAsia" w:hAnsiTheme="minorHAnsi"/>
                <w:sz w:val="22"/>
                <w:lang w:eastAsia="ru-RU"/>
              </w:rPr>
              <w:tab/>
            </w:r>
            <w:r>
              <w:rPr>
                <w:rStyle w:val="Style21"/>
              </w:rPr>
              <w:t>Особые положения при проведении закупки с использованием ЭП</w:t>
            </w:r>
            <w:r>
              <w:rPr>
                <w:webHidden/>
              </w:rPr>
              <w:fldChar w:fldCharType="begin"/>
            </w:r>
            <w:r>
              <w:rPr>
                <w:webHidden/>
              </w:rPr>
              <w:instrText xml:space="preserve">PAGEREF _Toc236402259 \h</w:instrText>
            </w:r>
            <w:r>
              <w:rPr>
                <w:webHidden/>
              </w:rPr>
              <w:fldChar w:fldCharType="separate"/>
            </w:r>
            <w:r>
              <w:rPr>
                <w:rStyle w:val="Style21"/>
                <w:vanish w:val="false"/>
              </w:rPr>
              <w:tab/>
              <w:t>19</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60">
            <w:r>
              <w:rPr>
                <w:webHidden/>
                <w:rStyle w:val="Style21"/>
                <w:vanish w:val="false"/>
              </w:rPr>
              <w:t>2.5</w:t>
            </w:r>
            <w:r>
              <w:rPr>
                <w:rStyle w:val="Style21"/>
                <w:rFonts w:eastAsia="" w:ascii="Calibri" w:hAnsi="Calibri" w:asciiTheme="minorHAnsi" w:eastAsiaTheme="minorEastAsia" w:hAnsiTheme="minorHAnsi"/>
                <w:sz w:val="22"/>
                <w:lang w:eastAsia="ru-RU"/>
              </w:rPr>
              <w:tab/>
            </w:r>
            <w:r>
              <w:rPr>
                <w:rStyle w:val="Style21"/>
              </w:rPr>
              <w:t>Прочие положения</w:t>
            </w:r>
            <w:r>
              <w:rPr>
                <w:webHidden/>
              </w:rPr>
              <w:fldChar w:fldCharType="begin"/>
            </w:r>
            <w:r>
              <w:rPr>
                <w:webHidden/>
              </w:rPr>
              <w:instrText xml:space="preserve">PAGEREF _Toc236402260 \h</w:instrText>
            </w:r>
            <w:r>
              <w:rPr>
                <w:webHidden/>
              </w:rPr>
              <w:fldChar w:fldCharType="separate"/>
            </w:r>
            <w:r>
              <w:rPr>
                <w:rStyle w:val="Style21"/>
                <w:vanish w:val="false"/>
              </w:rPr>
              <w:tab/>
              <w:t>19</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261">
            <w:r>
              <w:rPr>
                <w:webHidden/>
                <w:rStyle w:val="Style21"/>
                <w:vanish w:val="false"/>
              </w:rPr>
              <w:t>3.</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Требования к Участникам</w:t>
            </w:r>
            <w:r>
              <w:rPr>
                <w:webHidden/>
              </w:rPr>
              <w:fldChar w:fldCharType="begin"/>
            </w:r>
            <w:r>
              <w:rPr>
                <w:webHidden/>
              </w:rPr>
              <w:instrText xml:space="preserve">PAGEREF _Toc236402261 \h</w:instrText>
            </w:r>
            <w:r>
              <w:rPr>
                <w:webHidden/>
              </w:rPr>
              <w:fldChar w:fldCharType="separate"/>
            </w:r>
            <w:r>
              <w:rPr>
                <w:rStyle w:val="Style21"/>
                <w:vanish w:val="false"/>
              </w:rPr>
              <w:tab/>
              <w:t>21</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62">
            <w:r>
              <w:rPr>
                <w:webHidden/>
                <w:rStyle w:val="Style21"/>
                <w:vanish w:val="false"/>
              </w:rPr>
              <w:t>3.1</w:t>
            </w:r>
            <w:r>
              <w:rPr>
                <w:rStyle w:val="Style21"/>
                <w:rFonts w:eastAsia="" w:ascii="Calibri" w:hAnsi="Calibri" w:asciiTheme="minorHAnsi" w:eastAsiaTheme="minorEastAsia" w:hAnsiTheme="minorHAnsi"/>
                <w:sz w:val="22"/>
                <w:lang w:eastAsia="ru-RU"/>
              </w:rPr>
              <w:tab/>
            </w:r>
            <w:r>
              <w:rPr>
                <w:rStyle w:val="Style21"/>
              </w:rPr>
              <w:t>Общие требования к Участникам</w:t>
            </w:r>
            <w:r>
              <w:rPr>
                <w:webHidden/>
              </w:rPr>
              <w:fldChar w:fldCharType="begin"/>
            </w:r>
            <w:r>
              <w:rPr>
                <w:webHidden/>
              </w:rPr>
              <w:instrText xml:space="preserve">PAGEREF _Toc236402262 \h</w:instrText>
            </w:r>
            <w:r>
              <w:rPr>
                <w:webHidden/>
              </w:rPr>
              <w:fldChar w:fldCharType="separate"/>
            </w:r>
            <w:r>
              <w:rPr>
                <w:rStyle w:val="Style21"/>
                <w:vanish w:val="false"/>
              </w:rPr>
              <w:tab/>
              <w:t>21</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63">
            <w:r>
              <w:rPr>
                <w:webHidden/>
                <w:rStyle w:val="Style21"/>
                <w:vanish w:val="false"/>
              </w:rPr>
              <w:t>3.2</w:t>
            </w:r>
            <w:r>
              <w:rPr>
                <w:rStyle w:val="Style21"/>
                <w:rFonts w:eastAsia="" w:ascii="Calibri" w:hAnsi="Calibri" w:asciiTheme="minorHAnsi" w:eastAsiaTheme="minorEastAsia" w:hAnsiTheme="minorHAnsi"/>
                <w:sz w:val="22"/>
                <w:lang w:eastAsia="ru-RU"/>
              </w:rPr>
              <w:tab/>
            </w:r>
            <w:r>
              <w:rPr>
                <w:rStyle w:val="Style21"/>
              </w:rPr>
              <w:t>Коллективные участники</w:t>
            </w:r>
            <w:r>
              <w:rPr>
                <w:webHidden/>
              </w:rPr>
              <w:fldChar w:fldCharType="begin"/>
            </w:r>
            <w:r>
              <w:rPr>
                <w:webHidden/>
              </w:rPr>
              <w:instrText xml:space="preserve">PAGEREF _Toc236402263 \h</w:instrText>
            </w:r>
            <w:r>
              <w:rPr>
                <w:webHidden/>
              </w:rPr>
              <w:fldChar w:fldCharType="separate"/>
            </w:r>
            <w:r>
              <w:rPr>
                <w:rStyle w:val="Style21"/>
                <w:vanish w:val="false"/>
              </w:rPr>
              <w:tab/>
              <w:t>21</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64">
            <w:r>
              <w:rPr>
                <w:webHidden/>
                <w:rStyle w:val="Style21"/>
                <w:vanish w:val="false"/>
              </w:rPr>
              <w:t>3.3</w:t>
            </w:r>
            <w:r>
              <w:rPr>
                <w:rStyle w:val="Style21"/>
                <w:rFonts w:eastAsia="" w:ascii="Calibri" w:hAnsi="Calibri" w:asciiTheme="minorHAnsi" w:eastAsiaTheme="minorEastAsia" w:hAnsiTheme="minorHAnsi"/>
                <w:sz w:val="22"/>
                <w:lang w:eastAsia="ru-RU"/>
              </w:rPr>
              <w:tab/>
            </w:r>
            <w:r>
              <w:rPr>
                <w:rStyle w:val="Style21"/>
              </w:rPr>
              <w:t>Генеральные подрядчики</w:t>
            </w:r>
            <w:r>
              <w:rPr>
                <w:webHidden/>
              </w:rPr>
              <w:fldChar w:fldCharType="begin"/>
            </w:r>
            <w:r>
              <w:rPr>
                <w:webHidden/>
              </w:rPr>
              <w:instrText xml:space="preserve">PAGEREF _Toc236402264 \h</w:instrText>
            </w:r>
            <w:r>
              <w:rPr>
                <w:webHidden/>
              </w:rPr>
              <w:fldChar w:fldCharType="separate"/>
            </w:r>
            <w:r>
              <w:rPr>
                <w:rStyle w:val="Style21"/>
                <w:vanish w:val="false"/>
              </w:rPr>
              <w:tab/>
              <w:t>23</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65">
            <w:r>
              <w:rPr>
                <w:webHidden/>
                <w:rStyle w:val="Style21"/>
                <w:vanish w:val="false"/>
              </w:rPr>
              <w:t>3.4</w:t>
            </w:r>
            <w:r>
              <w:rPr>
                <w:rStyle w:val="Style21"/>
                <w:rFonts w:eastAsia="" w:ascii="Calibri" w:hAnsi="Calibri" w:asciiTheme="minorHAnsi" w:eastAsiaTheme="minorEastAsia" w:hAnsiTheme="minorHAnsi"/>
                <w:sz w:val="22"/>
                <w:lang w:eastAsia="ru-RU"/>
              </w:rPr>
              <w:tab/>
            </w:r>
            <w:r>
              <w:rPr>
                <w:rStyle w:val="Style21"/>
              </w:rPr>
              <w:t>Привлечение субподрядчиков (соисполнителей) из числа субъектов МСП</w:t>
            </w:r>
            <w:r>
              <w:rPr>
                <w:webHidden/>
              </w:rPr>
              <w:fldChar w:fldCharType="begin"/>
            </w:r>
            <w:r>
              <w:rPr>
                <w:webHidden/>
              </w:rPr>
              <w:instrText xml:space="preserve">PAGEREF _Toc236402265 \h</w:instrText>
            </w:r>
            <w:r>
              <w:rPr>
                <w:webHidden/>
              </w:rPr>
              <w:fldChar w:fldCharType="separate"/>
            </w:r>
            <w:r>
              <w:rPr>
                <w:rStyle w:val="Style21"/>
                <w:vanish w:val="false"/>
              </w:rPr>
              <w:tab/>
              <w:t>25</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266">
            <w:r>
              <w:rPr>
                <w:webHidden/>
                <w:rStyle w:val="Style21"/>
                <w:vanish w:val="false"/>
              </w:rPr>
              <w:t>4.</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Порядок проведения закупки</w:t>
            </w:r>
            <w:r>
              <w:rPr>
                <w:webHidden/>
              </w:rPr>
              <w:fldChar w:fldCharType="begin"/>
            </w:r>
            <w:r>
              <w:rPr>
                <w:webHidden/>
              </w:rPr>
              <w:instrText xml:space="preserve">PAGEREF _Toc236402266 \h</w:instrText>
            </w:r>
            <w:r>
              <w:rPr>
                <w:webHidden/>
              </w:rPr>
              <w:fldChar w:fldCharType="separate"/>
            </w:r>
            <w:r>
              <w:rPr>
                <w:rStyle w:val="Style21"/>
                <w:vanish w:val="false"/>
              </w:rPr>
              <w:tab/>
              <w:t>26</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67">
            <w:r>
              <w:rPr>
                <w:webHidden/>
                <w:rStyle w:val="Style21"/>
                <w:vanish w:val="false"/>
              </w:rPr>
              <w:t>4.1</w:t>
            </w:r>
            <w:r>
              <w:rPr>
                <w:rStyle w:val="Style21"/>
                <w:rFonts w:eastAsia="" w:ascii="Calibri" w:hAnsi="Calibri" w:asciiTheme="minorHAnsi" w:eastAsiaTheme="minorEastAsia" w:hAnsiTheme="minorHAnsi"/>
                <w:sz w:val="22"/>
                <w:lang w:eastAsia="ru-RU"/>
              </w:rPr>
              <w:tab/>
            </w:r>
            <w:r>
              <w:rPr>
                <w:rStyle w:val="Style21"/>
              </w:rPr>
              <w:t>Общий порядок проведения закупки</w:t>
            </w:r>
            <w:r>
              <w:rPr>
                <w:webHidden/>
              </w:rPr>
              <w:fldChar w:fldCharType="begin"/>
            </w:r>
            <w:r>
              <w:rPr>
                <w:webHidden/>
              </w:rPr>
              <w:instrText xml:space="preserve">PAGEREF _Toc236402267 \h</w:instrText>
            </w:r>
            <w:r>
              <w:rPr>
                <w:webHidden/>
              </w:rPr>
              <w:fldChar w:fldCharType="separate"/>
            </w:r>
            <w:r>
              <w:rPr>
                <w:rStyle w:val="Style21"/>
                <w:vanish w:val="false"/>
              </w:rPr>
              <w:tab/>
              <w:t>26</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68">
            <w:r>
              <w:rPr>
                <w:webHidden/>
                <w:rStyle w:val="Style21"/>
                <w:vanish w:val="false"/>
              </w:rPr>
              <w:t>4.2</w:t>
            </w:r>
            <w:r>
              <w:rPr>
                <w:rStyle w:val="Style21"/>
                <w:rFonts w:eastAsia="" w:ascii="Calibri" w:hAnsi="Calibri" w:asciiTheme="minorHAnsi" w:eastAsiaTheme="minorEastAsia" w:hAnsiTheme="minorHAnsi"/>
                <w:sz w:val="22"/>
                <w:lang w:eastAsia="ru-RU"/>
              </w:rPr>
              <w:tab/>
            </w:r>
            <w:r>
              <w:rPr>
                <w:rStyle w:val="Style21"/>
              </w:rPr>
              <w:t>Официальное размещение Извещения и Документации о закупке</w:t>
            </w:r>
            <w:r>
              <w:rPr>
                <w:webHidden/>
              </w:rPr>
              <w:fldChar w:fldCharType="begin"/>
            </w:r>
            <w:r>
              <w:rPr>
                <w:webHidden/>
              </w:rPr>
              <w:instrText xml:space="preserve">PAGEREF _Toc236402268 \h</w:instrText>
            </w:r>
            <w:r>
              <w:rPr>
                <w:webHidden/>
              </w:rPr>
              <w:fldChar w:fldCharType="separate"/>
            </w:r>
            <w:r>
              <w:rPr>
                <w:rStyle w:val="Style21"/>
                <w:vanish w:val="false"/>
              </w:rPr>
              <w:tab/>
              <w:t>28</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69">
            <w:r>
              <w:rPr>
                <w:webHidden/>
                <w:rStyle w:val="Style21"/>
                <w:vanish w:val="false"/>
              </w:rPr>
              <w:t>4.3</w:t>
            </w:r>
            <w:r>
              <w:rPr>
                <w:rStyle w:val="Style21"/>
                <w:rFonts w:eastAsia="" w:ascii="Calibri" w:hAnsi="Calibri" w:asciiTheme="minorHAnsi" w:eastAsiaTheme="minorEastAsia" w:hAnsiTheme="minorHAnsi"/>
                <w:sz w:val="22"/>
                <w:lang w:eastAsia="ru-RU"/>
              </w:rPr>
              <w:tab/>
            </w:r>
            <w:r>
              <w:rPr>
                <w:rStyle w:val="Style21"/>
              </w:rPr>
              <w:t>Подготовка заявки</w:t>
            </w:r>
            <w:r>
              <w:rPr>
                <w:webHidden/>
              </w:rPr>
              <w:fldChar w:fldCharType="begin"/>
            </w:r>
            <w:r>
              <w:rPr>
                <w:webHidden/>
              </w:rPr>
              <w:instrText xml:space="preserve">PAGEREF _Toc236402269 \h</w:instrText>
            </w:r>
            <w:r>
              <w:rPr>
                <w:webHidden/>
              </w:rPr>
              <w:fldChar w:fldCharType="separate"/>
            </w:r>
            <w:r>
              <w:rPr>
                <w:rStyle w:val="Style21"/>
                <w:vanish w:val="false"/>
              </w:rPr>
              <w:tab/>
              <w:t>28</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70">
            <w:r>
              <w:rPr>
                <w:webHidden/>
                <w:rStyle w:val="Style21"/>
                <w:vanish w:val="false"/>
              </w:rPr>
              <w:t>4.4</w:t>
            </w:r>
            <w:r>
              <w:rPr>
                <w:rStyle w:val="Style21"/>
                <w:rFonts w:eastAsia="" w:ascii="Calibri" w:hAnsi="Calibri" w:asciiTheme="minorHAnsi" w:eastAsiaTheme="minorEastAsia" w:hAnsiTheme="minorHAnsi"/>
                <w:sz w:val="22"/>
                <w:lang w:eastAsia="ru-RU"/>
              </w:rPr>
              <w:tab/>
            </w:r>
            <w:r>
              <w:rPr>
                <w:rStyle w:val="Style21"/>
              </w:rPr>
              <w:t>Разъяснение Документации о закупке</w:t>
            </w:r>
            <w:r>
              <w:rPr>
                <w:webHidden/>
              </w:rPr>
              <w:fldChar w:fldCharType="begin"/>
            </w:r>
            <w:r>
              <w:rPr>
                <w:webHidden/>
              </w:rPr>
              <w:instrText xml:space="preserve">PAGEREF _Toc236402270 \h</w:instrText>
            </w:r>
            <w:r>
              <w:rPr>
                <w:webHidden/>
              </w:rPr>
              <w:fldChar w:fldCharType="separate"/>
            </w:r>
            <w:r>
              <w:rPr>
                <w:rStyle w:val="Style21"/>
                <w:vanish w:val="false"/>
              </w:rPr>
              <w:tab/>
              <w:t>31</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71">
            <w:r>
              <w:rPr>
                <w:webHidden/>
                <w:rStyle w:val="Style21"/>
                <w:vanish w:val="false"/>
              </w:rPr>
              <w:t>4.5</w:t>
            </w:r>
            <w:r>
              <w:rPr>
                <w:rStyle w:val="Style21"/>
                <w:rFonts w:eastAsia="" w:ascii="Calibri" w:hAnsi="Calibri" w:asciiTheme="minorHAnsi" w:eastAsiaTheme="minorEastAsia" w:hAnsiTheme="minorHAnsi"/>
                <w:sz w:val="22"/>
                <w:lang w:eastAsia="ru-RU"/>
              </w:rPr>
              <w:tab/>
            </w:r>
            <w:r>
              <w:rPr>
                <w:rStyle w:val="Style21"/>
              </w:rPr>
              <w:t>Изменения Извещения и (или) Документации о закупке</w:t>
            </w:r>
            <w:r>
              <w:rPr>
                <w:webHidden/>
              </w:rPr>
              <w:fldChar w:fldCharType="begin"/>
            </w:r>
            <w:r>
              <w:rPr>
                <w:webHidden/>
              </w:rPr>
              <w:instrText xml:space="preserve">PAGEREF _Toc236402271 \h</w:instrText>
            </w:r>
            <w:r>
              <w:rPr>
                <w:webHidden/>
              </w:rPr>
              <w:fldChar w:fldCharType="separate"/>
            </w:r>
            <w:r>
              <w:rPr>
                <w:rStyle w:val="Style21"/>
                <w:vanish w:val="false"/>
              </w:rPr>
              <w:tab/>
              <w:t>32</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72">
            <w:r>
              <w:rPr>
                <w:webHidden/>
                <w:rStyle w:val="Style21"/>
                <w:vanish w:val="false"/>
              </w:rPr>
              <w:t>4.6</w:t>
            </w:r>
            <w:r>
              <w:rPr>
                <w:rStyle w:val="Style21"/>
                <w:rFonts w:eastAsia="" w:ascii="Calibri" w:hAnsi="Calibri" w:asciiTheme="minorHAnsi" w:eastAsiaTheme="minorEastAsia" w:hAnsiTheme="minorHAnsi"/>
                <w:sz w:val="22"/>
                <w:lang w:eastAsia="ru-RU"/>
              </w:rPr>
              <w:tab/>
            </w:r>
            <w:r>
              <w:rPr>
                <w:rStyle w:val="Style21"/>
              </w:rPr>
              <w:t>Подача заявок и их прием</w:t>
            </w:r>
            <w:r>
              <w:rPr>
                <w:webHidden/>
              </w:rPr>
              <w:fldChar w:fldCharType="begin"/>
            </w:r>
            <w:r>
              <w:rPr>
                <w:webHidden/>
              </w:rPr>
              <w:instrText xml:space="preserve">PAGEREF _Toc236402272 \h</w:instrText>
            </w:r>
            <w:r>
              <w:rPr>
                <w:webHidden/>
              </w:rPr>
              <w:fldChar w:fldCharType="separate"/>
            </w:r>
            <w:r>
              <w:rPr>
                <w:rStyle w:val="Style21"/>
                <w:vanish w:val="false"/>
              </w:rPr>
              <w:tab/>
              <w:t>32</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73">
            <w:r>
              <w:rPr>
                <w:webHidden/>
                <w:rStyle w:val="Style21"/>
                <w:vanish w:val="false"/>
              </w:rPr>
              <w:t>4.7</w:t>
            </w:r>
            <w:r>
              <w:rPr>
                <w:rStyle w:val="Style21"/>
                <w:rFonts w:eastAsia="" w:ascii="Calibri" w:hAnsi="Calibri" w:asciiTheme="minorHAnsi" w:eastAsiaTheme="minorEastAsia" w:hAnsiTheme="minorHAnsi"/>
                <w:sz w:val="22"/>
                <w:lang w:eastAsia="ru-RU"/>
              </w:rPr>
              <w:tab/>
            </w:r>
            <w:r>
              <w:rPr>
                <w:rStyle w:val="Style21"/>
              </w:rPr>
              <w:t>Изменение и отзыв заявок</w:t>
            </w:r>
            <w:r>
              <w:rPr>
                <w:webHidden/>
              </w:rPr>
              <w:fldChar w:fldCharType="begin"/>
            </w:r>
            <w:r>
              <w:rPr>
                <w:webHidden/>
              </w:rPr>
              <w:instrText xml:space="preserve">PAGEREF _Toc236402273 \h</w:instrText>
            </w:r>
            <w:r>
              <w:rPr>
                <w:webHidden/>
              </w:rPr>
              <w:fldChar w:fldCharType="separate"/>
            </w:r>
            <w:r>
              <w:rPr>
                <w:rStyle w:val="Style21"/>
                <w:vanish w:val="false"/>
              </w:rPr>
              <w:tab/>
              <w:t>33</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74">
            <w:r>
              <w:rPr>
                <w:webHidden/>
                <w:rStyle w:val="Style21"/>
                <w:vanish w:val="false"/>
              </w:rPr>
              <w:t>4.8</w:t>
            </w:r>
            <w:r>
              <w:rPr>
                <w:rStyle w:val="Style21"/>
                <w:rFonts w:eastAsia="" w:ascii="Calibri" w:hAnsi="Calibri" w:asciiTheme="minorHAnsi" w:eastAsiaTheme="minorEastAsia" w:hAnsiTheme="minorHAnsi"/>
                <w:sz w:val="22"/>
                <w:lang w:eastAsia="ru-RU"/>
              </w:rPr>
              <w:tab/>
            </w:r>
            <w:r>
              <w:rPr>
                <w:rStyle w:val="Style21"/>
              </w:rPr>
              <w:t>Открытие доступа к заявкам</w:t>
            </w:r>
            <w:r>
              <w:rPr>
                <w:webHidden/>
              </w:rPr>
              <w:fldChar w:fldCharType="begin"/>
            </w:r>
            <w:r>
              <w:rPr>
                <w:webHidden/>
              </w:rPr>
              <w:instrText xml:space="preserve">PAGEREF _Toc236402274 \h</w:instrText>
            </w:r>
            <w:r>
              <w:rPr>
                <w:webHidden/>
              </w:rPr>
              <w:fldChar w:fldCharType="separate"/>
            </w:r>
            <w:r>
              <w:rPr>
                <w:rStyle w:val="Style21"/>
                <w:vanish w:val="false"/>
              </w:rPr>
              <w:tab/>
              <w:t>33</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75">
            <w:r>
              <w:rPr>
                <w:webHidden/>
                <w:rStyle w:val="Style21"/>
                <w:vanish w:val="false"/>
              </w:rPr>
              <w:t>4.9</w:t>
            </w:r>
            <w:r>
              <w:rPr>
                <w:rStyle w:val="Style21"/>
                <w:rFonts w:eastAsia="" w:ascii="Calibri" w:hAnsi="Calibri" w:asciiTheme="minorHAnsi" w:eastAsiaTheme="minorEastAsia" w:hAnsiTheme="minorHAnsi"/>
                <w:sz w:val="22"/>
                <w:lang w:eastAsia="ru-RU"/>
              </w:rPr>
              <w:tab/>
            </w:r>
            <w:r>
              <w:rPr>
                <w:rStyle w:val="Style21"/>
              </w:rPr>
              <w:t>Рассмотрение заявок (отборочная стадия), в том числе (при необходимости) проведение аккредитации</w:t>
            </w:r>
            <w:r>
              <w:rPr>
                <w:webHidden/>
              </w:rPr>
              <w:fldChar w:fldCharType="begin"/>
            </w:r>
            <w:r>
              <w:rPr>
                <w:webHidden/>
              </w:rPr>
              <w:instrText xml:space="preserve">PAGEREF _Toc236402275 \h</w:instrText>
            </w:r>
            <w:r>
              <w:rPr>
                <w:webHidden/>
              </w:rPr>
              <w:fldChar w:fldCharType="separate"/>
            </w:r>
            <w:r>
              <w:rPr>
                <w:rStyle w:val="Style21"/>
                <w:vanish w:val="false"/>
              </w:rPr>
              <w:tab/>
              <w:t>34</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76">
            <w:r>
              <w:rPr>
                <w:webHidden/>
                <w:rStyle w:val="Style21"/>
                <w:vanish w:val="false"/>
              </w:rPr>
              <w:t>4.10</w:t>
            </w:r>
            <w:r>
              <w:rPr>
                <w:rStyle w:val="Style21"/>
                <w:rFonts w:eastAsia="" w:ascii="Calibri" w:hAnsi="Calibri" w:asciiTheme="minorHAnsi" w:eastAsiaTheme="minorEastAsia" w:hAnsiTheme="minorHAnsi"/>
                <w:sz w:val="22"/>
                <w:lang w:eastAsia="ru-RU"/>
              </w:rPr>
              <w:tab/>
            </w:r>
            <w:r>
              <w:rPr>
                <w:rStyle w:val="Style21"/>
              </w:rPr>
              <w:t>Дополнительные запросы разъяснений заявок</w:t>
            </w:r>
            <w:r>
              <w:rPr>
                <w:webHidden/>
              </w:rPr>
              <w:fldChar w:fldCharType="begin"/>
            </w:r>
            <w:r>
              <w:rPr>
                <w:webHidden/>
              </w:rPr>
              <w:instrText xml:space="preserve">PAGEREF _Toc236402276 \h</w:instrText>
            </w:r>
            <w:r>
              <w:rPr>
                <w:webHidden/>
              </w:rPr>
              <w:fldChar w:fldCharType="separate"/>
            </w:r>
            <w:r>
              <w:rPr>
                <w:rStyle w:val="Style21"/>
                <w:vanish w:val="false"/>
              </w:rPr>
              <w:tab/>
              <w:t>36</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77">
            <w:r>
              <w:rPr>
                <w:webHidden/>
                <w:rStyle w:val="Style21"/>
                <w:vanish w:val="false"/>
              </w:rPr>
              <w:t>4.11</w:t>
            </w:r>
            <w:r>
              <w:rPr>
                <w:rStyle w:val="Style21"/>
                <w:rFonts w:eastAsia="" w:ascii="Calibri" w:hAnsi="Calibri" w:asciiTheme="minorHAnsi" w:eastAsiaTheme="minorEastAsia" w:hAnsiTheme="minorHAnsi"/>
                <w:sz w:val="22"/>
                <w:lang w:eastAsia="ru-RU"/>
              </w:rPr>
              <w:tab/>
            </w:r>
            <w:r>
              <w:rPr>
                <w:rStyle w:val="Style21"/>
              </w:rPr>
              <w:t>Переторжка</w:t>
            </w:r>
            <w:r>
              <w:rPr>
                <w:webHidden/>
              </w:rPr>
              <w:fldChar w:fldCharType="begin"/>
            </w:r>
            <w:r>
              <w:rPr>
                <w:webHidden/>
              </w:rPr>
              <w:instrText xml:space="preserve">PAGEREF _Toc236402277 \h</w:instrText>
            </w:r>
            <w:r>
              <w:rPr>
                <w:webHidden/>
              </w:rPr>
              <w:fldChar w:fldCharType="separate"/>
            </w:r>
            <w:r>
              <w:rPr>
                <w:rStyle w:val="Style21"/>
                <w:vanish w:val="false"/>
              </w:rPr>
              <w:tab/>
              <w:t>38</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78">
            <w:r>
              <w:rPr>
                <w:webHidden/>
                <w:rStyle w:val="Style21"/>
                <w:vanish w:val="false"/>
              </w:rPr>
              <w:t>4.12</w:t>
            </w:r>
            <w:r>
              <w:rPr>
                <w:rStyle w:val="Style21"/>
                <w:rFonts w:eastAsia="" w:ascii="Calibri" w:hAnsi="Calibri" w:asciiTheme="minorHAnsi" w:eastAsiaTheme="minorEastAsia" w:hAnsiTheme="minorHAnsi"/>
                <w:sz w:val="22"/>
                <w:lang w:eastAsia="ru-RU"/>
              </w:rPr>
              <w:tab/>
            </w:r>
            <w:r>
              <w:rPr>
                <w:rStyle w:val="Style21"/>
              </w:rPr>
              <w:t>Оценка и сопоставление заявок</w:t>
            </w:r>
            <w:r>
              <w:rPr>
                <w:webHidden/>
              </w:rPr>
              <w:fldChar w:fldCharType="begin"/>
            </w:r>
            <w:r>
              <w:rPr>
                <w:webHidden/>
              </w:rPr>
              <w:instrText xml:space="preserve">PAGEREF _Toc236402278 \h</w:instrText>
            </w:r>
            <w:r>
              <w:rPr>
                <w:webHidden/>
              </w:rPr>
              <w:fldChar w:fldCharType="separate"/>
            </w:r>
            <w:r>
              <w:rPr>
                <w:rStyle w:val="Style21"/>
                <w:vanish w:val="false"/>
              </w:rPr>
              <w:tab/>
              <w:t>40</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79">
            <w:r>
              <w:rPr>
                <w:webHidden/>
                <w:rStyle w:val="Style21"/>
                <w:vanish w:val="false"/>
              </w:rPr>
              <w:t>4.13</w:t>
            </w:r>
            <w:r>
              <w:rPr>
                <w:rStyle w:val="Style21"/>
                <w:rFonts w:eastAsia="" w:ascii="Calibri" w:hAnsi="Calibri" w:asciiTheme="minorHAnsi" w:eastAsiaTheme="minorEastAsia" w:hAnsiTheme="minorHAnsi"/>
                <w:sz w:val="22"/>
                <w:lang w:eastAsia="ru-RU"/>
              </w:rPr>
              <w:tab/>
            </w:r>
            <w:r>
              <w:rPr>
                <w:rStyle w:val="Style21"/>
              </w:rPr>
              <w:t>Применение законодательства о национальном режиме</w:t>
            </w:r>
            <w:r>
              <w:rPr>
                <w:webHidden/>
              </w:rPr>
              <w:fldChar w:fldCharType="begin"/>
            </w:r>
            <w:r>
              <w:rPr>
                <w:webHidden/>
              </w:rPr>
              <w:instrText xml:space="preserve">PAGEREF _Toc236402279 \h</w:instrText>
            </w:r>
            <w:r>
              <w:rPr>
                <w:webHidden/>
              </w:rPr>
              <w:fldChar w:fldCharType="separate"/>
            </w:r>
            <w:r>
              <w:rPr>
                <w:rStyle w:val="Style21"/>
                <w:vanish w:val="false"/>
              </w:rPr>
              <w:tab/>
              <w:t>41</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80">
            <w:r>
              <w:rPr>
                <w:webHidden/>
                <w:rStyle w:val="Style21"/>
                <w:vanish w:val="false"/>
              </w:rPr>
              <w:t>4.14</w:t>
            </w:r>
            <w:r>
              <w:rPr>
                <w:rStyle w:val="Style21"/>
                <w:rFonts w:eastAsia="" w:ascii="Calibri" w:hAnsi="Calibri" w:asciiTheme="minorHAnsi" w:eastAsiaTheme="minorEastAsia" w:hAnsiTheme="minorHAnsi"/>
                <w:sz w:val="22"/>
                <w:lang w:eastAsia="ru-RU"/>
              </w:rPr>
              <w:tab/>
            </w:r>
            <w:r>
              <w:rPr>
                <w:rStyle w:val="Style21"/>
              </w:rPr>
              <w:t>Подведение итогов закупки (определение Победителя)</w:t>
            </w:r>
            <w:r>
              <w:rPr>
                <w:webHidden/>
              </w:rPr>
              <w:fldChar w:fldCharType="begin"/>
            </w:r>
            <w:r>
              <w:rPr>
                <w:webHidden/>
              </w:rPr>
              <w:instrText xml:space="preserve">PAGEREF _Toc236402280 \h</w:instrText>
            </w:r>
            <w:r>
              <w:rPr>
                <w:webHidden/>
              </w:rPr>
              <w:fldChar w:fldCharType="separate"/>
            </w:r>
            <w:r>
              <w:rPr>
                <w:rStyle w:val="Style21"/>
                <w:vanish w:val="false"/>
              </w:rPr>
              <w:tab/>
              <w:t>43</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81">
            <w:r>
              <w:rPr>
                <w:webHidden/>
                <w:rStyle w:val="Style21"/>
                <w:vanish w:val="false"/>
              </w:rPr>
              <w:t>4.15</w:t>
            </w:r>
            <w:r>
              <w:rPr>
                <w:rStyle w:val="Style21"/>
                <w:rFonts w:eastAsia="" w:ascii="Calibri" w:hAnsi="Calibri" w:asciiTheme="minorHAnsi" w:eastAsiaTheme="minorEastAsia" w:hAnsiTheme="minorHAnsi"/>
                <w:sz w:val="22"/>
                <w:lang w:eastAsia="ru-RU"/>
              </w:rPr>
              <w:tab/>
            </w:r>
            <w:r>
              <w:rPr>
                <w:rStyle w:val="Style21"/>
              </w:rPr>
              <w:t>Признание закупки несостоявшейся</w:t>
            </w:r>
            <w:r>
              <w:rPr>
                <w:webHidden/>
              </w:rPr>
              <w:fldChar w:fldCharType="begin"/>
            </w:r>
            <w:r>
              <w:rPr>
                <w:webHidden/>
              </w:rPr>
              <w:instrText xml:space="preserve">PAGEREF _Toc236402281 \h</w:instrText>
            </w:r>
            <w:r>
              <w:rPr>
                <w:webHidden/>
              </w:rPr>
              <w:fldChar w:fldCharType="separate"/>
            </w:r>
            <w:r>
              <w:rPr>
                <w:rStyle w:val="Style21"/>
                <w:vanish w:val="false"/>
              </w:rPr>
              <w:tab/>
              <w:t>44</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82">
            <w:r>
              <w:rPr>
                <w:webHidden/>
                <w:rStyle w:val="Style21"/>
                <w:vanish w:val="false"/>
              </w:rPr>
              <w:t>4.16</w:t>
            </w:r>
            <w:r>
              <w:rPr>
                <w:rStyle w:val="Style21"/>
                <w:rFonts w:eastAsia="" w:ascii="Calibri" w:hAnsi="Calibri" w:asciiTheme="minorHAnsi" w:eastAsiaTheme="minorEastAsia" w:hAnsiTheme="minorHAnsi"/>
                <w:sz w:val="22"/>
                <w:lang w:eastAsia="ru-RU"/>
              </w:rPr>
              <w:tab/>
            </w:r>
            <w:r>
              <w:rPr>
                <w:rStyle w:val="Style21"/>
              </w:rPr>
              <w:t>Отказ от проведения закупки (отмена закупки)</w:t>
            </w:r>
            <w:r>
              <w:rPr>
                <w:webHidden/>
              </w:rPr>
              <w:fldChar w:fldCharType="begin"/>
            </w:r>
            <w:r>
              <w:rPr>
                <w:webHidden/>
              </w:rPr>
              <w:instrText xml:space="preserve">PAGEREF _Toc236402282 \h</w:instrText>
            </w:r>
            <w:r>
              <w:rPr>
                <w:webHidden/>
              </w:rPr>
              <w:fldChar w:fldCharType="separate"/>
            </w:r>
            <w:r>
              <w:rPr>
                <w:rStyle w:val="Style21"/>
                <w:vanish w:val="false"/>
              </w:rPr>
              <w:tab/>
              <w:t>46</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83">
            <w:r>
              <w:rPr>
                <w:webHidden/>
                <w:rStyle w:val="Style21"/>
                <w:vanish w:val="false"/>
              </w:rPr>
              <w:t>4.17</w:t>
            </w:r>
            <w:r>
              <w:rPr>
                <w:rStyle w:val="Style21"/>
                <w:rFonts w:eastAsia="" w:ascii="Calibri" w:hAnsi="Calibri" w:asciiTheme="minorHAnsi" w:eastAsiaTheme="minorEastAsia" w:hAnsiTheme="minorHAnsi"/>
                <w:sz w:val="22"/>
                <w:lang w:eastAsia="ru-RU"/>
              </w:rPr>
              <w:tab/>
            </w:r>
            <w:r>
              <w:rPr>
                <w:rStyle w:val="Style21"/>
              </w:rPr>
              <w:t>Особенности проведения закупки с необходимостью обеспечения заявки</w:t>
            </w:r>
            <w:r>
              <w:rPr>
                <w:webHidden/>
              </w:rPr>
              <w:fldChar w:fldCharType="begin"/>
            </w:r>
            <w:r>
              <w:rPr>
                <w:webHidden/>
              </w:rPr>
              <w:instrText xml:space="preserve">PAGEREF _Toc236402283 \h</w:instrText>
            </w:r>
            <w:r>
              <w:rPr>
                <w:webHidden/>
              </w:rPr>
              <w:fldChar w:fldCharType="separate"/>
            </w:r>
            <w:r>
              <w:rPr>
                <w:rStyle w:val="Style21"/>
                <w:vanish w:val="false"/>
              </w:rPr>
              <w:tab/>
              <w:t>46</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84">
            <w:r>
              <w:rPr>
                <w:webHidden/>
                <w:rStyle w:val="Style21"/>
                <w:vanish w:val="false"/>
              </w:rPr>
              <w:t>4.18</w:t>
            </w:r>
            <w:r>
              <w:rPr>
                <w:rStyle w:val="Style21"/>
                <w:rFonts w:eastAsia="" w:ascii="Calibri" w:hAnsi="Calibri" w:asciiTheme="minorHAnsi" w:eastAsiaTheme="minorEastAsia" w:hAnsiTheme="minorHAnsi"/>
                <w:sz w:val="22"/>
                <w:lang w:eastAsia="ru-RU"/>
              </w:rPr>
              <w:tab/>
            </w:r>
            <w:r>
              <w:rPr>
                <w:rStyle w:val="Style21"/>
              </w:rPr>
              <w:t>Особенности проведения многолотовой закупки</w:t>
            </w:r>
            <w:r>
              <w:rPr>
                <w:webHidden/>
              </w:rPr>
              <w:fldChar w:fldCharType="begin"/>
            </w:r>
            <w:r>
              <w:rPr>
                <w:webHidden/>
              </w:rPr>
              <w:instrText xml:space="preserve">PAGEREF _Toc236402284 \h</w:instrText>
            </w:r>
            <w:r>
              <w:rPr>
                <w:webHidden/>
              </w:rPr>
              <w:fldChar w:fldCharType="separate"/>
            </w:r>
            <w:r>
              <w:rPr>
                <w:rStyle w:val="Style21"/>
                <w:vanish w:val="false"/>
              </w:rPr>
              <w:tab/>
              <w:t>49</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85">
            <w:r>
              <w:rPr>
                <w:webHidden/>
                <w:rStyle w:val="Style21"/>
                <w:vanish w:val="false"/>
              </w:rPr>
              <w:t>4.19</w:t>
            </w:r>
            <w:r>
              <w:rPr>
                <w:rStyle w:val="Style21"/>
                <w:rFonts w:eastAsia="" w:ascii="Calibri" w:hAnsi="Calibri" w:asciiTheme="minorHAnsi" w:eastAsiaTheme="minorEastAsia" w:hAnsiTheme="minorHAnsi"/>
                <w:sz w:val="22"/>
                <w:lang w:eastAsia="ru-RU"/>
              </w:rPr>
              <w:tab/>
            </w:r>
            <w:r>
              <w:rPr>
                <w:rStyle w:val="Style21"/>
              </w:rPr>
              <w:t>Особенности проведения закупки с возможностью подачи альтернативных предложений</w:t>
            </w:r>
            <w:r>
              <w:rPr>
                <w:webHidden/>
              </w:rPr>
              <w:fldChar w:fldCharType="begin"/>
            </w:r>
            <w:r>
              <w:rPr>
                <w:webHidden/>
              </w:rPr>
              <w:instrText xml:space="preserve">PAGEREF _Toc236402285 \h</w:instrText>
            </w:r>
            <w:r>
              <w:rPr>
                <w:webHidden/>
              </w:rPr>
              <w:fldChar w:fldCharType="separate"/>
            </w:r>
            <w:r>
              <w:rPr>
                <w:rStyle w:val="Style21"/>
                <w:vanish w:val="false"/>
              </w:rPr>
              <w:tab/>
              <w:t>50</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286">
            <w:r>
              <w:rPr>
                <w:webHidden/>
                <w:rStyle w:val="Style21"/>
                <w:vanish w:val="false"/>
              </w:rPr>
              <w:t>5.</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Порядок заключения Договора</w:t>
            </w:r>
            <w:r>
              <w:rPr>
                <w:webHidden/>
              </w:rPr>
              <w:fldChar w:fldCharType="begin"/>
            </w:r>
            <w:r>
              <w:rPr>
                <w:webHidden/>
              </w:rPr>
              <w:instrText xml:space="preserve">PAGEREF _Toc236402286 \h</w:instrText>
            </w:r>
            <w:r>
              <w:rPr>
                <w:webHidden/>
              </w:rPr>
              <w:fldChar w:fldCharType="separate"/>
            </w:r>
            <w:r>
              <w:rPr>
                <w:rStyle w:val="Style21"/>
                <w:vanish w:val="false"/>
              </w:rPr>
              <w:tab/>
              <w:t>52</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87">
            <w:r>
              <w:rPr>
                <w:webHidden/>
                <w:rStyle w:val="Style21"/>
                <w:vanish w:val="false"/>
              </w:rPr>
              <w:t>5.1</w:t>
            </w:r>
            <w:r>
              <w:rPr>
                <w:rStyle w:val="Style21"/>
                <w:rFonts w:eastAsia="" w:ascii="Calibri" w:hAnsi="Calibri" w:asciiTheme="minorHAnsi" w:eastAsiaTheme="minorEastAsia" w:hAnsiTheme="minorHAnsi"/>
                <w:sz w:val="22"/>
                <w:lang w:eastAsia="ru-RU"/>
              </w:rPr>
              <w:tab/>
            </w:r>
            <w:r>
              <w:rPr>
                <w:rStyle w:val="Style21"/>
              </w:rPr>
              <w:t>Общие положения</w:t>
            </w:r>
            <w:r>
              <w:rPr>
                <w:webHidden/>
              </w:rPr>
              <w:fldChar w:fldCharType="begin"/>
            </w:r>
            <w:r>
              <w:rPr>
                <w:webHidden/>
              </w:rPr>
              <w:instrText xml:space="preserve">PAGEREF _Toc236402287 \h</w:instrText>
            </w:r>
            <w:r>
              <w:rPr>
                <w:webHidden/>
              </w:rPr>
              <w:fldChar w:fldCharType="separate"/>
            </w:r>
            <w:r>
              <w:rPr>
                <w:rStyle w:val="Style21"/>
                <w:vanish w:val="false"/>
              </w:rPr>
              <w:tab/>
              <w:t>52</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88">
            <w:r>
              <w:rPr>
                <w:webHidden/>
                <w:rStyle w:val="Style21"/>
                <w:vanish w:val="false"/>
              </w:rPr>
              <w:t>5.2</w:t>
            </w:r>
            <w:r>
              <w:rPr>
                <w:rStyle w:val="Style21"/>
                <w:rFonts w:eastAsia="" w:ascii="Calibri" w:hAnsi="Calibri" w:asciiTheme="minorHAnsi" w:eastAsiaTheme="minorEastAsia" w:hAnsiTheme="minorHAnsi"/>
                <w:sz w:val="22"/>
                <w:lang w:eastAsia="ru-RU"/>
              </w:rPr>
              <w:tab/>
            </w:r>
            <w:r>
              <w:rPr>
                <w:rStyle w:val="Style21"/>
              </w:rPr>
              <w:t>Заключение Договора</w:t>
            </w:r>
            <w:r>
              <w:rPr>
                <w:webHidden/>
              </w:rPr>
              <w:fldChar w:fldCharType="begin"/>
            </w:r>
            <w:r>
              <w:rPr>
                <w:webHidden/>
              </w:rPr>
              <w:instrText xml:space="preserve">PAGEREF _Toc236402288 \h</w:instrText>
            </w:r>
            <w:r>
              <w:rPr>
                <w:webHidden/>
              </w:rPr>
              <w:fldChar w:fldCharType="separate"/>
            </w:r>
            <w:r>
              <w:rPr>
                <w:rStyle w:val="Style21"/>
                <w:vanish w:val="false"/>
              </w:rPr>
              <w:tab/>
              <w:t>52</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89">
            <w:r>
              <w:rPr>
                <w:webHidden/>
                <w:rStyle w:val="Style21"/>
                <w:vanish w:val="false"/>
              </w:rPr>
              <w:t>5.3</w:t>
            </w:r>
            <w:r>
              <w:rPr>
                <w:rStyle w:val="Style21"/>
                <w:rFonts w:eastAsia="" w:ascii="Calibri" w:hAnsi="Calibri" w:asciiTheme="minorHAnsi" w:eastAsiaTheme="minorEastAsia" w:hAnsiTheme="minorHAnsi"/>
                <w:sz w:val="22"/>
                <w:lang w:eastAsia="ru-RU"/>
              </w:rPr>
              <w:tab/>
            </w:r>
            <w:r>
              <w:rPr>
                <w:rStyle w:val="Style21"/>
              </w:rPr>
              <w:t>Преддоговорные переговоры</w:t>
            </w:r>
            <w:r>
              <w:rPr>
                <w:webHidden/>
              </w:rPr>
              <w:fldChar w:fldCharType="begin"/>
            </w:r>
            <w:r>
              <w:rPr>
                <w:webHidden/>
              </w:rPr>
              <w:instrText xml:space="preserve">PAGEREF _Toc236402289 \h</w:instrText>
            </w:r>
            <w:r>
              <w:rPr>
                <w:webHidden/>
              </w:rPr>
              <w:fldChar w:fldCharType="separate"/>
            </w:r>
            <w:r>
              <w:rPr>
                <w:rStyle w:val="Style21"/>
                <w:vanish w:val="false"/>
              </w:rPr>
              <w:tab/>
              <w:t>55</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90">
            <w:r>
              <w:rPr>
                <w:webHidden/>
                <w:rStyle w:val="Style21"/>
                <w:vanish w:val="false"/>
              </w:rPr>
              <w:t>5.4</w:t>
            </w:r>
            <w:r>
              <w:rPr>
                <w:rStyle w:val="Style21"/>
                <w:rFonts w:eastAsia="" w:ascii="Calibri" w:hAnsi="Calibri" w:asciiTheme="minorHAnsi" w:eastAsiaTheme="minorEastAsia" w:hAnsiTheme="minorHAnsi"/>
                <w:sz w:val="22"/>
                <w:lang w:eastAsia="ru-RU"/>
              </w:rPr>
              <w:tab/>
            </w:r>
            <w:r>
              <w:rPr>
                <w:rStyle w:val="Style21"/>
              </w:rPr>
              <w:t>Уклонение Победителя от заключения Договора</w:t>
            </w:r>
            <w:r>
              <w:rPr>
                <w:webHidden/>
              </w:rPr>
              <w:fldChar w:fldCharType="begin"/>
            </w:r>
            <w:r>
              <w:rPr>
                <w:webHidden/>
              </w:rPr>
              <w:instrText xml:space="preserve">PAGEREF _Toc236402290 \h</w:instrText>
            </w:r>
            <w:r>
              <w:rPr>
                <w:webHidden/>
              </w:rPr>
              <w:fldChar w:fldCharType="separate"/>
            </w:r>
            <w:r>
              <w:rPr>
                <w:rStyle w:val="Style21"/>
                <w:vanish w:val="false"/>
              </w:rPr>
              <w:tab/>
              <w:t>56</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291">
            <w:r>
              <w:rPr>
                <w:webHidden/>
                <w:rStyle w:val="Style21"/>
                <w:vanish w:val="false"/>
              </w:rPr>
              <w:t>6.</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Приложение № 1 – Технические требования</w:t>
            </w:r>
            <w:r>
              <w:rPr>
                <w:webHidden/>
              </w:rPr>
              <w:fldChar w:fldCharType="begin"/>
            </w:r>
            <w:r>
              <w:rPr>
                <w:webHidden/>
              </w:rPr>
              <w:instrText xml:space="preserve">PAGEREF _Toc236402291 \h</w:instrText>
            </w:r>
            <w:r>
              <w:rPr>
                <w:webHidden/>
              </w:rPr>
              <w:fldChar w:fldCharType="separate"/>
            </w:r>
            <w:r>
              <w:rPr>
                <w:rStyle w:val="Style21"/>
                <w:vanish w:val="false"/>
              </w:rPr>
              <w:tab/>
              <w:t>57</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92">
            <w:r>
              <w:rPr>
                <w:webHidden/>
                <w:rStyle w:val="Style21"/>
                <w:vanish w:val="false"/>
              </w:rPr>
              <w:t>6.1</w:t>
            </w:r>
            <w:r>
              <w:rPr>
                <w:rStyle w:val="Style21"/>
                <w:rFonts w:eastAsia="" w:ascii="Calibri" w:hAnsi="Calibri" w:asciiTheme="minorHAnsi" w:eastAsiaTheme="minorEastAsia" w:hAnsiTheme="minorHAnsi"/>
                <w:sz w:val="22"/>
                <w:lang w:eastAsia="ru-RU"/>
              </w:rPr>
              <w:tab/>
            </w:r>
            <w:r>
              <w:rPr>
                <w:rStyle w:val="Style21"/>
              </w:rPr>
              <w:t>Пояснения к Техническим требованиям</w:t>
            </w:r>
            <w:r>
              <w:rPr>
                <w:webHidden/>
              </w:rPr>
              <w:fldChar w:fldCharType="begin"/>
            </w:r>
            <w:r>
              <w:rPr>
                <w:webHidden/>
              </w:rPr>
              <w:instrText xml:space="preserve">PAGEREF _Toc236402292 \h</w:instrText>
            </w:r>
            <w:r>
              <w:rPr>
                <w:webHidden/>
              </w:rPr>
              <w:fldChar w:fldCharType="separate"/>
            </w:r>
            <w:r>
              <w:rPr>
                <w:rStyle w:val="Style21"/>
                <w:vanish w:val="false"/>
              </w:rPr>
              <w:tab/>
              <w:t>57</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293">
            <w:r>
              <w:rPr>
                <w:webHidden/>
                <w:rStyle w:val="Style21"/>
                <w:vanish w:val="false"/>
              </w:rPr>
              <w:t>7.</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Приложение № 2 – Проект договора</w:t>
            </w:r>
            <w:r>
              <w:rPr>
                <w:webHidden/>
              </w:rPr>
              <w:fldChar w:fldCharType="begin"/>
            </w:r>
            <w:r>
              <w:rPr>
                <w:webHidden/>
              </w:rPr>
              <w:instrText xml:space="preserve">PAGEREF _Toc236402293 \h</w:instrText>
            </w:r>
            <w:r>
              <w:rPr>
                <w:webHidden/>
              </w:rPr>
              <w:fldChar w:fldCharType="separate"/>
            </w:r>
            <w:r>
              <w:rPr>
                <w:rStyle w:val="Style21"/>
                <w:vanish w:val="false"/>
              </w:rPr>
              <w:tab/>
              <w:t>58</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94">
            <w:r>
              <w:rPr>
                <w:webHidden/>
                <w:rStyle w:val="Style21"/>
                <w:vanish w:val="false"/>
              </w:rPr>
              <w:t>7.1</w:t>
            </w:r>
            <w:r>
              <w:rPr>
                <w:rStyle w:val="Style21"/>
                <w:rFonts w:eastAsia="" w:ascii="Calibri" w:hAnsi="Calibri" w:asciiTheme="minorHAnsi" w:eastAsiaTheme="minorEastAsia" w:hAnsiTheme="minorHAnsi"/>
                <w:sz w:val="22"/>
                <w:lang w:eastAsia="ru-RU"/>
              </w:rPr>
              <w:tab/>
            </w:r>
            <w:r>
              <w:rPr>
                <w:rStyle w:val="Style21"/>
              </w:rPr>
              <w:t>Пояснения к Проекту договора</w:t>
            </w:r>
            <w:r>
              <w:rPr>
                <w:webHidden/>
              </w:rPr>
              <w:fldChar w:fldCharType="begin"/>
            </w:r>
            <w:r>
              <w:rPr>
                <w:webHidden/>
              </w:rPr>
              <w:instrText xml:space="preserve">PAGEREF _Toc236402294 \h</w:instrText>
            </w:r>
            <w:r>
              <w:rPr>
                <w:webHidden/>
              </w:rPr>
              <w:fldChar w:fldCharType="separate"/>
            </w:r>
            <w:r>
              <w:rPr>
                <w:rStyle w:val="Style21"/>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295">
            <w:r>
              <w:rPr>
                <w:webHidden/>
                <w:rStyle w:val="Style21"/>
                <w:vanish w:val="false"/>
              </w:rPr>
              <w:t>8.</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Приложение № 3 – Требования к Участникам</w:t>
            </w:r>
            <w:r>
              <w:rPr>
                <w:webHidden/>
              </w:rPr>
              <w:fldChar w:fldCharType="begin"/>
            </w:r>
            <w:r>
              <w:rPr>
                <w:webHidden/>
              </w:rPr>
              <w:instrText xml:space="preserve">PAGEREF _Toc236402295 \h</w:instrText>
            </w:r>
            <w:r>
              <w:rPr>
                <w:webHidden/>
              </w:rPr>
              <w:fldChar w:fldCharType="separate"/>
            </w:r>
            <w:r>
              <w:rPr>
                <w:rStyle w:val="Style21"/>
                <w:vanish w:val="false"/>
              </w:rPr>
              <w:tab/>
              <w:t>59</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96">
            <w:r>
              <w:rPr>
                <w:webHidden/>
                <w:rStyle w:val="Style21"/>
                <w:vanish w:val="false"/>
              </w:rPr>
              <w:t>8.1</w:t>
            </w:r>
            <w:r>
              <w:rPr>
                <w:rStyle w:val="Style21"/>
                <w:rFonts w:eastAsia="" w:ascii="Calibri" w:hAnsi="Calibri" w:asciiTheme="minorHAnsi" w:eastAsiaTheme="minorEastAsia" w:hAnsiTheme="minorHAnsi"/>
                <w:sz w:val="22"/>
                <w:lang w:eastAsia="ru-RU"/>
              </w:rPr>
              <w:tab/>
            </w:r>
            <w:r>
              <w:rPr>
                <w:rStyle w:val="Style21"/>
              </w:rPr>
              <w:t>Пояснения к требованиям к Участникам</w:t>
            </w:r>
            <w:r>
              <w:rPr>
                <w:webHidden/>
              </w:rPr>
              <w:fldChar w:fldCharType="begin"/>
            </w:r>
            <w:r>
              <w:rPr>
                <w:webHidden/>
              </w:rPr>
              <w:instrText xml:space="preserve">PAGEREF _Toc236402296 \h</w:instrText>
            </w:r>
            <w:r>
              <w:rPr>
                <w:webHidden/>
              </w:rPr>
              <w:fldChar w:fldCharType="separate"/>
            </w:r>
            <w:r>
              <w:rPr>
                <w:rStyle w:val="Style21"/>
                <w:vanish w:val="false"/>
              </w:rPr>
              <w:tab/>
              <w:t>59</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97">
            <w:r>
              <w:rPr>
                <w:webHidden/>
                <w:rStyle w:val="Style21"/>
                <w:vanish w:val="false"/>
              </w:rPr>
              <w:t>8.2</w:t>
            </w:r>
            <w:r>
              <w:rPr>
                <w:rStyle w:val="Style21"/>
                <w:rFonts w:eastAsia="" w:ascii="Calibri" w:hAnsi="Calibri" w:asciiTheme="minorHAnsi" w:eastAsiaTheme="minorEastAsia" w:hAnsiTheme="minorHAnsi"/>
                <w:sz w:val="22"/>
                <w:lang w:eastAsia="ru-RU"/>
              </w:rPr>
              <w:tab/>
            </w:r>
            <w:r>
              <w:rPr>
                <w:rStyle w:val="Style21"/>
              </w:rPr>
              <w:t>Обязательные требования</w:t>
            </w:r>
            <w:r>
              <w:rPr>
                <w:webHidden/>
              </w:rPr>
              <w:fldChar w:fldCharType="begin"/>
            </w:r>
            <w:r>
              <w:rPr>
                <w:webHidden/>
              </w:rPr>
              <w:instrText xml:space="preserve">PAGEREF _Toc236402297 \h</w:instrText>
            </w:r>
            <w:r>
              <w:rPr>
                <w:webHidden/>
              </w:rPr>
              <w:fldChar w:fldCharType="separate"/>
            </w:r>
            <w:r>
              <w:rPr>
                <w:rStyle w:val="Style21"/>
                <w:vanish w:val="false"/>
              </w:rPr>
              <w:tab/>
              <w:t>59</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98">
            <w:r>
              <w:rPr>
                <w:webHidden/>
                <w:rStyle w:val="Style21"/>
                <w:vanish w:val="false"/>
              </w:rPr>
              <w:t>8.3</w:t>
            </w:r>
            <w:r>
              <w:rPr>
                <w:rStyle w:val="Style21"/>
                <w:rFonts w:eastAsia="" w:ascii="Calibri" w:hAnsi="Calibri" w:asciiTheme="minorHAnsi" w:eastAsiaTheme="minorEastAsia" w:hAnsiTheme="minorHAnsi"/>
                <w:sz w:val="22"/>
                <w:lang w:eastAsia="ru-RU"/>
              </w:rPr>
              <w:tab/>
            </w:r>
            <w:r>
              <w:rPr>
                <w:rStyle w:val="Style21"/>
              </w:rPr>
              <w:t>Специальные требования</w:t>
            </w:r>
            <w:r>
              <w:rPr>
                <w:webHidden/>
              </w:rPr>
              <w:fldChar w:fldCharType="begin"/>
            </w:r>
            <w:r>
              <w:rPr>
                <w:webHidden/>
              </w:rPr>
              <w:instrText xml:space="preserve">PAGEREF _Toc236402298 \h</w:instrText>
            </w:r>
            <w:r>
              <w:rPr>
                <w:webHidden/>
              </w:rPr>
              <w:fldChar w:fldCharType="separate"/>
            </w:r>
            <w:r>
              <w:rPr>
                <w:rStyle w:val="Style21"/>
                <w:vanish w:val="false"/>
              </w:rPr>
              <w:tab/>
              <w:t>62</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299">
            <w:r>
              <w:rPr>
                <w:webHidden/>
                <w:rStyle w:val="Style21"/>
                <w:vanish w:val="false"/>
              </w:rPr>
              <w:t>8.4</w:t>
            </w:r>
            <w:r>
              <w:rPr>
                <w:rStyle w:val="Style21"/>
                <w:rFonts w:eastAsia="" w:ascii="Calibri" w:hAnsi="Calibri" w:asciiTheme="minorHAnsi" w:eastAsiaTheme="minorEastAsia" w:hAnsiTheme="minorHAnsi"/>
                <w:sz w:val="22"/>
                <w:lang w:eastAsia="ru-RU"/>
              </w:rPr>
              <w:tab/>
            </w:r>
            <w:r>
              <w:rPr>
                <w:rStyle w:val="Style21"/>
              </w:rPr>
              <w:t>Квалификационные требования</w:t>
            </w:r>
            <w:r>
              <w:rPr>
                <w:webHidden/>
              </w:rPr>
              <w:fldChar w:fldCharType="begin"/>
            </w:r>
            <w:r>
              <w:rPr>
                <w:webHidden/>
              </w:rPr>
              <w:instrText xml:space="preserve">PAGEREF _Toc236402299 \h</w:instrText>
            </w:r>
            <w:r>
              <w:rPr>
                <w:webHidden/>
              </w:rPr>
              <w:fldChar w:fldCharType="separate"/>
            </w:r>
            <w:r>
              <w:rPr>
                <w:rStyle w:val="Style21"/>
                <w:vanish w:val="false"/>
              </w:rPr>
              <w:tab/>
              <w:t>62</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00">
            <w:r>
              <w:rPr>
                <w:webHidden/>
                <w:rStyle w:val="Style21"/>
                <w:vanish w:val="false"/>
              </w:rPr>
              <w:t>8.5</w:t>
            </w:r>
            <w:r>
              <w:rPr>
                <w:rStyle w:val="Style21"/>
                <w:rFonts w:eastAsia="" w:ascii="Calibri" w:hAnsi="Calibri" w:asciiTheme="minorHAnsi" w:eastAsiaTheme="minorEastAsia" w:hAnsiTheme="minorHAnsi"/>
                <w:sz w:val="22"/>
                <w:lang w:eastAsia="ru-RU"/>
              </w:rPr>
              <w:tab/>
            </w:r>
            <w:r>
              <w:rPr>
                <w:rStyle w:val="Style21"/>
              </w:rPr>
              <w:t>Дополнительные требования к Коллективным участникам</w:t>
            </w:r>
            <w:r>
              <w:rPr>
                <w:webHidden/>
              </w:rPr>
              <w:fldChar w:fldCharType="begin"/>
            </w:r>
            <w:r>
              <w:rPr>
                <w:webHidden/>
              </w:rPr>
              <w:instrText xml:space="preserve">PAGEREF _Toc236402300 \h</w:instrText>
            </w:r>
            <w:r>
              <w:rPr>
                <w:webHidden/>
              </w:rPr>
              <w:fldChar w:fldCharType="separate"/>
            </w:r>
            <w:r>
              <w:rPr>
                <w:rStyle w:val="Style21"/>
                <w:vanish w:val="false"/>
              </w:rPr>
              <w:tab/>
              <w:t>63</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01">
            <w:r>
              <w:rPr>
                <w:webHidden/>
                <w:rStyle w:val="Style21"/>
                <w:vanish w:val="false"/>
              </w:rPr>
              <w:t>8.6</w:t>
            </w:r>
            <w:r>
              <w:rPr>
                <w:rStyle w:val="Style21"/>
                <w:rFonts w:eastAsia="" w:ascii="Calibri" w:hAnsi="Calibri" w:asciiTheme="minorHAnsi" w:eastAsiaTheme="minorEastAsia" w:hAnsiTheme="minorHAnsi"/>
                <w:sz w:val="22"/>
                <w:lang w:eastAsia="ru-RU"/>
              </w:rPr>
              <w:tab/>
            </w:r>
            <w:r>
              <w:rPr>
                <w:rStyle w:val="Style21"/>
              </w:rPr>
              <w:t>Дополнительные требования к Генеральным подрядчикам</w:t>
            </w:r>
            <w:r>
              <w:rPr>
                <w:webHidden/>
              </w:rPr>
              <w:fldChar w:fldCharType="begin"/>
            </w:r>
            <w:r>
              <w:rPr>
                <w:webHidden/>
              </w:rPr>
              <w:instrText xml:space="preserve">PAGEREF _Toc236402301 \h</w:instrText>
            </w:r>
            <w:r>
              <w:rPr>
                <w:webHidden/>
              </w:rPr>
              <w:fldChar w:fldCharType="separate"/>
            </w:r>
            <w:r>
              <w:rPr>
                <w:rStyle w:val="Style21"/>
                <w:vanish w:val="false"/>
              </w:rPr>
              <w:tab/>
              <w:t>63</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02">
            <w:r>
              <w:rPr>
                <w:webHidden/>
                <w:rStyle w:val="Style21"/>
                <w:vanish w:val="false"/>
              </w:rPr>
              <w:t>8.7</w:t>
            </w:r>
            <w:r>
              <w:rPr>
                <w:rStyle w:val="Style21"/>
                <w:rFonts w:eastAsia="" w:ascii="Calibri" w:hAnsi="Calibri" w:asciiTheme="minorHAnsi" w:eastAsiaTheme="minorEastAsia" w:hAnsiTheme="minorHAnsi"/>
                <w:sz w:val="22"/>
                <w:lang w:eastAsia="ru-RU"/>
              </w:rPr>
              <w:tab/>
            </w:r>
            <w:r>
              <w:rPr>
                <w:rStyle w:val="Style21"/>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r>
            <w:r>
              <w:rPr>
                <w:webHidden/>
              </w:rPr>
              <w:fldChar w:fldCharType="begin"/>
            </w:r>
            <w:r>
              <w:rPr>
                <w:webHidden/>
              </w:rPr>
              <w:instrText xml:space="preserve">PAGEREF _Toc236402302 \h</w:instrText>
            </w:r>
            <w:r>
              <w:rPr>
                <w:webHidden/>
              </w:rPr>
              <w:fldChar w:fldCharType="separate"/>
            </w:r>
            <w:r>
              <w:rPr>
                <w:rStyle w:val="Style21"/>
                <w:vanish w:val="false"/>
              </w:rPr>
              <w:tab/>
              <w:t>64</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303">
            <w:r>
              <w:rPr>
                <w:webHidden/>
                <w:rStyle w:val="Style21"/>
                <w:vanish w:val="false"/>
              </w:rPr>
              <w:t>9.</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Приложение № 4 – Образцы форм документов, включаемых в состав заявки</w:t>
            </w:r>
            <w:r>
              <w:rPr>
                <w:webHidden/>
              </w:rPr>
              <w:fldChar w:fldCharType="begin"/>
            </w:r>
            <w:r>
              <w:rPr>
                <w:webHidden/>
              </w:rPr>
              <w:instrText xml:space="preserve">PAGEREF _Toc236402303 \h</w:instrText>
            </w:r>
            <w:r>
              <w:rPr>
                <w:webHidden/>
              </w:rPr>
              <w:fldChar w:fldCharType="separate"/>
            </w:r>
            <w:r>
              <w:rPr>
                <w:rStyle w:val="Style21"/>
                <w:vanish w:val="false"/>
              </w:rPr>
              <w:tab/>
              <w:t>65</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04">
            <w:r>
              <w:rPr>
                <w:webHidden/>
                <w:rStyle w:val="Style21"/>
                <w:vanish w:val="false"/>
              </w:rPr>
              <w:t>9.1</w:t>
            </w:r>
            <w:r>
              <w:rPr>
                <w:rStyle w:val="Style21"/>
                <w:rFonts w:eastAsia="" w:ascii="Calibri" w:hAnsi="Calibri" w:asciiTheme="minorHAnsi" w:eastAsiaTheme="minorEastAsia" w:hAnsiTheme="minorHAnsi"/>
                <w:sz w:val="22"/>
                <w:lang w:eastAsia="ru-RU"/>
              </w:rPr>
              <w:tab/>
            </w:r>
            <w:r>
              <w:rPr>
                <w:rStyle w:val="Style21"/>
              </w:rPr>
              <w:t>Пояснения к Образцам форм документов, включаемых в состав заявки</w:t>
            </w:r>
            <w:r>
              <w:rPr>
                <w:webHidden/>
              </w:rPr>
              <w:fldChar w:fldCharType="begin"/>
            </w:r>
            <w:r>
              <w:rPr>
                <w:webHidden/>
              </w:rPr>
              <w:instrText xml:space="preserve">PAGEREF _Toc236402304 \h</w:instrText>
            </w:r>
            <w:r>
              <w:rPr>
                <w:webHidden/>
              </w:rPr>
              <w:fldChar w:fldCharType="separate"/>
            </w:r>
            <w:r>
              <w:rPr>
                <w:rStyle w:val="Style21"/>
                <w:vanish w:val="false"/>
              </w:rPr>
              <w:tab/>
              <w:t>65</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305">
            <w:r>
              <w:rPr>
                <w:webHidden/>
                <w:rStyle w:val="Style21"/>
                <w:vanish w:val="false"/>
              </w:rPr>
              <w:t>10.</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Приложение № 5 – Образцы форм документов, предоставляемых Победителем</w:t>
            </w:r>
            <w:r>
              <w:rPr>
                <w:webHidden/>
              </w:rPr>
              <w:fldChar w:fldCharType="begin"/>
            </w:r>
            <w:r>
              <w:rPr>
                <w:webHidden/>
              </w:rPr>
              <w:instrText xml:space="preserve">PAGEREF _Toc236402305 \h</w:instrText>
            </w:r>
            <w:r>
              <w:rPr>
                <w:webHidden/>
              </w:rPr>
              <w:fldChar w:fldCharType="separate"/>
            </w:r>
            <w:r>
              <w:rPr>
                <w:rStyle w:val="Style21"/>
                <w:vanish w:val="false"/>
              </w:rPr>
              <w:tab/>
              <w:t>66</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06">
            <w:r>
              <w:rPr>
                <w:webHidden/>
                <w:rStyle w:val="Style21"/>
                <w:vanish w:val="false"/>
              </w:rPr>
              <w:t>10.1</w:t>
            </w:r>
            <w:r>
              <w:rPr>
                <w:rStyle w:val="Style21"/>
                <w:rFonts w:eastAsia="" w:ascii="Calibri" w:hAnsi="Calibri" w:asciiTheme="minorHAnsi" w:eastAsiaTheme="minorEastAsia" w:hAnsiTheme="minorHAnsi"/>
                <w:sz w:val="22"/>
                <w:lang w:eastAsia="ru-RU"/>
              </w:rPr>
              <w:tab/>
            </w:r>
            <w:r>
              <w:rPr>
                <w:rStyle w:val="Style21"/>
              </w:rPr>
              <w:t>Пояснения к Образцам форм документов, предоставляемых Победителем</w:t>
            </w:r>
            <w:r>
              <w:rPr>
                <w:webHidden/>
              </w:rPr>
              <w:fldChar w:fldCharType="begin"/>
            </w:r>
            <w:r>
              <w:rPr>
                <w:webHidden/>
              </w:rPr>
              <w:instrText xml:space="preserve">PAGEREF _Toc236402306 \h</w:instrText>
            </w:r>
            <w:r>
              <w:rPr>
                <w:webHidden/>
              </w:rPr>
              <w:fldChar w:fldCharType="separate"/>
            </w:r>
            <w:r>
              <w:rPr>
                <w:rStyle w:val="Style21"/>
                <w:vanish w:val="false"/>
              </w:rPr>
              <w:tab/>
              <w:t>66</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07">
            <w:r>
              <w:rPr>
                <w:webHidden/>
                <w:rStyle w:val="Style21"/>
                <w:vanish w:val="false"/>
              </w:rPr>
              <w:t>10.2</w:t>
            </w:r>
            <w:r>
              <w:rPr>
                <w:rStyle w:val="Style21"/>
                <w:rFonts w:eastAsia="" w:ascii="Calibri" w:hAnsi="Calibri" w:asciiTheme="minorHAnsi" w:eastAsiaTheme="minorEastAsia" w:hAnsiTheme="minorHAnsi"/>
                <w:sz w:val="22"/>
                <w:lang w:eastAsia="ru-RU"/>
              </w:rPr>
              <w:tab/>
            </w:r>
            <w:r>
              <w:rPr>
                <w:rStyle w:val="Style21"/>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_Toc236402307 \h</w:instrText>
            </w:r>
            <w:r>
              <w:rPr>
                <w:webHidden/>
              </w:rPr>
              <w:fldChar w:fldCharType="separate"/>
            </w:r>
            <w:r>
              <w:rPr>
                <w:rStyle w:val="Style21"/>
                <w:vanish w:val="false"/>
              </w:rPr>
              <w:tab/>
              <w:t>66</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08">
            <w:r>
              <w:rPr>
                <w:webHidden/>
                <w:rStyle w:val="Style21"/>
                <w:vanish w:val="false"/>
              </w:rPr>
              <w:t>10.3</w:t>
            </w:r>
            <w:r>
              <w:rPr>
                <w:rStyle w:val="Style21"/>
                <w:rFonts w:eastAsia="" w:ascii="Calibri" w:hAnsi="Calibri" w:asciiTheme="minorHAnsi" w:eastAsiaTheme="minorEastAsia" w:hAnsiTheme="minorHAnsi"/>
                <w:sz w:val="22"/>
                <w:lang w:eastAsia="ru-RU"/>
              </w:rPr>
              <w:tab/>
            </w:r>
            <w:r>
              <w:rPr>
                <w:rStyle w:val="Style21"/>
              </w:rPr>
              <w:t>Форма «Заверение об обстоятельствах»</w:t>
            </w:r>
            <w:r>
              <w:rPr>
                <w:webHidden/>
              </w:rPr>
              <w:fldChar w:fldCharType="begin"/>
            </w:r>
            <w:r>
              <w:rPr>
                <w:webHidden/>
              </w:rPr>
              <w:instrText xml:space="preserve">PAGEREF _Toc236402308 \h</w:instrText>
            </w:r>
            <w:r>
              <w:rPr>
                <w:webHidden/>
              </w:rPr>
              <w:fldChar w:fldCharType="separate"/>
            </w:r>
            <w:r>
              <w:rPr>
                <w:rStyle w:val="Style21"/>
                <w:vanish w:val="false"/>
              </w:rPr>
              <w:tab/>
              <w:t>66</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309">
            <w:r>
              <w:rPr>
                <w:webHidden/>
                <w:rStyle w:val="Style21"/>
                <w:vanish w:val="false"/>
              </w:rPr>
              <w:t>11.</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Приложение № 6 – Состав заявки</w:t>
            </w:r>
            <w:r>
              <w:rPr>
                <w:webHidden/>
              </w:rPr>
              <w:fldChar w:fldCharType="begin"/>
            </w:r>
            <w:r>
              <w:rPr>
                <w:webHidden/>
              </w:rPr>
              <w:instrText xml:space="preserve">PAGEREF _Toc236402309 \h</w:instrText>
            </w:r>
            <w:r>
              <w:rPr>
                <w:webHidden/>
              </w:rPr>
              <w:fldChar w:fldCharType="separate"/>
            </w:r>
            <w:r>
              <w:rPr>
                <w:rStyle w:val="Style21"/>
                <w:vanish w:val="false"/>
              </w:rPr>
              <w:tab/>
              <w:t>68</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10">
            <w:r>
              <w:rPr>
                <w:webHidden/>
                <w:rStyle w:val="Style21"/>
                <w:vanish w:val="false"/>
              </w:rPr>
              <w:t>11.1</w:t>
            </w:r>
            <w:r>
              <w:rPr>
                <w:rStyle w:val="Style21"/>
                <w:rFonts w:eastAsia="" w:ascii="Calibri" w:hAnsi="Calibri" w:asciiTheme="minorHAnsi" w:eastAsiaTheme="minorEastAsia" w:hAnsiTheme="minorHAnsi"/>
                <w:sz w:val="22"/>
                <w:lang w:eastAsia="ru-RU"/>
              </w:rPr>
              <w:tab/>
            </w:r>
            <w:r>
              <w:rPr>
                <w:rStyle w:val="Style21"/>
              </w:rPr>
              <w:t>Состав заявки</w:t>
            </w:r>
            <w:r>
              <w:rPr>
                <w:webHidden/>
              </w:rPr>
              <w:fldChar w:fldCharType="begin"/>
            </w:r>
            <w:r>
              <w:rPr>
                <w:webHidden/>
              </w:rPr>
              <w:instrText xml:space="preserve">PAGEREF _Toc236402310 \h</w:instrText>
            </w:r>
            <w:r>
              <w:rPr>
                <w:webHidden/>
              </w:rPr>
              <w:fldChar w:fldCharType="separate"/>
            </w:r>
            <w:r>
              <w:rPr>
                <w:rStyle w:val="Style21"/>
                <w:vanish w:val="false"/>
              </w:rPr>
              <w:tab/>
              <w:t>68</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311">
            <w:r>
              <w:rPr>
                <w:webHidden/>
                <w:rStyle w:val="Style21"/>
                <w:vanish w:val="false"/>
              </w:rPr>
              <w:t>12.</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Приложение № 7 – Отборочные критерии рассмотрения заявок</w:t>
            </w:r>
            <w:r>
              <w:rPr>
                <w:webHidden/>
              </w:rPr>
              <w:fldChar w:fldCharType="begin"/>
            </w:r>
            <w:r>
              <w:rPr>
                <w:webHidden/>
              </w:rPr>
              <w:instrText xml:space="preserve">PAGEREF _Toc236402311 \h</w:instrText>
            </w:r>
            <w:r>
              <w:rPr>
                <w:webHidden/>
              </w:rPr>
              <w:fldChar w:fldCharType="separate"/>
            </w:r>
            <w:r>
              <w:rPr>
                <w:rStyle w:val="Style21"/>
                <w:vanish w:val="false"/>
              </w:rPr>
              <w:tab/>
              <w:t>71</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12">
            <w:r>
              <w:rPr>
                <w:webHidden/>
                <w:rStyle w:val="Style21"/>
                <w:vanish w:val="false"/>
              </w:rPr>
              <w:t>12.1</w:t>
            </w:r>
            <w:r>
              <w:rPr>
                <w:rStyle w:val="Style21"/>
                <w:rFonts w:eastAsia="" w:ascii="Calibri" w:hAnsi="Calibri" w:asciiTheme="minorHAnsi" w:eastAsiaTheme="minorEastAsia" w:hAnsiTheme="minorHAnsi"/>
                <w:sz w:val="22"/>
                <w:lang w:eastAsia="ru-RU"/>
              </w:rPr>
              <w:tab/>
            </w:r>
            <w:r>
              <w:rPr>
                <w:rStyle w:val="Style21"/>
              </w:rPr>
              <w:t>Отборочные критерии рассмотрения заявок</w:t>
            </w:r>
            <w:r>
              <w:rPr>
                <w:webHidden/>
              </w:rPr>
              <w:fldChar w:fldCharType="begin"/>
            </w:r>
            <w:r>
              <w:rPr>
                <w:webHidden/>
              </w:rPr>
              <w:instrText xml:space="preserve">PAGEREF _Toc236402312 \h</w:instrText>
            </w:r>
            <w:r>
              <w:rPr>
                <w:webHidden/>
              </w:rPr>
              <w:fldChar w:fldCharType="separate"/>
            </w:r>
            <w:r>
              <w:rPr>
                <w:rStyle w:val="Style21"/>
                <w:vanish w:val="false"/>
              </w:rPr>
              <w:tab/>
              <w:t>71</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313">
            <w:r>
              <w:rPr>
                <w:webHidden/>
                <w:rStyle w:val="Style21"/>
                <w:vanish w:val="false"/>
              </w:rPr>
              <w:t>13.</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Приложение № 8 – Порядок и критерии оценки и сопоставления заявок</w:t>
            </w:r>
            <w:r>
              <w:rPr>
                <w:webHidden/>
              </w:rPr>
              <w:fldChar w:fldCharType="begin"/>
            </w:r>
            <w:r>
              <w:rPr>
                <w:webHidden/>
              </w:rPr>
              <w:instrText xml:space="preserve">PAGEREF _Toc236402313 \h</w:instrText>
            </w:r>
            <w:r>
              <w:rPr>
                <w:webHidden/>
              </w:rPr>
              <w:fldChar w:fldCharType="separate"/>
            </w:r>
            <w:r>
              <w:rPr>
                <w:rStyle w:val="Style21"/>
                <w:vanish w:val="false"/>
              </w:rPr>
              <w:tab/>
              <w:t>78</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14">
            <w:r>
              <w:rPr>
                <w:webHidden/>
                <w:rStyle w:val="Style21"/>
                <w:vanish w:val="false"/>
              </w:rPr>
              <w:t>13.1</w:t>
            </w:r>
            <w:r>
              <w:rPr>
                <w:rStyle w:val="Style21"/>
                <w:rFonts w:eastAsia="" w:ascii="Calibri" w:hAnsi="Calibri" w:asciiTheme="minorHAnsi" w:eastAsiaTheme="minorEastAsia" w:hAnsiTheme="minorHAnsi"/>
                <w:sz w:val="22"/>
                <w:lang w:eastAsia="ru-RU"/>
              </w:rPr>
              <w:tab/>
            </w:r>
            <w:r>
              <w:rPr>
                <w:rStyle w:val="Style21"/>
              </w:rPr>
              <w:t>Порядок и критерии оценки и сопоставления заявок</w:t>
            </w:r>
            <w:r>
              <w:rPr>
                <w:webHidden/>
              </w:rPr>
              <w:fldChar w:fldCharType="begin"/>
            </w:r>
            <w:r>
              <w:rPr>
                <w:webHidden/>
              </w:rPr>
              <w:instrText xml:space="preserve">PAGEREF _Toc236402314 \h</w:instrText>
            </w:r>
            <w:r>
              <w:rPr>
                <w:webHidden/>
              </w:rPr>
              <w:fldChar w:fldCharType="separate"/>
            </w:r>
            <w:r>
              <w:rPr>
                <w:rStyle w:val="Style21"/>
                <w:vanish w:val="false"/>
              </w:rPr>
              <w:tab/>
              <w:t>78</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315">
            <w:r>
              <w:rPr>
                <w:webHidden/>
                <w:rStyle w:val="Style21"/>
                <w:vanish w:val="false"/>
              </w:rPr>
              <w:t>14.</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Приложение № 9 – Обоснование НМЦ</w:t>
            </w:r>
            <w:r>
              <w:rPr>
                <w:webHidden/>
              </w:rPr>
              <w:fldChar w:fldCharType="begin"/>
            </w:r>
            <w:r>
              <w:rPr>
                <w:webHidden/>
              </w:rPr>
              <w:instrText xml:space="preserve">PAGEREF _Toc236402315 \h</w:instrText>
            </w:r>
            <w:r>
              <w:rPr>
                <w:webHidden/>
              </w:rPr>
              <w:fldChar w:fldCharType="separate"/>
            </w:r>
            <w:r>
              <w:rPr>
                <w:rStyle w:val="Style21"/>
                <w:vanish w:val="false"/>
              </w:rPr>
              <w:tab/>
              <w:t>87</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16">
            <w:r>
              <w:rPr>
                <w:webHidden/>
                <w:rStyle w:val="Style21"/>
                <w:vanish w:val="false"/>
              </w:rPr>
              <w:t>14.1</w:t>
            </w:r>
            <w:r>
              <w:rPr>
                <w:rStyle w:val="Style21"/>
                <w:rFonts w:eastAsia="" w:ascii="Calibri" w:hAnsi="Calibri" w:asciiTheme="minorHAnsi" w:eastAsiaTheme="minorEastAsia" w:hAnsiTheme="minorHAnsi"/>
                <w:sz w:val="22"/>
                <w:lang w:eastAsia="ru-RU"/>
              </w:rPr>
              <w:tab/>
            </w:r>
            <w:r>
              <w:rPr>
                <w:rStyle w:val="Style21"/>
              </w:rPr>
              <w:t>Пояснения к Обоснованию НМЦ</w:t>
            </w:r>
            <w:r>
              <w:rPr>
                <w:webHidden/>
              </w:rPr>
              <w:fldChar w:fldCharType="begin"/>
            </w:r>
            <w:r>
              <w:rPr>
                <w:webHidden/>
              </w:rPr>
              <w:instrText xml:space="preserve">PAGEREF _Toc236402316 \h</w:instrText>
            </w:r>
            <w:r>
              <w:rPr>
                <w:webHidden/>
              </w:rPr>
              <w:fldChar w:fldCharType="separate"/>
            </w:r>
            <w:r>
              <w:rPr>
                <w:rStyle w:val="Style21"/>
                <w:vanish w:val="false"/>
              </w:rPr>
              <w:tab/>
              <w:t>87</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317">
            <w:r>
              <w:rPr>
                <w:webHidden/>
                <w:rStyle w:val="Style21"/>
                <w:vanish w:val="false"/>
              </w:rPr>
              <w:t>15.</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Приложение № 10 – Форма Заявки на аккредитацию</w:t>
            </w:r>
            <w:r>
              <w:rPr>
                <w:webHidden/>
              </w:rPr>
              <w:fldChar w:fldCharType="begin"/>
            </w:r>
            <w:r>
              <w:rPr>
                <w:webHidden/>
              </w:rPr>
              <w:instrText xml:space="preserve">PAGEREF _Toc236402317 \h</w:instrText>
            </w:r>
            <w:r>
              <w:rPr>
                <w:webHidden/>
              </w:rPr>
              <w:fldChar w:fldCharType="separate"/>
            </w:r>
            <w:r>
              <w:rPr>
                <w:rStyle w:val="Style21"/>
                <w:vanish w:val="false"/>
              </w:rPr>
              <w:tab/>
              <w:t>88</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18">
            <w:r>
              <w:rPr>
                <w:webHidden/>
                <w:rStyle w:val="Style21"/>
                <w:vanish w:val="false"/>
              </w:rPr>
              <w:t>15.1</w:t>
            </w:r>
            <w:r>
              <w:rPr>
                <w:rStyle w:val="Style21"/>
                <w:rFonts w:eastAsia="" w:ascii="Calibri" w:hAnsi="Calibri" w:asciiTheme="minorHAnsi" w:eastAsiaTheme="minorEastAsia" w:hAnsiTheme="minorHAnsi"/>
                <w:sz w:val="22"/>
                <w:lang w:eastAsia="ru-RU"/>
              </w:rPr>
              <w:tab/>
            </w:r>
            <w:r>
              <w:rPr>
                <w:rStyle w:val="Style21"/>
              </w:rPr>
              <w:t>Пояснения к форме Заявки на аккредитацию</w:t>
            </w:r>
            <w:r>
              <w:rPr>
                <w:webHidden/>
              </w:rPr>
              <w:fldChar w:fldCharType="begin"/>
            </w:r>
            <w:r>
              <w:rPr>
                <w:webHidden/>
              </w:rPr>
              <w:instrText xml:space="preserve">PAGEREF _Toc236402318 \h</w:instrText>
            </w:r>
            <w:r>
              <w:rPr>
                <w:webHidden/>
              </w:rPr>
              <w:fldChar w:fldCharType="separate"/>
            </w:r>
            <w:r>
              <w:rPr>
                <w:rStyle w:val="Style21"/>
                <w:vanish w:val="false"/>
              </w:rPr>
              <w:tab/>
              <w:t>88</w:t>
            </w:r>
            <w:r>
              <w:rPr>
                <w:webHidden/>
              </w:rPr>
              <w:fldChar w:fldCharType="end"/>
            </w:r>
          </w:hyperlink>
        </w:p>
        <w:p>
          <w:pPr>
            <w:pStyle w:val="TOC1"/>
            <w:rPr>
              <w:rFonts w:ascii="Calibri" w:hAnsi="Calibri" w:eastAsia="" w:asciiTheme="minorHAnsi" w:eastAsiaTheme="minorEastAsia" w:hAnsiTheme="minorHAnsi"/>
              <w:b w:val="false"/>
              <w:caps w:val="false"/>
              <w:smallCaps w:val="false"/>
              <w:sz w:val="22"/>
              <w:lang w:eastAsia="ru-RU"/>
            </w:rPr>
          </w:pPr>
          <w:hyperlink w:anchor="_Toc236402319">
            <w:r>
              <w:rPr>
                <w:webHidden/>
                <w:rStyle w:val="Style21"/>
                <w:vanish w:val="false"/>
              </w:rPr>
              <w:t>16.</w:t>
            </w:r>
            <w:r>
              <w:rPr>
                <w:rStyle w:val="Style21"/>
                <w:rFonts w:eastAsia="" w:ascii="Calibri" w:hAnsi="Calibri" w:asciiTheme="minorHAnsi" w:eastAsiaTheme="minorEastAsia" w:hAnsiTheme="minorHAnsi"/>
                <w:b w:val="false"/>
                <w:caps w:val="false"/>
                <w:smallCaps w:val="false"/>
                <w:sz w:val="22"/>
                <w:lang w:eastAsia="ru-RU"/>
              </w:rPr>
              <w:tab/>
            </w:r>
            <w:r>
              <w:rPr>
                <w:rStyle w:val="Style21"/>
              </w:rPr>
              <w:t>Приложение № 11 – форма Данных бухгалтерской (финансовой) отчетности</w:t>
            </w:r>
            <w:r>
              <w:rPr>
                <w:webHidden/>
              </w:rPr>
              <w:fldChar w:fldCharType="begin"/>
            </w:r>
            <w:r>
              <w:rPr>
                <w:webHidden/>
              </w:rPr>
              <w:instrText xml:space="preserve">PAGEREF _Toc236402319 \h</w:instrText>
            </w:r>
            <w:r>
              <w:rPr>
                <w:webHidden/>
              </w:rPr>
              <w:fldChar w:fldCharType="separate"/>
            </w:r>
            <w:r>
              <w:rPr>
                <w:rStyle w:val="Style21"/>
                <w:vanish w:val="false"/>
              </w:rPr>
              <w:tab/>
              <w:t>89</w:t>
            </w:r>
            <w:r>
              <w:rPr>
                <w:webHidden/>
              </w:rPr>
              <w:fldChar w:fldCharType="end"/>
            </w:r>
          </w:hyperlink>
        </w:p>
        <w:p>
          <w:pPr>
            <w:pStyle w:val="TOC2"/>
            <w:rPr>
              <w:rFonts w:ascii="Calibri" w:hAnsi="Calibri" w:eastAsia="" w:asciiTheme="minorHAnsi" w:eastAsiaTheme="minorEastAsia" w:hAnsiTheme="minorHAnsi"/>
              <w:sz w:val="22"/>
              <w:lang w:eastAsia="ru-RU"/>
            </w:rPr>
          </w:pPr>
          <w:hyperlink w:anchor="_Toc236402320">
            <w:r>
              <w:rPr>
                <w:webHidden/>
                <w:rStyle w:val="Style21"/>
                <w:vanish w:val="false"/>
              </w:rPr>
              <w:t>16.1</w:t>
            </w:r>
            <w:r>
              <w:rPr>
                <w:rStyle w:val="Style21"/>
                <w:rFonts w:eastAsia="" w:ascii="Calibri" w:hAnsi="Calibri" w:asciiTheme="minorHAnsi" w:eastAsiaTheme="minorEastAsia" w:hAnsiTheme="minorHAnsi"/>
                <w:sz w:val="22"/>
                <w:lang w:eastAsia="ru-RU"/>
              </w:rPr>
              <w:tab/>
            </w:r>
            <w:r>
              <w:rPr>
                <w:rStyle w:val="Style21"/>
              </w:rPr>
              <w:t>Пояснения к форме Данных бухгалтерской (финансовой) отчетности</w:t>
            </w:r>
            <w:r>
              <w:rPr>
                <w:webHidden/>
              </w:rPr>
              <w:fldChar w:fldCharType="begin"/>
            </w:r>
            <w:r>
              <w:rPr>
                <w:webHidden/>
              </w:rPr>
              <w:instrText xml:space="preserve">PAGEREF _Toc236402320 \h</w:instrText>
            </w:r>
            <w:r>
              <w:rPr>
                <w:webHidden/>
              </w:rPr>
              <w:fldChar w:fldCharType="separate"/>
            </w:r>
            <w:r>
              <w:rPr>
                <w:rStyle w:val="Style21"/>
                <w:vanish w:val="false"/>
              </w:rPr>
              <w:tab/>
              <w:t>89</w:t>
            </w:r>
            <w:r>
              <w:rPr>
                <w:webHidden/>
              </w:rPr>
              <w:fldChar w:fldCharType="end"/>
            </w:r>
          </w:hyperlink>
          <w:r>
            <w:rPr>
              <w:rStyle w:val="Style21"/>
              <w:vanish w:val="false"/>
            </w:rPr>
            <w:fldChar w:fldCharType="end"/>
          </w:r>
        </w:p>
      </w:sdtContent>
    </w:sdt>
    <w:p>
      <w:pPr>
        <w:pStyle w:val="Style32"/>
        <w:jc w:val="both"/>
        <w:rPr/>
      </w:pPr>
      <w:r>
        <w:rPr/>
      </w:r>
    </w:p>
    <w:p>
      <w:pPr>
        <w:pStyle w:val="Style32"/>
        <w:keepNext w:val="true"/>
        <w:spacing w:before="60" w:after="0"/>
        <w:rPr>
          <w:rStyle w:val="Style17"/>
        </w:rPr>
      </w:pPr>
      <w:r>
        <w:rPr>
          <w:rStyle w:val="Style17"/>
        </w:rPr>
        <w:t xml:space="preserve">[Примечание (дополнительные удобства работы с Документацией о закупке; Microsoft Word | </w:t>
      </w:r>
      <w:r>
        <w:rPr>
          <w:rStyle w:val="Style17"/>
          <w:color w:val="4472C4" w:themeColor="accent1"/>
        </w:rPr>
        <w:t>AlterOffice AText – отмечены отличая для данного текстового редактора</w:t>
      </w:r>
      <w:r>
        <w:rPr>
          <w:rStyle w:val="Style17"/>
        </w:rPr>
        <w:t>):</w:t>
      </w:r>
    </w:p>
    <w:p>
      <w:pPr>
        <w:pStyle w:val="Style32"/>
        <w:numPr>
          <w:ilvl w:val="0"/>
          <w:numId w:val="12"/>
        </w:numPr>
        <w:spacing w:before="60" w:after="0"/>
        <w:ind w:hanging="284" w:left="284"/>
        <w:rPr>
          <w:rStyle w:val="Style17"/>
        </w:rPr>
      </w:pPr>
      <w:r>
        <w:rPr>
          <w:rStyle w:val="Style17"/>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7"/>
          <w:color w:val="4472C4" w:themeColor="accent1"/>
        </w:rPr>
        <w:t>включается на вкладке «Вид» опцией «Навигатор»</w:t>
      </w:r>
      <w:r>
        <w:rPr>
          <w:rStyle w:val="Style17"/>
        </w:rPr>
        <w:t>;</w:t>
      </w:r>
    </w:p>
    <w:p>
      <w:pPr>
        <w:pStyle w:val="Style32"/>
        <w:numPr>
          <w:ilvl w:val="0"/>
          <w:numId w:val="12"/>
        </w:numPr>
        <w:spacing w:before="60" w:after="0"/>
        <w:ind w:hanging="284" w:left="284"/>
        <w:rPr>
          <w:rStyle w:val="Style17"/>
        </w:rPr>
      </w:pPr>
      <w:r>
        <w:rPr>
          <w:rStyle w:val="Style17"/>
        </w:rPr>
        <w:t>переход по перекрестным и другим ссылкам осуществляется левым кликом мыши с</w:t>
      </w:r>
      <w:r>
        <w:rPr>
          <w:rStyle w:val="Style17"/>
          <w:lang w:val="en-US"/>
        </w:rPr>
        <w:t> </w:t>
      </w:r>
      <w:r>
        <w:rPr>
          <w:rStyle w:val="Style17"/>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7"/>
          <w:color w:val="4472C4" w:themeColor="accent1"/>
        </w:rPr>
        <w:t>(обратный переход функционально не реализован в AlterOffice AText, пользуйтесь функциональностью «Навигатор»)</w:t>
      </w:r>
      <w:r>
        <w:rPr>
          <w:rStyle w:val="Style17"/>
        </w:rPr>
        <w:t>;</w:t>
      </w:r>
    </w:p>
    <w:p>
      <w:pPr>
        <w:pStyle w:val="Style32"/>
        <w:numPr>
          <w:ilvl w:val="0"/>
          <w:numId w:val="12"/>
        </w:numPr>
        <w:spacing w:before="60" w:after="0"/>
        <w:ind w:hanging="284" w:left="284"/>
        <w:rPr>
          <w:rStyle w:val="Style17"/>
        </w:rPr>
      </w:pPr>
      <w:r>
        <w:rPr>
          <w:rStyle w:val="Style17"/>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7"/>
          <w:lang w:val="en-US"/>
        </w:rPr>
        <w:t> </w:t>
      </w:r>
      <w:r>
        <w:rPr>
          <w:rStyle w:val="Style17"/>
        </w:rPr>
        <w:t>тексте;</w:t>
      </w:r>
    </w:p>
    <w:p>
      <w:pPr>
        <w:pStyle w:val="Style32"/>
        <w:numPr>
          <w:ilvl w:val="0"/>
          <w:numId w:val="12"/>
        </w:numPr>
        <w:spacing w:before="60" w:after="0"/>
        <w:ind w:hanging="284" w:left="284"/>
        <w:rPr>
          <w:rStyle w:val="Style17"/>
        </w:rPr>
      </w:pPr>
      <w:r>
        <w:rPr>
          <w:rStyle w:val="Style17"/>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7"/>
        </w:rPr>
        <w:t>.]</w:t>
      </w:r>
    </w:p>
    <w:p>
      <w:pPr>
        <w:pStyle w:val="Style31"/>
        <w:numPr>
          <w:ilvl w:val="0"/>
          <w:numId w:val="0"/>
        </w:numPr>
        <w:ind w:hanging="0" w:left="0"/>
        <w:outlineLvl w:val="0"/>
        <w:rPr/>
      </w:pPr>
      <w:bookmarkStart w:id="0" w:name="_Toc236402250"/>
      <w:r>
        <w:rPr/>
        <w:t>Сокращения</w:t>
      </w:r>
      <w:bookmarkEnd w:id="0"/>
    </w:p>
    <w:p>
      <w:pPr>
        <w:pStyle w:val="Style32"/>
        <w:ind w:firstLine="567"/>
        <w:rPr/>
      </w:pPr>
      <w:r>
        <w:rPr>
          <w:b/>
          <w:bCs/>
        </w:rPr>
        <w:t>ГК РФ</w:t>
      </w:r>
      <w:r>
        <w:rPr/>
        <w:t xml:space="preserve"> – Гражданской кодекс Российской Федерации.</w:t>
      </w:r>
    </w:p>
    <w:p>
      <w:pPr>
        <w:pStyle w:val="Style32"/>
        <w:ind w:firstLine="567"/>
        <w:rPr/>
      </w:pPr>
      <w:bookmarkStart w:id="1" w:name="_Hlk208850701"/>
      <w:bookmarkStart w:id="2" w:name="_Hlk208847892"/>
      <w:r>
        <w:rPr>
          <w:b/>
          <w:bCs/>
        </w:rPr>
        <w:t>ЕАЭС</w:t>
      </w:r>
      <w:r>
        <w:rPr/>
        <w:t xml:space="preserve"> – Евразийский экономический союз</w:t>
      </w:r>
      <w:bookmarkEnd w:id="2"/>
      <w:r>
        <w:rPr/>
        <w:t>.</w:t>
      </w:r>
      <w:bookmarkEnd w:id="1"/>
    </w:p>
    <w:p>
      <w:pPr>
        <w:pStyle w:val="Style32"/>
        <w:ind w:firstLine="567"/>
        <w:rPr/>
      </w:pPr>
      <w:r>
        <w:rPr>
          <w:b/>
          <w:bCs/>
        </w:rPr>
        <w:t>ЕГРИП</w:t>
      </w:r>
      <w:r>
        <w:rPr/>
        <w:t xml:space="preserve"> – Единый государственный реестр индивидуальных предпринимателей.</w:t>
      </w:r>
    </w:p>
    <w:p>
      <w:pPr>
        <w:pStyle w:val="Style32"/>
        <w:ind w:firstLine="567"/>
        <w:rPr/>
      </w:pPr>
      <w:r>
        <w:rPr>
          <w:b/>
          <w:bCs/>
        </w:rPr>
        <w:t>ЕГРЮЛ</w:t>
      </w:r>
      <w:r>
        <w:rPr/>
        <w:t xml:space="preserve"> – Единый государственный реестр юридических лиц.</w:t>
      </w:r>
    </w:p>
    <w:p>
      <w:pPr>
        <w:pStyle w:val="Style32"/>
        <w:ind w:firstLine="567"/>
        <w:rPr/>
      </w:pPr>
      <w:r>
        <w:rPr>
          <w:b/>
          <w:bCs/>
        </w:rPr>
        <w:t>ЕИС</w:t>
      </w:r>
      <w:r>
        <w:rPr/>
        <w:t xml:space="preserve"> – Единая информационная система в сфере закупок.</w:t>
      </w:r>
    </w:p>
    <w:p>
      <w:pPr>
        <w:pStyle w:val="Style32"/>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2"/>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2"/>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2"/>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2"/>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2"/>
        <w:ind w:firstLine="567"/>
        <w:rPr/>
      </w:pPr>
      <w:r>
        <w:rPr>
          <w:b/>
          <w:bCs/>
        </w:rPr>
        <w:t>Извещение</w:t>
      </w:r>
      <w:r>
        <w:rPr/>
        <w:t xml:space="preserve"> – извещение о проведении настоящей закупки.</w:t>
      </w:r>
    </w:p>
    <w:p>
      <w:pPr>
        <w:pStyle w:val="Style32"/>
        <w:ind w:firstLine="567"/>
        <w:rPr/>
      </w:pPr>
      <w:r>
        <w:rPr>
          <w:b/>
          <w:bCs/>
        </w:rPr>
        <w:t>ИНН</w:t>
      </w:r>
      <w:r>
        <w:rPr/>
        <w:t xml:space="preserve"> – идентификационный номер налогоплательщика.</w:t>
      </w:r>
    </w:p>
    <w:p>
      <w:pPr>
        <w:pStyle w:val="Style32"/>
        <w:ind w:firstLine="567"/>
        <w:rPr/>
      </w:pPr>
      <w:r>
        <w:rPr>
          <w:b/>
          <w:bCs/>
        </w:rPr>
        <w:t>ИФНС</w:t>
      </w:r>
      <w:r>
        <w:rPr/>
        <w:t xml:space="preserve"> – инспекция Федеральной налоговой службы Российской Федерации.</w:t>
      </w:r>
    </w:p>
    <w:p>
      <w:pPr>
        <w:pStyle w:val="Style32"/>
        <w:ind w:firstLine="567"/>
        <w:rPr/>
      </w:pPr>
      <w:r>
        <w:rPr>
          <w:b/>
          <w:bCs/>
        </w:rPr>
        <w:t>МТР</w:t>
      </w:r>
      <w:r>
        <w:rPr/>
        <w:t xml:space="preserve"> – материально-технические ресурсы.</w:t>
      </w:r>
    </w:p>
    <w:p>
      <w:pPr>
        <w:pStyle w:val="Style32"/>
        <w:ind w:firstLine="567"/>
        <w:rPr/>
      </w:pPr>
      <w:r>
        <w:rPr>
          <w:b/>
          <w:bCs/>
        </w:rPr>
        <w:t>НДС</w:t>
      </w:r>
      <w:r>
        <w:rPr/>
        <w:t xml:space="preserve"> – налог на добавленную стоимость.</w:t>
      </w:r>
    </w:p>
    <w:p>
      <w:pPr>
        <w:pStyle w:val="Style32"/>
        <w:ind w:firstLine="567"/>
        <w:rPr/>
      </w:pPr>
      <w:r>
        <w:rPr>
          <w:b/>
          <w:bCs/>
        </w:rPr>
        <w:t>НМЦ</w:t>
      </w:r>
      <w:r>
        <w:rPr/>
        <w:t xml:space="preserve"> – начальная (максимальная) цена договора.</w:t>
      </w:r>
    </w:p>
    <w:p>
      <w:pPr>
        <w:pStyle w:val="Style32"/>
        <w:ind w:firstLine="567"/>
        <w:rPr/>
      </w:pPr>
      <w:r>
        <w:rPr>
          <w:b/>
          <w:bCs/>
        </w:rPr>
        <w:t>Оператор ЭП</w:t>
      </w:r>
      <w:r>
        <w:rPr/>
        <w:t xml:space="preserve"> – оператор электронной площадки.</w:t>
      </w:r>
    </w:p>
    <w:p>
      <w:pPr>
        <w:pStyle w:val="Style32"/>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2"/>
        <w:ind w:firstLine="567"/>
        <w:rPr/>
      </w:pPr>
      <w:r>
        <w:rPr>
          <w:b/>
          <w:bCs/>
        </w:rPr>
        <w:t>Положение о закупке</w:t>
      </w:r>
      <w:r>
        <w:rPr/>
        <w:t xml:space="preserve"> – Единое Положение о закупке продукции для нужд Группы РусГидро.</w:t>
      </w:r>
    </w:p>
    <w:p>
      <w:pPr>
        <w:pStyle w:val="Style32"/>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2"/>
        <w:ind w:firstLine="567"/>
        <w:rPr/>
      </w:pPr>
      <w:bookmarkStart w:id="3" w:name="_Hlk208847918"/>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2"/>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bookmarkEnd w:id="3"/>
    </w:p>
    <w:p>
      <w:pPr>
        <w:pStyle w:val="Style32"/>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2"/>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2"/>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2"/>
        <w:ind w:firstLine="567"/>
        <w:rPr/>
      </w:pPr>
      <w:r>
        <w:rPr>
          <w:b/>
          <w:bCs/>
        </w:rPr>
        <w:t>Система ЭДО</w:t>
      </w:r>
      <w:r>
        <w:rPr>
          <w:rStyle w:val="FootnoteReference"/>
          <w:b/>
          <w:bCs/>
        </w:rPr>
        <w:footnoteReference w:id="2"/>
      </w:r>
      <w:r>
        <w:rP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pPr>
        <w:pStyle w:val="Style32"/>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2"/>
        <w:ind w:firstLine="567"/>
        <w:rPr/>
      </w:pPr>
      <w:r>
        <w:rPr>
          <w:b/>
          <w:bCs/>
        </w:rPr>
        <w:t>Субъект МСП</w:t>
      </w:r>
      <w:r>
        <w:rPr/>
        <w:t xml:space="preserve"> – субъект малого и среднего предпринимательства.</w:t>
      </w:r>
    </w:p>
    <w:p>
      <w:pPr>
        <w:pStyle w:val="Style32"/>
        <w:ind w:firstLine="567"/>
        <w:rPr/>
      </w:pPr>
      <w:r>
        <w:rPr>
          <w:b/>
          <w:bCs/>
        </w:rPr>
        <w:t>ЭП</w:t>
      </w:r>
      <w:r>
        <w:rPr/>
        <w:t xml:space="preserve"> – электронная площадка.</w:t>
      </w:r>
    </w:p>
    <w:p>
      <w:pPr>
        <w:pStyle w:val="Style31"/>
        <w:numPr>
          <w:ilvl w:val="0"/>
          <w:numId w:val="0"/>
        </w:numPr>
        <w:ind w:hanging="0" w:left="0"/>
        <w:outlineLvl w:val="0"/>
        <w:rPr/>
      </w:pPr>
      <w:bookmarkStart w:id="4" w:name="_Toc236402251"/>
      <w:r>
        <w:rPr/>
        <w:t>Термины и определения</w:t>
      </w:r>
      <w:bookmarkEnd w:id="4"/>
    </w:p>
    <w:p>
      <w:pPr>
        <w:pStyle w:val="Style32"/>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2"/>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2"/>
        <w:ind w:firstLine="567"/>
        <w:rPr/>
      </w:pPr>
      <w:r>
        <w:rPr>
          <w:b/>
          <w:bCs/>
        </w:rPr>
        <w:t>Альтернативное предложение</w:t>
      </w:r>
      <w:r>
        <w:rP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pPr>
        <w:pStyle w:val="Style32"/>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2"/>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2"/>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2"/>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2"/>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2"/>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2"/>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2"/>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2"/>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2"/>
        <w:ind w:firstLine="567"/>
        <w:rPr>
          <w:szCs w:val="26"/>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2"/>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2"/>
        <w:ind w:firstLine="567"/>
        <w:rPr/>
      </w:pPr>
      <w:r>
        <w:rPr>
          <w:b/>
          <w:bCs/>
        </w:rPr>
        <w:t>Коллективный участник</w:t>
      </w:r>
      <w:r>
        <w:rPr/>
        <w:t xml:space="preserve"> – объединение юридических и (или) физических лиц, в том числе индивидуальных предпринимателей, выступающих на стороне одного Участника и несущих солидарную ответственность по обязательствам, вытекающим из участия в закупке и дальнейшего заключения и исполнения договора.</w:t>
      </w:r>
    </w:p>
    <w:p>
      <w:pPr>
        <w:pStyle w:val="Style32"/>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2"/>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2"/>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2"/>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2"/>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2"/>
        <w:ind w:firstLine="567"/>
        <w:rPr/>
      </w:pPr>
      <w:r>
        <w:rPr>
          <w:b/>
          <w:bCs/>
        </w:rPr>
        <w:t>Официальное размещение</w:t>
      </w:r>
      <w:r>
        <w:rPr/>
        <w:t xml:space="preserve"> – размещение информации о закупке в ЕИС, на</w:t>
      </w:r>
      <w:r>
        <w:rPr>
          <w:lang w:val="en-US"/>
        </w:rPr>
        <w:t> </w:t>
      </w:r>
      <w:r>
        <w:rPr/>
        <w:t>Официальном сайте (с размещением копий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2"/>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pPr>
        <w:pStyle w:val="Style32"/>
        <w:ind w:firstLine="567"/>
        <w:rPr>
          <w:szCs w:val="26"/>
        </w:rPr>
      </w:pPr>
      <w:r>
        <w:rPr>
          <w:b/>
          <w:bCs/>
          <w:szCs w:val="26"/>
        </w:rPr>
        <w:t>Победитель</w:t>
      </w:r>
      <w:r>
        <w:rPr>
          <w:szCs w:val="26"/>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2"/>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2"/>
        <w:ind w:firstLine="567"/>
        <w:rPr/>
      </w:pPr>
      <w:r>
        <w:rPr>
          <w:b/>
          <w:bCs/>
        </w:rPr>
        <w:t>Постквалификация</w:t>
      </w:r>
      <w:r>
        <w:rP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pPr>
        <w:pStyle w:val="Style32"/>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2"/>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2"/>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2"/>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2"/>
        <w:ind w:firstLine="567"/>
        <w:rPr>
          <w:rFonts w:cs="Times New Roman"/>
          <w:szCs w:val="26"/>
        </w:rPr>
      </w:pPr>
      <w:r>
        <w:rPr>
          <w:rFonts w:cs="Times New Roman"/>
          <w:b/>
          <w:bCs/>
          <w:szCs w:val="26"/>
        </w:rPr>
        <w:t>Реестр аккредитации</w:t>
      </w:r>
      <w:r>
        <w:rPr>
          <w:rFonts w:cs="Times New Roman"/>
          <w:szCs w:val="26"/>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2"/>
        <w:ind w:firstLine="567"/>
        <w:rPr>
          <w:rFonts w:cs="Times New Roman"/>
          <w:szCs w:val="26"/>
        </w:rPr>
      </w:pPr>
      <w:r>
        <w:rPr>
          <w:rFonts w:cs="Times New Roman"/>
          <w:b/>
          <w:bCs/>
          <w:szCs w:val="26"/>
        </w:rPr>
        <w:t>Субъект малого и среднего предпринимательства</w:t>
      </w:r>
      <w:r>
        <w:rPr>
          <w:rFonts w:cs="Times New Roman"/>
          <w:szCs w:val="26"/>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Fonts w:cs="Times New Roman"/>
          <w:szCs w:val="26"/>
        </w:rPr>
        <w:footnoteReference w:id="3"/>
      </w:r>
      <w:r>
        <w:rPr>
          <w:rFonts w:cs="Times New Roman"/>
          <w:szCs w:val="26"/>
        </w:rPr>
        <w:t>, если иное не установлено в Документации о закупке.</w:t>
      </w:r>
    </w:p>
    <w:p>
      <w:pPr>
        <w:pStyle w:val="Style32"/>
        <w:ind w:firstLine="567"/>
        <w:rPr>
          <w:rFonts w:cs="Times New Roman"/>
          <w:szCs w:val="26"/>
        </w:rPr>
      </w:pPr>
      <w:r>
        <w:rPr>
          <w:rFonts w:cs="Times New Roman"/>
          <w:b/>
          <w:bCs/>
          <w:szCs w:val="26"/>
        </w:rPr>
        <w:t>Уполномоченное лицо</w:t>
      </w:r>
      <w:r>
        <w:rPr>
          <w:rFonts w:cs="Times New Roman"/>
          <w:szCs w:val="26"/>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Pr>
          <w:rFonts w:cs="Times New Roman"/>
          <w:szCs w:val="26"/>
          <w:shd w:fill="FFFFFF" w:val="clear"/>
        </w:rPr>
        <w:t xml:space="preserve">, </w:t>
      </w:r>
      <w:r>
        <w:rPr>
          <w:rFonts w:eastAsia="Calibri" w:cs="Times New Roman"/>
          <w:szCs w:val="26"/>
          <w:shd w:fill="FFFFFF" w:val="clear"/>
        </w:rPr>
        <w:t>в том числе выданной в порядке передоверия,</w:t>
      </w:r>
      <w:r>
        <w:rPr>
          <w:rFonts w:cs="Times New Roman"/>
          <w:szCs w:val="26"/>
        </w:rPr>
        <w:t xml:space="preserve"> от имени организации, полномочия которых подтверждены соответствующими документами.</w:t>
      </w:r>
    </w:p>
    <w:p>
      <w:pPr>
        <w:pStyle w:val="Style32"/>
        <w:ind w:firstLine="567"/>
        <w:rPr>
          <w:rFonts w:cs="Times New Roman"/>
          <w:szCs w:val="26"/>
        </w:rPr>
      </w:pPr>
      <w:r>
        <w:rPr>
          <w:rFonts w:cs="Times New Roman"/>
          <w:b/>
          <w:bCs/>
          <w:szCs w:val="26"/>
        </w:rPr>
        <w:t>Участник</w:t>
      </w:r>
      <w:r>
        <w:rPr>
          <w:rFonts w:cs="Times New Roman"/>
          <w:szCs w:val="26"/>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6"/>
        <w:rPr>
          <w:rFonts w:cs="Times New Roman"/>
          <w:szCs w:val="26"/>
        </w:rPr>
      </w:pPr>
      <w:bookmarkStart w:id="5" w:name="_Toc236402252"/>
      <w:bookmarkStart w:id="6" w:name="_Ref125359988"/>
      <w:r>
        <w:rPr>
          <w:rFonts w:cs="Times New Roman"/>
          <w:szCs w:val="26"/>
        </w:rPr>
        <w:t>Основные сведения о закупке</w:t>
      </w:r>
      <w:bookmarkEnd w:id="5"/>
      <w:bookmarkEnd w:id="6"/>
    </w:p>
    <w:p>
      <w:pPr>
        <w:pStyle w:val="Style27"/>
        <w:rPr>
          <w:rFonts w:cs="Times New Roman"/>
          <w:szCs w:val="26"/>
        </w:rPr>
      </w:pPr>
      <w:bookmarkStart w:id="7" w:name="_Toc236402253"/>
      <w:r>
        <w:rPr>
          <w:rFonts w:cs="Times New Roman"/>
          <w:szCs w:val="26"/>
        </w:rPr>
        <w:t>Статус настоящего раздела</w:t>
      </w:r>
      <w:bookmarkEnd w:id="7"/>
    </w:p>
    <w:p>
      <w:pPr>
        <w:pStyle w:val="Style28"/>
        <w:rPr>
          <w:rFonts w:cs="Times New Roman"/>
          <w:szCs w:val="26"/>
        </w:rPr>
      </w:pPr>
      <w:r>
        <w:rPr>
          <w:rFonts w:cs="Times New Roman"/>
          <w:szCs w:val="26"/>
        </w:rPr>
        <w:t>В настоящем разделе содержатся основные сведения о предмете, способе и иных ключевых условиях проводимой закупки.</w:t>
      </w:r>
    </w:p>
    <w:p>
      <w:pPr>
        <w:pStyle w:val="Style28"/>
        <w:rPr>
          <w:rFonts w:cs="Times New Roman"/>
          <w:szCs w:val="26"/>
        </w:rPr>
      </w:pPr>
      <w:r>
        <w:rPr>
          <w:rFonts w:cs="Times New Roman"/>
          <w:szCs w:val="26"/>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4"/>
            <w:rFonts w:cs="Times New Roman"/>
            <w:szCs w:val="26"/>
          </w:rPr>
          <w:t>Технических требованиях (Приложение № 1)</w:t>
        </w:r>
      </w:hyperlink>
      <w:r>
        <w:rPr>
          <w:rStyle w:val="Style14"/>
          <w:rFonts w:cs="Times New Roman"/>
          <w:szCs w:val="26"/>
        </w:rPr>
        <w:t>,</w:t>
      </w:r>
      <w:r>
        <w:rPr>
          <w:rFonts w:cs="Times New Roman"/>
          <w:szCs w:val="26"/>
        </w:rPr>
        <w:t xml:space="preserve"> в </w:t>
      </w:r>
      <w:hyperlink w:anchor="Прил02_ПроектДоговора">
        <w:r>
          <w:rPr>
            <w:rStyle w:val="Style14"/>
            <w:rFonts w:cs="Times New Roman"/>
            <w:szCs w:val="26"/>
          </w:rPr>
          <w:t>Проекте договора (Приложение № 2)</w:t>
        </w:r>
      </w:hyperlink>
      <w:r>
        <w:rPr>
          <w:rFonts w:cs="Times New Roman"/>
          <w:szCs w:val="26"/>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8"/>
        <w:rPr>
          <w:rFonts w:cs="Times New Roman"/>
          <w:szCs w:val="26"/>
        </w:rPr>
      </w:pPr>
      <w:bookmarkStart w:id="8" w:name="_Ref136768031"/>
      <w:r>
        <w:rPr>
          <w:rFonts w:cs="Times New Roman"/>
          <w:szCs w:val="26"/>
        </w:rPr>
        <w:t>Информация о проводимой закупке, указанная в подразделе </w:t>
      </w:r>
      <w:r>
        <w:rPr>
          <w:rFonts w:cs="Times New Roman"/>
          <w:szCs w:val="26"/>
        </w:rPr>
        <w:fldChar w:fldCharType="begin"/>
      </w:r>
      <w:r>
        <w:rPr>
          <w:szCs w:val="26"/>
          <w:rFonts w:cs="Times New Roman"/>
        </w:rPr>
        <w:instrText xml:space="preserve"> REF _Ref125359973 \r \h </w:instrText>
      </w:r>
      <w:r>
        <w:rPr>
          <w:szCs w:val="26"/>
          <w:rFonts w:cs="Times New Roman"/>
        </w:rPr>
        <w:fldChar w:fldCharType="separate"/>
      </w:r>
      <w:r>
        <w:rPr>
          <w:szCs w:val="26"/>
          <w:rFonts w:cs="Times New Roman"/>
        </w:rPr>
        <w:t>1.2</w:t>
      </w:r>
      <w:r>
        <w:rPr>
          <w:szCs w:val="26"/>
          <w:rFonts w:cs="Times New Roman"/>
        </w:rPr>
        <w:fldChar w:fldCharType="end"/>
      </w:r>
      <w:r>
        <w:rPr>
          <w:rFonts w:cs="Times New Roman"/>
          <w:szCs w:val="26"/>
        </w:rPr>
        <w:t>, в объеме, определенном частью 9 статьи 4 Закона 223-ФЗ, составляет Извещение о закупке.</w:t>
      </w:r>
      <w:bookmarkEnd w:id="8"/>
    </w:p>
    <w:p>
      <w:pPr>
        <w:pStyle w:val="Style27"/>
        <w:spacing w:before="360" w:after="120"/>
        <w:rPr>
          <w:rFonts w:cs="Times New Roman"/>
          <w:szCs w:val="26"/>
        </w:rPr>
      </w:pPr>
      <w:bookmarkStart w:id="9" w:name="_Ref127270076"/>
      <w:bookmarkStart w:id="10" w:name="_Toc236402254"/>
      <w:bookmarkStart w:id="11" w:name="_Ref125359973"/>
      <w:r>
        <w:rPr>
          <w:rFonts w:cs="Times New Roman"/>
          <w:szCs w:val="26"/>
        </w:rPr>
        <w:t>Информация о проводимой закупке</w:t>
      </w:r>
      <w:bookmarkEnd w:id="9"/>
      <w:bookmarkEnd w:id="10"/>
      <w:bookmarkEnd w:id="11"/>
    </w:p>
    <w:tbl>
      <w:tblPr>
        <w:tblStyle w:val="afe"/>
        <w:tblW w:w="9754"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36"/>
        <w:gridCol w:w="3242"/>
        <w:gridCol w:w="5676"/>
      </w:tblGrid>
      <w:tr>
        <w:trPr>
          <w:cnfStyle w:val="100000000000" w:firstRow="1" w:lastRow="0" w:firstColumn="0" w:lastColumn="0" w:oddVBand="0" w:evenVBand="0" w:oddHBand="0" w:evenHBand="0" w:firstRowFirstColumn="0" w:firstRowLastColumn="0" w:lastRowFirstColumn="0" w:lastRowLastColumn="0"/>
        </w:trPr>
        <w:tc>
          <w:tcPr>
            <w:tcW w:w="836" w:type="dxa"/>
            <w:tcBorders/>
          </w:tcPr>
          <w:p>
            <w:pPr>
              <w:pStyle w:val="Style32"/>
              <w:keepNext w:val="true"/>
              <w:keepLines w:val="false"/>
              <w:widowControl w:val="false"/>
              <w:suppressAutoHyphens w:val="true"/>
              <w:spacing w:before="60" w:after="60"/>
              <w:jc w:val="center"/>
              <w:rPr>
                <w:rFonts w:cs="Times New Roman"/>
                <w:szCs w:val="26"/>
              </w:rPr>
            </w:pPr>
            <w:r>
              <w:rPr>
                <w:rFonts w:eastAsia="Calibri" w:cs="Times New Roman"/>
                <w:b/>
                <w:kern w:val="0"/>
                <w:sz w:val="26"/>
                <w:szCs w:val="26"/>
                <w:lang w:val="ru-RU" w:eastAsia="en-US" w:bidi="ar-SA"/>
              </w:rPr>
              <w:t>№</w:t>
            </w:r>
            <w:r>
              <w:rPr>
                <w:rFonts w:eastAsia="Calibri" w:cs="Times New Roman"/>
                <w:b/>
                <w:kern w:val="0"/>
                <w:sz w:val="26"/>
                <w:szCs w:val="26"/>
                <w:lang w:val="ru-RU" w:eastAsia="en-US" w:bidi="ar-SA"/>
              </w:rPr>
              <w:br/>
              <w:t>п/п</w:t>
            </w:r>
          </w:p>
        </w:tc>
        <w:tc>
          <w:tcPr>
            <w:tcW w:w="3242" w:type="dxa"/>
            <w:tcBorders/>
          </w:tcPr>
          <w:p>
            <w:pPr>
              <w:pStyle w:val="Style32"/>
              <w:keepNext w:val="true"/>
              <w:keepLines w:val="false"/>
              <w:widowControl w:val="false"/>
              <w:suppressAutoHyphens w:val="true"/>
              <w:spacing w:before="60" w:after="60"/>
              <w:jc w:val="center"/>
              <w:rPr>
                <w:rFonts w:cs="Times New Roman"/>
                <w:szCs w:val="26"/>
              </w:rPr>
            </w:pPr>
            <w:r>
              <w:rPr>
                <w:rFonts w:eastAsia="Calibri" w:cs="Times New Roman"/>
                <w:b/>
                <w:kern w:val="0"/>
                <w:sz w:val="26"/>
                <w:szCs w:val="26"/>
                <w:lang w:val="ru-RU" w:eastAsia="en-US" w:bidi="ar-SA"/>
              </w:rPr>
              <w:t>Наименование пункта</w:t>
            </w:r>
          </w:p>
        </w:tc>
        <w:tc>
          <w:tcPr>
            <w:tcW w:w="5676" w:type="dxa"/>
            <w:tcBorders/>
          </w:tcPr>
          <w:p>
            <w:pPr>
              <w:pStyle w:val="Style32"/>
              <w:keepNext w:val="true"/>
              <w:keepLines w:val="false"/>
              <w:widowControl w:val="false"/>
              <w:suppressAutoHyphens w:val="true"/>
              <w:spacing w:before="60" w:after="60"/>
              <w:jc w:val="center"/>
              <w:rPr>
                <w:rFonts w:cs="Times New Roman"/>
                <w:szCs w:val="26"/>
              </w:rPr>
            </w:pPr>
            <w:r>
              <w:rPr>
                <w:rFonts w:eastAsia="Calibri" w:cs="Times New Roman"/>
                <w:b/>
                <w:kern w:val="0"/>
                <w:sz w:val="26"/>
                <w:szCs w:val="26"/>
                <w:lang w:val="ru-RU" w:eastAsia="en-US" w:bidi="ar-SA"/>
              </w:rPr>
              <w:t>Содержание пункта</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12" w:name="_Ref125360980"/>
            <w:bookmarkStart w:id="13" w:name="_Ref125360980"/>
            <w:bookmarkEnd w:id="13"/>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Способ закупки:</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Конкурс в электронной форме.</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14" w:name="_Ref125360996"/>
            <w:bookmarkStart w:id="15" w:name="_Ref125360996"/>
            <w:bookmarkEnd w:id="15"/>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Предмет Договора</w:t>
              <w:br/>
              <w:t>(в том числе номер лота):</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Лот № 1005-ЭКСП ДИТ-2027-ТК,</w:t>
            </w:r>
          </w:p>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ОКПД 2: 62.01 Предоставление услуг по программно-техническому сопровождению ""1С:Бухгалтерия предприятия КОРП + БИТ.ФИНАНС.УУ"", ""1С:Зарплата и управление персоналом"", интеграции с «1С:Управление автотранспортом ПРОФ» для нужд АО «ТК РусГидро»</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16" w:name="_Ref135729276"/>
            <w:bookmarkStart w:id="17" w:name="_Ref135729276"/>
            <w:bookmarkEnd w:id="17"/>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Описание</w:t>
              <w:br/>
              <w:t>предмета закупки:</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4"/>
                  <w:rFonts w:eastAsia="Calibri" w:cs="Times New Roman"/>
                  <w:kern w:val="0"/>
                  <w:sz w:val="26"/>
                  <w:szCs w:val="26"/>
                  <w:lang w:val="ru-RU" w:eastAsia="en-US" w:bidi="ar-SA"/>
                </w:rPr>
                <w:t>Технических требованиях (Приложении № 1)</w:t>
              </w:r>
            </w:hyperlink>
            <w:r>
              <w:rPr>
                <w:rFonts w:eastAsia="Calibri" w:cs="Times New Roman"/>
                <w:kern w:val="0"/>
                <w:sz w:val="26"/>
                <w:szCs w:val="26"/>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4"/>
                  <w:rFonts w:eastAsia="Calibri" w:cs="Times New Roman"/>
                  <w:kern w:val="0"/>
                  <w:sz w:val="26"/>
                  <w:szCs w:val="26"/>
                  <w:lang w:val="ru-RU" w:eastAsia="en-US" w:bidi="ar-SA"/>
                </w:rPr>
                <w:t>Приложение № 4</w:t>
              </w:r>
            </w:hyperlink>
            <w:r>
              <w:rPr>
                <w:rFonts w:eastAsia="Calibri" w:cs="Times New Roman"/>
                <w:kern w:val="0"/>
                <w:sz w:val="26"/>
                <w:szCs w:val="26"/>
                <w:lang w:val="ru-RU" w:eastAsia="en-US" w:bidi="ar-SA"/>
              </w:rPr>
              <w:t>)).</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18" w:name="_Ref125367124"/>
            <w:bookmarkStart w:id="19" w:name="_Ref125367124"/>
            <w:bookmarkEnd w:id="19"/>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Многолотовая закупка:</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Нет.</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20" w:name="_Ref125360764"/>
            <w:bookmarkStart w:id="21" w:name="_Ref125360764"/>
            <w:bookmarkEnd w:id="21"/>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Наименование и адрес ЭП, на которой проводится закупка:</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Электронная площадка:</w:t>
            </w:r>
          </w:p>
          <w:p>
            <w:pPr>
              <w:pStyle w:val="Style32"/>
              <w:widowControl w:val="false"/>
              <w:suppressAutoHyphens w:val="true"/>
              <w:spacing w:before="60" w:after="60"/>
              <w:rPr>
                <w:rFonts w:cs="Times New Roman"/>
                <w:szCs w:val="26"/>
              </w:rPr>
            </w:pPr>
            <w:hyperlink r:id="rId2">
              <w:r>
                <w:rPr>
                  <w:rStyle w:val="Hyperlink"/>
                  <w:rFonts w:eastAsia="Calibri" w:cs=""/>
                  <w:kern w:val="0"/>
                  <w:sz w:val="26"/>
                  <w:szCs w:val="22"/>
                  <w:lang w:val="ru-RU" w:eastAsia="en-US" w:bidi="ar-SA"/>
                </w:rPr>
                <w:t>https://tender.lot-online.ru</w:t>
              </w:r>
            </w:hyperlink>
            <w:r>
              <w:rPr>
                <w:rFonts w:eastAsia="Calibri" w:cs="Times New Roman"/>
                <w:kern w:val="0"/>
                <w:sz w:val="26"/>
                <w:szCs w:val="26"/>
                <w:lang w:val="ru-RU" w:eastAsia="en-US" w:bidi="ar-SA"/>
              </w:rPr>
              <w:t>.</w:t>
            </w:r>
          </w:p>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Регламент ЭП, в соответствии с которым проводится закупка, размещен по адресу:</w:t>
            </w:r>
          </w:p>
          <w:p>
            <w:pPr>
              <w:pStyle w:val="Style32"/>
              <w:widowControl w:val="false"/>
              <w:suppressAutoHyphens w:val="true"/>
              <w:spacing w:before="60" w:after="60"/>
              <w:rPr>
                <w:rFonts w:cs="Times New Roman"/>
                <w:szCs w:val="26"/>
              </w:rPr>
            </w:pPr>
            <w:hyperlink r:id="rId3">
              <w:r>
                <w:rPr>
                  <w:rStyle w:val="Hyperlink"/>
                  <w:rFonts w:eastAsia="Calibri" w:cs=""/>
                  <w:kern w:val="0"/>
                  <w:sz w:val="26"/>
                  <w:szCs w:val="22"/>
                  <w:lang w:val="ru-RU" w:eastAsia="en-US" w:bidi="ar-SA"/>
                </w:rPr>
                <w:t>https://tender.lot-online.ru/documentation/223fz/user_manuals</w:t>
              </w:r>
            </w:hyperlink>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22" w:name="_Ref125360970"/>
            <w:bookmarkStart w:id="23" w:name="_Ref125360970"/>
            <w:bookmarkEnd w:id="23"/>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Участники:</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Участвовать в закупке могут любые лица, заинтересованные в предмете закупки.</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24" w:name="_Ref125360988"/>
            <w:bookmarkStart w:id="25" w:name="_Ref125360988"/>
            <w:bookmarkEnd w:id="25"/>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Заказчик:</w:t>
            </w:r>
          </w:p>
        </w:tc>
        <w:tc>
          <w:tcPr>
            <w:tcW w:w="5676" w:type="dxa"/>
            <w:tcBorders/>
          </w:tcPr>
          <w:p>
            <w:pPr>
              <w:pStyle w:val="Normal"/>
              <w:widowControl w:val="false"/>
              <w:suppressAutoHyphens w:val="true"/>
              <w:spacing w:before="60" w:after="60"/>
              <w:ind w:hanging="0" w:right="67"/>
              <w:jc w:val="both"/>
              <w:rPr>
                <w:szCs w:val="26"/>
              </w:rPr>
            </w:pPr>
            <w:r>
              <w:rPr>
                <w:rFonts w:eastAsia="Calibri" w:cs="Times New Roman"/>
                <w:kern w:val="0"/>
                <w:sz w:val="26"/>
                <w:szCs w:val="26"/>
                <w:lang w:val="ru-RU" w:eastAsia="en-US" w:bidi="ar-SA"/>
              </w:rPr>
              <w:t xml:space="preserve">Наименование (полное и сокращенное): Акционерное Общество «Транспортная компания РусГидро», АО «ТК РусГидро» </w:t>
            </w:r>
          </w:p>
          <w:p>
            <w:pPr>
              <w:pStyle w:val="Normal"/>
              <w:widowControl w:val="false"/>
              <w:suppressAutoHyphens w:val="true"/>
              <w:spacing w:before="60" w:after="60"/>
              <w:ind w:hanging="0" w:right="67"/>
              <w:jc w:val="both"/>
              <w:rPr>
                <w:szCs w:val="26"/>
              </w:rPr>
            </w:pPr>
            <w:r>
              <w:rPr>
                <w:rFonts w:eastAsia="Calibri" w:cs="Times New Roman"/>
                <w:kern w:val="0"/>
                <w:sz w:val="26"/>
                <w:szCs w:val="26"/>
                <w:lang w:val="ru-RU" w:eastAsia="en-US" w:bidi="ar-SA"/>
              </w:rPr>
              <w:t xml:space="preserve">Место нахождения: 655619, Россия, Республика Хакасия, </w:t>
            </w:r>
          </w:p>
          <w:p>
            <w:pPr>
              <w:pStyle w:val="Normal"/>
              <w:widowControl w:val="false"/>
              <w:suppressAutoHyphens w:val="true"/>
              <w:spacing w:before="60" w:after="60"/>
              <w:ind w:hanging="0" w:right="67"/>
              <w:jc w:val="both"/>
              <w:rPr>
                <w:szCs w:val="26"/>
              </w:rPr>
            </w:pPr>
            <w:r>
              <w:rPr>
                <w:rFonts w:eastAsia="Calibri" w:cs="Times New Roman"/>
                <w:kern w:val="0"/>
                <w:sz w:val="26"/>
                <w:szCs w:val="26"/>
                <w:lang w:val="ru-RU" w:eastAsia="en-US" w:bidi="ar-SA"/>
              </w:rPr>
              <w:t>г. Саяногорск, РП. Черемушки, стр. 101</w:t>
            </w:r>
          </w:p>
          <w:p>
            <w:pPr>
              <w:pStyle w:val="Normal"/>
              <w:widowControl w:val="false"/>
              <w:suppressAutoHyphens w:val="true"/>
              <w:spacing w:before="60" w:after="60"/>
              <w:ind w:hanging="0" w:right="67"/>
              <w:jc w:val="both"/>
              <w:rPr>
                <w:szCs w:val="26"/>
              </w:rPr>
            </w:pPr>
            <w:r>
              <w:rPr>
                <w:rFonts w:eastAsia="Calibri" w:cs="Times New Roman"/>
                <w:kern w:val="0"/>
                <w:sz w:val="26"/>
                <w:szCs w:val="26"/>
                <w:lang w:val="ru-RU" w:eastAsia="en-US" w:bidi="ar-SA"/>
              </w:rPr>
              <w:t xml:space="preserve">Почтовый адрес: 690003, Россия, Приморский край, </w:t>
            </w:r>
          </w:p>
          <w:p>
            <w:pPr>
              <w:pStyle w:val="Normal"/>
              <w:widowControl w:val="false"/>
              <w:suppressAutoHyphens w:val="true"/>
              <w:spacing w:before="60" w:after="60"/>
              <w:ind w:hanging="0" w:right="67"/>
              <w:jc w:val="both"/>
              <w:rPr>
                <w:szCs w:val="26"/>
              </w:rPr>
            </w:pPr>
            <w:r>
              <w:rPr>
                <w:rFonts w:eastAsia="Calibri" w:cs="Times New Roman"/>
                <w:kern w:val="0"/>
                <w:sz w:val="26"/>
                <w:szCs w:val="26"/>
                <w:lang w:val="ru-RU" w:eastAsia="en-US" w:bidi="ar-SA"/>
              </w:rPr>
              <w:t>г. Владивосток, ул. Станюковича 1.</w:t>
            </w:r>
          </w:p>
          <w:p>
            <w:pPr>
              <w:pStyle w:val="Normal"/>
              <w:widowControl w:val="false"/>
              <w:suppressAutoHyphens w:val="true"/>
              <w:spacing w:before="60" w:after="60"/>
              <w:ind w:hanging="0" w:right="67"/>
              <w:jc w:val="both"/>
              <w:rPr>
                <w:szCs w:val="26"/>
              </w:rPr>
            </w:pPr>
            <w:r>
              <w:rPr>
                <w:rFonts w:eastAsia="Calibri" w:cs="Times New Roman"/>
                <w:kern w:val="0"/>
                <w:sz w:val="26"/>
                <w:szCs w:val="26"/>
                <w:lang w:val="ru-RU" w:eastAsia="en-US" w:bidi="ar-SA"/>
              </w:rPr>
              <w:t xml:space="preserve">Адрес электронной почты: office_IA_TK@rushydro.ru </w:t>
            </w:r>
          </w:p>
          <w:p>
            <w:pPr>
              <w:pStyle w:val="Normal"/>
              <w:widowControl w:val="false"/>
              <w:suppressAutoHyphens w:val="true"/>
              <w:spacing w:before="60" w:after="60"/>
              <w:ind w:hanging="0" w:right="67"/>
              <w:jc w:val="both"/>
              <w:rPr>
                <w:szCs w:val="26"/>
              </w:rPr>
            </w:pPr>
            <w:r>
              <w:rPr>
                <w:rFonts w:eastAsia="Calibri" w:cs="Times New Roman"/>
                <w:kern w:val="0"/>
                <w:sz w:val="26"/>
                <w:szCs w:val="26"/>
                <w:lang w:val="ru-RU" w:eastAsia="en-US" w:bidi="ar-SA"/>
              </w:rPr>
              <w:t>Контактный телефон: +7 (423) 246-97-07</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26" w:name="_Ref125360954"/>
            <w:bookmarkStart w:id="27" w:name="_Ref125360954"/>
            <w:bookmarkEnd w:id="27"/>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Организатор:</w:t>
            </w:r>
          </w:p>
        </w:tc>
        <w:tc>
          <w:tcPr>
            <w:tcW w:w="5676" w:type="dxa"/>
            <w:tcBorders/>
          </w:tcPr>
          <w:p>
            <w:pPr>
              <w:pStyle w:val="Tableheader"/>
              <w:widowControl w:val="false"/>
              <w:suppressAutoHyphens w:val="true"/>
              <w:spacing w:before="60" w:after="60"/>
              <w:rPr>
                <w:b w:val="false"/>
                <w:sz w:val="26"/>
                <w:szCs w:val="26"/>
              </w:rPr>
            </w:pPr>
            <w:r>
              <w:rPr>
                <w:rFonts w:eastAsia="Calibri" w:cs="Times New Roman"/>
                <w:b w:val="false"/>
                <w:kern w:val="0"/>
                <w:sz w:val="26"/>
                <w:szCs w:val="26"/>
                <w:lang w:val="ru-RU" w:eastAsia="en-US" w:bidi="ar-SA"/>
              </w:rPr>
              <w:t xml:space="preserve">Наименование (полное и сокращенное): Акционерное Общество «Транспортная компания РусГидро», АО «ТК РусГидро» </w:t>
            </w:r>
          </w:p>
          <w:p>
            <w:pPr>
              <w:pStyle w:val="Tableheader"/>
              <w:widowControl w:val="false"/>
              <w:suppressAutoHyphens w:val="true"/>
              <w:spacing w:before="60" w:after="60"/>
              <w:rPr>
                <w:b w:val="false"/>
                <w:sz w:val="26"/>
                <w:szCs w:val="26"/>
              </w:rPr>
            </w:pPr>
            <w:r>
              <w:rPr>
                <w:rFonts w:eastAsia="Calibri" w:cs="Times New Roman"/>
                <w:b w:val="false"/>
                <w:kern w:val="0"/>
                <w:sz w:val="26"/>
                <w:szCs w:val="26"/>
                <w:lang w:val="ru-RU" w:eastAsia="en-US" w:bidi="ar-SA"/>
              </w:rPr>
              <w:t xml:space="preserve">Место нахождения: 655619, Россия, Республика Хакасия, </w:t>
            </w:r>
          </w:p>
          <w:p>
            <w:pPr>
              <w:pStyle w:val="Tableheader"/>
              <w:widowControl w:val="false"/>
              <w:suppressAutoHyphens w:val="true"/>
              <w:spacing w:before="60" w:after="60"/>
              <w:rPr>
                <w:b w:val="false"/>
                <w:sz w:val="26"/>
                <w:szCs w:val="26"/>
              </w:rPr>
            </w:pPr>
            <w:r>
              <w:rPr>
                <w:rFonts w:eastAsia="Calibri" w:cs="Times New Roman"/>
                <w:b w:val="false"/>
                <w:kern w:val="0"/>
                <w:sz w:val="26"/>
                <w:szCs w:val="26"/>
                <w:lang w:val="ru-RU" w:eastAsia="en-US" w:bidi="ar-SA"/>
              </w:rPr>
              <w:t>г. Саяногорск, РП. Черемушки, стр. 101</w:t>
            </w:r>
          </w:p>
          <w:p>
            <w:pPr>
              <w:pStyle w:val="Tableheader"/>
              <w:widowControl w:val="false"/>
              <w:suppressAutoHyphens w:val="true"/>
              <w:spacing w:before="60" w:after="60"/>
              <w:rPr>
                <w:b w:val="false"/>
                <w:sz w:val="26"/>
                <w:szCs w:val="26"/>
              </w:rPr>
            </w:pPr>
            <w:r>
              <w:rPr>
                <w:rFonts w:eastAsia="Calibri" w:cs="Times New Roman"/>
                <w:b w:val="false"/>
                <w:kern w:val="0"/>
                <w:sz w:val="26"/>
                <w:szCs w:val="26"/>
                <w:lang w:val="ru-RU" w:eastAsia="en-US" w:bidi="ar-SA"/>
              </w:rPr>
              <w:t xml:space="preserve">Почтовый адрес: 690003, Россия, Приморский край, </w:t>
            </w:r>
          </w:p>
          <w:p>
            <w:pPr>
              <w:pStyle w:val="Tableheader"/>
              <w:widowControl w:val="false"/>
              <w:suppressAutoHyphens w:val="true"/>
              <w:spacing w:before="60" w:after="60"/>
              <w:rPr>
                <w:b w:val="false"/>
                <w:sz w:val="26"/>
                <w:szCs w:val="26"/>
              </w:rPr>
            </w:pPr>
            <w:r>
              <w:rPr>
                <w:rFonts w:eastAsia="Calibri" w:cs="Times New Roman"/>
                <w:b w:val="false"/>
                <w:kern w:val="0"/>
                <w:sz w:val="26"/>
                <w:szCs w:val="26"/>
                <w:lang w:val="ru-RU" w:eastAsia="en-US" w:bidi="ar-SA"/>
              </w:rPr>
              <w:t>г. Владивосток, ул. Станюковича 1.</w:t>
            </w:r>
          </w:p>
          <w:p>
            <w:pPr>
              <w:pStyle w:val="Tableheader"/>
              <w:widowControl w:val="false"/>
              <w:suppressAutoHyphens w:val="true"/>
              <w:spacing w:before="60" w:after="60"/>
              <w:rPr>
                <w:b w:val="false"/>
                <w:sz w:val="26"/>
                <w:szCs w:val="26"/>
              </w:rPr>
            </w:pPr>
            <w:r>
              <w:rPr>
                <w:rFonts w:eastAsia="Calibri" w:cs="Times New Roman"/>
                <w:b w:val="false"/>
                <w:kern w:val="0"/>
                <w:sz w:val="26"/>
                <w:szCs w:val="26"/>
                <w:lang w:val="ru-RU" w:eastAsia="en-US" w:bidi="ar-SA"/>
              </w:rPr>
              <w:t xml:space="preserve">Адрес электронной почты: PerfilevVV@rushydro.ru </w:t>
            </w:r>
          </w:p>
          <w:p>
            <w:pPr>
              <w:pStyle w:val="Tableheader"/>
              <w:widowControl w:val="false"/>
              <w:suppressAutoHyphens w:val="true"/>
              <w:spacing w:before="60" w:after="60"/>
              <w:rPr>
                <w:b w:val="false"/>
                <w:sz w:val="26"/>
                <w:szCs w:val="26"/>
              </w:rPr>
            </w:pPr>
            <w:r>
              <w:rPr>
                <w:rFonts w:eastAsia="Calibri" w:cs="Times New Roman"/>
                <w:b w:val="false"/>
                <w:kern w:val="0"/>
                <w:sz w:val="26"/>
                <w:szCs w:val="26"/>
                <w:lang w:val="ru-RU" w:eastAsia="en-US" w:bidi="ar-SA"/>
              </w:rPr>
              <w:t>Контактный телефон: +7 (423) 246-97-07 (доб. 091-4002)</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28" w:name="_Ref125361238"/>
            <w:bookmarkStart w:id="29" w:name="_Ref125361238"/>
            <w:bookmarkEnd w:id="29"/>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Представитель Организатора:</w:t>
            </w:r>
          </w:p>
        </w:tc>
        <w:tc>
          <w:tcPr>
            <w:tcW w:w="5676" w:type="dxa"/>
            <w:tcBorders/>
          </w:tcPr>
          <w:p>
            <w:pPr>
              <w:pStyle w:val="Tableheader"/>
              <w:widowControl w:val="false"/>
              <w:suppressAutoHyphens w:val="true"/>
              <w:spacing w:before="120" w:after="120"/>
              <w:rPr>
                <w:b w:val="false"/>
                <w:sz w:val="26"/>
                <w:szCs w:val="26"/>
              </w:rPr>
            </w:pPr>
            <w:r>
              <w:rPr>
                <w:b w:val="false"/>
                <w:sz w:val="26"/>
                <w:szCs w:val="26"/>
              </w:rPr>
              <w:t>Контактное лицо (Ф.И.О.) по организационным вопросам: Перфильев Владимир Викторович</w:t>
            </w:r>
          </w:p>
          <w:p>
            <w:pPr>
              <w:pStyle w:val="Tableheader"/>
              <w:widowControl w:val="false"/>
              <w:suppressAutoHyphens w:val="true"/>
              <w:spacing w:before="0" w:after="0"/>
              <w:rPr>
                <w:b w:val="false"/>
                <w:sz w:val="26"/>
                <w:szCs w:val="26"/>
              </w:rPr>
            </w:pPr>
            <w:r>
              <w:rPr>
                <w:b w:val="false"/>
                <w:sz w:val="26"/>
                <w:szCs w:val="26"/>
              </w:rPr>
              <w:t>Контактный телефон: +7 (423) 246-97-07 (доб. 091-4002)</w:t>
            </w:r>
          </w:p>
          <w:p>
            <w:pPr>
              <w:pStyle w:val="Normal"/>
              <w:widowControl w:val="false"/>
              <w:tabs>
                <w:tab w:val="clear" w:pos="708"/>
                <w:tab w:val="left" w:pos="426" w:leader="none"/>
              </w:tabs>
              <w:suppressAutoHyphens w:val="true"/>
              <w:spacing w:before="0" w:after="120"/>
              <w:rPr>
                <w:rStyle w:val="Hyperlink"/>
              </w:rPr>
            </w:pPr>
            <w:r>
              <w:rPr>
                <w:b w:val="false"/>
                <w:sz w:val="26"/>
                <w:szCs w:val="26"/>
              </w:rPr>
              <w:t>Адрес электронной почты: PerfilevVV@rushydro.ru</w:t>
            </w:r>
          </w:p>
          <w:p>
            <w:pPr>
              <w:pStyle w:val="Normal"/>
              <w:widowControl w:val="false"/>
              <w:tabs>
                <w:tab w:val="clear" w:pos="708"/>
                <w:tab w:val="left" w:pos="426" w:leader="none"/>
              </w:tabs>
              <w:suppressAutoHyphens w:val="true"/>
              <w:spacing w:before="0" w:after="0"/>
              <w:rPr/>
            </w:pPr>
            <w:r>
              <w:rPr/>
              <w:t>Контактное лицо (Ф.И.О.) по вопросам, связанных по разъяснению технических требований:</w:t>
            </w:r>
          </w:p>
          <w:p>
            <w:pPr>
              <w:pStyle w:val="Normal"/>
              <w:widowControl w:val="false"/>
              <w:tabs>
                <w:tab w:val="clear" w:pos="708"/>
                <w:tab w:val="left" w:pos="426" w:leader="none"/>
              </w:tabs>
              <w:suppressAutoHyphens w:val="true"/>
              <w:spacing w:before="0" w:after="120"/>
              <w:rPr/>
            </w:pPr>
            <w:r>
              <w:rPr/>
              <w:t>Клюев Алексей Александрович</w:t>
            </w:r>
          </w:p>
          <w:p>
            <w:pPr>
              <w:pStyle w:val="Normal"/>
              <w:widowControl w:val="false"/>
              <w:tabs>
                <w:tab w:val="clear" w:pos="708"/>
                <w:tab w:val="left" w:pos="426" w:leader="none"/>
              </w:tabs>
              <w:suppressAutoHyphens w:val="true"/>
              <w:spacing w:before="0" w:after="120"/>
              <w:rPr/>
            </w:pPr>
            <w:r>
              <w:rPr/>
              <w:t>Контактный телефон: +7 (423) 246-69-07 (доб. 091-5041)</w:t>
            </w:r>
          </w:p>
          <w:p>
            <w:pPr>
              <w:pStyle w:val="Normal"/>
              <w:widowControl w:val="false"/>
              <w:tabs>
                <w:tab w:val="clear" w:pos="708"/>
                <w:tab w:val="left" w:pos="426" w:leader="none"/>
              </w:tabs>
              <w:suppressAutoHyphens w:val="true"/>
              <w:spacing w:before="0" w:after="120"/>
              <w:rPr/>
            </w:pPr>
            <w:r>
              <w:rPr>
                <w:rStyle w:val="Style22"/>
                <w:rFonts w:eastAsia="Lucida Sans Unicode" w:cs="Times New Roman"/>
                <w:b w:val="false"/>
                <w:i w:val="false"/>
                <w:iCs w:val="false"/>
                <w:color w:val="000000"/>
                <w:kern w:val="2"/>
                <w:sz w:val="26"/>
                <w:szCs w:val="26"/>
                <w:shd w:fill="auto" w:val="clear"/>
                <w:lang w:val="ru-RU" w:eastAsia="ru-RU" w:bidi="ar-SA"/>
              </w:rPr>
              <w:t xml:space="preserve">Адрес электронной почты: </w:t>
            </w:r>
            <w:r>
              <w:rPr>
                <w:rStyle w:val="Hyperlink"/>
                <w:rFonts w:eastAsia="Lucida Sans Unicode" w:cs="Times New Roman"/>
                <w:b w:val="false"/>
                <w:i w:val="false"/>
                <w:iCs w:val="false"/>
                <w:kern w:val="2"/>
                <w:sz w:val="26"/>
                <w:szCs w:val="26"/>
                <w:shd w:fill="auto" w:val="clear"/>
                <w:lang w:val="ru-RU" w:eastAsia="ru-RU" w:bidi="ar-SA"/>
              </w:rPr>
              <w:t>KliuevAA@rushydro.ru</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30" w:name="_Ref125362694"/>
            <w:bookmarkStart w:id="31" w:name="_Ref125362694"/>
            <w:bookmarkEnd w:id="31"/>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32" w:name="_Ref125360963"/>
            <w:bookmarkStart w:id="33" w:name="_Ref125360963"/>
            <w:bookmarkEnd w:id="33"/>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Дата размещения Извещения о проведении закупки:</w:t>
            </w:r>
          </w:p>
        </w:tc>
        <w:tc>
          <w:tcPr>
            <w:tcW w:w="5676" w:type="dxa"/>
            <w:tcBorders/>
          </w:tcPr>
          <w:p>
            <w:pPr>
              <w:pStyle w:val="Style32"/>
              <w:widowControl w:val="false"/>
              <w:suppressAutoHyphens w:val="true"/>
              <w:spacing w:before="60" w:after="60"/>
              <w:rPr>
                <w:rStyle w:val="Style11"/>
                <w:rFonts w:cs="Times New Roman"/>
                <w:szCs w:val="26"/>
              </w:rPr>
            </w:pPr>
            <w:r>
              <w:rPr>
                <w:rFonts w:eastAsia="Calibri" w:cs="Times New Roman"/>
                <w:kern w:val="0"/>
                <w:sz w:val="26"/>
                <w:szCs w:val="26"/>
                <w:lang w:val="ru-RU" w:eastAsia="en-US" w:bidi="ar-SA"/>
              </w:rPr>
              <w:t>02</w:t>
            </w:r>
            <w:r>
              <w:rPr>
                <w:rFonts w:eastAsia="Calibri" w:cs="Times New Roman"/>
                <w:kern w:val="0"/>
                <w:sz w:val="26"/>
                <w:szCs w:val="26"/>
                <w:lang w:val="ru-RU" w:eastAsia="en-US" w:bidi="ar-SA"/>
              </w:rPr>
              <w:t>.</w:t>
            </w:r>
            <w:r>
              <w:rPr>
                <w:rFonts w:eastAsia="Calibri" w:cs="Times New Roman"/>
                <w:kern w:val="0"/>
                <w:sz w:val="26"/>
                <w:szCs w:val="26"/>
                <w:lang w:val="en-US" w:eastAsia="en-US" w:bidi="ar-SA"/>
              </w:rPr>
              <w:t>10</w:t>
            </w:r>
            <w:r>
              <w:rPr>
                <w:rFonts w:eastAsia="Calibri" w:cs="Times New Roman"/>
                <w:kern w:val="0"/>
                <w:sz w:val="26"/>
                <w:szCs w:val="26"/>
                <w:lang w:val="ru-RU" w:eastAsia="en-US" w:bidi="ar-SA"/>
              </w:rPr>
              <w:t>.2026</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34" w:name="_Ref125362837"/>
            <w:bookmarkStart w:id="35" w:name="_Ref125362837"/>
            <w:bookmarkEnd w:id="35"/>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Начальная (максимальная) цена договора (цена лота):</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НМЦ составляет 7 995 200,00   руб., без учета НДС.</w:t>
            </w:r>
          </w:p>
          <w:p>
            <w:pPr>
              <w:pStyle w:val="Style32"/>
              <w:widowControl w:val="false"/>
              <w:suppressAutoHyphens w:val="true"/>
              <w:spacing w:before="60" w:after="60"/>
              <w:rPr>
                <w:rStyle w:val="Style11"/>
                <w:rFonts w:cs="Times New Roman"/>
                <w:i w:val="false"/>
                <w:i w:val="false"/>
                <w:iCs w:val="false"/>
                <w:szCs w:val="26"/>
                <w:shd w:fill="auto" w:val="clear"/>
              </w:rPr>
            </w:pPr>
            <w:r>
              <w:rPr>
                <w:rFonts w:eastAsia="Calibri" w:cs="Times New Roman"/>
                <w:kern w:val="0"/>
                <w:sz w:val="26"/>
                <w:szCs w:val="26"/>
                <w:lang w:val="ru-RU" w:eastAsia="en-US" w:bidi="ar-SA"/>
              </w:rPr>
              <w:t xml:space="preserve">Обоснование НМЦ представлено в </w:t>
            </w:r>
            <w:hyperlink w:anchor="Прил09_ОбоснованиеНМЦ">
              <w:r>
                <w:rPr>
                  <w:rStyle w:val="Style14"/>
                  <w:rFonts w:eastAsia="Calibri" w:cs="Times New Roman"/>
                  <w:kern w:val="0"/>
                  <w:sz w:val="26"/>
                  <w:szCs w:val="26"/>
                  <w:lang w:val="ru-RU" w:eastAsia="en-US" w:bidi="ar-SA"/>
                </w:rPr>
                <w:t>Приложении № 9</w:t>
              </w:r>
            </w:hyperlink>
            <w:r>
              <w:rPr>
                <w:rFonts w:eastAsia="Calibri" w:cs="Times New Roman"/>
                <w:kern w:val="0"/>
                <w:sz w:val="26"/>
                <w:szCs w:val="26"/>
                <w:lang w:val="ru-RU" w:eastAsia="en-US" w:bidi="ar-SA"/>
              </w:rPr>
              <w:t>.</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36" w:name="_Ref125363076"/>
            <w:bookmarkStart w:id="37" w:name="_Ref125363076"/>
            <w:bookmarkEnd w:id="37"/>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Обеспечение заявки на участие в закупке:</w:t>
            </w:r>
          </w:p>
        </w:tc>
        <w:tc>
          <w:tcPr>
            <w:tcW w:w="567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Times New Roman"/>
                <w:kern w:val="0"/>
                <w:sz w:val="26"/>
                <w:szCs w:val="26"/>
                <w:lang w:val="ru-RU" w:eastAsia="en-US" w:bidi="ar-SA"/>
              </w:rPr>
              <w:t>Не требуется.</w:t>
            </w:r>
          </w:p>
          <w:p>
            <w:pPr>
              <w:pStyle w:val="Style32"/>
              <w:widowControl w:val="false"/>
              <w:suppressAutoHyphens w:val="true"/>
              <w:spacing w:before="60" w:after="60"/>
              <w:rPr>
                <w:rFonts w:cs="Times New Roman"/>
                <w:szCs w:val="26"/>
              </w:rPr>
            </w:pPr>
            <w:r>
              <w:rPr>
                <w:rFonts w:cs="Times New Roman"/>
                <w:szCs w:val="26"/>
              </w:rPr>
            </w:r>
          </w:p>
          <w:p>
            <w:pPr>
              <w:pStyle w:val="Normal"/>
              <w:widowControl w:val="false"/>
              <w:suppressAutoHyphens w:val="true"/>
              <w:spacing w:before="60" w:after="60"/>
              <w:ind w:hanging="0" w:left="12"/>
              <w:jc w:val="both"/>
              <w:rPr>
                <w:rFonts w:cs="Times New Roman"/>
                <w:szCs w:val="26"/>
              </w:rPr>
            </w:pPr>
            <w:r>
              <w:rPr>
                <w:rFonts w:eastAsia="Calibri" w:cs="Times New Roman"/>
                <w:kern w:val="0"/>
                <w:sz w:val="26"/>
                <w:szCs w:val="26"/>
                <w:lang w:val="ru-RU" w:eastAsia="en-US" w:bidi="ar-SA"/>
              </w:rPr>
              <w:t>Внимание! 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38" w:name="_Ref125362995"/>
            <w:bookmarkStart w:id="39" w:name="_Ref125362995"/>
            <w:bookmarkEnd w:id="39"/>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Требования</w:t>
              <w:br/>
              <w:t>к описанию продукции:</w:t>
            </w:r>
          </w:p>
        </w:tc>
        <w:tc>
          <w:tcPr>
            <w:tcW w:w="5676" w:type="dxa"/>
            <w:tcBorders/>
          </w:tcPr>
          <w:p>
            <w:pPr>
              <w:pStyle w:val="Style32"/>
              <w:widowControl w:val="false"/>
              <w:suppressAutoHyphens w:val="true"/>
              <w:spacing w:before="60" w:after="60"/>
              <w:rPr/>
            </w:pPr>
            <w:r>
              <w:rPr>
                <w:rFonts w:cs=""/>
                <w:szCs w:val="22"/>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4"/>
                  <w:rFonts w:cs=""/>
                  <w:szCs w:val="22"/>
                  <w:lang w:val="ru-RU"/>
                </w:rPr>
                <w:t>Приложение № 4</w:t>
              </w:r>
            </w:hyperlink>
            <w:r>
              <w:rPr>
                <w:rFonts w:cs=""/>
                <w:szCs w:val="22"/>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Применение законодательства о национальном режиме:</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Национальный режим предоставляется.</w:t>
            </w:r>
          </w:p>
          <w:p>
            <w:pPr>
              <w:pStyle w:val="Style32"/>
              <w:widowControl w:val="false"/>
              <w:suppressAutoHyphens w:val="true"/>
              <w:spacing w:before="60" w:after="60"/>
              <w:rPr>
                <w:rFonts w:cs="Times New Roman"/>
                <w:szCs w:val="26"/>
              </w:rPr>
            </w:pPr>
            <w:r>
              <w:rPr>
                <w:rFonts w:cs="Times New Roman"/>
                <w:szCs w:val="26"/>
              </w:rPr>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40" w:name="_Ref125533737"/>
            <w:bookmarkStart w:id="41" w:name="_Ref125533737"/>
            <w:bookmarkEnd w:id="41"/>
          </w:p>
        </w:tc>
        <w:tc>
          <w:tcPr>
            <w:tcW w:w="3242" w:type="dxa"/>
            <w:tcBorders/>
          </w:tcPr>
          <w:p>
            <w:pPr>
              <w:pStyle w:val="Normal"/>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Возможность подачи альтернативных предложений:</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Не предусмотрена.</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42" w:name="_Ref125475086"/>
            <w:bookmarkStart w:id="43" w:name="_Ref125475086"/>
            <w:bookmarkEnd w:id="43"/>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Место и порядок подачи заявок:</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Заявки подаются посредством функционала ЭП, по адресу ЭП, указанному в пункте </w:t>
            </w:r>
            <w:r>
              <w:rPr>
                <w:rFonts w:eastAsia="Calibri" w:cs="Times New Roman"/>
                <w:kern w:val="0"/>
                <w:sz w:val="26"/>
                <w:szCs w:val="26"/>
                <w:lang w:val="ru-RU" w:eastAsia="en-US" w:bidi="ar-SA"/>
              </w:rPr>
              <w:fldChar w:fldCharType="begin"/>
            </w:r>
            <w:r>
              <w:rPr>
                <w:sz w:val="26"/>
                <w:kern w:val="0"/>
                <w:szCs w:val="26"/>
                <w:rFonts w:eastAsia="Calibri" w:cs="Times New Roman"/>
                <w:lang w:val="ru-RU" w:eastAsia="en-US" w:bidi="ar-SA"/>
              </w:rPr>
              <w:instrText xml:space="preserve"> REF _Ref125360764 \r \h </w:instrText>
            </w:r>
            <w:r>
              <w:rPr>
                <w:sz w:val="26"/>
                <w:kern w:val="0"/>
                <w:szCs w:val="26"/>
                <w:rFonts w:eastAsia="Calibri" w:cs="Times New Roman"/>
                <w:lang w:val="ru-RU" w:eastAsia="en-US" w:bidi="ar-SA"/>
              </w:rPr>
              <w:fldChar w:fldCharType="separate"/>
            </w:r>
            <w:r>
              <w:rPr>
                <w:sz w:val="26"/>
                <w:kern w:val="0"/>
                <w:szCs w:val="26"/>
                <w:rFonts w:eastAsia="Calibri" w:cs="Times New Roman"/>
                <w:lang w:val="ru-RU" w:eastAsia="en-US" w:bidi="ar-SA"/>
              </w:rPr>
              <w:t>1.2.5</w:t>
            </w:r>
            <w:r>
              <w:rPr>
                <w:sz w:val="26"/>
                <w:kern w:val="0"/>
                <w:szCs w:val="26"/>
                <w:rFonts w:eastAsia="Calibri" w:cs="Times New Roman"/>
                <w:lang w:val="ru-RU" w:eastAsia="en-US" w:bidi="ar-SA"/>
              </w:rPr>
              <w:fldChar w:fldCharType="end"/>
            </w:r>
            <w:r>
              <w:rPr>
                <w:rFonts w:eastAsia="Calibri" w:cs="Times New Roman"/>
                <w:kern w:val="0"/>
                <w:sz w:val="26"/>
                <w:szCs w:val="26"/>
                <w:lang w:val="ru-RU" w:eastAsia="en-US" w:bidi="ar-SA"/>
              </w:rPr>
              <w:t>.</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44" w:name="_Ref125360779"/>
            <w:bookmarkStart w:id="45" w:name="_Ref125360779"/>
            <w:bookmarkEnd w:id="45"/>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Дата начала; дата и время окончания срока подачи заявок:</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Дата начала подачи заявок:</w:t>
            </w:r>
          </w:p>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02</w:t>
            </w:r>
            <w:r>
              <w:rPr>
                <w:rFonts w:eastAsia="Calibri" w:cs="Times New Roman"/>
                <w:kern w:val="0"/>
                <w:sz w:val="26"/>
                <w:szCs w:val="26"/>
                <w:lang w:val="ru-RU" w:eastAsia="en-US" w:bidi="ar-SA"/>
              </w:rPr>
              <w:t>.</w:t>
            </w:r>
            <w:r>
              <w:rPr>
                <w:rFonts w:eastAsia="Calibri" w:cs="Times New Roman"/>
                <w:kern w:val="0"/>
                <w:sz w:val="26"/>
                <w:szCs w:val="26"/>
                <w:lang w:val="ru-RU" w:eastAsia="en-US" w:bidi="ar-SA"/>
              </w:rPr>
              <w:t>10</w:t>
            </w:r>
            <w:r>
              <w:rPr>
                <w:rFonts w:eastAsia="Calibri" w:cs="Times New Roman"/>
                <w:kern w:val="0"/>
                <w:sz w:val="26"/>
                <w:szCs w:val="26"/>
                <w:lang w:val="ru-RU" w:eastAsia="en-US" w:bidi="ar-SA"/>
              </w:rPr>
              <w:t>.2026</w:t>
            </w:r>
          </w:p>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Дата и время окончания срока подачи заявок:</w:t>
            </w:r>
          </w:p>
          <w:p>
            <w:pPr>
              <w:pStyle w:val="Style35"/>
              <w:widowControl w:val="false"/>
              <w:suppressAutoHyphens w:val="true"/>
              <w:spacing w:before="60" w:after="60"/>
              <w:rPr>
                <w:rFonts w:cs="Times New Roman"/>
                <w:szCs w:val="26"/>
              </w:rPr>
            </w:pPr>
            <w:r>
              <w:rPr>
                <w:rFonts w:eastAsia="Calibri" w:cs="Times New Roman"/>
                <w:i w:val="false"/>
                <w:kern w:val="0"/>
                <w:sz w:val="26"/>
                <w:szCs w:val="26"/>
                <w:shd w:fill="auto" w:val="clear"/>
                <w:lang w:val="ru-RU" w:eastAsia="en-US" w:bidi="ar-SA"/>
              </w:rPr>
              <w:t>19</w:t>
            </w:r>
            <w:r>
              <w:rPr>
                <w:rFonts w:eastAsia="Calibri" w:cs="Times New Roman"/>
                <w:i w:val="false"/>
                <w:kern w:val="0"/>
                <w:sz w:val="26"/>
                <w:szCs w:val="26"/>
                <w:shd w:fill="auto" w:val="clear"/>
                <w:lang w:val="ru-RU" w:eastAsia="en-US" w:bidi="ar-SA"/>
              </w:rPr>
              <w:t>.</w:t>
            </w:r>
            <w:r>
              <w:rPr>
                <w:rFonts w:eastAsia="Calibri" w:cs="Times New Roman"/>
                <w:i w:val="false"/>
                <w:kern w:val="0"/>
                <w:sz w:val="26"/>
                <w:szCs w:val="26"/>
                <w:shd w:fill="auto" w:val="clear"/>
                <w:lang w:val="ru-RU" w:eastAsia="en-US" w:bidi="ar-SA"/>
              </w:rPr>
              <w:t>10</w:t>
            </w:r>
            <w:r>
              <w:rPr>
                <w:rFonts w:eastAsia="Calibri" w:cs="Times New Roman"/>
                <w:i w:val="false"/>
                <w:kern w:val="0"/>
                <w:sz w:val="26"/>
                <w:szCs w:val="26"/>
                <w:shd w:fill="auto" w:val="clear"/>
                <w:lang w:val="ru-RU" w:eastAsia="en-US" w:bidi="ar-SA"/>
              </w:rPr>
              <w:t>.2026 в 10 ч. 00 мин. (по московскому времени).</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Срок предоставления Участникам разъяснений Документации о закупке:</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Дата и время окончания срока предоставления разъяснений:</w:t>
            </w:r>
          </w:p>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19</w:t>
            </w:r>
            <w:r>
              <w:rPr>
                <w:rFonts w:eastAsia="Calibri" w:cs="Times New Roman"/>
                <w:kern w:val="0"/>
                <w:sz w:val="26"/>
                <w:szCs w:val="26"/>
                <w:lang w:val="ru-RU" w:eastAsia="en-US" w:bidi="ar-SA"/>
              </w:rPr>
              <w:t>.</w:t>
            </w:r>
            <w:r>
              <w:rPr>
                <w:rFonts w:eastAsia="Calibri" w:cs="Times New Roman"/>
                <w:kern w:val="0"/>
                <w:sz w:val="26"/>
                <w:szCs w:val="26"/>
                <w:lang w:val="ru-RU" w:eastAsia="en-US" w:bidi="ar-SA"/>
              </w:rPr>
              <w:t>10</w:t>
            </w:r>
            <w:r>
              <w:rPr>
                <w:rFonts w:eastAsia="Calibri" w:cs="Times New Roman"/>
                <w:kern w:val="0"/>
                <w:sz w:val="26"/>
                <w:szCs w:val="26"/>
                <w:lang w:val="ru-RU" w:eastAsia="en-US" w:bidi="ar-SA"/>
              </w:rPr>
              <w:t>.2026 в 10 ч. 00 мин. (по московскому времени).</w:t>
            </w:r>
          </w:p>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Times New Roman"/>
                <w:kern w:val="0"/>
                <w:sz w:val="26"/>
                <w:szCs w:val="26"/>
                <w:lang w:val="ru-RU" w:eastAsia="en-US" w:bidi="ar-SA"/>
              </w:rPr>
              <w:fldChar w:fldCharType="begin"/>
            </w:r>
            <w:r>
              <w:rPr>
                <w:sz w:val="26"/>
                <w:kern w:val="0"/>
                <w:szCs w:val="26"/>
                <w:rFonts w:eastAsia="Calibri" w:cs="Times New Roman"/>
                <w:lang w:val="ru-RU" w:eastAsia="en-US" w:bidi="ar-SA"/>
              </w:rPr>
              <w:instrText xml:space="preserve"> REF _Ref125360779 \r \h </w:instrText>
            </w:r>
            <w:r>
              <w:rPr>
                <w:sz w:val="26"/>
                <w:kern w:val="0"/>
                <w:szCs w:val="26"/>
                <w:rFonts w:eastAsia="Calibri" w:cs="Times New Roman"/>
                <w:lang w:val="ru-RU" w:eastAsia="en-US" w:bidi="ar-SA"/>
              </w:rPr>
              <w:fldChar w:fldCharType="separate"/>
            </w:r>
            <w:r>
              <w:rPr>
                <w:sz w:val="26"/>
                <w:kern w:val="0"/>
                <w:szCs w:val="26"/>
                <w:rFonts w:eastAsia="Calibri" w:cs="Times New Roman"/>
                <w:lang w:val="ru-RU" w:eastAsia="en-US" w:bidi="ar-SA"/>
              </w:rPr>
              <w:t>1.2.18</w:t>
            </w:r>
            <w:r>
              <w:rPr>
                <w:sz w:val="26"/>
                <w:kern w:val="0"/>
                <w:szCs w:val="26"/>
                <w:rFonts w:eastAsia="Calibri" w:cs="Times New Roman"/>
                <w:lang w:val="ru-RU" w:eastAsia="en-US" w:bidi="ar-SA"/>
              </w:rPr>
              <w:fldChar w:fldCharType="end"/>
            </w:r>
            <w:r>
              <w:rPr>
                <w:rFonts w:eastAsia="Calibri" w:cs="Times New Roman"/>
                <w:kern w:val="0"/>
                <w:sz w:val="26"/>
                <w:szCs w:val="26"/>
                <w:lang w:val="ru-RU" w:eastAsia="en-US" w:bidi="ar-SA"/>
              </w:rPr>
              <w:t>.</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46" w:name="_Ref125476197"/>
            <w:bookmarkStart w:id="47" w:name="_Ref125476197"/>
            <w:bookmarkEnd w:id="47"/>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Место открытия</w:t>
              <w:br/>
              <w:t>доступа к заявкам:</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Times New Roman"/>
                <w:kern w:val="0"/>
                <w:sz w:val="26"/>
                <w:szCs w:val="26"/>
                <w:lang w:val="ru-RU" w:eastAsia="en-US" w:bidi="ar-SA"/>
              </w:rPr>
              <w:fldChar w:fldCharType="begin"/>
            </w:r>
            <w:r>
              <w:rPr>
                <w:sz w:val="26"/>
                <w:kern w:val="0"/>
                <w:szCs w:val="26"/>
                <w:rFonts w:eastAsia="Calibri" w:cs="Times New Roman"/>
                <w:lang w:val="ru-RU" w:eastAsia="en-US" w:bidi="ar-SA"/>
              </w:rPr>
              <w:instrText xml:space="preserve"> REF _Ref125360764 \r \h </w:instrText>
            </w:r>
            <w:r>
              <w:rPr>
                <w:sz w:val="26"/>
                <w:kern w:val="0"/>
                <w:szCs w:val="26"/>
                <w:rFonts w:eastAsia="Calibri" w:cs="Times New Roman"/>
                <w:lang w:val="ru-RU" w:eastAsia="en-US" w:bidi="ar-SA"/>
              </w:rPr>
              <w:fldChar w:fldCharType="separate"/>
            </w:r>
            <w:r>
              <w:rPr>
                <w:sz w:val="26"/>
                <w:kern w:val="0"/>
                <w:szCs w:val="26"/>
                <w:rFonts w:eastAsia="Calibri" w:cs="Times New Roman"/>
                <w:lang w:val="ru-RU" w:eastAsia="en-US" w:bidi="ar-SA"/>
              </w:rPr>
              <w:t>1.2.5</w:t>
            </w:r>
            <w:r>
              <w:rPr>
                <w:sz w:val="26"/>
                <w:kern w:val="0"/>
                <w:szCs w:val="26"/>
                <w:rFonts w:eastAsia="Calibri" w:cs="Times New Roman"/>
                <w:lang w:val="ru-RU" w:eastAsia="en-US" w:bidi="ar-SA"/>
              </w:rPr>
              <w:fldChar w:fldCharType="end"/>
            </w:r>
            <w:r>
              <w:rPr>
                <w:rFonts w:eastAsia="Calibri" w:cs="Times New Roman"/>
                <w:kern w:val="0"/>
                <w:sz w:val="26"/>
                <w:szCs w:val="26"/>
                <w:lang w:val="ru-RU" w:eastAsia="en-US" w:bidi="ar-SA"/>
              </w:rPr>
              <w:t>.</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48" w:name="_Ref125362733"/>
            <w:bookmarkStart w:id="49" w:name="_Ref125362733"/>
            <w:bookmarkEnd w:id="49"/>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Дата окончания рассмотрения заявок:</w:t>
            </w:r>
          </w:p>
        </w:tc>
        <w:tc>
          <w:tcPr>
            <w:tcW w:w="5676" w:type="dxa"/>
            <w:tcBorders/>
          </w:tcPr>
          <w:p>
            <w:pPr>
              <w:pStyle w:val="Style32"/>
              <w:widowControl w:val="false"/>
              <w:suppressAutoHyphens w:val="true"/>
              <w:spacing w:before="60" w:after="60"/>
              <w:rPr>
                <w:rStyle w:val="Style11"/>
                <w:rFonts w:cs="Times New Roman"/>
                <w:i w:val="false"/>
                <w:i w:val="false"/>
                <w:iCs w:val="false"/>
                <w:szCs w:val="26"/>
                <w:shd w:fill="auto" w:val="clear"/>
              </w:rPr>
            </w:pPr>
            <w:r>
              <w:rPr>
                <w:rFonts w:eastAsia="Calibri" w:cs="Times New Roman"/>
                <w:kern w:val="0"/>
                <w:sz w:val="26"/>
                <w:szCs w:val="26"/>
                <w:lang w:val="ru-RU" w:eastAsia="en-US" w:bidi="ar-SA"/>
              </w:rPr>
              <w:t>30</w:t>
            </w:r>
            <w:r>
              <w:rPr>
                <w:rFonts w:eastAsia="Calibri" w:cs="Times New Roman"/>
                <w:kern w:val="0"/>
                <w:sz w:val="26"/>
                <w:szCs w:val="26"/>
                <w:lang w:val="ru-RU" w:eastAsia="en-US" w:bidi="ar-SA"/>
              </w:rPr>
              <w:t>.</w:t>
            </w:r>
            <w:r>
              <w:rPr>
                <w:rFonts w:eastAsia="Calibri" w:cs="Times New Roman"/>
                <w:kern w:val="0"/>
                <w:sz w:val="26"/>
                <w:szCs w:val="26"/>
                <w:lang w:val="en-US" w:eastAsia="en-US" w:bidi="ar-SA"/>
              </w:rPr>
              <w:t>10</w:t>
            </w:r>
            <w:r>
              <w:rPr>
                <w:rFonts w:eastAsia="Calibri" w:cs="Times New Roman"/>
                <w:kern w:val="0"/>
                <w:sz w:val="26"/>
                <w:szCs w:val="26"/>
                <w:lang w:val="ru-RU" w:eastAsia="en-US" w:bidi="ar-SA"/>
              </w:rPr>
              <w:t>.2026</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Возможность проведения процедуры переторжки:</w:t>
            </w:r>
          </w:p>
        </w:tc>
        <w:tc>
          <w:tcPr>
            <w:tcW w:w="5676" w:type="dxa"/>
            <w:tcBorders/>
          </w:tcPr>
          <w:p>
            <w:pPr>
              <w:pStyle w:val="Style32"/>
              <w:widowControl w:val="false"/>
              <w:suppressAutoHyphens w:val="true"/>
              <w:spacing w:before="60" w:after="60"/>
              <w:rPr>
                <w:rFonts w:cs="Times New Roman"/>
                <w:szCs w:val="26"/>
              </w:rPr>
            </w:pPr>
            <w:r>
              <w:rPr>
                <w:rFonts w:eastAsia="Calibri" w:cs=""/>
                <w:kern w:val="0"/>
                <w:sz w:val="26"/>
                <w:szCs w:val="22"/>
                <w:lang w:val="ru-RU" w:eastAsia="en-US" w:bidi="ar-SA"/>
              </w:rPr>
              <w:t>Не предусмотрено.</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50" w:name="_Ref125362757"/>
            <w:bookmarkStart w:id="51" w:name="_Ref125362757"/>
            <w:bookmarkEnd w:id="51"/>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Дата подведения</w:t>
              <w:br/>
              <w:t>итогов закупки:</w:t>
            </w:r>
          </w:p>
        </w:tc>
        <w:tc>
          <w:tcPr>
            <w:tcW w:w="5676" w:type="dxa"/>
            <w:tcBorders/>
          </w:tcPr>
          <w:p>
            <w:pPr>
              <w:pStyle w:val="Style32"/>
              <w:widowControl w:val="false"/>
              <w:suppressAutoHyphens w:val="true"/>
              <w:spacing w:before="60" w:after="60"/>
              <w:rPr>
                <w:rStyle w:val="Style11"/>
                <w:rFonts w:cs="Times New Roman"/>
                <w:i w:val="false"/>
                <w:i w:val="false"/>
                <w:iCs w:val="false"/>
                <w:szCs w:val="26"/>
                <w:shd w:fill="auto" w:val="clear"/>
              </w:rPr>
            </w:pPr>
            <w:r>
              <w:rPr>
                <w:rFonts w:eastAsia="Calibri" w:cs="Times New Roman"/>
                <w:kern w:val="0"/>
                <w:sz w:val="26"/>
                <w:szCs w:val="26"/>
                <w:lang w:val="ru-RU" w:eastAsia="en-US" w:bidi="ar-SA"/>
              </w:rPr>
              <w:t>03</w:t>
            </w:r>
            <w:r>
              <w:rPr>
                <w:rFonts w:eastAsia="Calibri" w:cs="Times New Roman"/>
                <w:kern w:val="0"/>
                <w:sz w:val="26"/>
                <w:szCs w:val="26"/>
                <w:lang w:val="ru-RU" w:eastAsia="en-US" w:bidi="ar-SA"/>
              </w:rPr>
              <w:t>.</w:t>
            </w:r>
            <w:r>
              <w:rPr>
                <w:rFonts w:eastAsia="Calibri" w:cs="Times New Roman"/>
                <w:kern w:val="0"/>
                <w:sz w:val="26"/>
                <w:szCs w:val="26"/>
                <w:lang w:val="en-US" w:eastAsia="en-US" w:bidi="ar-SA"/>
              </w:rPr>
              <w:t>11</w:t>
            </w:r>
            <w:r>
              <w:rPr>
                <w:rFonts w:eastAsia="Calibri" w:cs="Times New Roman"/>
                <w:kern w:val="0"/>
                <w:sz w:val="26"/>
                <w:szCs w:val="26"/>
                <w:lang w:val="ru-RU" w:eastAsia="en-US" w:bidi="ar-SA"/>
              </w:rPr>
              <w:t>.2026</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52" w:name="_Ref125361769"/>
            <w:bookmarkStart w:id="53" w:name="_Ref125361769"/>
            <w:bookmarkEnd w:id="53"/>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Рассмотрение, оценка и сопоставление заявок Участников с учетом привлекаемых субподрядчиков:</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Не предусмотрено.</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Порядок подведения</w:t>
              <w:br/>
              <w:t>итогов закупки:</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54" w:name="_Ref125366606"/>
            <w:bookmarkStart w:id="55" w:name="_Ref125366606"/>
            <w:bookmarkEnd w:id="55"/>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Количество победителей закупки (в рамках одного лота):</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Один победитель.</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56" w:name="_Ref125533374"/>
            <w:bookmarkStart w:id="57" w:name="_Ref125533374"/>
            <w:bookmarkEnd w:id="57"/>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Форма заключения Договора:</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 xml:space="preserve">В бумажной или электронной форме (подробный порядок заключения Договора содержится в разделе </w:t>
            </w:r>
            <w:r>
              <w:rPr>
                <w:rFonts w:eastAsia="Calibri" w:cs="Times New Roman"/>
                <w:kern w:val="0"/>
                <w:sz w:val="26"/>
                <w:szCs w:val="26"/>
                <w:lang w:val="ru-RU" w:eastAsia="en-US" w:bidi="ar-SA"/>
              </w:rPr>
              <w:fldChar w:fldCharType="begin"/>
            </w:r>
            <w:r>
              <w:rPr>
                <w:sz w:val="26"/>
                <w:kern w:val="0"/>
                <w:szCs w:val="26"/>
                <w:rFonts w:eastAsia="Calibri" w:cs="Times New Roman"/>
                <w:lang w:val="ru-RU" w:eastAsia="en-US" w:bidi="ar-SA"/>
              </w:rPr>
              <w:instrText xml:space="preserve"> REF _Ref126142429 \r \h </w:instrText>
            </w:r>
            <w:r>
              <w:rPr>
                <w:sz w:val="26"/>
                <w:kern w:val="0"/>
                <w:szCs w:val="26"/>
                <w:rFonts w:eastAsia="Calibri" w:cs="Times New Roman"/>
                <w:lang w:val="ru-RU" w:eastAsia="en-US" w:bidi="ar-SA"/>
              </w:rPr>
              <w:fldChar w:fldCharType="separate"/>
            </w:r>
            <w:r>
              <w:rPr>
                <w:sz w:val="26"/>
                <w:kern w:val="0"/>
                <w:szCs w:val="26"/>
                <w:rFonts w:eastAsia="Calibri" w:cs="Times New Roman"/>
                <w:lang w:val="ru-RU" w:eastAsia="en-US" w:bidi="ar-SA"/>
              </w:rPr>
              <w:t>5</w:t>
            </w:r>
            <w:r>
              <w:rPr>
                <w:sz w:val="26"/>
                <w:kern w:val="0"/>
                <w:szCs w:val="26"/>
                <w:rFonts w:eastAsia="Calibri" w:cs="Times New Roman"/>
                <w:lang w:val="ru-RU" w:eastAsia="en-US" w:bidi="ar-SA"/>
              </w:rPr>
              <w:fldChar w:fldCharType="end"/>
            </w:r>
            <w:r>
              <w:rPr>
                <w:rFonts w:eastAsia="Calibri" w:cs="Times New Roman"/>
                <w:kern w:val="0"/>
                <w:sz w:val="26"/>
                <w:szCs w:val="26"/>
                <w:lang w:val="ru-RU" w:eastAsia="en-US" w:bidi="ar-SA"/>
              </w:rPr>
              <w:t>).</w:t>
            </w:r>
          </w:p>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Если договор будет заключаться в электронной форме посредством информационной системы электронного документооборота Контур. Диадок,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58" w:name="_Ref125366813"/>
            <w:bookmarkStart w:id="59" w:name="_Ref125366813"/>
            <w:bookmarkEnd w:id="59"/>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Место подачи документов в отношении цепочки собственников, включая конечных бенефициаров:</w:t>
            </w:r>
          </w:p>
        </w:tc>
        <w:tc>
          <w:tcPr>
            <w:tcW w:w="5676" w:type="dxa"/>
            <w:tcBorders/>
          </w:tcPr>
          <w:p>
            <w:pPr>
              <w:pStyle w:val="Style32"/>
              <w:keepNext w:val="true"/>
              <w:widowControl w:val="false"/>
              <w:suppressAutoHyphens w:val="true"/>
              <w:spacing w:before="60" w:after="60"/>
              <w:rPr>
                <w:rFonts w:cs="Times New Roman"/>
                <w:szCs w:val="26"/>
              </w:rPr>
            </w:pPr>
            <w:r>
              <w:rPr>
                <w:rFonts w:eastAsia="Calibri" w:cs="Times New Roman"/>
                <w:kern w:val="0"/>
                <w:sz w:val="26"/>
                <w:szCs w:val="26"/>
                <w:lang w:val="ru-RU" w:eastAsia="en-US" w:bidi="ar-SA"/>
              </w:rPr>
              <w:t>Для подачи документов в бумажной форме:</w:t>
            </w:r>
          </w:p>
          <w:p>
            <w:pPr>
              <w:pStyle w:val="Style32"/>
              <w:keepNext w:val="true"/>
              <w:widowControl w:val="false"/>
              <w:numPr>
                <w:ilvl w:val="0"/>
                <w:numId w:val="15"/>
              </w:numPr>
              <w:tabs>
                <w:tab w:val="clear" w:pos="708"/>
                <w:tab w:val="left" w:pos="288" w:leader="none"/>
              </w:tabs>
              <w:suppressAutoHyphens w:val="true"/>
              <w:spacing w:before="60" w:after="60"/>
              <w:ind w:hanging="720" w:left="720"/>
              <w:rPr>
                <w:rFonts w:cs="Times New Roman"/>
                <w:szCs w:val="26"/>
              </w:rPr>
            </w:pPr>
            <w:r>
              <w:rPr>
                <w:rFonts w:eastAsia="Calibri" w:cs="Times New Roman"/>
                <w:kern w:val="0"/>
                <w:sz w:val="26"/>
                <w:szCs w:val="26"/>
                <w:lang w:val="ru-RU" w:eastAsia="en-US" w:bidi="ar-SA"/>
              </w:rPr>
              <w:t xml:space="preserve">Контактное лицо (Ф.И.О.): </w:t>
            </w:r>
            <w:r>
              <w:rPr>
                <w:rFonts w:eastAsia="Times New Roman" w:cs="Times New Roman"/>
                <w:color w:val="000000"/>
                <w:kern w:val="0"/>
                <w:sz w:val="26"/>
                <w:szCs w:val="26"/>
                <w:lang w:val="ru-RU" w:eastAsia="en-US" w:bidi="ar-SA"/>
              </w:rPr>
              <w:t>Гатаулин А.Г.</w:t>
            </w:r>
            <w:r>
              <w:rPr>
                <w:rFonts w:eastAsia="Calibri" w:cs="Times New Roman"/>
                <w:kern w:val="0"/>
                <w:sz w:val="26"/>
                <w:szCs w:val="26"/>
                <w:lang w:val="ru-RU" w:eastAsia="en-US" w:bidi="ar-SA"/>
              </w:rPr>
              <w:t>;</w:t>
            </w:r>
          </w:p>
          <w:p>
            <w:pPr>
              <w:pStyle w:val="Style32"/>
              <w:keepNext w:val="true"/>
              <w:widowControl w:val="false"/>
              <w:numPr>
                <w:ilvl w:val="0"/>
                <w:numId w:val="15"/>
              </w:numPr>
              <w:tabs>
                <w:tab w:val="clear" w:pos="708"/>
                <w:tab w:val="left" w:pos="288" w:leader="none"/>
              </w:tabs>
              <w:suppressAutoHyphens w:val="true"/>
              <w:spacing w:before="60" w:after="60"/>
              <w:ind w:hanging="0" w:left="-27"/>
              <w:rPr>
                <w:rFonts w:cs="Times New Roman"/>
                <w:szCs w:val="26"/>
              </w:rPr>
            </w:pPr>
            <w:r>
              <w:rPr>
                <w:rFonts w:eastAsia="Calibri" w:cs="Times New Roman"/>
                <w:kern w:val="0"/>
                <w:sz w:val="26"/>
                <w:szCs w:val="26"/>
                <w:lang w:val="ru-RU" w:eastAsia="en-US" w:bidi="ar-SA"/>
              </w:rPr>
              <w:t xml:space="preserve">Почтовый адрес: </w:t>
            </w:r>
            <w:r>
              <w:rPr>
                <w:rFonts w:eastAsia="Times New Roman" w:cs="Times New Roman"/>
                <w:color w:val="000000"/>
                <w:kern w:val="0"/>
                <w:sz w:val="26"/>
                <w:szCs w:val="26"/>
                <w:lang w:val="ru-RU" w:eastAsia="en-US" w:bidi="ar-SA"/>
              </w:rPr>
              <w:t xml:space="preserve">680003, Российская Федерация, Приморский край, г. Владивосток, </w:t>
              <w:br/>
              <w:t>ул. Станюковича, д. 1</w:t>
            </w:r>
            <w:r>
              <w:rPr>
                <w:rFonts w:eastAsia="Calibri" w:cs="Times New Roman"/>
                <w:kern w:val="0"/>
                <w:sz w:val="26"/>
                <w:szCs w:val="26"/>
                <w:lang w:val="ru-RU" w:eastAsia="en-US" w:bidi="ar-SA"/>
              </w:rPr>
              <w:t>.</w:t>
            </w:r>
          </w:p>
          <w:p>
            <w:pPr>
              <w:pStyle w:val="Style32"/>
              <w:widowControl w:val="false"/>
              <w:suppressAutoHyphens w:val="true"/>
              <w:spacing w:before="120" w:after="60"/>
              <w:rPr>
                <w:rFonts w:cs="Times New Roman"/>
                <w:szCs w:val="26"/>
              </w:rPr>
            </w:pPr>
            <w:r>
              <w:rPr>
                <w:rFonts w:cs="Times New Roman"/>
                <w:szCs w:val="26"/>
              </w:rPr>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bookmarkStart w:id="60" w:name="_Ref125368490"/>
            <w:bookmarkStart w:id="61" w:name="_Ref125368490"/>
            <w:bookmarkEnd w:id="61"/>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Некритичные пункты Проекта договора:</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Отсутствуют.</w:t>
            </w:r>
          </w:p>
        </w:tc>
      </w:tr>
      <w:tr>
        <w:trPr/>
        <w:tc>
          <w:tcPr>
            <w:tcW w:w="836" w:type="dxa"/>
            <w:tcBorders/>
          </w:tcPr>
          <w:p>
            <w:pPr>
              <w:pStyle w:val="Style28"/>
              <w:widowControl w:val="false"/>
              <w:suppressAutoHyphens w:val="true"/>
              <w:spacing w:before="60" w:after="60"/>
              <w:rPr>
                <w:rFonts w:cs="Times New Roman"/>
                <w:szCs w:val="26"/>
              </w:rPr>
            </w:pPr>
            <w:r>
              <w:rPr>
                <w:rFonts w:cs="Times New Roman"/>
                <w:szCs w:val="26"/>
              </w:rPr>
            </w:r>
          </w:p>
        </w:tc>
        <w:tc>
          <w:tcPr>
            <w:tcW w:w="3242" w:type="dxa"/>
            <w:tcBorders/>
          </w:tcPr>
          <w:p>
            <w:pPr>
              <w:pStyle w:val="Style32"/>
              <w:widowControl w:val="false"/>
              <w:suppressAutoHyphens w:val="true"/>
              <w:spacing w:before="60" w:after="60"/>
              <w:jc w:val="left"/>
              <w:rPr>
                <w:rFonts w:cs="Times New Roman"/>
                <w:szCs w:val="26"/>
              </w:rPr>
            </w:pPr>
            <w:r>
              <w:rPr>
                <w:rFonts w:eastAsia="Calibri" w:cs="Times New Roman"/>
                <w:kern w:val="0"/>
                <w:sz w:val="26"/>
                <w:szCs w:val="26"/>
                <w:lang w:val="ru-RU" w:eastAsia="en-US" w:bidi="ar-SA"/>
              </w:rPr>
              <w:t>Обеспечение</w:t>
              <w:br/>
              <w:t>исполнения Договора:</w:t>
            </w:r>
          </w:p>
        </w:tc>
        <w:tc>
          <w:tcPr>
            <w:tcW w:w="5676" w:type="dxa"/>
            <w:tcBorders/>
          </w:tcPr>
          <w:p>
            <w:pPr>
              <w:pStyle w:val="Style32"/>
              <w:widowControl w:val="false"/>
              <w:suppressAutoHyphens w:val="true"/>
              <w:spacing w:before="60" w:after="60"/>
              <w:rPr>
                <w:rFonts w:cs="Times New Roman"/>
                <w:szCs w:val="26"/>
              </w:rPr>
            </w:pPr>
            <w:r>
              <w:rPr>
                <w:rFonts w:eastAsia="Calibri" w:cs="Times New Roman"/>
                <w:kern w:val="0"/>
                <w:sz w:val="26"/>
                <w:szCs w:val="26"/>
                <w:lang w:val="ru-RU" w:eastAsia="en-US" w:bidi="ar-SA"/>
              </w:rPr>
              <w:t>Не требуется.</w:t>
            </w:r>
          </w:p>
          <w:p>
            <w:pPr>
              <w:pStyle w:val="Style32"/>
              <w:widowControl w:val="false"/>
              <w:suppressAutoHyphens w:val="true"/>
              <w:spacing w:before="60" w:after="60"/>
              <w:rPr>
                <w:rFonts w:cs="Times New Roman"/>
                <w:szCs w:val="26"/>
              </w:rPr>
            </w:pPr>
            <w:r>
              <w:rPr>
                <w:rFonts w:cs="Times New Roman"/>
                <w:szCs w:val="26"/>
              </w:rPr>
            </w:r>
          </w:p>
        </w:tc>
      </w:tr>
    </w:tbl>
    <w:p>
      <w:pPr>
        <w:pStyle w:val="Style26"/>
        <w:rPr/>
      </w:pPr>
      <w:bookmarkStart w:id="62" w:name="_Ref125360073"/>
      <w:bookmarkStart w:id="63" w:name="_Ref125360337"/>
      <w:bookmarkStart w:id="64" w:name="_Toc236402255"/>
      <w:r>
        <w:rPr/>
        <w:t>Общие положения</w:t>
      </w:r>
      <w:bookmarkEnd w:id="62"/>
      <w:bookmarkEnd w:id="63"/>
      <w:bookmarkEnd w:id="64"/>
    </w:p>
    <w:p>
      <w:pPr>
        <w:pStyle w:val="Style27"/>
        <w:rPr/>
      </w:pPr>
      <w:bookmarkStart w:id="65" w:name="_Toc236402256"/>
      <w:r>
        <w:rPr/>
        <w:t>Общие сведения о закупке</w:t>
      </w:r>
      <w:bookmarkEnd w:id="65"/>
    </w:p>
    <w:p>
      <w:pPr>
        <w:pStyle w:val="Style28"/>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8"/>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8"/>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4"/>
          </w:rPr>
          <w:t>Технических требованиях (Приложение № 1)</w:t>
        </w:r>
      </w:hyperlink>
      <w:r>
        <w:rPr/>
        <w:t xml:space="preserve">. </w:t>
      </w:r>
      <w:hyperlink w:anchor="Прил02_ПроектДоговора">
        <w:r>
          <w:rPr>
            <w:rStyle w:val="Style14"/>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4"/>
          </w:rPr>
          <w:t>Приложении № 2</w:t>
        </w:r>
      </w:hyperlink>
      <w:r>
        <w:rPr/>
        <w:t xml:space="preserve">. </w:t>
      </w:r>
      <w:bookmarkStart w:id="66" w:name="_Hlk190163333"/>
      <w:bookmarkStart w:id="67" w:name="_Hlk208848169"/>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4"/>
          </w:rPr>
          <w:t>Приложение № 4</w:t>
        </w:r>
      </w:hyperlink>
      <w:r>
        <w:rPr/>
        <w:t>))</w:t>
      </w:r>
      <w:bookmarkEnd w:id="67"/>
      <w:r>
        <w:rPr/>
        <w:t>.</w:t>
      </w:r>
      <w:bookmarkEnd w:id="66"/>
    </w:p>
    <w:p>
      <w:pPr>
        <w:pStyle w:val="Style28"/>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4"/>
          </w:rPr>
          <w:t>№ 4</w:t>
        </w:r>
      </w:hyperlink>
      <w:r>
        <w:rPr/>
        <w:t xml:space="preserve">, </w:t>
      </w:r>
      <w:hyperlink w:anchor="Прил05_ФормыПобедителя">
        <w:r>
          <w:rPr>
            <w:rStyle w:val="Style14"/>
          </w:rPr>
          <w:t>№ 5</w:t>
        </w:r>
      </w:hyperlink>
      <w:r>
        <w:rPr/>
        <w:t>.</w:t>
      </w:r>
    </w:p>
    <w:p>
      <w:pPr>
        <w:pStyle w:val="Style27"/>
        <w:rPr/>
      </w:pPr>
      <w:bookmarkStart w:id="68" w:name="_Toc236402257"/>
      <w:r>
        <w:rPr/>
        <w:t>Правовой статус документов</w:t>
      </w:r>
      <w:bookmarkEnd w:id="68"/>
    </w:p>
    <w:p>
      <w:pPr>
        <w:pStyle w:val="Style28"/>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8"/>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8"/>
        <w:keepNext w:val="true"/>
        <w:rPr/>
      </w:pPr>
      <w:bookmarkStart w:id="69"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9"/>
      <w:r>
        <w:rPr/>
        <w:t>.</w:t>
      </w:r>
    </w:p>
    <w:p>
      <w:pPr>
        <w:pStyle w:val="Style28"/>
        <w:rPr/>
      </w:pPr>
      <w:r>
        <w:rP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pPr>
        <w:pStyle w:val="Style28"/>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8"/>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8"/>
        <w:rPr/>
      </w:pPr>
      <w:r>
        <w:rPr/>
        <w:t>Иные документы Организатора и Участников не определяют права и обязанности сторон в связи с данной закупкой.</w:t>
      </w:r>
    </w:p>
    <w:p>
      <w:pPr>
        <w:pStyle w:val="Style28"/>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7"/>
        <w:rPr/>
      </w:pPr>
      <w:bookmarkStart w:id="70" w:name="_Toc236402258"/>
      <w:bookmarkStart w:id="71" w:name="_Ref125363536"/>
      <w:r>
        <w:rPr/>
        <w:t>Обжалование</w:t>
      </w:r>
      <w:bookmarkEnd w:id="70"/>
      <w:bookmarkEnd w:id="71"/>
    </w:p>
    <w:p>
      <w:pPr>
        <w:pStyle w:val="Style28"/>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8"/>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8"/>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9"/>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9"/>
        <w:rPr/>
      </w:pPr>
      <w:r>
        <w:rPr/>
        <w:t>признать заявление Участника необоснованным.</w:t>
      </w:r>
    </w:p>
    <w:p>
      <w:pPr>
        <w:pStyle w:val="Style28"/>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8"/>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9"/>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9"/>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2" w:name="_Hlk219300362"/>
      <w:bookmarkStart w:id="73" w:name="_Hlk219296876"/>
      <w:r>
        <w:rPr/>
        <w:t>Красноярского края</w:t>
      </w:r>
      <w:bookmarkEnd w:id="72"/>
      <w:bookmarkEnd w:id="73"/>
      <w:r>
        <w:rPr/>
        <w:t>.</w:t>
      </w:r>
    </w:p>
    <w:p>
      <w:pPr>
        <w:pStyle w:val="Style32"/>
        <w:ind w:hanging="0" w:left="1134"/>
        <w:rPr/>
      </w:pPr>
      <w:r>
        <w:rPr/>
        <w:t>Закупочная комиссия определяется в соответствии с Положением о закупке.</w:t>
      </w:r>
    </w:p>
    <w:p>
      <w:pPr>
        <w:pStyle w:val="Style27"/>
        <w:rPr/>
      </w:pPr>
      <w:bookmarkStart w:id="74" w:name="_Ref125472658"/>
      <w:bookmarkStart w:id="75" w:name="_Toc236402259"/>
      <w:r>
        <w:rPr/>
        <w:t>Особые положения при проведении закупки с использованием ЭП</w:t>
      </w:r>
      <w:bookmarkEnd w:id="74"/>
      <w:bookmarkEnd w:id="75"/>
    </w:p>
    <w:p>
      <w:pPr>
        <w:pStyle w:val="Style28"/>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8"/>
        <w:rPr/>
      </w:pPr>
      <w:r>
        <w:rP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pPr>
        <w:pStyle w:val="Style28"/>
        <w:rPr/>
      </w:pPr>
      <w:bookmarkStart w:id="76" w:name="_Ref135748672"/>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76"/>
    </w:p>
    <w:p>
      <w:pPr>
        <w:pStyle w:val="Style28"/>
        <w:rPr/>
      </w:pPr>
      <w:bookmarkStart w:id="77" w:name="_Ref135748741"/>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7"/>
    </w:p>
    <w:p>
      <w:pPr>
        <w:pStyle w:val="Style27"/>
        <w:rPr/>
      </w:pPr>
      <w:bookmarkStart w:id="78" w:name="_Toc236402260"/>
      <w:r>
        <w:rPr/>
        <w:t>Прочие положения</w:t>
      </w:r>
      <w:bookmarkEnd w:id="78"/>
    </w:p>
    <w:p>
      <w:pPr>
        <w:pStyle w:val="Style28"/>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8"/>
        <w:rPr/>
      </w:pPr>
      <w:bookmarkStart w:id="79" w:name="_Ref136257236"/>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9"/>
    </w:p>
    <w:p>
      <w:pPr>
        <w:pStyle w:val="Style28"/>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6"/>
        <w:rPr/>
      </w:pPr>
      <w:bookmarkStart w:id="80" w:name="_Ref125361210"/>
      <w:bookmarkStart w:id="81" w:name="_Toc236402261"/>
      <w:r>
        <w:rPr/>
        <w:t>Требования к Участникам</w:t>
      </w:r>
      <w:bookmarkEnd w:id="80"/>
      <w:bookmarkEnd w:id="81"/>
    </w:p>
    <w:p>
      <w:pPr>
        <w:pStyle w:val="Style27"/>
        <w:rPr/>
      </w:pPr>
      <w:bookmarkStart w:id="82" w:name="_Ref127524530"/>
      <w:bookmarkStart w:id="83" w:name="_Toc236402262"/>
      <w:r>
        <w:rPr/>
        <w:t>Общие требования к Участникам</w:t>
      </w:r>
      <w:bookmarkEnd w:id="82"/>
      <w:bookmarkEnd w:id="83"/>
    </w:p>
    <w:p>
      <w:pPr>
        <w:pStyle w:val="Style28"/>
        <w:rPr/>
      </w:pPr>
      <w:bookmarkStart w:id="8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84"/>
    </w:p>
    <w:p>
      <w:pPr>
        <w:pStyle w:val="Style28"/>
        <w:rPr/>
      </w:pPr>
      <w:r>
        <w:rPr/>
        <w:t>Однако, чтобы претендовать на победу в закупке Участник самостоятельно или Коллективный участник (подраздел </w:t>
      </w:r>
      <w:r>
        <w:rPr/>
        <w:fldChar w:fldCharType="begin"/>
      </w:r>
      <w:r>
        <w:rPr/>
        <w:instrText xml:space="preserve"> REF _Ref130308062 \r \h </w:instrText>
      </w:r>
      <w:r>
        <w:rPr/>
        <w:fldChar w:fldCharType="separate"/>
      </w:r>
      <w:r>
        <w:rPr/>
        <w:t>3.2</w:t>
      </w:r>
      <w:r>
        <w:rPr/>
        <w:fldChar w:fldCharType="end"/>
      </w:r>
      <w:r>
        <w:rPr/>
        <w:t>) в целом должен отвечать требованиям, установленным в Документации о закупке.</w:t>
      </w:r>
    </w:p>
    <w:p>
      <w:pPr>
        <w:pStyle w:val="Style28"/>
        <w:rPr/>
      </w:pPr>
      <w:r>
        <w:rPr/>
        <w:t xml:space="preserve">Требования к Участникам установлены с учетом предмета договора, </w:t>
      </w:r>
      <w:hyperlink w:anchor="Прил01_ТехТребования">
        <w:r>
          <w:rPr>
            <w:rStyle w:val="Style14"/>
          </w:rPr>
          <w:t>Технических требований (Приложение № 1)</w:t>
        </w:r>
      </w:hyperlink>
      <w:r>
        <w:rPr/>
        <w:t xml:space="preserve"> и </w:t>
      </w:r>
      <w:hyperlink w:anchor="Прил02_ПроектДоговора">
        <w:r>
          <w:rPr>
            <w:rStyle w:val="Style14"/>
          </w:rPr>
          <w:t>Проекта договора (Приложение № 2)</w:t>
        </w:r>
      </w:hyperlink>
      <w:r>
        <w:rPr/>
        <w:t xml:space="preserve">. </w:t>
      </w:r>
      <w:bookmarkStart w:id="85" w:name="_Hlk20884819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4"/>
          </w:rPr>
          <w:t>Приложение № 4</w:t>
        </w:r>
      </w:hyperlink>
      <w:r>
        <w:rPr/>
        <w:t>)).</w:t>
      </w:r>
      <w:bookmarkEnd w:id="85"/>
    </w:p>
    <w:p>
      <w:pPr>
        <w:pStyle w:val="Style28"/>
        <w:keepNext w:val="true"/>
        <w:rPr/>
      </w:pPr>
      <w:r>
        <w:rPr/>
        <w:t>Установлены следующие требования к Участникам, которые приведены в </w:t>
      </w:r>
      <w:hyperlink w:anchor="Прил03_ТребованияУчастникам">
        <w:r>
          <w:rPr>
            <w:rStyle w:val="Style14"/>
          </w:rPr>
          <w:t>Приложении № 3</w:t>
        </w:r>
      </w:hyperlink>
      <w:r>
        <w:rPr/>
        <w:t>:</w:t>
      </w:r>
    </w:p>
    <w:p>
      <w:pPr>
        <w:pStyle w:val="Style29"/>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9"/>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9"/>
        <w:rPr/>
      </w:pPr>
      <w:r>
        <w:rPr/>
        <w:t>квалификационные требования – Участники должны им соответствовать, если они установлены (подраздел </w:t>
      </w:r>
      <w:r>
        <w:rPr/>
        <w:fldChar w:fldCharType="begin"/>
      </w:r>
      <w:r>
        <w:rPr/>
        <w:instrText xml:space="preserve"> REF _Ref125709154 \r \h </w:instrText>
      </w:r>
      <w:r>
        <w:rPr/>
        <w:fldChar w:fldCharType="separate"/>
      </w:r>
      <w:r>
        <w:rPr/>
        <w:t>8.4</w:t>
      </w:r>
      <w:r>
        <w:rPr/>
        <w:fldChar w:fldCharType="end"/>
      </w:r>
      <w:r>
        <w:rPr/>
        <w:t>).</w:t>
      </w:r>
    </w:p>
    <w:p>
      <w:pPr>
        <w:pStyle w:val="Style28"/>
        <w:keepNext w:val="true"/>
        <w:rPr/>
      </w:pPr>
      <w:r>
        <w:rPr/>
        <w:t>В рамках требований к Участникам могут быть установлены дополнительные требования:</w:t>
      </w:r>
    </w:p>
    <w:p>
      <w:pPr>
        <w:pStyle w:val="Style29"/>
        <w:rPr/>
      </w:pPr>
      <w:r>
        <w:rPr/>
        <w:t>к Коллективным участникам (подраздел </w:t>
      </w:r>
      <w:r>
        <w:rPr/>
        <w:fldChar w:fldCharType="begin"/>
      </w:r>
      <w:r>
        <w:rPr/>
        <w:instrText xml:space="preserve"> REF _Ref130308111 \r \h </w:instrText>
      </w:r>
      <w:r>
        <w:rPr/>
        <w:fldChar w:fldCharType="separate"/>
      </w:r>
      <w:r>
        <w:rPr/>
        <w:t>3.2</w:t>
      </w:r>
      <w:r>
        <w:rPr/>
        <w:fldChar w:fldCharType="end"/>
      </w:r>
      <w:r>
        <w:rPr/>
        <w:t>);</w:t>
      </w:r>
    </w:p>
    <w:p>
      <w:pPr>
        <w:pStyle w:val="Style29"/>
        <w:rPr/>
      </w:pPr>
      <w:r>
        <w:rPr/>
        <w:t>к Генеральным подрядчикам (подраздел </w:t>
      </w:r>
      <w:r>
        <w:rPr/>
        <w:fldChar w:fldCharType="begin"/>
      </w:r>
      <w:r>
        <w:rPr/>
        <w:instrText xml:space="preserve"> REF _Ref125361702 \r \h </w:instrText>
      </w:r>
      <w:r>
        <w:rPr/>
        <w:fldChar w:fldCharType="separate"/>
      </w:r>
      <w:r>
        <w:rPr/>
        <w:t>3.3</w:t>
      </w:r>
      <w:r>
        <w:rPr/>
        <w:fldChar w:fldCharType="end"/>
      </w:r>
      <w:r>
        <w:rPr/>
        <w:t>);</w:t>
      </w:r>
    </w:p>
    <w:p>
      <w:pPr>
        <w:pStyle w:val="Style29"/>
        <w:rPr/>
      </w:pPr>
      <w:r>
        <w:rPr/>
        <w:t>к привлечению субподрядчиков (соисполнителей) из числа субъектов МСП (подраздел </w:t>
      </w:r>
      <w:r>
        <w:rPr/>
        <w:fldChar w:fldCharType="begin"/>
      </w:r>
      <w:r>
        <w:rPr/>
        <w:instrText xml:space="preserve"> REF _Ref127524203 \r \h </w:instrText>
      </w:r>
      <w:r>
        <w:rPr/>
        <w:fldChar w:fldCharType="separate"/>
      </w:r>
      <w:r>
        <w:rPr/>
        <w:t>3.4</w:t>
      </w:r>
      <w:r>
        <w:rPr/>
        <w:fldChar w:fldCharType="end"/>
      </w:r>
      <w:r>
        <w:rPr/>
        <w:t>).</w:t>
      </w:r>
    </w:p>
    <w:p>
      <w:pPr>
        <w:pStyle w:val="Style28"/>
        <w:rPr/>
      </w:pPr>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4"/>
          </w:rPr>
          <w:t>Требованиях к Участникам (Приложение № 3)</w:t>
        </w:r>
      </w:hyperlink>
      <w:r>
        <w:rPr/>
        <w:t>, если иное не установлено в Документации о закупке.</w:t>
      </w:r>
    </w:p>
    <w:p>
      <w:pPr>
        <w:pStyle w:val="Style27"/>
        <w:rPr/>
      </w:pPr>
      <w:bookmarkStart w:id="86" w:name="_Toc236402263"/>
      <w:bookmarkStart w:id="87" w:name="_Ref130308062"/>
      <w:bookmarkStart w:id="88" w:name="_Ref130308111"/>
      <w:bookmarkStart w:id="89" w:name="_Ref125361976"/>
      <w:bookmarkStart w:id="90" w:name="_Ref130305355"/>
      <w:bookmarkStart w:id="91" w:name="_Ref125361969"/>
      <w:bookmarkStart w:id="92" w:name="_Ref130308203"/>
      <w:bookmarkStart w:id="93" w:name="_Ref130308255"/>
      <w:r>
        <w:rPr/>
        <w:t>Коллективные участники</w:t>
      </w:r>
      <w:bookmarkEnd w:id="86"/>
      <w:bookmarkEnd w:id="87"/>
      <w:bookmarkEnd w:id="88"/>
      <w:bookmarkEnd w:id="89"/>
      <w:bookmarkEnd w:id="90"/>
      <w:bookmarkEnd w:id="91"/>
      <w:bookmarkEnd w:id="92"/>
      <w:bookmarkEnd w:id="93"/>
    </w:p>
    <w:p>
      <w:pPr>
        <w:pStyle w:val="Style28"/>
        <w:rPr/>
      </w:pPr>
      <w:r>
        <w:rPr/>
        <w:t>В закупке могут участвовать объединения юридических и (или) физических лиц (в том числе индивидуальные предприниматели), способные на законных основаниях выполнить требуемую поставку продукции – Коллективный участник.</w:t>
      </w:r>
    </w:p>
    <w:p>
      <w:pPr>
        <w:pStyle w:val="Style28"/>
        <w:rPr/>
      </w:pPr>
      <w:r>
        <w:rPr/>
        <w:t>Если заявка подается Коллективным участником, дополнительно должны быть выполнены требования настоящего подраздела, а также требования к дополнительным документам, предоставляемым Коллективными участниками в составе заявки, установленные в подразделе </w:t>
      </w:r>
      <w:r>
        <w:rPr/>
        <w:fldChar w:fldCharType="begin"/>
      </w:r>
      <w:r>
        <w:rPr/>
        <w:instrText xml:space="preserve"> REF _Ref125552455 \r \h </w:instrText>
      </w:r>
      <w:r>
        <w:rPr/>
        <w:fldChar w:fldCharType="separate"/>
      </w:r>
      <w:r>
        <w:rPr/>
        <w:t>8.5</w:t>
      </w:r>
      <w:r>
        <w:rPr/>
        <w:fldChar w:fldCharType="end"/>
      </w:r>
      <w:r>
        <w:rPr/>
        <w:t xml:space="preserve"> </w:t>
      </w:r>
      <w:hyperlink w:anchor="Прил03_ТребованияУчастникам">
        <w:r>
          <w:rPr>
            <w:rStyle w:val="Style14"/>
          </w:rPr>
          <w:t>Требований к Участникам (Приложение № 3)</w:t>
        </w:r>
      </w:hyperlink>
      <w:r>
        <w:rPr/>
        <w:t>.</w:t>
      </w:r>
    </w:p>
    <w:p>
      <w:pPr>
        <w:pStyle w:val="Style28"/>
        <w:keepNext w:val="true"/>
        <w:rPr/>
      </w:pPr>
      <w:bookmarkStart w:id="94" w:name="_Ref125366972"/>
      <w:r>
        <w:rPr/>
        <w:t>Члены Коллективного участника заключают между собой соглашение, соответствующее нормам ГК РФ, и отвечающее следующим требованиям:</w:t>
      </w:r>
      <w:bookmarkEnd w:id="94"/>
    </w:p>
    <w:p>
      <w:pPr>
        <w:pStyle w:val="Style29"/>
        <w:rPr/>
      </w:pPr>
      <w:r>
        <w:rPr/>
        <w:t>в соглашении должны быть определены права и обязанности сторон как в рамках участия в закупке, так и в рамках исполнения Договора;</w:t>
      </w:r>
    </w:p>
    <w:p>
      <w:pPr>
        <w:pStyle w:val="Style29"/>
        <w:rPr/>
      </w:pPr>
      <w:r>
        <w:rPr/>
        <w:t>в соглашении должно быть приведено распределение номенклатуры, объемов и стоимости, а также сроков поставки продукции между членами Коллективного участника;</w:t>
      </w:r>
    </w:p>
    <w:p>
      <w:pPr>
        <w:pStyle w:val="Style29"/>
        <w:rPr/>
      </w:pPr>
      <w:r>
        <w:rPr/>
        <w:t xml:space="preserve">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и Заказчиком </w:t>
      </w:r>
      <w:bookmarkStart w:id="95" w:name="_Hlk219296901"/>
      <w:r>
        <w:rPr/>
        <w:t>в процессе участия в закупке, заключения и последующего исполнения Договора</w:t>
      </w:r>
      <w:bookmarkEnd w:id="95"/>
      <w:r>
        <w:rPr/>
        <w:t>;</w:t>
      </w:r>
    </w:p>
    <w:p>
      <w:pPr>
        <w:pStyle w:val="Style29"/>
        <w:rPr/>
      </w:pPr>
      <w:r>
        <w:rPr/>
        <w:t>в соглашении должна быть установлена солидарная ответственность каждого члена Коллективного участника по обязательствам, связанным с участием в закупке, заключением и последующим исполнением Договора;</w:t>
      </w:r>
    </w:p>
    <w:p>
      <w:pPr>
        <w:pStyle w:val="Style29"/>
        <w:rPr/>
      </w:pPr>
      <w:r>
        <w:rPr/>
        <w:t>срок действия соглашения должен быть не менее срока исполнения обязательств Участника по Договору, предлагаемого в составе заявки;</w:t>
      </w:r>
    </w:p>
    <w:p>
      <w:pPr>
        <w:pStyle w:val="Style29"/>
        <w:rPr/>
      </w:pPr>
      <w:r>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pPr>
        <w:pStyle w:val="Style28"/>
        <w:rPr/>
      </w:pPr>
      <w:r>
        <w:rPr/>
        <w:t>Заявка подготавливается и подается лидером от своего имени со ссылкой в Письме о подаче оферты (форма 2) (</w:t>
      </w:r>
      <w:hyperlink w:anchor="Прил04_ФормыЗаявки">
        <w:r>
          <w:rPr>
            <w:rStyle w:val="Style14"/>
          </w:rPr>
          <w:t>Приложение № 4</w:t>
        </w:r>
      </w:hyperlink>
      <w:r>
        <w:rPr/>
        <w:t>) на то, что он представляет интересы Коллективного участника.</w:t>
      </w:r>
    </w:p>
    <w:p>
      <w:pPr>
        <w:pStyle w:val="Style28"/>
        <w:rPr/>
      </w:pPr>
      <w:bookmarkStart w:id="96" w:name="_Ref125368791"/>
      <w:r>
        <w:rPr/>
        <w:t>Каждый член Коллективного участника (включая лидера Коллективного участника) должен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bookmarkEnd w:id="96"/>
    </w:p>
    <w:p>
      <w:pPr>
        <w:pStyle w:val="Style28"/>
        <w:rPr/>
      </w:pPr>
      <w:r>
        <w:rPr/>
        <w:t>При рассмотрении и оценке Коллективного участника на соответствие специальным требованиям к Участникам (подраздел </w:t>
      </w:r>
      <w:r>
        <w:rPr/>
        <w:fldChar w:fldCharType="begin"/>
      </w:r>
      <w:r>
        <w:rPr/>
        <w:instrText xml:space="preserve"> REF _Ref125709153 \r \h </w:instrText>
      </w:r>
      <w:r>
        <w:rPr/>
        <w:fldChar w:fldCharType="separate"/>
      </w:r>
      <w:r>
        <w:rPr/>
        <w:t>8.3</w:t>
      </w:r>
      <w:r>
        <w:rPr/>
        <w:fldChar w:fldCharType="end"/>
      </w:r>
      <w:r>
        <w:rPr/>
        <w:t>) 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каждого из членов Коллективного участника, которым в соответствии с Планом распределения объемов поставки продукции (форма 10) (</w:t>
      </w:r>
      <w:hyperlink w:anchor="Прил04_ФормыЗаявки">
        <w:r>
          <w:rPr>
            <w:rStyle w:val="Style14"/>
          </w:rPr>
          <w:t>Приложение № 4</w:t>
        </w:r>
      </w:hyperlink>
      <w:r>
        <w:rPr/>
        <w:t xml:space="preserve">) будет поручена непосредственная поставка продукции, требующая наличия </w:t>
      </w:r>
      <w:bookmarkStart w:id="97" w:name="_Hlk208848274"/>
      <w:bookmarkStart w:id="98" w:name="_Hlk208861266"/>
      <w:r>
        <w:rPr/>
        <w:t>необходимого статуса в соответствии с законодательством (для членства в саморегулируемых организациях – с уровнем ответственности соответствующего члена Коллективного участника пропорционально заявляемому объему поставки продукции)</w:t>
      </w:r>
      <w:bookmarkEnd w:id="97"/>
      <w:bookmarkEnd w:id="98"/>
      <w:r>
        <w:rPr/>
        <w:t>.</w:t>
      </w:r>
    </w:p>
    <w:p>
      <w:pPr>
        <w:pStyle w:val="Style28"/>
        <w:rPr/>
      </w:pPr>
      <w:bookmarkStart w:id="99" w:name="_Ref134705077"/>
      <w:r>
        <w:rPr/>
        <w:t>При рассмотрении и оценке Коллективного участника на соответствие квалификационным требованиям (подраздел </w:t>
      </w:r>
      <w:r>
        <w:rPr/>
        <w:fldChar w:fldCharType="begin"/>
      </w:r>
      <w:r>
        <w:rPr/>
        <w:instrText xml:space="preserve"> REF _Ref125550270 \r \h </w:instrText>
      </w:r>
      <w:r>
        <w:rPr/>
        <w:fldChar w:fldCharType="separate"/>
      </w:r>
      <w:r>
        <w:rPr/>
        <w:t>8.4</w:t>
      </w:r>
      <w:r>
        <w:rPr/>
        <w:fldChar w:fldCharType="end"/>
      </w:r>
      <w:r>
        <w:rPr/>
        <w:t>), параметры деятельности членов Коллективного участника, такие как наличие требуемого опыта, обеспеченность материально-техническими ресурсами и кадровыми ресурсами,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bookmarkEnd w:id="99"/>
      <w:r>
        <w:rPr/>
        <w:t xml:space="preserve">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r>
          <w:rPr>
            <w:rStyle w:val="Style14"/>
          </w:rPr>
          <w:t>Приложение № 4</w:t>
        </w:r>
      </w:hyperlink>
      <w:r>
        <w:rPr/>
        <w:t>) будет поручена непосредственная поставка продукции, требующая наличия указанного опыта.</w:t>
      </w:r>
    </w:p>
    <w:p>
      <w:pPr>
        <w:pStyle w:val="Style28"/>
        <w:keepNext w:val="true"/>
        <w:rPr/>
      </w:pPr>
      <w:bookmarkStart w:id="100" w:name="_Ref125361726"/>
      <w:r>
        <w:rP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100"/>
    </w:p>
    <w:p>
      <w:pPr>
        <w:pStyle w:val="Style29"/>
        <w:rPr/>
      </w:pPr>
      <w:r>
        <w:rPr/>
        <w:t>принимать участие в этой же закупке самостоятельно;</w:t>
      </w:r>
    </w:p>
    <w:p>
      <w:pPr>
        <w:pStyle w:val="Style29"/>
        <w:rPr/>
      </w:pPr>
      <w:r>
        <w:rPr/>
        <w:t>принимать участие в этой же закупке в качестве Генерального подрядчика или субподрядчика (подраздел </w:t>
      </w:r>
      <w:r>
        <w:rPr/>
        <w:fldChar w:fldCharType="begin"/>
      </w:r>
      <w:r>
        <w:rPr/>
        <w:instrText xml:space="preserve"> REF _Ref125361702 \r \h </w:instrText>
      </w:r>
      <w:r>
        <w:rPr/>
        <w:fldChar w:fldCharType="separate"/>
      </w:r>
      <w:r>
        <w:rPr/>
        <w:t>3.3</w:t>
      </w:r>
      <w:r>
        <w:rPr/>
        <w:fldChar w:fldCharType="end"/>
      </w:r>
      <w:r>
        <w:rPr/>
        <w:t>).</w:t>
      </w:r>
    </w:p>
    <w:p>
      <w:pPr>
        <w:pStyle w:val="Style32"/>
        <w:ind w:hanging="0" w:left="1134"/>
        <w:rPr/>
      </w:pPr>
      <w:r>
        <w:rPr/>
        <w:t>В случае невыполнения данного требования все заявки с участием таких лиц будут отклонены.</w:t>
      </w:r>
    </w:p>
    <w:p>
      <w:pPr>
        <w:pStyle w:val="Style28"/>
        <w:rPr/>
      </w:pPr>
      <w:r>
        <w:rP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r>
          <w:rPr>
            <w:rStyle w:val="Style14"/>
          </w:rPr>
          <w:t>Приложение № 3</w:t>
        </w:r>
      </w:hyperlink>
      <w:r>
        <w:rPr>
          <w:rStyle w:val="Style14"/>
        </w:rPr>
        <w:t>)</w:t>
      </w:r>
      <w:r>
        <w:rPr/>
        <w:t>, а также при несоблюдении вышеуказанных норм настоящего подраздела, заявка такого Коллективного участника отклоняется.</w:t>
      </w:r>
    </w:p>
    <w:p>
      <w:pPr>
        <w:pStyle w:val="Style28"/>
        <w:rPr/>
      </w:pPr>
      <w:r>
        <w:rP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pPr>
        <w:pStyle w:val="Style28"/>
        <w:rPr/>
      </w:pPr>
      <w:r>
        <w:rP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pPr>
        <w:pStyle w:val="Style27"/>
        <w:rPr/>
      </w:pPr>
      <w:bookmarkStart w:id="101" w:name="_Ref125361702"/>
      <w:bookmarkStart w:id="102" w:name="_Toc236402264"/>
      <w:r>
        <w:rPr/>
        <w:t>Генеральные подрядчики</w:t>
      </w:r>
      <w:bookmarkEnd w:id="101"/>
      <w:bookmarkEnd w:id="102"/>
    </w:p>
    <w:p>
      <w:pPr>
        <w:pStyle w:val="Style28"/>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рассмотрение и оценка заявок Участников с учетом привлекаемых субподрядчиков.</w:t>
      </w:r>
    </w:p>
    <w:p>
      <w:pPr>
        <w:pStyle w:val="Style28"/>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8.6</w:t>
      </w:r>
      <w:r>
        <w:rPr/>
        <w:fldChar w:fldCharType="end"/>
      </w:r>
      <w:r>
        <w:rPr/>
        <w:t xml:space="preserve"> </w:t>
      </w:r>
      <w:hyperlink w:anchor="Прил03_ТребованияУчастникам">
        <w:r>
          <w:rPr>
            <w:rStyle w:val="Style14"/>
          </w:rPr>
          <w:t>Требований к Участникам (Приложение № 3)</w:t>
        </w:r>
      </w:hyperlink>
      <w:r>
        <w:rPr/>
        <w:t>.</w:t>
      </w:r>
    </w:p>
    <w:p>
      <w:pPr>
        <w:pStyle w:val="Style28"/>
        <w:keepNext w:val="true"/>
        <w:rPr/>
      </w:pPr>
      <w:r>
        <w:rPr/>
        <w:t>Генеральный подрядчик:</w:t>
      </w:r>
    </w:p>
    <w:p>
      <w:pPr>
        <w:pStyle w:val="Style29"/>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9"/>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9"/>
        <w:rPr/>
      </w:pPr>
      <w:r>
        <w:rPr/>
        <w:t>в рамках остальных специальных требований и квалификационных требований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r>
          <w:rPr>
            <w:rStyle w:val="Style14"/>
          </w:rPr>
          <w:t>Приложение № 4</w:t>
        </w:r>
      </w:hyperlink>
      <w:r>
        <w:rPr/>
        <w:t>).</w:t>
      </w:r>
    </w:p>
    <w:p>
      <w:pPr>
        <w:pStyle w:val="Style28"/>
        <w:keepNext w:val="true"/>
        <w:rPr/>
      </w:pPr>
      <w:r>
        <w:rPr/>
        <w:t>Каждый субподрядчик из привлекаемых Генеральным подрядчиком должен отвечать:</w:t>
      </w:r>
    </w:p>
    <w:p>
      <w:pPr>
        <w:pStyle w:val="Style29"/>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9"/>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9"/>
        <w:rPr/>
      </w:pPr>
      <w:r>
        <w:rPr/>
        <w:t>квалификационным требованиям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w:t>
      </w:r>
    </w:p>
    <w:p>
      <w:pPr>
        <w:pStyle w:val="Style32"/>
        <w:ind w:hanging="0" w:left="1134"/>
        <w:rPr/>
      </w:pPr>
      <w:bookmarkStart w:id="103" w:name="_Ref125368863"/>
      <w:r>
        <w:rP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103"/>
      <w:r>
        <w:rPr/>
        <w:t>в соответствии с Планом распределения объемов поставки продукции (форма 10) (</w:t>
      </w:r>
      <w:hyperlink w:anchor="Прил04_ФормыЗаявки">
        <w:r>
          <w:rPr>
            <w:rStyle w:val="Style14"/>
          </w:rPr>
          <w:t>Приложение № 4</w:t>
        </w:r>
      </w:hyperlink>
      <w:r>
        <w:rPr/>
        <w:t>).</w:t>
      </w:r>
    </w:p>
    <w:p>
      <w:pPr>
        <w:pStyle w:val="Style28"/>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4"/>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8"/>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 </w:t>
      </w:r>
      <w:r>
        <w:rPr/>
        <w:fldChar w:fldCharType="begin"/>
      </w:r>
      <w:r>
        <w:rPr/>
        <w:instrText xml:space="preserve"> REF _Ref130308203 \r \h </w:instrText>
      </w:r>
      <w:r>
        <w:rPr/>
        <w:fldChar w:fldCharType="separate"/>
      </w:r>
      <w:r>
        <w:rPr/>
        <w:t>3.2</w:t>
      </w:r>
      <w:r>
        <w:rPr/>
        <w:fldChar w:fldCharType="end"/>
      </w:r>
      <w:r>
        <w:rP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 участием таких лиц будут отклонены.</w:t>
      </w:r>
      <w:bookmarkEnd w:id="104"/>
    </w:p>
    <w:p>
      <w:pPr>
        <w:pStyle w:val="Style28"/>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8.6</w:t>
      </w:r>
      <w:r>
        <w:rPr/>
        <w:fldChar w:fldCharType="end"/>
      </w:r>
      <w:r>
        <w:rPr/>
        <w:t xml:space="preserve"> </w:t>
      </w:r>
      <w:hyperlink w:anchor="Прил03_ТребованияУчастникам">
        <w:r>
          <w:rPr>
            <w:rStyle w:val="Style14"/>
          </w:rPr>
          <w:t>Требований к Участникам (Приложение № 3)</w:t>
        </w:r>
      </w:hyperlink>
      <w:r>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7"/>
        <w:rPr/>
      </w:pPr>
      <w:bookmarkStart w:id="105" w:name="_Ref127524203"/>
      <w:bookmarkStart w:id="106" w:name="_Toc236402265"/>
      <w:r>
        <w:rPr/>
        <w:t>Привлечение субподрядчиков (соисполнителей) из числа субъектов МСП</w:t>
      </w:r>
      <w:bookmarkEnd w:id="105"/>
      <w:bookmarkEnd w:id="106"/>
    </w:p>
    <w:p>
      <w:pPr>
        <w:pStyle w:val="Style28"/>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по привлечению к исполнению Договора субподрядчиков (соисполнителей) из числа субъектов МСП.</w:t>
      </w:r>
    </w:p>
    <w:p>
      <w:pPr>
        <w:pStyle w:val="Style28"/>
        <w:rPr/>
      </w:pPr>
      <w:r>
        <w:rPr/>
        <w:t>Помимо требований настоящего подраздела, Участник также должен выполнить требования к дополнительным документам, предоставляемым им в составе заявки, установленные в подразделе </w:t>
      </w:r>
      <w:r>
        <w:rPr/>
        <w:fldChar w:fldCharType="begin"/>
      </w:r>
      <w:r>
        <w:rPr/>
        <w:instrText xml:space="preserve"> REF _Ref125550523 \r \h </w:instrText>
      </w:r>
      <w:r>
        <w:rPr/>
        <w:fldChar w:fldCharType="separate"/>
      </w:r>
      <w:r>
        <w:rPr/>
        <w:t>8.7</w:t>
      </w:r>
      <w:r>
        <w:rPr/>
        <w:fldChar w:fldCharType="end"/>
      </w:r>
      <w:r>
        <w:rPr/>
        <w:t xml:space="preserve"> </w:t>
      </w:r>
      <w:hyperlink w:anchor="Прил03_ТребованияУчастникам">
        <w:r>
          <w:rPr>
            <w:rStyle w:val="Style14"/>
          </w:rPr>
          <w:t>Требований к Участникам (Приложение № 3)</w:t>
        </w:r>
      </w:hyperlink>
      <w:r>
        <w:rPr/>
        <w:t>. При этом в Плане распределения объемов поставки продукции (форма 10) (</w:t>
      </w:r>
      <w:hyperlink w:anchor="Прил04_ФормыЗаявки">
        <w:r>
          <w:rPr>
            <w:rStyle w:val="Style14"/>
          </w:rPr>
          <w:t>Приложение № 4</w:t>
        </w:r>
      </w:hyperlink>
      <w:r>
        <w:rPr/>
        <w:t>) Участник должен указать привлекаемых им субподрядчиков (соисполнителей) из числа субъектов МСП, а также является ли самостоятельно Участник субъектом МСП.</w:t>
      </w:r>
    </w:p>
    <w:p>
      <w:pPr>
        <w:pStyle w:val="Style28"/>
        <w:rPr/>
      </w:pPr>
      <w:r>
        <w:rPr/>
        <w:t>При этом требования подраздела </w:t>
      </w:r>
      <w:r>
        <w:rPr/>
        <w:fldChar w:fldCharType="begin"/>
      </w:r>
      <w:r>
        <w:rPr/>
        <w:instrText xml:space="preserve"> REF _Ref125550523 \r \h </w:instrText>
      </w:r>
      <w:r>
        <w:rPr/>
        <w:fldChar w:fldCharType="separate"/>
      </w:r>
      <w:r>
        <w:rPr/>
        <w:t>8.7</w:t>
      </w:r>
      <w:r>
        <w:rPr/>
        <w:fldChar w:fldCharType="end"/>
      </w:r>
      <w:r>
        <w:rPr/>
        <w:t xml:space="preserve"> </w:t>
      </w:r>
      <w:hyperlink w:anchor="Прил03_ТребованияУчастникам">
        <w:r>
          <w:rPr>
            <w:rStyle w:val="Style14"/>
          </w:rPr>
          <w:t>Требований к Участникам (Приложение № 3)</w:t>
        </w:r>
      </w:hyperlink>
      <w:r>
        <w:rPr/>
        <w:t xml:space="preserve"> применяются вне зависимости от порядка рассмотрения и оценки заявок участников, являющихся Генеральными подрядчиками (с учетом субподрядчиков, или без учета субподрядчиков) (подраздел </w:t>
      </w:r>
      <w:r>
        <w:rPr/>
        <w:fldChar w:fldCharType="begin"/>
      </w:r>
      <w:r>
        <w:rPr/>
        <w:instrText xml:space="preserve"> REF _Ref125361702 \r \h </w:instrText>
      </w:r>
      <w:r>
        <w:rPr/>
        <w:fldChar w:fldCharType="separate"/>
      </w:r>
      <w:r>
        <w:rPr/>
        <w:t>3.3</w:t>
      </w:r>
      <w:r>
        <w:rPr/>
        <w:fldChar w:fldCharType="end"/>
      </w:r>
      <w:r>
        <w:rPr/>
        <w:t>).</w:t>
      </w:r>
    </w:p>
    <w:p>
      <w:pPr>
        <w:pStyle w:val="Style28"/>
        <w:rPr/>
      </w:pPr>
      <w:bookmarkStart w:id="107" w:name="_Ref125473377"/>
      <w:r>
        <w:rPr/>
        <w:t>Участник считается выполнившим требование по привлечению к исполнению Договора субподрядчиков (соисполнителей) из числа субъектов МСП, при условии предоставления информации, указанной в Плане распределения объемов поставки продукции (форма 10) (</w:t>
      </w:r>
      <w:hyperlink w:anchor="Прил04_ФормыЗаявки">
        <w:r>
          <w:rPr>
            <w:rStyle w:val="Style14"/>
          </w:rPr>
          <w:t>Приложение № 4</w:t>
        </w:r>
      </w:hyperlink>
      <w:r>
        <w:rPr/>
        <w:t>).</w:t>
      </w:r>
      <w:bookmarkEnd w:id="107"/>
      <w:r>
        <w:rPr/>
        <w:t xml:space="preserve"> В случае непредоставления этой информации или несоответствия привлекаемых субподрядчиков (соисполнителей) установленным требованиям, заявка такого Участника будет отклонена от участия в закупке.</w:t>
      </w:r>
    </w:p>
    <w:p>
      <w:pPr>
        <w:sectPr>
          <w:footerReference w:type="default" r:id="rId4"/>
          <w:footnotePr>
            <w:numFmt w:val="decimal"/>
          </w:footnotePr>
          <w:type w:val="nextPage"/>
          <w:pgSz w:w="11906" w:h="16838"/>
          <w:pgMar w:left="1134" w:right="850" w:gutter="0" w:header="0" w:top="851" w:footer="567" w:bottom="851"/>
          <w:pgNumType w:fmt="decimal"/>
          <w:formProt w:val="false"/>
          <w:textDirection w:val="lrTb"/>
          <w:docGrid w:type="default" w:linePitch="360" w:charSpace="0"/>
        </w:sectPr>
        <w:pStyle w:val="Style28"/>
        <w:rPr/>
      </w:pPr>
      <w:r>
        <w:rPr/>
        <w:t>Если привлекаемые субъекты МСП входят в состав Коллективного участника (подраздел </w:t>
      </w:r>
      <w:r>
        <w:rPr/>
        <w:fldChar w:fldCharType="begin"/>
      </w:r>
      <w:r>
        <w:rPr/>
        <w:instrText xml:space="preserve"> REF _Ref130308255 \r \h </w:instrText>
      </w:r>
      <w:r>
        <w:rPr/>
        <w:fldChar w:fldCharType="separate"/>
      </w:r>
      <w:r>
        <w:rPr/>
        <w:t>3.2</w:t>
      </w:r>
      <w:r>
        <w:rPr/>
        <w:fldChar w:fldCharType="end"/>
      </w:r>
      <w:r>
        <w:rPr/>
        <w:t>), то объем исполнения Договора таким Коллективным участником засчитывается в исполнение требования по привлечению субъектов МСП в качестве субподрядчиков (соисполнителей), при условии выполнения остальных требований настоящего подраздела.</w:t>
      </w:r>
    </w:p>
    <w:p>
      <w:pPr>
        <w:pStyle w:val="Style26"/>
        <w:rPr/>
      </w:pPr>
      <w:bookmarkStart w:id="108" w:name="_Toc236402266"/>
      <w:bookmarkStart w:id="109" w:name="_Ref125367974"/>
      <w:bookmarkStart w:id="110" w:name="_Ref125367107"/>
      <w:bookmarkStart w:id="111" w:name="_Ref125367098"/>
      <w:bookmarkStart w:id="112" w:name="_Ref125361211"/>
      <w:r>
        <w:rPr/>
        <w:t>Порядок проведения закупки</w:t>
      </w:r>
      <w:bookmarkEnd w:id="108"/>
      <w:bookmarkEnd w:id="109"/>
      <w:bookmarkEnd w:id="110"/>
      <w:bookmarkEnd w:id="111"/>
      <w:bookmarkEnd w:id="112"/>
    </w:p>
    <w:p>
      <w:pPr>
        <w:pStyle w:val="Style27"/>
        <w:rPr/>
      </w:pPr>
      <w:bookmarkStart w:id="113" w:name="_Ref126141932"/>
      <w:bookmarkStart w:id="114" w:name="_Toc236402267"/>
      <w:r>
        <w:rPr/>
        <w:t>Общий порядок проведения закупки</w:t>
      </w:r>
      <w:bookmarkEnd w:id="113"/>
      <w:bookmarkEnd w:id="114"/>
    </w:p>
    <w:p>
      <w:pPr>
        <w:pStyle w:val="Style28"/>
        <w:keepNext w:val="true"/>
        <w:spacing w:before="120" w:after="120"/>
        <w:rPr/>
      </w:pPr>
      <w:r>
        <w:rPr/>
        <w:t>Закупка проводится в следующем порядке:</w:t>
      </w:r>
    </w:p>
    <w:tbl>
      <w:tblPr>
        <w:tblStyle w:val="afe"/>
        <w:tblW w:w="14003"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428"/>
        <w:gridCol w:w="2218"/>
        <w:gridCol w:w="1112"/>
        <w:gridCol w:w="1110"/>
        <w:gridCol w:w="2227"/>
        <w:gridCol w:w="2410"/>
        <w:gridCol w:w="2267"/>
        <w:gridCol w:w="2230"/>
      </w:tblGrid>
      <w:tr>
        <w:trPr>
          <w:cnfStyle w:val="100000000000" w:firstRow="1" w:lastRow="0" w:firstColumn="0" w:lastColumn="0" w:oddVBand="0" w:evenVBand="0" w:oddHBand="0" w:evenHBand="0" w:firstRowFirstColumn="0" w:firstRowLastColumn="0" w:lastRowFirstColumn="0" w:lastRowLastColumn="0"/>
        </w:trPr>
        <w:tc>
          <w:tcPr>
            <w:tcW w:w="428" w:type="dxa"/>
            <w:tcBorders>
              <w:left w:val="nil"/>
            </w:tcBorders>
            <w:vAlign w:val="bottom"/>
          </w:tcPr>
          <w:p>
            <w:pPr>
              <w:pStyle w:val="Style32"/>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574" w:type="dxa"/>
            <w:gridSpan w:val="7"/>
            <w:tcBorders>
              <w:right w:val="nil"/>
            </w:tcBorders>
          </w:tcPr>
          <w:p>
            <w:pPr>
              <w:pStyle w:val="Style32"/>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428" w:type="dxa"/>
            <w:tcBorders>
              <w:left w:val="nil"/>
            </w:tcBorders>
            <w:vAlign w:val="bottom"/>
          </w:tcPr>
          <w:p>
            <w:pPr>
              <w:pStyle w:val="Style32"/>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667" w:type="dxa"/>
            <w:gridSpan w:val="4"/>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10" w:type="dxa"/>
            <w:vMerge w:val="restart"/>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_Ref130394802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restart"/>
            <w:tcBorders>
              <w:right w:val="nil"/>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2"/>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0" w:type="dxa"/>
            <w:gridSpan w:val="2"/>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7" w:type="dxa"/>
            <w:gridSpan w:val="2"/>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10" w:type="dxa"/>
            <w:vMerge w:val="continue"/>
            <w:tcBorders/>
          </w:tcPr>
          <w:p>
            <w:pPr>
              <w:pStyle w:val="Style32"/>
              <w:widowControl w:val="false"/>
              <w:suppressAutoHyphens w:val="true"/>
              <w:spacing w:before="40" w:after="40"/>
              <w:jc w:val="center"/>
              <w:rPr>
                <w:bCs/>
                <w:sz w:val="24"/>
                <w:szCs w:val="24"/>
              </w:rPr>
            </w:pPr>
            <w:r>
              <w:rPr>
                <w:bCs/>
                <w:sz w:val="24"/>
                <w:szCs w:val="24"/>
              </w:rPr>
            </w:r>
          </w:p>
        </w:tc>
        <w:tc>
          <w:tcPr>
            <w:tcW w:w="2267" w:type="dxa"/>
            <w:vMerge w:val="continue"/>
            <w:tcBorders/>
          </w:tcPr>
          <w:p>
            <w:pPr>
              <w:pStyle w:val="Style32"/>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vAlign w:val="bottom"/>
          </w:tcPr>
          <w:p>
            <w:pPr>
              <w:pStyle w:val="Style32"/>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2"/>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44" w:type="dxa"/>
            <w:gridSpan w:val="6"/>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заявкам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_Ref130221619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0" w:type="dxa"/>
            <w:vMerge w:val="restart"/>
            <w:tcBorders>
              <w:right w:val="nil"/>
            </w:tcBorders>
            <w:vAlign w:val="center"/>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2"/>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0" w:type="dxa"/>
            <w:gridSpan w:val="2"/>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заявок (отборочная стадия), в том числе (при необходимости) проведение аккредитации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7" w:type="dxa"/>
            <w:gridSpan w:val="2"/>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(предоставление</w:t>
              <w:br/>
              <w:t>национального режима / запрета, ограничения)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_Ref186114626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10" w:type="dxa"/>
            <w:vMerge w:val="restart"/>
            <w:tcBorders/>
            <w:vAlign w:val="center"/>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7" w:type="dxa"/>
            <w:vMerge w:val="restart"/>
            <w:tcBorders/>
            <w:vAlign w:val="center"/>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continue"/>
            <w:tcBorders>
              <w:right w:val="nil"/>
            </w:tcBorders>
          </w:tcPr>
          <w:p>
            <w:pPr>
              <w:pStyle w:val="Style32"/>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2"/>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667" w:type="dxa"/>
            <w:gridSpan w:val="4"/>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Переторжка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_Ref127536359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10" w:type="dxa"/>
            <w:vMerge w:val="continue"/>
            <w:tcBorders/>
          </w:tcPr>
          <w:p>
            <w:pPr>
              <w:pStyle w:val="Style32"/>
              <w:widowControl w:val="false"/>
              <w:suppressAutoHyphens w:val="true"/>
              <w:spacing w:before="40" w:after="40"/>
              <w:jc w:val="center"/>
              <w:rPr>
                <w:bCs/>
                <w:sz w:val="24"/>
                <w:szCs w:val="24"/>
              </w:rPr>
            </w:pPr>
            <w:r>
              <w:rPr>
                <w:bCs/>
                <w:sz w:val="24"/>
                <w:szCs w:val="24"/>
              </w:rPr>
            </w:r>
          </w:p>
        </w:tc>
        <w:tc>
          <w:tcPr>
            <w:tcW w:w="2267" w:type="dxa"/>
            <w:vMerge w:val="continue"/>
            <w:tcBorders/>
          </w:tcPr>
          <w:p>
            <w:pPr>
              <w:pStyle w:val="Style32"/>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2"/>
              <w:widowControl w:val="false"/>
              <w:suppressAutoHyphens w:val="true"/>
              <w:spacing w:before="40" w:after="40"/>
              <w:jc w:val="center"/>
              <w:rPr>
                <w:bCs/>
                <w:sz w:val="24"/>
                <w:szCs w:val="24"/>
              </w:rPr>
            </w:pPr>
            <w:r>
              <w:rPr>
                <w:bCs/>
                <w:sz w:val="24"/>
                <w:szCs w:val="24"/>
              </w:rPr>
            </w:r>
          </w:p>
        </w:tc>
      </w:tr>
      <w:tr>
        <w:trPr>
          <w:trHeight w:val="881" w:hRule="atLeast"/>
        </w:trPr>
        <w:tc>
          <w:tcPr>
            <w:tcW w:w="428" w:type="dxa"/>
            <w:tcBorders>
              <w:left w:val="nil"/>
            </w:tcBorders>
            <w:vAlign w:val="bottom"/>
          </w:tcPr>
          <w:p>
            <w:pPr>
              <w:pStyle w:val="Style32"/>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218" w:type="dxa"/>
            <w:tcBorders/>
            <w:vAlign w:val="center"/>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449" w:type="dxa"/>
            <w:gridSpan w:val="3"/>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_Ref186114626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10" w:type="dxa"/>
            <w:vMerge w:val="continue"/>
            <w:tcBorders/>
          </w:tcPr>
          <w:p>
            <w:pPr>
              <w:pStyle w:val="Style32"/>
              <w:widowControl w:val="false"/>
              <w:suppressAutoHyphens w:val="true"/>
              <w:spacing w:before="40" w:after="40"/>
              <w:jc w:val="center"/>
              <w:rPr>
                <w:bCs/>
                <w:sz w:val="24"/>
                <w:szCs w:val="24"/>
              </w:rPr>
            </w:pPr>
            <w:r>
              <w:rPr>
                <w:bCs/>
                <w:sz w:val="24"/>
                <w:szCs w:val="24"/>
              </w:rPr>
            </w:r>
          </w:p>
        </w:tc>
        <w:tc>
          <w:tcPr>
            <w:tcW w:w="2267" w:type="dxa"/>
            <w:vMerge w:val="continue"/>
            <w:tcBorders/>
          </w:tcPr>
          <w:p>
            <w:pPr>
              <w:pStyle w:val="Style32"/>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2"/>
              <w:widowControl w:val="false"/>
              <w:suppressAutoHyphens w:val="true"/>
              <w:spacing w:before="40" w:after="40"/>
              <w:jc w:val="center"/>
              <w:rPr>
                <w:bCs/>
                <w:sz w:val="24"/>
                <w:szCs w:val="24"/>
              </w:rPr>
            </w:pPr>
            <w:r>
              <w:rPr>
                <w:bCs/>
                <w:sz w:val="24"/>
                <w:szCs w:val="24"/>
              </w:rPr>
            </w:r>
          </w:p>
        </w:tc>
      </w:tr>
      <w:tr>
        <w:trPr>
          <w:trHeight w:val="672" w:hRule="atLeast"/>
        </w:trPr>
        <w:tc>
          <w:tcPr>
            <w:tcW w:w="428" w:type="dxa"/>
            <w:tcBorders>
              <w:left w:val="nil"/>
            </w:tcBorders>
            <w:vAlign w:val="bottom"/>
          </w:tcPr>
          <w:p>
            <w:pPr>
              <w:pStyle w:val="Style32"/>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077" w:type="dxa"/>
            <w:gridSpan w:val="5"/>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w:t>
              <w:br/>
              <w:t>(определение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7" w:type="dxa"/>
            <w:vMerge w:val="continue"/>
            <w:tcBorders/>
          </w:tcPr>
          <w:p>
            <w:pPr>
              <w:pStyle w:val="Style32"/>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2"/>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2"/>
              <w:widowControl w:val="false"/>
              <w:suppressAutoHyphens w:val="true"/>
              <w:spacing w:before="40" w:after="40"/>
              <w:jc w:val="center"/>
              <w:rPr>
                <w:bCs/>
                <w:sz w:val="24"/>
                <w:szCs w:val="24"/>
                <w:u w:val="single"/>
              </w:rPr>
            </w:pPr>
            <w:r>
              <w:rPr>
                <w:rFonts w:eastAsia="Wingdings 3" w:cs="Wingdings 3" w:ascii="Wingdings 3" w:hAnsi="Wingdings 3"/>
                <w:bCs/>
                <w:kern w:val="0"/>
                <w:sz w:val="24"/>
                <w:szCs w:val="24"/>
                <w:u w:val="single"/>
                <w:lang w:val="ru-RU" w:eastAsia="en-US" w:bidi="ar-SA"/>
              </w:rPr>
              <w:sym w:font="Wingdings 3" w:char="f0d4"/>
            </w:r>
          </w:p>
        </w:tc>
        <w:tc>
          <w:tcPr>
            <w:tcW w:w="4440" w:type="dxa"/>
            <w:gridSpan w:val="3"/>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_Ref138232981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637" w:type="dxa"/>
            <w:gridSpan w:val="2"/>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Проведение преддоговорных переговоров</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_Ref125552570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4497" w:type="dxa"/>
            <w:gridSpan w:val="2"/>
            <w:tcBorders>
              <w:right w:val="nil"/>
            </w:tcBorders>
          </w:tcPr>
          <w:p>
            <w:pPr>
              <w:pStyle w:val="Style32"/>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w:t>
              <w:br/>
              <w:t>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5"/>
          <w:footerReference w:type="default" r:id="rId6"/>
          <w:footerReference w:type="first" r:id="rId7"/>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7"/>
        <w:rPr/>
      </w:pPr>
      <w:bookmarkStart w:id="115" w:name="_Toc236402268"/>
      <w:bookmarkStart w:id="116" w:name="_Ref130286532"/>
      <w:r>
        <w:rPr/>
        <w:t>Официальное размещение Извещения и Документации о закупке</w:t>
      </w:r>
      <w:bookmarkEnd w:id="115"/>
      <w:bookmarkEnd w:id="116"/>
    </w:p>
    <w:p>
      <w:pPr>
        <w:pStyle w:val="Style28"/>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8"/>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8"/>
        <w:rPr/>
      </w:pPr>
      <w:bookmarkStart w:id="117"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7"/>
    </w:p>
    <w:p>
      <w:pPr>
        <w:pStyle w:val="Style28"/>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7"/>
        <w:rPr/>
      </w:pPr>
      <w:bookmarkStart w:id="118" w:name="_Ref130281199"/>
      <w:bookmarkStart w:id="119" w:name="_Ref130394681"/>
      <w:bookmarkStart w:id="120" w:name="_Toc236402269"/>
      <w:r>
        <w:rPr/>
        <w:t>Подготовка заявки</w:t>
      </w:r>
      <w:bookmarkEnd w:id="118"/>
      <w:bookmarkEnd w:id="119"/>
      <w:bookmarkEnd w:id="120"/>
    </w:p>
    <w:p>
      <w:pPr>
        <w:pStyle w:val="Style28"/>
        <w:rPr/>
      </w:pPr>
      <w:r>
        <w:rPr/>
        <w:t>Участник должен подготовить заявку с учетом требований Документации о закупке.</w:t>
      </w:r>
    </w:p>
    <w:p>
      <w:pPr>
        <w:pStyle w:val="Style28"/>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8"/>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4"/>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4"/>
          </w:rPr>
          <w:t>Приложение № 4</w:t>
        </w:r>
      </w:hyperlink>
      <w:r>
        <w:rPr/>
        <w:t>.</w:t>
      </w:r>
    </w:p>
    <w:p>
      <w:pPr>
        <w:pStyle w:val="Style28"/>
        <w:rPr/>
      </w:pPr>
      <w:bookmarkStart w:id="121" w:name="_Ref125365866"/>
      <w:bookmarkStart w:id="122"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21"/>
      <w:bookmarkEnd w:id="122"/>
    </w:p>
    <w:p>
      <w:pPr>
        <w:pStyle w:val="Style28"/>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4"/>
          </w:rPr>
          <w:t>Приложение № 4</w:t>
        </w:r>
      </w:hyperlink>
      <w:r>
        <w:rPr/>
        <w:t>) может служить основанием для отклонения заявки.</w:t>
      </w:r>
    </w:p>
    <w:p>
      <w:pPr>
        <w:pStyle w:val="Style28"/>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8"/>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8"/>
        <w:rPr/>
      </w:pPr>
      <w:bookmarkStart w:id="123" w:name="_Ref125370708"/>
      <w:bookmarkStart w:id="124"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8"/>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4"/>
          </w:rPr>
          <w:t>Техническими требованиями (Приложение № 1)</w:t>
        </w:r>
      </w:hyperlink>
      <w:r>
        <w:rPr/>
        <w:t xml:space="preserve"> и </w:t>
      </w:r>
      <w:hyperlink w:anchor="Прил02_ПроектДоговора">
        <w:r>
          <w:rPr>
            <w:rStyle w:val="Style14"/>
          </w:rPr>
          <w:t>Проектом договора (Приложение № 2)</w:t>
        </w:r>
      </w:hyperlink>
      <w:r>
        <w:rPr/>
        <w:t>, а также сумму налогов (</w:t>
      </w:r>
      <w:r>
        <w:rPr>
          <w:rFonts w:cs="Times New Roman"/>
        </w:rPr>
        <w:t>за исключением НДС, в случае его уплаты</w:t>
      </w:r>
      <w:r>
        <w:rPr/>
        <w:t>)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3"/>
      <w:bookmarkEnd w:id="124"/>
    </w:p>
    <w:p>
      <w:pPr>
        <w:pStyle w:val="Style28"/>
        <w:rPr/>
      </w:pPr>
      <w:r>
        <w:rPr/>
        <w:t>Нормы настоящего пункта применяются только, если подразделом 1.2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Приложение № 4), в виде согласия (декларации) на поставку продукции на условиях, указанных в Документации о закупке, в том числе в Технических требованиях (Приложение № 1),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8"/>
        <w:rPr/>
      </w:pPr>
      <w:r>
        <w:rPr/>
        <w:t>Нормы настоящего пункта и пунктов 4.3.12 – 4.3.15 применяются только, если подразделом 1.2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Приложение № 4), в виде подробного предложения в отношении поставляемой продукции на условиях, указанных в Документации о закупке, в том числе в Технических требованиях (Приложение № 1).</w:t>
      </w:r>
    </w:p>
    <w:p>
      <w:pPr>
        <w:pStyle w:val="Style28"/>
        <w:rPr/>
      </w:pPr>
      <w:r>
        <w:rPr/>
        <w:t>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Технических требованиях (Приложение № 1),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pPr>
        <w:pStyle w:val="Style28"/>
        <w:rPr/>
      </w:pPr>
      <w:r>
        <w:rPr/>
        <w:t>Если в Технических требованиях (Приложение № 1)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Технических требованиях (Приложение № 1).</w:t>
      </w:r>
    </w:p>
    <w:p>
      <w:pPr>
        <w:pStyle w:val="Style28"/>
        <w:rPr/>
      </w:pPr>
      <w:r>
        <w:rPr/>
        <w:t>При описании продукции Участник должен использовать общеизвестные (стандартные) показатели, термины и сокращения в соответствии с законодательством и Техническими требованиями (Приложение № 1).</w:t>
      </w:r>
    </w:p>
    <w:p>
      <w:pPr>
        <w:pStyle w:val="Style28"/>
        <w:rPr/>
      </w:pPr>
      <w:r>
        <w:rPr/>
        <w:t>В случае нарушения Участником требований к описанию продукции (пункты 4.3.11 – 4.3.14) Организатор вправе отклонить заявку такого Участника от дальнейшего участия в закупке.</w:t>
      </w:r>
    </w:p>
    <w:p>
      <w:pPr>
        <w:pStyle w:val="Style28"/>
        <w:keepNext w:val="true"/>
        <w:rPr/>
      </w:pPr>
      <w:bookmarkStart w:id="125" w:name="_Hlk208848776"/>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bookmarkEnd w:id="125"/>
    </w:p>
    <w:p>
      <w:pPr>
        <w:pStyle w:val="Style28"/>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9"/>
        <w:rPr/>
      </w:pPr>
      <w:r>
        <w:rPr/>
        <w:t>внутренние противоречия между различными частями и (или) документами заявки, в том числе по тексту внутри одного документа;</w:t>
      </w:r>
    </w:p>
    <w:p>
      <w:pPr>
        <w:pStyle w:val="Style29"/>
        <w:rPr/>
      </w:pPr>
      <w:bookmarkStart w:id="126" w:name="_Ref125370398"/>
      <w:bookmarkStart w:id="127" w:name="_Ref125714384"/>
      <w:r>
        <w:rPr/>
        <w:t>противоречия между документами заявки и сведениями, указанными Участником в структурированных формах на ЭП.</w:t>
      </w:r>
      <w:bookmarkEnd w:id="126"/>
      <w:bookmarkEnd w:id="127"/>
    </w:p>
    <w:p>
      <w:pPr>
        <w:pStyle w:val="Style28"/>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9"/>
        <w:rPr/>
      </w:pPr>
      <w:r>
        <w:rPr/>
        <w:t>полномочий таких органов / лиц на оформление этих документов;</w:t>
      </w:r>
    </w:p>
    <w:p>
      <w:pPr>
        <w:pStyle w:val="Style29"/>
        <w:rPr/>
      </w:pPr>
      <w:r>
        <w:rPr/>
        <w:t>формы, объема и содержания этих документов.</w:t>
      </w:r>
    </w:p>
    <w:p>
      <w:pPr>
        <w:pStyle w:val="Style28"/>
        <w:keepNext w:val="true"/>
        <w:rPr/>
      </w:pPr>
      <w:r>
        <w:rPr/>
        <w:t>Участник должен подготовить заявку с соблюдением следующих условий:</w:t>
      </w:r>
    </w:p>
    <w:p>
      <w:pPr>
        <w:pStyle w:val="Style29"/>
        <w:rPr/>
      </w:pPr>
      <w:r>
        <w:rPr/>
        <w:t xml:space="preserve">документы заявки могут предоставляться как в графическом виде (в том числе в виде скан-копии; рекомендуемый формат: </w:t>
      </w:r>
      <w:bookmarkStart w:id="128" w:name="_Hlk208848799"/>
      <w:r>
        <w:rPr/>
        <w:t>Portable Document Format (*.</w:t>
      </w:r>
      <w:r>
        <w:rPr>
          <w:lang w:val="en-US"/>
        </w:rPr>
        <w:t>pdf</w:t>
      </w:r>
      <w:r>
        <w:rPr/>
        <w:t>)</w:t>
      </w:r>
      <w:bookmarkEnd w:id="128"/>
      <w:r>
        <w:rPr/>
        <w:t>); так и в электронном виде (в формате Microsoft Word (*.doc</w:t>
      </w:r>
      <w:r>
        <w:rPr>
          <w:lang w:val="en-US"/>
        </w:rPr>
        <w:t>x</w:t>
      </w:r>
      <w:r>
        <w:rPr/>
        <w:t>), Microsoft Excel (*.xls</w:t>
      </w:r>
      <w:r>
        <w:rPr>
          <w:lang w:val="en-US"/>
        </w:rPr>
        <w:t>x</w:t>
      </w:r>
      <w:r>
        <w:rPr/>
        <w:t xml:space="preserve">), и других). Исключение составляют </w:t>
      </w:r>
      <w:bookmarkStart w:id="129" w:name="_Hlk208848811"/>
      <w:r>
        <w:rPr/>
        <w:t xml:space="preserve">Письмо о подаче оферты, а также </w:t>
      </w:r>
      <w:bookmarkEnd w:id="129"/>
      <w:r>
        <w:rPr/>
        <w:t xml:space="preserve">документы, выданные Участнику третьими лицами (в том числе, бухгалтерская (финансовая) отчетность, соглашение о создании коллективного участника и т.п.), которые должны быть предоставлены только в графическом виде (в том числе в виде скан-копии; рекомендуемый формат: </w:t>
      </w:r>
      <w:bookmarkStart w:id="130" w:name="_Hlk208861398"/>
      <w:r>
        <w:rPr/>
        <w:t>Portable Document Format (*.</w:t>
      </w:r>
      <w:r>
        <w:rPr>
          <w:lang w:val="en-US"/>
        </w:rPr>
        <w:t>pdf</w:t>
      </w:r>
      <w:r>
        <w:rPr/>
        <w:t>)</w:t>
      </w:r>
      <w:bookmarkEnd w:id="130"/>
      <w:r>
        <w:rPr/>
        <w:t>);</w:t>
      </w:r>
    </w:p>
    <w:p>
      <w:pPr>
        <w:pStyle w:val="Style29"/>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9"/>
        <w:rPr/>
      </w:pPr>
      <w:r>
        <w:rPr/>
        <w:t>все файлы не должны иметь защиты от их открытия, изменения, копирования их содержимого или их печати;</w:t>
      </w:r>
    </w:p>
    <w:p>
      <w:pPr>
        <w:pStyle w:val="Style29"/>
        <w:rPr/>
      </w:pPr>
      <w:r>
        <w:rP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9"/>
        <w:rPr/>
      </w:pPr>
      <w:r>
        <w:rPr/>
        <w:t>если какой-либо документ представлен в нечитаемом виде, данный документ считается непредставленным.</w:t>
      </w:r>
    </w:p>
    <w:p>
      <w:pPr>
        <w:pStyle w:val="Style28"/>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7"/>
        <w:rPr/>
      </w:pPr>
      <w:bookmarkStart w:id="131" w:name="_Ref130394205"/>
      <w:bookmarkStart w:id="132" w:name="_Ref125366672"/>
      <w:bookmarkStart w:id="133" w:name="_Toc236402270"/>
      <w:bookmarkStart w:id="134" w:name="_Ref130394785"/>
      <w:bookmarkStart w:id="135" w:name="_Ref130394802"/>
      <w:bookmarkStart w:id="136" w:name="_Ref125362071"/>
      <w:bookmarkStart w:id="137" w:name="_Ref125361260"/>
      <w:r>
        <w:rPr/>
        <w:t>Разъяснение Документации о закупке</w:t>
      </w:r>
      <w:bookmarkEnd w:id="131"/>
      <w:bookmarkEnd w:id="132"/>
      <w:bookmarkEnd w:id="133"/>
      <w:bookmarkEnd w:id="134"/>
      <w:bookmarkEnd w:id="135"/>
      <w:bookmarkEnd w:id="136"/>
      <w:bookmarkEnd w:id="137"/>
    </w:p>
    <w:p>
      <w:pPr>
        <w:pStyle w:val="Style28"/>
        <w:rPr/>
      </w:pPr>
      <w:r>
        <w:rPr/>
        <w:t>Участники вправе обратиться к Организатору за разъяснениями Документации о закупке.</w:t>
      </w:r>
    </w:p>
    <w:p>
      <w:pPr>
        <w:pStyle w:val="Style28"/>
        <w:rPr/>
      </w:pPr>
      <w:r>
        <w:rPr/>
        <w:t>Запросы подаются в соответствии с Регламентами и инструкциями Оператора ЭП, опубликованными на сайте соответствующей ЭП.</w:t>
      </w:r>
    </w:p>
    <w:p>
      <w:pPr>
        <w:pStyle w:val="Style28"/>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8"/>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8"/>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8"/>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4"/>
          </w:rPr>
          <w:t>Проекта договора (Приложения № 2)</w:t>
        </w:r>
      </w:hyperlink>
      <w:r>
        <w:rPr>
          <w:rStyle w:val="Style14"/>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8"/>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7"/>
        <w:rPr/>
      </w:pPr>
      <w:bookmarkStart w:id="138" w:name="_Ref125364404"/>
      <w:bookmarkStart w:id="139" w:name="_Toc236402271"/>
      <w:bookmarkStart w:id="140" w:name="_Ref125363891"/>
      <w:bookmarkStart w:id="141" w:name="_Ref125362076"/>
      <w:r>
        <w:rPr/>
        <w:t>Изменения Извещения и (или) Документации о закупке</w:t>
      </w:r>
      <w:bookmarkEnd w:id="138"/>
      <w:bookmarkEnd w:id="139"/>
      <w:bookmarkEnd w:id="140"/>
      <w:bookmarkEnd w:id="141"/>
    </w:p>
    <w:p>
      <w:pPr>
        <w:pStyle w:val="Style28"/>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8"/>
        <w:rPr/>
      </w:pPr>
      <w:bookmarkStart w:id="142" w:name="_Ref125550844"/>
      <w:r>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fldChar w:fldCharType="begin"/>
      </w:r>
      <w:r>
        <w:rPr/>
        <w:instrText xml:space="preserve"> REF _Ref125359973 \r \h </w:instrText>
      </w:r>
      <w:r>
        <w:rPr/>
        <w:fldChar w:fldCharType="separate"/>
      </w:r>
      <w:r>
        <w:rPr/>
        <w:t>1.2</w:t>
      </w:r>
      <w:r>
        <w:rPr/>
        <w:fldChar w:fldCharType="end"/>
      </w:r>
      <w:r>
        <w:rPr/>
        <w:t>) в пределах срока действия заявок и с уведомлением Участников, подавших заявки.</w:t>
      </w:r>
      <w:bookmarkEnd w:id="142"/>
    </w:p>
    <w:p>
      <w:pPr>
        <w:pStyle w:val="Style28"/>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8"/>
        <w:rPr/>
      </w:pPr>
      <w:bookmarkStart w:id="143" w:name="_Hlk135643673"/>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t>4.5.2</w:t>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43"/>
      <w:r>
        <w:rPr/>
        <w:t xml:space="preserve"> 8 (восьми) календарных дней.</w:t>
      </w:r>
    </w:p>
    <w:p>
      <w:pPr>
        <w:pStyle w:val="Style28"/>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7"/>
        <w:rPr/>
      </w:pPr>
      <w:bookmarkStart w:id="144" w:name="_Ref125362119"/>
      <w:bookmarkStart w:id="145" w:name="_Toc236402272"/>
      <w:r>
        <w:rPr/>
        <w:t>Подача заявок и их прием</w:t>
      </w:r>
      <w:bookmarkEnd w:id="144"/>
      <w:bookmarkEnd w:id="145"/>
    </w:p>
    <w:p>
      <w:pPr>
        <w:pStyle w:val="Style28"/>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Заявки, поданные позднее установленного срока, не могут быть приняты Организатором, независимо от причин опоздания.</w:t>
      </w:r>
    </w:p>
    <w:p>
      <w:pPr>
        <w:pStyle w:val="Style28"/>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8"/>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8"/>
        <w:rPr/>
      </w:pPr>
      <w:r>
        <w:rPr/>
        <w:t xml:space="preserve">Заявка должна быть подписана </w:t>
      </w:r>
      <w:bookmarkStart w:id="146" w:name="_Hlk219296949"/>
      <w:r>
        <w:rPr/>
        <w:t xml:space="preserve">усиленной квалифицированной </w:t>
      </w:r>
      <w:bookmarkEnd w:id="146"/>
      <w:r>
        <w:rPr/>
        <w:t>электронной подписью лица, которое является уполномоченным представителем Участника.</w:t>
      </w:r>
    </w:p>
    <w:p>
      <w:pPr>
        <w:pStyle w:val="Style28"/>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8"/>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8"/>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7"/>
        <w:rPr/>
      </w:pPr>
      <w:bookmarkStart w:id="147" w:name="_Toc236402273"/>
      <w:bookmarkStart w:id="148" w:name="_Ref125362192"/>
      <w:bookmarkStart w:id="149" w:name="_Ref125363819"/>
      <w:bookmarkStart w:id="150" w:name="_Ref125362130"/>
      <w:bookmarkStart w:id="151" w:name="_Ref125365136"/>
      <w:r>
        <w:rPr/>
        <w:t>Изменение и отзыв заявок</w:t>
      </w:r>
      <w:bookmarkEnd w:id="147"/>
      <w:bookmarkEnd w:id="148"/>
      <w:bookmarkEnd w:id="149"/>
      <w:bookmarkEnd w:id="150"/>
      <w:bookmarkEnd w:id="151"/>
    </w:p>
    <w:p>
      <w:pPr>
        <w:pStyle w:val="Style28"/>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8"/>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8"/>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8"/>
        <w:rPr/>
      </w:pPr>
      <w:r>
        <w:rPr/>
        <w:t>Изменения и отзыв заявки осуществляется посредством функционала ЭП (подробный порядок определяется Регламентом ЭП).</w:t>
      </w:r>
    </w:p>
    <w:p>
      <w:pPr>
        <w:pStyle w:val="Style27"/>
        <w:rPr/>
      </w:pPr>
      <w:bookmarkStart w:id="152" w:name="_Toc236402274"/>
      <w:bookmarkStart w:id="153" w:name="_Ref130221619"/>
      <w:bookmarkStart w:id="154" w:name="_Ref125364340"/>
      <w:bookmarkEnd w:id="154"/>
      <w:r>
        <w:rPr/>
        <w:t>Открытие доступа к заявкам</w:t>
      </w:r>
      <w:bookmarkEnd w:id="152"/>
      <w:bookmarkEnd w:id="153"/>
    </w:p>
    <w:p>
      <w:pPr>
        <w:pStyle w:val="Style28"/>
        <w:rPr/>
      </w:pPr>
      <w:r>
        <w:rP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8"/>
        <w:rPr/>
      </w:pPr>
      <w:r>
        <w:rPr/>
        <w:t>Оператор ЭП предоставляет Организатору доступ одновременно ко всем поданным заявкам в полном объеме.</w:t>
      </w:r>
    </w:p>
    <w:p>
      <w:pPr>
        <w:pStyle w:val="Style28"/>
        <w:keepNext w:val="true"/>
        <w:rPr/>
      </w:pPr>
      <w:r>
        <w:rP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FootnoteReference"/>
        </w:rPr>
        <w:footnoteReference w:id="4"/>
      </w:r>
      <w:r>
        <w:rPr/>
        <w:t>:</w:t>
      </w:r>
    </w:p>
    <w:p>
      <w:pPr>
        <w:pStyle w:val="Style29"/>
        <w:rPr/>
      </w:pPr>
      <w:r>
        <w:rPr/>
        <w:t>дата подписания протокола;</w:t>
      </w:r>
    </w:p>
    <w:p>
      <w:pPr>
        <w:pStyle w:val="Style29"/>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9"/>
        <w:rPr/>
      </w:pPr>
      <w:r>
        <w:rPr/>
        <w:t>наименование и адрес регистрации Участников, подавших заявки, и (или) их идентификационные номера, присваиваемые Оператором ЭП;</w:t>
      </w:r>
    </w:p>
    <w:p>
      <w:pPr>
        <w:pStyle w:val="Style29"/>
        <w:rPr/>
      </w:pPr>
      <w:r>
        <w:rPr/>
        <w:t>стоимости заявок (или иное указание на общую стоимость заявки);</w:t>
      </w:r>
    </w:p>
    <w:p>
      <w:pPr>
        <w:pStyle w:val="Style29"/>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32"/>
        <w:ind w:hanging="0" w:left="1134"/>
        <w:rPr/>
      </w:pPr>
      <w:r>
        <w:rP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pPr>
        <w:pStyle w:val="Style28"/>
        <w:rPr/>
      </w:pPr>
      <w:r>
        <w:rP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pPr>
        <w:pStyle w:val="Style28"/>
        <w:rPr/>
      </w:pPr>
      <w:r>
        <w:rPr/>
        <w:t>Порядок получения Участниками информации о поступивших заявках через ЭП определяется Регламентом ЭП.</w:t>
      </w:r>
    </w:p>
    <w:p>
      <w:pPr>
        <w:pStyle w:val="Style27"/>
        <w:rPr/>
      </w:pPr>
      <w:bookmarkStart w:id="155" w:name="_Ref125366689"/>
      <w:bookmarkStart w:id="156" w:name="_Ref135749133"/>
      <w:bookmarkStart w:id="157" w:name="_Toc236402275"/>
      <w:bookmarkStart w:id="158" w:name="_Ref125364340_Копия_1"/>
      <w:bookmarkStart w:id="159" w:name="_Ref125362364"/>
      <w:bookmarkEnd w:id="158"/>
      <w:r>
        <w:rPr/>
        <w:t>Рассмотрение заявок (отборочная стадия)</w:t>
      </w:r>
      <w:bookmarkEnd w:id="155"/>
      <w:bookmarkEnd w:id="159"/>
      <w:r>
        <w:rPr/>
        <w:t>, в том числе (при необходимости) проведение аккредитации</w:t>
      </w:r>
      <w:bookmarkEnd w:id="156"/>
      <w:bookmarkEnd w:id="157"/>
    </w:p>
    <w:p>
      <w:pPr>
        <w:pStyle w:val="Style28"/>
        <w:rPr/>
      </w:pPr>
      <w:r>
        <w:rPr/>
        <w:t>Дата окончания срока рассмотрения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8"/>
        <w:rPr/>
      </w:pPr>
      <w:r>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r>
          <w:rPr>
            <w:rStyle w:val="Style14"/>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8"/>
        <w:rPr/>
      </w:pPr>
      <w:r>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8"/>
        <w:keepNext w:val="true"/>
        <w:rPr/>
      </w:pPr>
      <w:bookmarkStart w:id="160" w:name="_Ref224830075"/>
      <w:r>
        <w:rPr/>
        <w:t>При выявлении в рамках рассмотрения заявок наличия арифметических ошибок, в том числе:</w:t>
      </w:r>
      <w:bookmarkEnd w:id="160"/>
    </w:p>
    <w:p>
      <w:pPr>
        <w:pStyle w:val="Style29"/>
        <w:rPr/>
      </w:pPr>
      <w:r>
        <w:rPr/>
        <w:t>в результате суммирования единичных расценок;</w:t>
      </w:r>
    </w:p>
    <w:p>
      <w:pPr>
        <w:pStyle w:val="Style29"/>
        <w:rPr/>
      </w:pPr>
      <w:r>
        <w:rPr/>
        <w:t>в итогах умножения единичных расценок на объем продукции;</w:t>
      </w:r>
    </w:p>
    <w:p>
      <w:pPr>
        <w:pStyle w:val="Style29"/>
        <w:rPr/>
      </w:pPr>
      <w:r>
        <w:rPr/>
        <w:t>в вычислении суммы НДС и итоговой стоимости заявки с учетом НДС;</w:t>
      </w:r>
    </w:p>
    <w:p>
      <w:pPr>
        <w:pStyle w:val="Style29"/>
        <w:rPr/>
      </w:pPr>
      <w:r>
        <w:rPr/>
        <w:t>иных внутренних противоречий в составе заявки,</w:t>
      </w:r>
    </w:p>
    <w:p>
      <w:pPr>
        <w:pStyle w:val="Style32"/>
        <w:ind w:hanging="0"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8"/>
        <w:keepNext w:val="true"/>
        <w:rPr/>
      </w:pPr>
      <w:bookmarkStart w:id="161" w:name="_Ref125551456"/>
      <w:r>
        <w:rPr/>
        <w:t>По результатам рассмотрения заявок (проведения отборочной стадии) Закупочная комиссия отклоняет заявки по следующим основаниям:</w:t>
      </w:r>
      <w:bookmarkEnd w:id="161"/>
    </w:p>
    <w:p>
      <w:pPr>
        <w:pStyle w:val="Style29"/>
        <w:rPr/>
      </w:pPr>
      <w:r>
        <w:rPr/>
        <w:t>несоответствие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30"/>
        <w:rPr/>
      </w:pPr>
      <w:r>
        <w:rPr/>
        <w:t>недостоверных сведений</w:t>
      </w:r>
      <w:r>
        <w:rPr>
          <w:rStyle w:val="FootnoteReference"/>
        </w:rPr>
        <w:footnoteReference w:id="6"/>
      </w:r>
      <w:r>
        <w:rPr/>
        <w:t xml:space="preserve"> или намеренно искаженной информации или документов;</w:t>
      </w:r>
    </w:p>
    <w:p>
      <w:pPr>
        <w:pStyle w:val="Style30"/>
        <w:rPr/>
      </w:pPr>
      <w:r>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fldChar w:fldCharType="begin"/>
      </w:r>
      <w:r>
        <w:rPr/>
        <w:instrText xml:space="preserve"> REF _Ref224830075 \r \h </w:instrText>
      </w:r>
      <w:r>
        <w:rPr/>
        <w:fldChar w:fldCharType="separate"/>
      </w:r>
      <w:r>
        <w:rPr/>
        <w:t>4.9.4</w:t>
      </w:r>
      <w:r>
        <w:rPr/>
        <w:fldChar w:fldCharType="end"/>
      </w:r>
      <w:r>
        <w:rPr/>
        <w:t>);</w:t>
      </w:r>
    </w:p>
    <w:p>
      <w:pPr>
        <w:pStyle w:val="Style29"/>
        <w:rPr/>
      </w:pPr>
      <w:r>
        <w:rPr/>
        <w:t>несоответствие Участников требованиям Документации о закупке;</w:t>
      </w:r>
    </w:p>
    <w:p>
      <w:pPr>
        <w:pStyle w:val="Style29"/>
        <w:rPr/>
      </w:pPr>
      <w:r>
        <w:rPr/>
        <w:t>несоответствие привлекаемых субподрядчиков (соисполнителей) требованиям Документации о закупке;</w:t>
      </w:r>
    </w:p>
    <w:p>
      <w:pPr>
        <w:pStyle w:val="Style29"/>
        <w:rPr/>
      </w:pPr>
      <w:r>
        <w:rPr/>
        <w:t>несоответствие предлагаемой продукции требованиям Документации о закупке, в том числе порядка описания такой продукции;</w:t>
      </w:r>
    </w:p>
    <w:p>
      <w:pPr>
        <w:pStyle w:val="Style29"/>
        <w:rPr/>
      </w:pPr>
      <w:r>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29"/>
        <w:rPr/>
      </w:pPr>
      <w:r>
        <w:rPr/>
        <w:t>несоответствие размера, формы, условий и порядка предоставления обеспечения заявки.</w:t>
      </w:r>
    </w:p>
    <w:p>
      <w:pPr>
        <w:pStyle w:val="Style28"/>
        <w:rPr/>
      </w:pPr>
      <w:r>
        <w:rP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rPr/>
        <w:fldChar w:fldCharType="begin"/>
      </w:r>
      <w:r>
        <w:rPr/>
        <w:instrText xml:space="preserve"> REF _Ref125359973 \r \h </w:instrText>
      </w:r>
      <w:r>
        <w:rPr/>
        <w:fldChar w:fldCharType="separate"/>
      </w:r>
      <w:r>
        <w:rPr/>
        <w:t>1.2</w:t>
      </w:r>
      <w:r>
        <w:rPr/>
        <w:fldChar w:fldCharType="end"/>
      </w:r>
      <w:r>
        <w:rPr/>
        <w:t>, подраздел </w:t>
      </w:r>
      <w:r>
        <w:rPr/>
        <w:fldChar w:fldCharType="begin"/>
      </w:r>
      <w:r>
        <w:rPr/>
        <w:instrText xml:space="preserve"> REF _Ref125362430 \r \h </w:instrText>
      </w:r>
      <w:r>
        <w:rPr/>
        <w:fldChar w:fldCharType="separate"/>
      </w:r>
      <w:r>
        <w:rPr/>
        <w:t>4.11</w:t>
      </w:r>
      <w:r>
        <w:rPr/>
        <w:fldChar w:fldCharType="end"/>
      </w:r>
      <w:r>
        <w:rPr/>
        <w:t>). В данном случае оценка и сопоставление заявок, а также их предварительная ранжировка осуществляются в соответствии с подразделами </w:t>
      </w:r>
      <w:r>
        <w:rPr/>
        <w:fldChar w:fldCharType="begin"/>
      </w:r>
      <w:r>
        <w:rPr/>
        <w:instrText xml:space="preserve"> REF _Ref125362626 \w \h </w:instrText>
      </w:r>
      <w:r>
        <w:rPr/>
        <w:fldChar w:fldCharType="separate"/>
      </w:r>
      <w:r>
        <w:rPr/>
        <w:t>4.12</w:t>
      </w:r>
      <w:r>
        <w:rPr/>
        <w:fldChar w:fldCharType="end"/>
      </w:r>
      <w:r>
        <w:rPr/>
        <w:t xml:space="preserve">, </w:t>
      </w:r>
      <w:r>
        <w:rPr/>
        <w:fldChar w:fldCharType="begin"/>
      </w:r>
      <w:r>
        <w:rPr/>
        <w:instrText xml:space="preserve"> REF _Ref186114626 \r \h </w:instrText>
      </w:r>
      <w:r>
        <w:rPr/>
        <w:fldChar w:fldCharType="separate"/>
      </w:r>
      <w:r>
        <w:rPr/>
        <w:t>4.13</w:t>
      </w:r>
      <w:r>
        <w:rPr/>
        <w:fldChar w:fldCharType="end"/>
      </w:r>
      <w:r>
        <w:rPr/>
        <w:t>, на основании представленных в составе заявки документов и сведений (включая стоимость заявки (цену Договора)).</w:t>
      </w:r>
    </w:p>
    <w:p>
      <w:pPr>
        <w:pStyle w:val="Style28"/>
        <w:keepNext w:val="true"/>
        <w:rPr/>
      </w:pPr>
      <w:r>
        <w:rPr/>
        <w:t>Решение Закупочной комиссии по рассмотрению заявок оформляется протоколом, в котором, как минимум, указываются</w:t>
      </w:r>
      <w:r>
        <w:rPr>
          <w:rStyle w:val="FootnoteReference"/>
        </w:rPr>
        <w:footnoteReference w:id="7"/>
      </w:r>
      <w:r>
        <w:rPr/>
        <w:t>:</w:t>
      </w:r>
    </w:p>
    <w:p>
      <w:pPr>
        <w:pStyle w:val="Style29"/>
        <w:rPr/>
      </w:pPr>
      <w:r>
        <w:rPr/>
        <w:t>дата подписания протокола;</w:t>
      </w:r>
    </w:p>
    <w:p>
      <w:pPr>
        <w:pStyle w:val="Style29"/>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9"/>
        <w:rPr/>
      </w:pPr>
      <w:r>
        <w:rPr/>
        <w:t>наименования Участников, подавших заявки, и (или) их идентификационные номера, присваиваемые Оператором ЭП;</w:t>
      </w:r>
    </w:p>
    <w:p>
      <w:pPr>
        <w:pStyle w:val="Style29"/>
        <w:keepNext w:val="true"/>
        <w:rPr/>
      </w:pPr>
      <w:r>
        <w:rPr/>
        <w:t>результаты рассмотрения заявок с указанием, в том числе:</w:t>
      </w:r>
    </w:p>
    <w:p>
      <w:pPr>
        <w:pStyle w:val="Style30"/>
        <w:rPr/>
      </w:pPr>
      <w:r>
        <w:rPr/>
        <w:t>количества заявок, которые были отклонены;</w:t>
      </w:r>
    </w:p>
    <w:p>
      <w:pPr>
        <w:pStyle w:val="Style30"/>
        <w:rPr/>
      </w:pPr>
      <w:r>
        <w:rPr/>
        <w:t>оснований отклонения каждой заявки с указанием положений Документации о закупке, которым не соответствует такая заявка;</w:t>
      </w:r>
    </w:p>
    <w:p>
      <w:pPr>
        <w:pStyle w:val="Style29"/>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29"/>
        <w:keepNext w:val="true"/>
        <w:rPr/>
      </w:pPr>
      <w:r>
        <w:rP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pPr>
        <w:pStyle w:val="Style30"/>
        <w:rPr/>
      </w:pPr>
      <w:r>
        <w:rPr/>
        <w:t>значения (в баллах), присвоенного каждой заявке по каждому из предусмотренных критериев оценки, установленных в Документации о закупке;</w:t>
      </w:r>
    </w:p>
    <w:p>
      <w:pPr>
        <w:pStyle w:val="Style30"/>
        <w:rPr/>
      </w:pPr>
      <w:r>
        <w:rPr/>
        <w:t>порядкового номера каждой допущенной заявки в предварительной ранжировке заявок, включая стоимость заявки (цену Договора);</w:t>
      </w:r>
    </w:p>
    <w:p>
      <w:pPr>
        <w:pStyle w:val="Style29"/>
        <w:rPr/>
      </w:pPr>
      <w:bookmarkStart w:id="162" w:name="_Ref125551524"/>
      <w:r>
        <w:rPr/>
        <w:t>решение о проведении или непроведении переторжки,</w:t>
      </w:r>
      <w:bookmarkEnd w:id="162"/>
    </w:p>
    <w:p>
      <w:pPr>
        <w:pStyle w:val="Style32"/>
        <w:ind w:hanging="0"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8"/>
        <w:rPr/>
      </w:pPr>
      <w:r>
        <w:rP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_Ref130394785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8"/>
        <w:rPr/>
      </w:pPr>
      <w:r>
        <w:rP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pPr>
        <w:pStyle w:val="Style28"/>
        <w:rPr/>
      </w:pPr>
      <w:r>
        <w:rPr/>
        <w:t>Если основания для отклонения заявки, указанные в пункте </w:t>
      </w:r>
      <w:r>
        <w:rPr/>
        <w:fldChar w:fldCharType="begin"/>
      </w:r>
      <w:r>
        <w:rPr/>
        <w:instrText xml:space="preserve"> REF _Ref125551456 \w \h </w:instrText>
      </w:r>
      <w:r>
        <w:rPr/>
        <w:fldChar w:fldCharType="separate"/>
      </w:r>
      <w:r>
        <w:rPr/>
        <w:t>4.9.5</w:t>
      </w:r>
      <w:r>
        <w:rPr/>
        <w:fldChar w:fldCharType="end"/>
      </w:r>
      <w:r>
        <w:rP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pPr>
        <w:pStyle w:val="Style27"/>
        <w:rPr/>
      </w:pPr>
      <w:bookmarkStart w:id="163" w:name="_Toc236402276"/>
      <w:bookmarkStart w:id="164" w:name="_Ref125362610"/>
      <w:bookmarkStart w:id="165" w:name="_Ref125362464"/>
      <w:bookmarkStart w:id="166" w:name="_Ref125362425"/>
      <w:bookmarkStart w:id="167" w:name="_Ref125362381"/>
      <w:r>
        <w:rPr/>
        <w:t>Дополнительные запросы разъяснений заявок</w:t>
      </w:r>
      <w:bookmarkEnd w:id="163"/>
      <w:bookmarkEnd w:id="164"/>
      <w:bookmarkEnd w:id="165"/>
      <w:bookmarkEnd w:id="166"/>
      <w:bookmarkEnd w:id="167"/>
    </w:p>
    <w:p>
      <w:pPr>
        <w:pStyle w:val="Style28"/>
        <w:rPr/>
      </w:pPr>
      <w:bookmarkStart w:id="168" w:name="_Ref125365611"/>
      <w:r>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8"/>
    </w:p>
    <w:p>
      <w:pPr>
        <w:pStyle w:val="Style29"/>
        <w:keepNext w:val="true"/>
        <w:rPr/>
      </w:pPr>
      <w:r>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30"/>
        <w:rPr/>
      </w:pPr>
      <w:r>
        <w:rPr/>
        <w:t>соответствия Участника требованиям Документации о закупке;</w:t>
      </w:r>
    </w:p>
    <w:p>
      <w:pPr>
        <w:pStyle w:val="Style30"/>
        <w:rPr/>
      </w:pPr>
      <w:r>
        <w:rPr/>
        <w:t>наличия соответствующих полномочий на подписание заявки от имени Участника у лица, подписавшего заявку;</w:t>
      </w:r>
    </w:p>
    <w:p>
      <w:pPr>
        <w:pStyle w:val="Style30"/>
        <w:rPr/>
      </w:pPr>
      <w:r>
        <w:rPr/>
        <w:t xml:space="preserve">соответствия заявки требованиям Документации о закупке в части характеристик предлагаемой продукции, </w:t>
      </w:r>
      <w:bookmarkStart w:id="169" w:name="_Hlk208849410"/>
      <w:r>
        <w:rPr/>
        <w:t>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_Ref186114626 \r \h </w:instrText>
      </w:r>
      <w:r>
        <w:rPr/>
        <w:fldChar w:fldCharType="separate"/>
      </w:r>
      <w:r>
        <w:rPr/>
        <w:t>4.13</w:t>
      </w:r>
      <w:r>
        <w:rPr/>
        <w:fldChar w:fldCharType="end"/>
      </w:r>
      <w:r>
        <w:rPr/>
        <w:t>))</w:t>
      </w:r>
      <w:bookmarkEnd w:id="169"/>
      <w:r>
        <w:rPr/>
        <w:t>, договорных условий и расчета цены Договора;</w:t>
      </w:r>
    </w:p>
    <w:p>
      <w:pPr>
        <w:pStyle w:val="Style29"/>
        <w:rPr/>
      </w:pPr>
      <w:bookmarkStart w:id="170" w:name="_Ref134702259"/>
      <w:r>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29"/>
        <w:rPr/>
      </w:pPr>
      <w:r>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8"/>
      </w:r>
      <w:r>
        <w:rPr/>
        <w:t>) требованиям Документации о закупке или осуществить оценку и сопоставление заявок.</w:t>
      </w:r>
      <w:bookmarkEnd w:id="170"/>
    </w:p>
    <w:p>
      <w:pPr>
        <w:pStyle w:val="Style28"/>
        <w:rPr/>
      </w:pPr>
      <w:r>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_Ref134702259 \r \h </w:instrText>
      </w:r>
      <w:r>
        <w:rPr/>
        <w:fldChar w:fldCharType="separate"/>
      </w:r>
      <w:r>
        <w:rPr/>
        <w:t>4.10.1б)</w:t>
      </w:r>
      <w:r>
        <w:rPr/>
        <w:fldChar w:fldCharType="end"/>
      </w:r>
      <w:r>
        <w:rPr/>
        <w:t>).</w:t>
      </w:r>
    </w:p>
    <w:p>
      <w:pPr>
        <w:pStyle w:val="Style28"/>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8"/>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8"/>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fldChar w:fldCharType="begin"/>
      </w:r>
      <w:r>
        <w:rPr/>
        <w:instrText xml:space="preserve"> REF _Ref125551456 \w \h </w:instrText>
      </w:r>
      <w:r>
        <w:rPr/>
        <w:fldChar w:fldCharType="separate"/>
      </w:r>
      <w:r>
        <w:rPr/>
        <w:t>4.9.5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4.10.1</w:t>
      </w:r>
      <w:r>
        <w:rPr/>
        <w:fldChar w:fldCharType="end"/>
      </w:r>
      <w:r>
        <w:rPr/>
        <w:t>.</w:t>
      </w:r>
    </w:p>
    <w:p>
      <w:pPr>
        <w:pStyle w:val="Style28"/>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8"/>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8"/>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fldChar w:fldCharType="begin"/>
      </w:r>
      <w:r>
        <w:rPr/>
        <w:instrText xml:space="preserve"> REF _Ref125551456 \w \h </w:instrText>
      </w:r>
      <w:r>
        <w:rPr/>
        <w:fldChar w:fldCharType="separate"/>
      </w:r>
      <w:r>
        <w:rPr/>
        <w:t>4.9.5</w:t>
      </w:r>
      <w:r>
        <w:rPr/>
        <w:fldChar w:fldCharType="end"/>
      </w:r>
      <w:r>
        <w:rPr/>
        <w:t>.</w:t>
      </w:r>
    </w:p>
    <w:p>
      <w:pPr>
        <w:pStyle w:val="Style27"/>
        <w:rPr/>
      </w:pPr>
      <w:bookmarkStart w:id="171" w:name="_Ref127536359"/>
      <w:bookmarkStart w:id="172" w:name="_Ref125362537"/>
      <w:bookmarkStart w:id="173" w:name="_Ref125362430"/>
      <w:bookmarkStart w:id="174" w:name="_Toc236402277"/>
      <w:r>
        <w:rPr/>
        <w:t>Переторжка</w:t>
      </w:r>
      <w:bookmarkEnd w:id="171"/>
      <w:bookmarkEnd w:id="172"/>
      <w:bookmarkEnd w:id="173"/>
      <w:bookmarkEnd w:id="174"/>
    </w:p>
    <w:p>
      <w:pPr>
        <w:pStyle w:val="Style28"/>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pPr>
        <w:pStyle w:val="Style28"/>
        <w:rPr/>
      </w:pPr>
      <w:r>
        <w:rP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pPr>
        <w:pStyle w:val="Style28"/>
        <w:keepNext w:val="true"/>
        <w:rPr/>
      </w:pPr>
      <w:r>
        <w:rPr/>
        <w:t>Предметом переторжки могут являться следующие условия (или их сочетания), позволяющие повысить предпочтительность поданных заявок:</w:t>
      </w:r>
    </w:p>
    <w:p>
      <w:pPr>
        <w:pStyle w:val="Style29"/>
        <w:rPr/>
      </w:pPr>
      <w:r>
        <w:rPr/>
        <w:t>стоимость заявки (цена Договора) / цена за единицу продукции;</w:t>
      </w:r>
    </w:p>
    <w:p>
      <w:pPr>
        <w:pStyle w:val="Style29"/>
        <w:rPr/>
      </w:pPr>
      <w:r>
        <w:rPr/>
        <w:t>сроки поставки продукции;</w:t>
      </w:r>
    </w:p>
    <w:p>
      <w:pPr>
        <w:pStyle w:val="Style29"/>
        <w:rPr/>
      </w:pPr>
      <w:r>
        <w:rPr/>
        <w:t>условия оплаты;</w:t>
      </w:r>
    </w:p>
    <w:p>
      <w:pPr>
        <w:pStyle w:val="Style29"/>
        <w:rPr/>
      </w:pPr>
      <w:r>
        <w:rPr/>
        <w:t>иные условия, которые являются критериями оценки заявок.</w:t>
      </w:r>
    </w:p>
    <w:p>
      <w:pPr>
        <w:pStyle w:val="Style32"/>
        <w:ind w:hanging="0" w:left="1134"/>
        <w:rPr/>
      </w:pPr>
      <w:r>
        <w:rPr/>
        <w:t>При этом предметом переторжки не могут быть условия, которые не входят в состав критериев оценки в соответствии с Документацией о закупке.</w:t>
      </w:r>
    </w:p>
    <w:p>
      <w:pPr>
        <w:pStyle w:val="Style28"/>
        <w:rPr/>
      </w:pPr>
      <w:r>
        <w:rP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pPr>
        <w:pStyle w:val="Style28"/>
        <w:rPr/>
      </w:pPr>
      <w:r>
        <w:rPr/>
        <w:t>В переторжке может принять участие любой Участник, заявка которого не была отклонена по результатам рассмотрения заявок.</w:t>
      </w:r>
    </w:p>
    <w:p>
      <w:pPr>
        <w:pStyle w:val="Style28"/>
        <w:rPr/>
      </w:pPr>
      <w:r>
        <w:rP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r>
          <w:rPr>
            <w:rStyle w:val="Style14"/>
          </w:rPr>
          <w:t>Приложение № 4</w:t>
        </w:r>
      </w:hyperlink>
      <w:r>
        <w:rPr/>
        <w:t>).</w:t>
      </w:r>
    </w:p>
    <w:p>
      <w:pPr>
        <w:pStyle w:val="Style28"/>
        <w:rPr/>
      </w:pPr>
      <w:r>
        <w:rPr/>
        <w:t>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p>
    <w:p>
      <w:pPr>
        <w:pStyle w:val="Style28"/>
        <w:rPr/>
      </w:pPr>
      <w:r>
        <w:rP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pPr>
        <w:pStyle w:val="Style28"/>
        <w:rPr/>
      </w:pPr>
      <w:r>
        <w:rPr/>
        <w:t>Участник не вправе изменять и (или) отзывать поданные предложения на переторжку после окончания ее проведения.</w:t>
      </w:r>
    </w:p>
    <w:p>
      <w:pPr>
        <w:pStyle w:val="Style28"/>
        <w:rPr/>
      </w:pPr>
      <w:r>
        <w:rP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pPr>
        <w:pStyle w:val="Style28"/>
        <w:rPr/>
      </w:pPr>
      <w:r>
        <w:rPr/>
        <w:t>Процедура переторжки проводится на ЭП в порядке, предусмотренном настоящим подразделом и Регламентом ЭП.</w:t>
      </w:r>
    </w:p>
    <w:p>
      <w:pPr>
        <w:pStyle w:val="Style28"/>
        <w:keepNext w:val="true"/>
        <w:rPr/>
      </w:pPr>
      <w:r>
        <w:rPr/>
        <w:t>В зависимости от правил, предусмотренных Регламентом ЭП, переторжка может проводиться:</w:t>
      </w:r>
    </w:p>
    <w:p>
      <w:pPr>
        <w:pStyle w:val="Style29"/>
        <w:rPr/>
      </w:pPr>
      <w:r>
        <w:rPr/>
        <w:t>в заочной форме путем однократной подачи предложения на переторжку к установленному сроку;</w:t>
      </w:r>
    </w:p>
    <w:p>
      <w:pPr>
        <w:pStyle w:val="Style29"/>
        <w:rPr/>
      </w:pPr>
      <w:r>
        <w:rP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pPr>
        <w:pStyle w:val="Style28"/>
        <w:rPr/>
      </w:pPr>
      <w:r>
        <w:rP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pPr>
        <w:pStyle w:val="Style28"/>
        <w:rPr/>
      </w:pPr>
      <w:r>
        <w:rPr/>
        <w:t>Участник, желающий принять участие в переторжке, должен в срок, установленный Закупочной комиссией, предоставить свои предложения на переторжку.</w:t>
      </w:r>
    </w:p>
    <w:p>
      <w:pPr>
        <w:pStyle w:val="Style28"/>
        <w:rPr/>
      </w:pPr>
      <w:bookmarkStart w:id="175" w:name="_Ref136245191"/>
      <w:r>
        <w:rPr/>
        <w:t>При заочной форме переторжки Участник вместе с предложением на переторжку размещает на ЭП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w:t>
      </w:r>
      <w:bookmarkEnd w:id="175"/>
    </w:p>
    <w:p>
      <w:pPr>
        <w:pStyle w:val="Style28"/>
        <w:rPr/>
      </w:pPr>
      <w:r>
        <w:rP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rPr/>
        <w:fldChar w:fldCharType="begin"/>
      </w:r>
      <w:r>
        <w:rPr/>
        <w:instrText xml:space="preserve"> REF _Ref138232981 \r \h </w:instrText>
      </w:r>
      <w:r>
        <w:rPr/>
        <w:fldChar w:fldCharType="separate"/>
      </w:r>
      <w:r>
        <w:rPr/>
        <w:t>5.2</w:t>
      </w:r>
      <w:r>
        <w:rPr/>
        <w:fldChar w:fldCharType="end"/>
      </w:r>
      <w:r>
        <w:rPr/>
        <w:t>,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pPr>
        <w:pStyle w:val="Style28"/>
        <w:keepNext w:val="true"/>
        <w:rPr/>
      </w:pPr>
      <w:bookmarkStart w:id="176" w:name="_Ref136244167"/>
      <w:r>
        <w:rPr/>
        <w:t>Документы заявки, подлежащие корректировке по результатам переторжки:</w:t>
      </w:r>
      <w:bookmarkEnd w:id="176"/>
    </w:p>
    <w:p>
      <w:pPr>
        <w:pStyle w:val="Style29"/>
        <w:rPr/>
      </w:pPr>
      <w:r>
        <w:rPr/>
        <w:t>Письмо о подаче оферты (форма 2) (</w:t>
      </w:r>
      <w:hyperlink w:anchor="Прил04_ФормыЗаявки">
        <w:r>
          <w:rPr>
            <w:rStyle w:val="Style14"/>
          </w:rPr>
          <w:t>Приложение № 4</w:t>
        </w:r>
      </w:hyperlink>
      <w:r>
        <w:rPr/>
        <w:t>);</w:t>
      </w:r>
    </w:p>
    <w:p>
      <w:pPr>
        <w:pStyle w:val="Style29"/>
        <w:rPr/>
      </w:pPr>
      <w:r>
        <w:rPr/>
        <w:t>Коммерческое предложение (форма 3) (</w:t>
      </w:r>
      <w:hyperlink w:anchor="Прил04_ФормыЗаявки">
        <w:r>
          <w:rPr>
            <w:rStyle w:val="Style14"/>
          </w:rPr>
          <w:t>Приложение № 4</w:t>
        </w:r>
      </w:hyperlink>
      <w:r>
        <w:rPr/>
        <w:t xml:space="preserve">); также дополнительно предоставляется подтверждающая документация, составленная в соответствии с </w:t>
      </w:r>
      <w:hyperlink w:anchor="Прил01_ТехТребования">
        <w:r>
          <w:rPr>
            <w:rStyle w:val="Style14"/>
          </w:rPr>
          <w:t>Техническими требованиями (Приложение № 1)</w:t>
        </w:r>
      </w:hyperlink>
      <w:r>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pPr>
        <w:pStyle w:val="Style29"/>
        <w:rPr/>
      </w:pPr>
      <w:r>
        <w:rPr/>
        <w:t>План распределения объемов поставки продукции (форма 10) (</w:t>
      </w:r>
      <w:hyperlink w:anchor="Прил04_ФормыЗаявки">
        <w:r>
          <w:rPr>
            <w:rStyle w:val="Style14"/>
          </w:rPr>
          <w:t>Приложение № 4</w:t>
        </w:r>
      </w:hyperlink>
      <w:r>
        <w:rPr/>
        <w:t>) – только если заявка подана Коллективным участником или Генеральным подрядчиком;</w:t>
      </w:r>
    </w:p>
    <w:p>
      <w:pPr>
        <w:pStyle w:val="Style29"/>
        <w:rPr/>
      </w:pPr>
      <w:bookmarkStart w:id="177" w:name="_Ref130376111"/>
      <w:r>
        <w:rPr/>
        <w:t>иной документ, указанный в протоколе закупки (которым назначена переторжка), связанный с предметом проводимой переторжки.</w:t>
      </w:r>
      <w:bookmarkEnd w:id="177"/>
    </w:p>
    <w:p>
      <w:pPr>
        <w:pStyle w:val="Style28"/>
        <w:rPr/>
      </w:pPr>
      <w:r>
        <w:rPr/>
        <w:t>Если Участник, принявший участие в переторжке в заочной форме, не предоставил документы, в соответствии с пунктом </w:t>
      </w:r>
      <w:r>
        <w:rPr/>
        <w:fldChar w:fldCharType="begin"/>
      </w:r>
      <w:r>
        <w:rPr/>
        <w:instrText xml:space="preserve"> REF _Ref136245191 \r \h </w:instrText>
      </w:r>
      <w:r>
        <w:rPr/>
        <w:fldChar w:fldCharType="separate"/>
      </w:r>
      <w:r>
        <w:rPr/>
        <w:t>4.11.15</w:t>
      </w:r>
      <w:r>
        <w:rPr/>
        <w:fldChar w:fldCharType="end"/>
      </w:r>
      <w:r>
        <w:rP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pPr>
        <w:pStyle w:val="Style28"/>
        <w:rPr/>
      </w:pPr>
      <w:r>
        <w:rP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pPr>
        <w:pStyle w:val="Style28"/>
        <w:rPr/>
      </w:pPr>
      <w:r>
        <w:rP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pPr>
        <w:pStyle w:val="Style27"/>
        <w:rPr/>
      </w:pPr>
      <w:bookmarkStart w:id="178" w:name="_Ref125362626"/>
      <w:bookmarkStart w:id="179" w:name="_Ref125365519"/>
      <w:bookmarkStart w:id="180" w:name="_Toc236402278"/>
      <w:bookmarkStart w:id="181" w:name="_Ref125365335"/>
      <w:bookmarkStart w:id="182" w:name="_Ref125366534"/>
      <w:bookmarkStart w:id="183" w:name="_Ref125369308"/>
      <w:bookmarkStart w:id="184" w:name="_Ref125369041"/>
      <w:r>
        <w:rPr/>
        <w:t>Оценка и сопоставление заявок</w:t>
      </w:r>
      <w:bookmarkEnd w:id="178"/>
      <w:bookmarkEnd w:id="179"/>
      <w:bookmarkEnd w:id="180"/>
      <w:bookmarkEnd w:id="181"/>
      <w:bookmarkEnd w:id="182"/>
      <w:bookmarkEnd w:id="183"/>
      <w:bookmarkEnd w:id="184"/>
    </w:p>
    <w:p>
      <w:pPr>
        <w:pStyle w:val="Style28"/>
        <w:rPr/>
      </w:pPr>
      <w:r>
        <w:rPr/>
        <w:t>Оценка и сопоставление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_Ref125362364 \w \h </w:instrText>
      </w:r>
      <w:r>
        <w:rPr/>
        <w:fldChar w:fldCharType="separate"/>
      </w:r>
      <w:r>
        <w:rPr/>
        <w:t>4.9</w:t>
      </w:r>
      <w:r>
        <w:rPr/>
        <w:fldChar w:fldCharType="end"/>
      </w:r>
      <w:r>
        <w:rPr/>
        <w:t xml:space="preserve">), осуществляется в соответствии с </w:t>
      </w:r>
      <w:hyperlink w:anchor="Прил08_ПорядокОценки">
        <w:r>
          <w:rPr>
            <w:rStyle w:val="Style14"/>
          </w:rPr>
          <w:t>Порядком и критериями оценки и сопоставления заявок (Приложение № 8)</w:t>
        </w:r>
      </w:hyperlink>
      <w:r>
        <w:rPr>
          <w:rStyle w:val="Style14"/>
        </w:rPr>
        <w:t>.</w:t>
      </w:r>
      <w:r>
        <w:rPr/>
        <w:t xml:space="preserve">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rPr/>
        <w:fldChar w:fldCharType="begin"/>
      </w:r>
      <w:r>
        <w:rPr/>
        <w:instrText xml:space="preserve"> REF _Ref125362430 \r \h </w:instrText>
      </w:r>
      <w:r>
        <w:rPr/>
        <w:fldChar w:fldCharType="separate"/>
      </w:r>
      <w:r>
        <w:rPr/>
        <w:t>4.11</w:t>
      </w:r>
      <w:r>
        <w:rPr/>
        <w:fldChar w:fldCharType="end"/>
      </w:r>
      <w:r>
        <w:rPr/>
        <w:t>), с учетом даты и времени последнего изменения заявки на ЭП, обусловленного переторжкой).</w:t>
      </w:r>
    </w:p>
    <w:p>
      <w:pPr>
        <w:pStyle w:val="Style28"/>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8"/>
        <w:rPr/>
      </w:pPr>
      <w:r>
        <w:rP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pPr>
        <w:pStyle w:val="Style28"/>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_Ref186114626 \r \h </w:instrText>
      </w:r>
      <w:r>
        <w:rPr/>
        <w:fldChar w:fldCharType="separate"/>
      </w:r>
      <w:r>
        <w:rPr/>
        <w:t>4.13</w:t>
      </w:r>
      <w:r>
        <w:rPr/>
        <w:fldChar w:fldCharType="end"/>
      </w:r>
      <w:r>
        <w:rPr/>
        <w:t>).</w:t>
      </w:r>
    </w:p>
    <w:p>
      <w:pPr>
        <w:pStyle w:val="Style28"/>
        <w:rPr/>
      </w:pPr>
      <w:r>
        <w:rPr/>
        <w:t>Результаты оценки и сопоставления заявок вносятся в итоговый протокол по результатам закупки.</w:t>
      </w:r>
    </w:p>
    <w:p>
      <w:pPr>
        <w:pStyle w:val="Style27"/>
        <w:rPr/>
      </w:pPr>
      <w:bookmarkStart w:id="185" w:name="_Ref186114626"/>
      <w:bookmarkStart w:id="186" w:name="_Toc236402279"/>
      <w:bookmarkStart w:id="187" w:name="_Ref130985951"/>
      <w:bookmarkStart w:id="188" w:name="_Ref132894106"/>
      <w:bookmarkStart w:id="189" w:name="_Ref132894111"/>
      <w:bookmarkStart w:id="190" w:name="_Ref125366064"/>
      <w:bookmarkStart w:id="191" w:name="_Ref125370507"/>
      <w:bookmarkStart w:id="192" w:name="_Ref130458671"/>
      <w:bookmarkStart w:id="193" w:name="_Ref125369991"/>
      <w:r>
        <w:rPr/>
        <w:t xml:space="preserve">Применение </w:t>
      </w:r>
      <w:bookmarkEnd w:id="187"/>
      <w:bookmarkEnd w:id="188"/>
      <w:bookmarkEnd w:id="189"/>
      <w:bookmarkEnd w:id="190"/>
      <w:bookmarkEnd w:id="191"/>
      <w:bookmarkEnd w:id="192"/>
      <w:bookmarkEnd w:id="193"/>
      <w:r>
        <w:rPr/>
        <w:t>законодательства о национальном режиме</w:t>
      </w:r>
      <w:bookmarkEnd w:id="185"/>
      <w:bookmarkEnd w:id="186"/>
    </w:p>
    <w:p>
      <w:pPr>
        <w:pStyle w:val="Style28"/>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8"/>
        <w:rPr/>
      </w:pPr>
      <w:bookmarkStart w:id="194" w:name="_Ref192101088"/>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94"/>
    </w:p>
    <w:p>
      <w:pPr>
        <w:pStyle w:val="Style28"/>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p>
    <w:p>
      <w:pPr>
        <w:pStyle w:val="Style28"/>
        <w:rPr/>
      </w:pPr>
      <w:bookmarkStart w:id="195" w:name="_Ref192101097"/>
      <w:bookmarkStart w:id="196" w:name="_Hlk208861780"/>
      <w:bookmarkStart w:id="197" w:name="_Hlk208849639"/>
      <w:bookmarkEnd w:id="196"/>
      <w:bookmarkEnd w:id="19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w:t>
      </w:r>
      <w:bookmarkStart w:id="198" w:name="_Hlk198907172"/>
      <w:r>
        <w:rPr/>
        <w:t>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4.12</w:t>
      </w:r>
      <w:r>
        <w:rPr/>
        <w:fldChar w:fldCharType="end"/>
      </w:r>
      <w:r>
        <w:rPr/>
        <w:t>), осуществляется снижение</w:t>
      </w:r>
      <w:r>
        <w:rPr>
          <w:rStyle w:val="FootnoteReference"/>
        </w:rPr>
        <w:footnoteReference w:id="9"/>
      </w:r>
      <w:r>
        <w:rPr/>
        <w:t xml:space="preserve">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w:t>
      </w:r>
      <w:bookmarkStart w:id="199" w:name="_Hlk198901350"/>
      <w:r>
        <w:rPr/>
        <w:t>(в том числе поставляемых при выполнении закупаемых работ, оказании закупаемых услуг))</w:t>
      </w:r>
      <w:bookmarkEnd w:id="199"/>
      <w:r>
        <w:rPr/>
        <w:t>, при условии наличия допущенной заявки с иностранной продукцией (на поставку товара иностранного происхождения)</w:t>
      </w:r>
      <w:bookmarkEnd w:id="198"/>
      <w:r>
        <w:rPr/>
        <w:t>.</w:t>
      </w:r>
      <w:bookmarkEnd w:id="195"/>
    </w:p>
    <w:p>
      <w:pPr>
        <w:pStyle w:val="Style28"/>
        <w:rPr/>
      </w:pPr>
      <w:bookmarkStart w:id="200" w:name="_Ref196303561"/>
      <w:bookmarkStart w:id="201" w:name="_Ref19270078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200"/>
      <w:bookmarkEnd w:id="201"/>
    </w:p>
    <w:p>
      <w:pPr>
        <w:pStyle w:val="Style28"/>
        <w:rPr/>
      </w:pPr>
      <w:bookmarkStart w:id="202" w:name="_Ref236139588"/>
      <w:r>
        <w:rP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_Ref192101088 \r \h </w:instrText>
      </w:r>
      <w:r>
        <w:rPr/>
        <w:fldChar w:fldCharType="separate"/>
      </w:r>
      <w:r>
        <w:rPr/>
        <w:t>4.13.2</w:t>
      </w:r>
      <w:r>
        <w:rPr/>
        <w:fldChar w:fldCharType="end"/>
      </w:r>
      <w:r>
        <w:rPr/>
        <w:t> – </w:t>
      </w:r>
      <w:r>
        <w:rPr/>
        <w:fldChar w:fldCharType="begin"/>
      </w:r>
      <w:r>
        <w:rPr/>
        <w:instrText xml:space="preserve"> REF _Ref192700787 \r \h </w:instrText>
      </w:r>
      <w:r>
        <w:rPr/>
        <w:fldChar w:fldCharType="separate"/>
      </w:r>
      <w:r>
        <w:rPr/>
        <w:t>4.13.5</w:t>
      </w:r>
      <w:r>
        <w:rPr/>
        <w:fldChar w:fldCharType="end"/>
      </w:r>
      <w:r>
        <w:rPr/>
        <w:t>), установлены в Структуре НМЦ (в составе Коммерческого предложения (форма 3) (</w:t>
      </w:r>
      <w:hyperlink w:anchor="Прил04_ФормыЗаявки">
        <w:r>
          <w:rPr>
            <w:rStyle w:val="Style14"/>
          </w:rPr>
          <w:t>Приложение № 4</w:t>
        </w:r>
      </w:hyperlink>
      <w:r>
        <w:rPr/>
        <w:t xml:space="preserve">), </w:t>
      </w:r>
      <w:bookmarkStart w:id="203" w:name="_Hlk207281039"/>
      <w:r>
        <w:rPr/>
        <w:t>а также в Технических требованиях (Приложение №1) в части установления требований к подтверждающим документам</w:t>
      </w:r>
      <w:bookmarkEnd w:id="203"/>
      <w:r>
        <w:rPr/>
        <w:t>.</w:t>
      </w:r>
      <w:bookmarkEnd w:id="202"/>
    </w:p>
    <w:p>
      <w:pPr>
        <w:pStyle w:val="Style28"/>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9"/>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9"/>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8"/>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8"/>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8"/>
        <w:rPr/>
      </w:pPr>
      <w:bookmarkStart w:id="204" w:name="_Hlk191561456"/>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204"/>
      <w:r>
        <w:rPr/>
        <w:t>.</w:t>
      </w:r>
    </w:p>
    <w:p>
      <w:pPr>
        <w:pStyle w:val="Style28"/>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8"/>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7"/>
        <w:rPr/>
      </w:pPr>
      <w:bookmarkStart w:id="205" w:name="_Toc236402280"/>
      <w:bookmarkStart w:id="206" w:name="_Ref125362658"/>
      <w:bookmarkStart w:id="207" w:name="_Hlk208861780_Копия_1"/>
      <w:bookmarkStart w:id="208" w:name="_Hlk208849639_Копия_1"/>
      <w:bookmarkStart w:id="209" w:name="_Ref125367242"/>
      <w:bookmarkStart w:id="210" w:name="_Ref125366091"/>
      <w:bookmarkEnd w:id="207"/>
      <w:bookmarkEnd w:id="208"/>
      <w:r>
        <w:rPr/>
        <w:t>Подведение итогов закупки (определение Победителя)</w:t>
      </w:r>
      <w:bookmarkEnd w:id="205"/>
      <w:bookmarkEnd w:id="206"/>
      <w:bookmarkEnd w:id="209"/>
      <w:bookmarkEnd w:id="210"/>
    </w:p>
    <w:p>
      <w:pPr>
        <w:pStyle w:val="Style28"/>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8"/>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8"/>
        <w:rPr/>
      </w:pPr>
      <w:r>
        <w:rPr/>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r>
          <w:rPr>
            <w:rStyle w:val="Style14"/>
          </w:rPr>
          <w:t>Приложение № 7</w:t>
        </w:r>
      </w:hyperlink>
      <w:r>
        <w:rPr/>
        <w:t xml:space="preserve">),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 </w:t>
      </w:r>
    </w:p>
    <w:p>
      <w:pPr>
        <w:pStyle w:val="Style28"/>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8"/>
        <w:keepNext w:val="true"/>
        <w:rPr/>
      </w:pPr>
      <w:bookmarkStart w:id="211"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10"/>
      </w:r>
      <w:r>
        <w:rPr/>
        <w:t>:</w:t>
      </w:r>
      <w:bookmarkEnd w:id="211"/>
    </w:p>
    <w:p>
      <w:pPr>
        <w:pStyle w:val="Style29"/>
        <w:rPr/>
      </w:pPr>
      <w:r>
        <w:rPr/>
        <w:t>дата подписания протокола;</w:t>
      </w:r>
    </w:p>
    <w:p>
      <w:pPr>
        <w:pStyle w:val="Style29"/>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9"/>
        <w:rPr/>
      </w:pPr>
      <w:r>
        <w:rPr/>
        <w:t>наименования Участников, заявки которых были допущены по результатам рассмотрения заявок, и (или) их идентификационные номера, присваиваемые Оператором ЭП;</w:t>
      </w:r>
    </w:p>
    <w:p>
      <w:pPr>
        <w:pStyle w:val="Style29"/>
        <w:keepNext w:val="true"/>
        <w:rPr/>
      </w:pPr>
      <w:r>
        <w:rP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pPr>
        <w:pStyle w:val="Style30"/>
        <w:rPr/>
      </w:pPr>
      <w:r>
        <w:rPr/>
        <w:t>количества заявок, которые были отклонены;</w:t>
      </w:r>
    </w:p>
    <w:p>
      <w:pPr>
        <w:pStyle w:val="Style30"/>
        <w:rPr/>
      </w:pPr>
      <w:r>
        <w:rPr/>
        <w:t>оснований отклонения каждой заявки с указанием положений Документации о закупке, которым не соответствует такая заявка;</w:t>
      </w:r>
    </w:p>
    <w:p>
      <w:pPr>
        <w:pStyle w:val="Style29"/>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9"/>
        <w:rPr/>
      </w:pPr>
      <w:bookmarkStart w:id="212" w:name="_Hlk149651367"/>
      <w:r>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bookmarkEnd w:id="212"/>
    </w:p>
    <w:p>
      <w:pPr>
        <w:pStyle w:val="Style29"/>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9"/>
        <w:rPr/>
      </w:pPr>
      <w:r>
        <w:rPr/>
        <w:t>причины, по которым закупка признана несостоявшейся (в случае ее признания таковой),</w:t>
      </w:r>
    </w:p>
    <w:p>
      <w:pPr>
        <w:pStyle w:val="Style32"/>
        <w:ind w:hanging="0"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8"/>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8"/>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7"/>
        <w:rPr/>
      </w:pPr>
      <w:bookmarkStart w:id="213" w:name="_Ref125366796"/>
      <w:bookmarkStart w:id="214" w:name="_Toc236402281"/>
      <w:bookmarkStart w:id="215" w:name="_Ref125364187"/>
      <w:bookmarkStart w:id="216" w:name="_Ref125366631"/>
      <w:bookmarkStart w:id="217" w:name="_Ref125365570"/>
      <w:bookmarkStart w:id="218" w:name="_Ref125364149"/>
      <w:bookmarkStart w:id="219" w:name="_Ref125365305"/>
      <w:r>
        <w:rPr/>
        <w:t>Признание закупки несостоявшейся</w:t>
      </w:r>
      <w:bookmarkEnd w:id="213"/>
      <w:bookmarkEnd w:id="214"/>
      <w:bookmarkEnd w:id="215"/>
      <w:bookmarkEnd w:id="216"/>
      <w:bookmarkEnd w:id="217"/>
      <w:bookmarkEnd w:id="218"/>
      <w:bookmarkEnd w:id="219"/>
    </w:p>
    <w:p>
      <w:pPr>
        <w:pStyle w:val="Style28"/>
        <w:keepNext w:val="true"/>
        <w:rPr/>
      </w:pPr>
      <w:r>
        <w:rPr/>
        <w:t>Закупка признается несостоявшейся в следующих случаях:</w:t>
      </w:r>
    </w:p>
    <w:p>
      <w:pPr>
        <w:pStyle w:val="Style29"/>
        <w:rPr/>
      </w:pPr>
      <w:r>
        <w:rPr/>
        <w:t>если по окончанию срока подачи заявок поступило менее 2 (двух) заявок (с учетом возможных отзывов заявок);</w:t>
      </w:r>
    </w:p>
    <w:p>
      <w:pPr>
        <w:pStyle w:val="Style29"/>
        <w:rPr/>
      </w:pPr>
      <w:r>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29"/>
        <w:rPr/>
      </w:pPr>
      <w:bookmarkStart w:id="220"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5.4</w:t>
      </w:r>
      <w:r>
        <w:rPr/>
        <w:fldChar w:fldCharType="end"/>
      </w:r>
      <w:bookmarkEnd w:id="220"/>
      <w:r>
        <w:rPr/>
        <w:t>).</w:t>
      </w:r>
    </w:p>
    <w:p>
      <w:pPr>
        <w:pStyle w:val="Style28"/>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8"/>
        <w:keepNext w:val="true"/>
        <w:rPr/>
      </w:pPr>
      <w:r>
        <w:rPr/>
        <w:t>В случае признания закупки несостоявшейся (с учетом условий, предусмотренных Положением о закупке):</w:t>
      </w:r>
    </w:p>
    <w:p>
      <w:pPr>
        <w:pStyle w:val="Style29"/>
        <w:rPr/>
      </w:pPr>
      <w:bookmarkStart w:id="221" w:name="_Hlk214281841"/>
      <w:bookmarkEnd w:id="221"/>
      <w:r>
        <w:rP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6"/>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2"/>
        <w:numPr>
          <w:ilvl w:val="0"/>
          <w:numId w:val="18"/>
        </w:numPr>
        <w:tabs>
          <w:tab w:val="clear" w:pos="2552"/>
        </w:tabs>
        <w:ind w:hanging="426" w:left="2127"/>
        <w:rPr>
          <w:sz w:val="26"/>
          <w:szCs w:val="26"/>
        </w:rPr>
      </w:pPr>
      <w:r>
        <w:rPr>
          <w:sz w:val="26"/>
          <w:szCs w:val="26"/>
        </w:rPr>
        <w:t>повторное проведение закупки (с изменением способа закупки, если применимо в соответствии с Положением о закупке);</w:t>
      </w:r>
    </w:p>
    <w:p>
      <w:pPr>
        <w:pStyle w:val="-2"/>
        <w:numPr>
          <w:ilvl w:val="0"/>
          <w:numId w:val="18"/>
        </w:numPr>
        <w:tabs>
          <w:tab w:val="clear" w:pos="2552"/>
        </w:tabs>
        <w:ind w:hanging="0" w:left="1701"/>
        <w:rPr>
          <w:sz w:val="26"/>
          <w:szCs w:val="26"/>
        </w:rPr>
      </w:pPr>
      <w:r>
        <w:rPr>
          <w:sz w:val="26"/>
          <w:szCs w:val="26"/>
        </w:rPr>
        <w:t>отказ от заключения договора по следующим основаниям:</w:t>
      </w:r>
    </w:p>
    <w:p>
      <w:pPr>
        <w:pStyle w:val="-2"/>
        <w:numPr>
          <w:ilvl w:val="0"/>
          <w:numId w:val="19"/>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2"/>
        <w:numPr>
          <w:ilvl w:val="0"/>
          <w:numId w:val="19"/>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2"/>
        <w:numPr>
          <w:ilvl w:val="0"/>
          <w:numId w:val="19"/>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2"/>
        <w:numPr>
          <w:ilvl w:val="0"/>
          <w:numId w:val="18"/>
        </w:numPr>
        <w:tabs>
          <w:tab w:val="clear" w:pos="2552"/>
        </w:tabs>
        <w:ind w:hanging="426" w:left="2127"/>
        <w:rPr>
          <w:sz w:val="26"/>
          <w:szCs w:val="26"/>
        </w:rPr>
      </w:pPr>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p>
      <w:pPr>
        <w:pStyle w:val="Style29"/>
        <w:rPr/>
      </w:pPr>
      <w:bookmarkStart w:id="222" w:name="_Hlk214281858"/>
      <w:bookmarkStart w:id="223" w:name="_Hlk214281841_Копия_1"/>
      <w:bookmarkEnd w:id="222"/>
      <w:bookmarkEnd w:id="223"/>
      <w:r>
        <w:rPr/>
        <w:t xml:space="preserve">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w:t>
      </w:r>
      <w:bookmarkStart w:id="224" w:name="_Hlk219297054"/>
      <w:r>
        <w:rPr/>
        <w:t xml:space="preserve">либо по результатам проведения закупки от заключения договора уклонились все допущенные Участники </w:t>
      </w:r>
      <w:bookmarkEnd w:id="224"/>
      <w:r>
        <w:rPr/>
        <w:t>– Заказчик проводит повторную закупку (с изменением способа закупки, если применимо в соответствии с Положением о закупке).</w:t>
      </w:r>
    </w:p>
    <w:p>
      <w:pPr>
        <w:pStyle w:val="Style36"/>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2"/>
        <w:numPr>
          <w:ilvl w:val="0"/>
          <w:numId w:val="19"/>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2"/>
        <w:numPr>
          <w:ilvl w:val="0"/>
          <w:numId w:val="19"/>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2"/>
        <w:numPr>
          <w:ilvl w:val="0"/>
          <w:numId w:val="19"/>
        </w:numPr>
        <w:tabs>
          <w:tab w:val="clear" w:pos="2552"/>
        </w:tabs>
        <w:ind w:hanging="425" w:left="21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7"/>
        <w:rPr/>
      </w:pPr>
      <w:bookmarkStart w:id="225" w:name="_Toc236402282"/>
      <w:bookmarkStart w:id="226" w:name="_Ref126141962"/>
      <w:bookmarkStart w:id="227" w:name="_Hlk214281858_Копия_1"/>
      <w:bookmarkEnd w:id="227"/>
      <w:r>
        <w:rPr/>
        <w:t>Отказ от проведения закупки</w:t>
      </w:r>
      <w:bookmarkEnd w:id="226"/>
      <w:r>
        <w:rPr/>
        <w:t xml:space="preserve"> (отмена закупки)</w:t>
      </w:r>
      <w:bookmarkEnd w:id="225"/>
    </w:p>
    <w:p>
      <w:pPr>
        <w:pStyle w:val="Style28"/>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8"/>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8"/>
        <w:rPr/>
      </w:pPr>
      <w:r>
        <w:rPr/>
        <w:t>Дополнительно организатор уведомляет всех Участников об отмене закупки посредством ЭП.</w:t>
      </w:r>
    </w:p>
    <w:p>
      <w:pPr>
        <w:pStyle w:val="Style28"/>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7"/>
        <w:rPr/>
      </w:pPr>
      <w:bookmarkStart w:id="228" w:name="_Ref130455226"/>
      <w:bookmarkStart w:id="229" w:name="_Toc236402283"/>
      <w:r>
        <w:rPr/>
        <w:t>Особенности проведения закупки с необходимостью обеспечения заявки</w:t>
      </w:r>
      <w:bookmarkEnd w:id="228"/>
      <w:bookmarkEnd w:id="229"/>
    </w:p>
    <w:p>
      <w:pPr>
        <w:pStyle w:val="Style28"/>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8"/>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8"/>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8"/>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pPr>
        <w:pStyle w:val="Style28"/>
        <w:rPr/>
      </w:pPr>
      <w:r>
        <w:rP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pPr>
        <w:pStyle w:val="Style29"/>
        <w:rPr/>
      </w:pPr>
      <w:r>
        <w:rPr/>
        <w:t>банковская гарантия должна быть безотзывной и безусловной (гарантия по первому требованию);</w:t>
      </w:r>
    </w:p>
    <w:p>
      <w:pPr>
        <w:pStyle w:val="Style29"/>
        <w:rPr/>
      </w:pPr>
      <w:r>
        <w:rPr/>
        <w:t>сумма банковской гарантии должна быть выражена в российских рублях и составлять не менее суммы в размере, указанном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9"/>
        <w:rPr/>
      </w:pPr>
      <w:r>
        <w:rPr/>
        <w:t>банковская гарантия должна действовать не менее 120 (ста двадцати)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9"/>
        <w:rPr/>
      </w:pPr>
      <w:r>
        <w:rPr/>
        <w:t>бенефициаром в банковской гарантии должен быть указан Заказчик, принципалом – Участник, гарантом – банк, выдавший банковскую гарантию;</w:t>
      </w:r>
    </w:p>
    <w:p>
      <w:pPr>
        <w:pStyle w:val="Style29"/>
        <w:rPr/>
      </w:pPr>
      <w:r>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Pr/>
        <w:fldChar w:fldCharType="begin"/>
      </w:r>
      <w:r>
        <w:rPr/>
        <w:instrText xml:space="preserve"> REF _Ref228961675 \r \h </w:instrText>
      </w:r>
      <w:r>
        <w:rPr/>
        <w:fldChar w:fldCharType="separate"/>
      </w:r>
      <w:r>
        <w:rPr/>
        <w:t>4.17.11</w:t>
      </w:r>
      <w:r>
        <w:rPr/>
        <w:fldChar w:fldCharType="end"/>
      </w:r>
      <w:r>
        <w:rPr/>
        <w:t>;</w:t>
      </w:r>
    </w:p>
    <w:p>
      <w:pPr>
        <w:pStyle w:val="Style29"/>
        <w:rPr/>
      </w:pPr>
      <w:r>
        <w:rP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pPr>
        <w:pStyle w:val="Style29"/>
        <w:rPr/>
      </w:pPr>
      <w:r>
        <w:rPr/>
        <w:t>платеж по банковской гарантии должен быть осуществлен в течение 10 (десяти) рабочих дней после обращения бенефициара;</w:t>
      </w:r>
    </w:p>
    <w:p>
      <w:pPr>
        <w:pStyle w:val="Style29"/>
        <w:rPr/>
      </w:pPr>
      <w:r>
        <w:rPr/>
        <w:t>в банковской гарантии не должно быть условий или требований, противоречащих вышеизложенному или делающих вышеизложенное неисполнимым;</w:t>
      </w:r>
    </w:p>
    <w:p>
      <w:pPr>
        <w:pStyle w:val="Style29"/>
        <w:rPr/>
      </w:pPr>
      <w:r>
        <w:rP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1"/>
      </w:r>
      <w:r>
        <w:rP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pPr>
        <w:pStyle w:val="Style29"/>
        <w:rPr/>
      </w:pPr>
      <w:r>
        <w:rP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Pr>
          <w:rStyle w:val="FootnoteReference"/>
        </w:rPr>
        <w:footnoteReference w:id="12"/>
      </w:r>
      <w:r>
        <w:rPr/>
        <w:t xml:space="preserve"> в качестве органа, компетентного разрешать споры из банковской гарантии.</w:t>
      </w:r>
    </w:p>
    <w:p>
      <w:pPr>
        <w:pStyle w:val="Style28"/>
        <w:rPr/>
      </w:pPr>
      <w:r>
        <w:rP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8"/>
        <w:rPr/>
      </w:pPr>
      <w:r>
        <w:rPr/>
        <w:t>При многолотовой закупке (подраздел </w:t>
      </w:r>
      <w:r>
        <w:rPr/>
        <w:fldChar w:fldCharType="begin"/>
      </w:r>
      <w:r>
        <w:rPr/>
        <w:instrText xml:space="preserve"> REF _Ref149317278 \n \h </w:instrText>
      </w:r>
      <w:r>
        <w:rPr/>
        <w:fldChar w:fldCharType="separate"/>
      </w:r>
      <w:r>
        <w:rPr/>
        <w:t>4.18</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8"/>
        <w:rPr/>
      </w:pPr>
      <w:r>
        <w:rPr/>
        <w:t>При подаче заявки с альтернативными предложениями (подраздел </w:t>
      </w:r>
      <w:r>
        <w:rPr/>
        <w:fldChar w:fldCharType="begin"/>
      </w:r>
      <w:r>
        <w:rPr/>
        <w:instrText xml:space="preserve"> REF _Ref125550863 \r \h </w:instrText>
      </w:r>
      <w:r>
        <w:rPr/>
        <w:fldChar w:fldCharType="separate"/>
      </w:r>
      <w:r>
        <w:rPr/>
        <w:t>4.19</w:t>
      </w:r>
      <w:r>
        <w:rPr/>
        <w:fldChar w:fldCharType="end"/>
      </w:r>
      <w:r>
        <w:rP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pPr>
        <w:pStyle w:val="Style28"/>
        <w:rPr/>
      </w:pPr>
      <w:r>
        <w:rPr/>
        <w:t>Подать заявку (принять участие в закупке) могут только Участники, предоставившие надлежащее обеспечение их заявок.</w:t>
      </w:r>
    </w:p>
    <w:p>
      <w:pPr>
        <w:pStyle w:val="Style28"/>
        <w:rPr/>
      </w:pPr>
      <w:r>
        <w:rPr/>
        <w:t>Требование об обеспечении заявки в равной мере распространяется на всех Участников.</w:t>
      </w:r>
    </w:p>
    <w:p>
      <w:pPr>
        <w:pStyle w:val="Style28"/>
        <w:keepNext w:val="true"/>
        <w:rPr/>
      </w:pPr>
      <w:bookmarkStart w:id="230" w:name="_Ref228961675"/>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30"/>
    </w:p>
    <w:p>
      <w:pPr>
        <w:pStyle w:val="Style29"/>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4"/>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_Ref138232981 \r \h </w:instrText>
      </w:r>
      <w:r>
        <w:rPr/>
        <w:fldChar w:fldCharType="separate"/>
      </w:r>
      <w:r>
        <w:rPr/>
        <w:t>5.2</w:t>
      </w:r>
      <w:r>
        <w:rPr/>
        <w:fldChar w:fldCharType="end"/>
      </w:r>
      <w:r>
        <w:rPr/>
        <w:t>;</w:t>
      </w:r>
    </w:p>
    <w:p>
      <w:pPr>
        <w:pStyle w:val="Style29"/>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4"/>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4"/>
          </w:rPr>
          <w:t>Проектом договора</w:t>
        </w:r>
      </w:hyperlink>
      <w:r>
        <w:rPr/>
        <w:t>).</w:t>
      </w:r>
    </w:p>
    <w:p>
      <w:pPr>
        <w:pStyle w:val="Style28"/>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pPr>
        <w:pStyle w:val="Style28"/>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20 (двадцати) рабочих дней с даты:</w:t>
      </w:r>
    </w:p>
    <w:p>
      <w:pPr>
        <w:pStyle w:val="Style29"/>
        <w:rPr/>
      </w:pPr>
      <w:r>
        <w:rPr/>
        <w:t>принятия решения об отказе от проведения закупки – всем Участникам, подавшим заявки к моменту принятия такого решения;</w:t>
      </w:r>
    </w:p>
    <w:p>
      <w:pPr>
        <w:pStyle w:val="Style29"/>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9"/>
        <w:rPr/>
      </w:pPr>
      <w:r>
        <w:rPr/>
        <w:t>официального размещения протокола рассмотрения заявок (при условии его оформления) – Участникам, чьи заявки были отклонены;</w:t>
      </w:r>
    </w:p>
    <w:p>
      <w:pPr>
        <w:pStyle w:val="Style29"/>
        <w:rPr/>
      </w:pPr>
      <w:r>
        <w:rPr/>
        <w:t>официального размещения итогового протокола по результатам закупки – всем Участникам, кроме Победителя;</w:t>
      </w:r>
    </w:p>
    <w:p>
      <w:pPr>
        <w:pStyle w:val="Style29"/>
        <w:rPr/>
      </w:pPr>
      <w:r>
        <w:rPr/>
        <w:t>заключения Договора по результатам закупки – Победителю, с которым заключен Договор;</w:t>
      </w:r>
    </w:p>
    <w:p>
      <w:pPr>
        <w:pStyle w:val="Style29"/>
        <w:rPr/>
      </w:pPr>
      <w:r>
        <w:rPr/>
        <w:t>признания закупки несостоявшейся – Участнику, которому обеспечение не было возвращено по иным основаниям.</w:t>
      </w:r>
    </w:p>
    <w:p>
      <w:pPr>
        <w:pStyle w:val="Style28"/>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pPr>
        <w:pStyle w:val="Style27"/>
        <w:rPr/>
      </w:pPr>
      <w:bookmarkStart w:id="231" w:name="_Ref130225422"/>
      <w:bookmarkStart w:id="232" w:name="_Ref149317278"/>
      <w:bookmarkStart w:id="233" w:name="_Toc236402284"/>
      <w:r>
        <w:rPr/>
        <w:t>Особенности проведения многолотовой закупки</w:t>
      </w:r>
      <w:bookmarkEnd w:id="231"/>
      <w:bookmarkEnd w:id="232"/>
      <w:bookmarkEnd w:id="233"/>
    </w:p>
    <w:p>
      <w:pPr>
        <w:pStyle w:val="Style28"/>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8"/>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8"/>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8"/>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8"/>
        <w:keepNext w:val="true"/>
        <w:rPr/>
      </w:pPr>
      <w:r>
        <w:rPr/>
        <w:t>В случае подачи заявки на несколько лотов дополнительно должны быть соблюдены следующие требования:</w:t>
      </w:r>
    </w:p>
    <w:p>
      <w:pPr>
        <w:pStyle w:val="Style29"/>
        <w:rPr/>
      </w:pPr>
      <w:r>
        <w:rPr/>
        <w:t>Письмо о подаче оферты (форма 2) (</w:t>
      </w:r>
      <w:hyperlink w:anchor="Прил04_ФормыЗаявки">
        <w:r>
          <w:rPr>
            <w:rStyle w:val="Style14"/>
          </w:rPr>
          <w:t>Приложение № 4</w:t>
        </w:r>
      </w:hyperlink>
      <w:r>
        <w:rPr/>
        <w:t>) должно содержать указание номера и названия каждого лота, по каждому лоту должна быть указана его стоимость;</w:t>
      </w:r>
    </w:p>
    <w:p>
      <w:pPr>
        <w:pStyle w:val="Style29"/>
        <w:rPr/>
      </w:pPr>
      <w:r>
        <w:rP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r>
          <w:rPr>
            <w:rStyle w:val="Style14"/>
          </w:rPr>
          <w:t>Приложение № 4</w:t>
        </w:r>
      </w:hyperlink>
      <w:r>
        <w:rPr/>
        <w:t>, должны быть подготовлены отдельно по каждому из лотов с указанием номера и названия лота.</w:t>
      </w:r>
    </w:p>
    <w:p>
      <w:pPr>
        <w:pStyle w:val="Style28"/>
        <w:rPr/>
      </w:pPr>
      <w:r>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7"/>
        <w:rPr/>
      </w:pPr>
      <w:bookmarkStart w:id="234" w:name="_Ref125550863"/>
      <w:bookmarkStart w:id="235" w:name="_Toc236402285"/>
      <w:r>
        <w:rPr/>
        <w:t>Особенности проведения закупки с возможностью подачи альтернативных предложений</w:t>
      </w:r>
      <w:bookmarkEnd w:id="234"/>
      <w:bookmarkEnd w:id="235"/>
    </w:p>
    <w:p>
      <w:pPr>
        <w:pStyle w:val="Style28"/>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возможность подачи альтернативных предложений.</w:t>
      </w:r>
    </w:p>
    <w:p>
      <w:pPr>
        <w:pStyle w:val="Style28"/>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8"/>
        <w:rPr/>
      </w:pPr>
      <w:r>
        <w:rP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rPr/>
        <w:fldChar w:fldCharType="begin"/>
      </w:r>
      <w:r>
        <w:rPr/>
        <w:instrText xml:space="preserve"> REF _Ref125359973 \r \h </w:instrText>
      </w:r>
      <w:r>
        <w:rPr/>
        <w:fldChar w:fldCharType="separate"/>
      </w:r>
      <w:r>
        <w:rPr/>
        <w:t>1.2</w:t>
      </w:r>
      <w:r>
        <w:rPr/>
        <w:fldChar w:fldCharType="end"/>
      </w:r>
      <w:r>
        <w:rPr/>
        <w:t>. Требование о том, что участник имеет право подать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pPr>
        <w:pStyle w:val="Style28"/>
        <w:rPr/>
      </w:pPr>
      <w:r>
        <w:rPr/>
        <w:t>Альтернативные предложения могут сопровождаться альтернативными ценами (не превышающими НМЦ, установленную в подразделе </w:t>
      </w:r>
      <w:r>
        <w:rPr/>
        <w:fldChar w:fldCharType="begin"/>
      </w:r>
      <w:r>
        <w:rPr/>
        <w:instrText xml:space="preserve"> REF _Ref125359973 \r \h </w:instrText>
      </w:r>
      <w:r>
        <w:rPr/>
        <w:fldChar w:fldCharType="separate"/>
      </w:r>
      <w:r>
        <w:rPr/>
        <w:t>1.2</w:t>
      </w:r>
      <w:r>
        <w:rPr/>
        <w:fldChar w:fldCharType="end"/>
      </w:r>
      <w:r>
        <w:rPr/>
        <w:t>). При этом альтернативные предложения, по сути отличающиеся от основного только ценой, рассматриваться не будут.</w:t>
      </w:r>
    </w:p>
    <w:p>
      <w:pPr>
        <w:pStyle w:val="Style28"/>
        <w:rPr/>
      </w:pPr>
      <w:r>
        <w:rP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r>
          <w:rPr>
            <w:rStyle w:val="Style14"/>
          </w:rPr>
          <w:t>Приложение № 4</w:t>
        </w:r>
      </w:hyperlink>
      <w:r>
        <w:rP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pPr>
        <w:pStyle w:val="Style28"/>
        <w:rPr/>
      </w:pPr>
      <w:r>
        <w:rPr/>
        <w:t>При проведении переторжки (подраздел </w:t>
      </w:r>
      <w:r>
        <w:rPr/>
        <w:fldChar w:fldCharType="begin"/>
      </w:r>
      <w:r>
        <w:rPr/>
        <w:instrText xml:space="preserve"> REF _Ref127536359 \r \h </w:instrText>
      </w:r>
      <w:r>
        <w:rPr/>
        <w:fldChar w:fldCharType="separate"/>
      </w:r>
      <w:r>
        <w:rPr/>
        <w:t>4.11</w:t>
      </w:r>
      <w:r>
        <w:rPr/>
        <w:fldChar w:fldCharType="end"/>
      </w:r>
      <w:r>
        <w:rPr/>
        <w:t>) альтернативные предложения Участников допускаются к ней наравне с основными предложениями.</w:t>
      </w:r>
    </w:p>
    <w:p>
      <w:pPr>
        <w:pStyle w:val="Style28"/>
        <w:rPr/>
      </w:pPr>
      <w:r>
        <w:rP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pPr>
        <w:pStyle w:val="Style26"/>
        <w:rPr/>
      </w:pPr>
      <w:bookmarkStart w:id="236" w:name="_Ref125366769"/>
      <w:bookmarkStart w:id="237" w:name="_Ref125362671"/>
      <w:bookmarkStart w:id="238" w:name="_Ref125363439"/>
      <w:bookmarkStart w:id="239" w:name="_Ref125361212"/>
      <w:bookmarkStart w:id="240" w:name="_Ref125367083"/>
      <w:bookmarkStart w:id="241" w:name="_Ref126142429"/>
      <w:bookmarkStart w:id="242" w:name="_Ref130224037"/>
      <w:bookmarkStart w:id="243" w:name="_Ref125367087"/>
      <w:bookmarkStart w:id="244" w:name="_Toc236402286"/>
      <w:r>
        <w:rPr/>
        <w:t>Порядок заключения Договора</w:t>
      </w:r>
      <w:bookmarkEnd w:id="236"/>
      <w:bookmarkEnd w:id="237"/>
      <w:bookmarkEnd w:id="238"/>
      <w:bookmarkEnd w:id="239"/>
      <w:bookmarkEnd w:id="240"/>
      <w:bookmarkEnd w:id="241"/>
      <w:bookmarkEnd w:id="242"/>
      <w:bookmarkEnd w:id="243"/>
      <w:bookmarkEnd w:id="244"/>
    </w:p>
    <w:p>
      <w:pPr>
        <w:pStyle w:val="Style27"/>
        <w:rPr/>
      </w:pPr>
      <w:bookmarkStart w:id="245" w:name="_Toc236402287"/>
      <w:bookmarkStart w:id="246" w:name="_Ref139028625"/>
      <w:r>
        <w:rPr/>
        <w:t>Общие положения</w:t>
      </w:r>
      <w:bookmarkEnd w:id="245"/>
      <w:bookmarkEnd w:id="246"/>
    </w:p>
    <w:p>
      <w:pPr>
        <w:pStyle w:val="Style28"/>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7"/>
        <w:rPr/>
      </w:pPr>
      <w:bookmarkStart w:id="247" w:name="_Ref125368755"/>
      <w:bookmarkStart w:id="248" w:name="_Ref135736094"/>
      <w:bookmarkStart w:id="249" w:name="_Toc236402288"/>
      <w:bookmarkStart w:id="250" w:name="_Ref125366947"/>
      <w:bookmarkStart w:id="251" w:name="_Ref138232981"/>
      <w:r>
        <w:rPr/>
        <w:t>Заключение Договора</w:t>
      </w:r>
      <w:bookmarkEnd w:id="247"/>
      <w:bookmarkEnd w:id="248"/>
      <w:bookmarkEnd w:id="249"/>
      <w:bookmarkEnd w:id="250"/>
      <w:bookmarkEnd w:id="251"/>
    </w:p>
    <w:p>
      <w:pPr>
        <w:pStyle w:val="Style28"/>
        <w:rPr/>
      </w:pPr>
      <w:bookmarkStart w:id="252" w:name="_Ref125362935"/>
      <w:bookmarkStart w:id="253"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52"/>
      <w:bookmarkEnd w:id="253"/>
    </w:p>
    <w:p>
      <w:pPr>
        <w:pStyle w:val="Style28"/>
        <w:rPr/>
      </w:pPr>
      <w:r>
        <w:rPr/>
        <w:t>Договор не может быть заключен, если это запрещено законодательством о национальном режиме.</w:t>
      </w:r>
    </w:p>
    <w:p>
      <w:pPr>
        <w:pStyle w:val="Style28"/>
        <w:rPr/>
      </w:pPr>
      <w:bookmarkStart w:id="254" w:name="_Hlk207281466"/>
      <w:bookmarkStart w:id="255" w:name="_Hlk208849809"/>
      <w:bookmarkEnd w:id="254"/>
      <w:bookmarkEnd w:id="255"/>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8"/>
        <w:rPr/>
      </w:pPr>
      <w:bookmarkStart w:id="256" w:name="_Hlk207281494"/>
      <w:bookmarkStart w:id="257" w:name="_Ref125363464"/>
      <w:bookmarkStart w:id="258" w:name="_Hlk193277049"/>
      <w:bookmarkStart w:id="259" w:name="_Hlk207281466_Копия_1"/>
      <w:bookmarkEnd w:id="257"/>
      <w:bookmarkEnd w:id="258"/>
      <w:bookmarkEnd w:id="259"/>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4"/>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8"/>
        <w:numPr>
          <w:ilvl w:val="0"/>
          <w:numId w:val="16"/>
        </w:numPr>
        <w:ind w:hanging="567" w:left="1701"/>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8"/>
        <w:numPr>
          <w:ilvl w:val="0"/>
          <w:numId w:val="16"/>
        </w:numPr>
        <w:ind w:hanging="567" w:left="1701"/>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4"/>
          </w:rPr>
          <w:t>Приложения № 4</w:t>
        </w:r>
      </w:hyperlink>
      <w:r>
        <w:rPr/>
        <w:t>)) адрес электронной почты ответственного лица</w:t>
      </w:r>
      <w:bookmarkEnd w:id="256"/>
      <w:r>
        <w:rPr/>
        <w:t>.</w:t>
      </w:r>
    </w:p>
    <w:p>
      <w:pPr>
        <w:pStyle w:val="Style28"/>
        <w:keepNext w:val="true"/>
        <w:rPr/>
      </w:pPr>
      <w:bookmarkStart w:id="260" w:name="_Ref125551776"/>
      <w:bookmarkStart w:id="261" w:name="_Ref125363464_Копия_1"/>
      <w:bookmarkStart w:id="262" w:name="_Hlk193277049_Копия_1"/>
      <w:bookmarkStart w:id="263" w:name="_Hlk208849809_Копия_1"/>
      <w:bookmarkEnd w:id="261"/>
      <w:bookmarkEnd w:id="262"/>
      <w:bookmarkEnd w:id="263"/>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w:t>
      </w:r>
      <w:bookmarkStart w:id="264" w:name="_Hlk208849833"/>
      <w:bookmarkStart w:id="265" w:name="_Hlk207281699"/>
      <w:r>
        <w:rPr/>
        <w:t xml:space="preserve">Portable Document Format </w:t>
      </w:r>
      <w:bookmarkEnd w:id="265"/>
      <w:r>
        <w:rPr/>
        <w:t>(*.</w:t>
      </w:r>
      <w:r>
        <w:rPr>
          <w:lang w:val="en-US"/>
        </w:rPr>
        <w:t>pdf</w:t>
      </w:r>
      <w:r>
        <w:rPr/>
        <w:t>)</w:t>
      </w:r>
      <w:bookmarkEnd w:id="264"/>
      <w:r>
        <w:rPr/>
        <w:t>):</w:t>
      </w:r>
      <w:bookmarkEnd w:id="260"/>
    </w:p>
    <w:p>
      <w:pPr>
        <w:pStyle w:val="Style29"/>
        <w:rPr/>
      </w:pPr>
      <w:r>
        <w:rP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rPr>
          <w:t>Приложением № 5</w:t>
        </w:r>
      </w:hyperlink>
      <w:r>
        <w:rPr/>
        <w:t>;</w:t>
      </w:r>
    </w:p>
    <w:p>
      <w:pPr>
        <w:pStyle w:val="Style29"/>
        <w:rPr/>
      </w:pPr>
      <w:bookmarkStart w:id="266" w:name="_Ref125552642"/>
      <w:r>
        <w:rP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rPr/>
        <w:fldChar w:fldCharType="begin"/>
      </w:r>
      <w:r>
        <w:rPr/>
        <w:instrText xml:space="preserve"> REF _Ref127536359 \r \h </w:instrText>
      </w:r>
      <w:r>
        <w:rPr/>
        <w:fldChar w:fldCharType="separate"/>
      </w:r>
      <w:r>
        <w:rPr/>
        <w:t>4.11</w:t>
      </w:r>
      <w:r>
        <w:rPr/>
        <w:fldChar w:fldCharType="end"/>
      </w:r>
      <w:r>
        <w:rPr/>
        <w:t>)</w:t>
      </w:r>
      <w:bookmarkEnd w:id="266"/>
      <w:r>
        <w:rPr/>
        <w:t>.</w:t>
      </w:r>
    </w:p>
    <w:p>
      <w:pPr>
        <w:pStyle w:val="Style28"/>
        <w:keepNext w:val="true"/>
        <w:rPr/>
      </w:pPr>
      <w:bookmarkStart w:id="267"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4"/>
          </w:rPr>
          <w:t>Приложение № 3</w:t>
        </w:r>
      </w:hyperlink>
      <w:r>
        <w:rPr/>
        <w:t xml:space="preserve">), следующие документы (скан-копии в формате </w:t>
      </w:r>
      <w:bookmarkStart w:id="268" w:name="_Hlk207281725"/>
      <w:r>
        <w:rPr/>
        <w:t xml:space="preserve">Portable Document Format </w:t>
      </w:r>
      <w:bookmarkEnd w:id="268"/>
      <w:r>
        <w:rPr/>
        <w:t>(*.</w:t>
      </w:r>
      <w:r>
        <w:rPr>
          <w:lang w:val="en-US"/>
        </w:rPr>
        <w:t>pdf</w:t>
      </w:r>
      <w:r>
        <w:rPr/>
        <w:t>))</w:t>
      </w:r>
      <w:r>
        <w:rPr>
          <w:rStyle w:val="FootnoteReference"/>
        </w:rPr>
        <w:footnoteReference w:id="13"/>
      </w:r>
      <w:r>
        <w:rPr/>
        <w:t>:</w:t>
      </w:r>
      <w:bookmarkEnd w:id="267"/>
    </w:p>
    <w:p>
      <w:pPr>
        <w:pStyle w:val="Style29"/>
        <w:keepNext w:val="true"/>
        <w:rPr/>
      </w:pPr>
      <w:r>
        <w:rPr/>
        <w:t>для юридического лица:</w:t>
      </w:r>
    </w:p>
    <w:p>
      <w:pPr>
        <w:pStyle w:val="Style30"/>
        <w:rPr/>
      </w:pPr>
      <w:r>
        <w:rPr/>
        <w:t>копия устава в действующей редакции с отметкой ИФНС либо копия нотариально заверенного устава (с отметкой нотариуса);</w:t>
      </w:r>
    </w:p>
    <w:p>
      <w:pPr>
        <w:pStyle w:val="Style30"/>
        <w:rPr/>
      </w:pPr>
      <w:bookmarkStart w:id="269"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69"/>
    </w:p>
    <w:p>
      <w:pPr>
        <w:pStyle w:val="Style30"/>
        <w:rPr/>
      </w:pPr>
      <w:r>
        <w:rPr/>
        <w:t>если договор подписывается лицом, действующим на основании доверенности, дополнительно предоставляется соответствующая доверенность либо ее нотариально заверенная копия (с указанием правомочий на подписание договора) и документы, подтверждающие соответствующие полномочия лица, выдавшего доверенность;</w:t>
      </w:r>
    </w:p>
    <w:p>
      <w:pPr>
        <w:pStyle w:val="Style30"/>
        <w:rPr/>
      </w:pPr>
      <w:r>
        <w:rPr/>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 которых проводится закупка);</w:t>
      </w:r>
    </w:p>
    <w:p>
      <w:pPr>
        <w:pStyle w:val="Style29"/>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9"/>
        <w:rPr/>
      </w:pPr>
      <w:r>
        <w:rPr/>
        <w:t>для физического лица: нотариально заверенная копия всех страниц документа, удостоверяющего личность (паспорта);</w:t>
      </w:r>
    </w:p>
    <w:p>
      <w:pPr>
        <w:pStyle w:val="Style29"/>
        <w:rPr/>
      </w:pPr>
      <w:bookmarkStart w:id="270" w:name="_Ref125361554"/>
      <w:r>
        <w:rPr/>
        <w:t>если Договор заключается с лидером Коллективного участника, то в обязательном порядке предоставляется оригинал и (или) нотариально заверенная копия Соглашения между членами Коллективного участника, указанного в пункте </w:t>
      </w:r>
      <w:r>
        <w:rPr/>
        <w:fldChar w:fldCharType="begin"/>
      </w:r>
      <w:r>
        <w:rPr/>
        <w:instrText xml:space="preserve"> REF _Ref125366972 \r \h </w:instrText>
      </w:r>
      <w:r>
        <w:rPr/>
        <w:fldChar w:fldCharType="separate"/>
      </w:r>
      <w:r>
        <w:rPr/>
        <w:t>3.2.3</w:t>
      </w:r>
      <w:r>
        <w:rPr/>
        <w:fldChar w:fldCharType="end"/>
      </w:r>
      <w:r>
        <w:rPr/>
        <w:t>.</w:t>
      </w:r>
      <w:bookmarkEnd w:id="270"/>
    </w:p>
    <w:p>
      <w:pPr>
        <w:pStyle w:val="Style28"/>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8"/>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8"/>
        <w:keepNext w:val="true"/>
        <w:rPr/>
      </w:pPr>
      <w:bookmarkStart w:id="271"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71"/>
    </w:p>
    <w:p>
      <w:pPr>
        <w:pStyle w:val="Style29"/>
        <w:rPr/>
      </w:pPr>
      <w:r>
        <w:rPr/>
        <w:t>протокол преддоговорных переговоров между Заказчиком и Победителем (при проведении таковых);</w:t>
      </w:r>
    </w:p>
    <w:p>
      <w:pPr>
        <w:pStyle w:val="Style29"/>
        <w:rPr/>
      </w:pPr>
      <w:r>
        <w:rPr/>
        <w:t>итоговый протокол по результатам закупки;</w:t>
      </w:r>
    </w:p>
    <w:p>
      <w:pPr>
        <w:pStyle w:val="Style29"/>
        <w:rPr/>
      </w:pPr>
      <w:r>
        <w:rPr/>
        <w:t>Извещение и Документация о закупке со всеми изменениями;</w:t>
      </w:r>
    </w:p>
    <w:p>
      <w:pPr>
        <w:pStyle w:val="Style29"/>
        <w:rPr/>
      </w:pPr>
      <w:r>
        <w:rPr/>
        <w:t>заявка Победителя со всеми дополнениями и разъяснениями.</w:t>
      </w:r>
    </w:p>
    <w:p>
      <w:pPr>
        <w:pStyle w:val="Style28"/>
        <w:rPr/>
      </w:pPr>
      <w:bookmarkStart w:id="272" w:name="_Ref125368506"/>
      <w:r>
        <w:rP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72"/>
    </w:p>
    <w:p>
      <w:pPr>
        <w:pStyle w:val="Style28"/>
        <w:keepNext w:val="true"/>
        <w:rPr/>
      </w:pPr>
      <w:r>
        <w:rPr/>
        <w:t>Если Договор заключается в электронной форме:</w:t>
      </w:r>
    </w:p>
    <w:p>
      <w:pPr>
        <w:pStyle w:val="Style29"/>
        <w:rPr/>
      </w:pPr>
      <w:bookmarkStart w:id="273" w:name="_Ref125552524"/>
      <w:r>
        <w:rP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rPr/>
        <w:fldChar w:fldCharType="begin"/>
      </w:r>
      <w:r>
        <w:rPr/>
        <w:instrText xml:space="preserve"> REF _Ref125359973 \r \h </w:instrText>
      </w:r>
      <w:r>
        <w:rPr/>
        <w:fldChar w:fldCharType="separate"/>
      </w:r>
      <w:r>
        <w:rPr/>
        <w:t>1.2</w:t>
      </w:r>
      <w:r>
        <w:rPr/>
        <w:fldChar w:fldCharType="end"/>
      </w:r>
      <w:bookmarkEnd w:id="273"/>
      <w:r>
        <w:rPr/>
        <w:t>;</w:t>
      </w:r>
    </w:p>
    <w:p>
      <w:pPr>
        <w:pStyle w:val="Style29"/>
        <w:rPr/>
      </w:pPr>
      <w:r>
        <w:rPr/>
        <w:t>Заказчик 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направляет в адрес Победителя подписанный со своей стороны Проект договора с использованием функционала Системы ЭДО.</w:t>
      </w:r>
    </w:p>
    <w:p>
      <w:pPr>
        <w:pStyle w:val="Style28"/>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7"/>
        <w:rPr/>
      </w:pPr>
      <w:bookmarkStart w:id="274" w:name="_Ref125552570"/>
      <w:bookmarkStart w:id="275" w:name="_Toc236402289"/>
      <w:r>
        <w:rPr/>
        <w:t>Преддоговорные переговоры</w:t>
      </w:r>
      <w:bookmarkEnd w:id="274"/>
      <w:bookmarkEnd w:id="275"/>
    </w:p>
    <w:p>
      <w:pPr>
        <w:pStyle w:val="Style28"/>
        <w:keepNext w:val="true"/>
        <w:rPr/>
      </w:pPr>
      <w:r>
        <w:rPr/>
        <w:t>Проведение преддоговорных переговоров между Заказчиком и Победителем допускается только в отношении следующих вопросов:</w:t>
      </w:r>
    </w:p>
    <w:p>
      <w:pPr>
        <w:pStyle w:val="Style29"/>
        <w:rPr/>
      </w:pPr>
      <w:r>
        <w:rP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pPr>
        <w:pStyle w:val="Style29"/>
        <w:rPr/>
      </w:pPr>
      <w:r>
        <w:rP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pPr>
        <w:pStyle w:val="Style29"/>
        <w:rPr/>
      </w:pPr>
      <w:r>
        <w:rPr/>
        <w:t>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pPr>
        <w:pStyle w:val="Style29"/>
        <w:rPr/>
      </w:pPr>
      <w:r>
        <w:rP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pPr>
        <w:pStyle w:val="Style29"/>
        <w:rPr/>
      </w:pPr>
      <w:r>
        <w:rP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pPr>
        <w:pStyle w:val="Style28"/>
        <w:rPr/>
      </w:pPr>
      <w:r>
        <w:rP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pPr>
        <w:pStyle w:val="Style28"/>
        <w:rPr/>
      </w:pPr>
      <w:r>
        <w:rP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pPr>
        <w:pStyle w:val="Style28"/>
        <w:rPr/>
      </w:pPr>
      <w:r>
        <w:rPr/>
        <w:t>Результаты преддоговорных переговоров фиксируются в форме протокола</w:t>
      </w:r>
      <w:r>
        <w:rPr>
          <w:rStyle w:val="FootnoteReference"/>
        </w:rPr>
        <w:footnoteReference w:id="14"/>
      </w:r>
      <w:r>
        <w:rP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pPr>
        <w:pStyle w:val="Style28"/>
        <w:rPr/>
      </w:pPr>
      <w:r>
        <w:rP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7"/>
        <w:rPr/>
      </w:pPr>
      <w:bookmarkStart w:id="276" w:name="_Toc236402290"/>
      <w:bookmarkStart w:id="277" w:name="_Ref125367068"/>
      <w:r>
        <w:rPr/>
        <w:t>Уклонение Победителя от заключения Договора</w:t>
      </w:r>
      <w:bookmarkEnd w:id="276"/>
      <w:bookmarkEnd w:id="277"/>
    </w:p>
    <w:p>
      <w:pPr>
        <w:pStyle w:val="Style28"/>
        <w:keepNext w:val="true"/>
        <w:rPr/>
      </w:pPr>
      <w:r>
        <w:rPr/>
        <w:t>Если Победитель закупки:</w:t>
      </w:r>
    </w:p>
    <w:p>
      <w:pPr>
        <w:pStyle w:val="Style29"/>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9"/>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9"/>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4"/>
          </w:rPr>
          <w:t>Приложение № 5</w:t>
        </w:r>
      </w:hyperlink>
      <w:r>
        <w:rPr/>
        <w:t>), с приложением подтверждающих документов;</w:t>
      </w:r>
    </w:p>
    <w:p>
      <w:pPr>
        <w:pStyle w:val="Style29"/>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rPr>
          <w:t>Приложением № 5</w:t>
        </w:r>
      </w:hyperlink>
      <w:r>
        <w:rPr/>
        <w:t>;</w:t>
      </w:r>
    </w:p>
    <w:p>
      <w:pPr>
        <w:pStyle w:val="Style29"/>
        <w:rPr/>
      </w:pPr>
      <w:r>
        <w:rPr/>
        <w:t>не предоставит в установленный Заказчиком срок документы, указанные в пункте </w:t>
      </w:r>
      <w:r>
        <w:rPr/>
        <w:fldChar w:fldCharType="begin"/>
      </w:r>
      <w:r>
        <w:rPr/>
        <w:instrText xml:space="preserve"> REF _Ref125551776 \r \h </w:instrText>
      </w:r>
      <w:r>
        <w:rPr/>
        <w:fldChar w:fldCharType="separate"/>
      </w:r>
      <w:r>
        <w:rPr/>
        <w:t>5.2.5</w:t>
      </w:r>
      <w:r>
        <w:rPr/>
        <w:fldChar w:fldCharType="end"/>
      </w:r>
      <w:r>
        <w:rPr/>
        <w:t>, или предоставит их с нарушением требований, установленных в Документации о закупке;</w:t>
      </w:r>
    </w:p>
    <w:p>
      <w:pPr>
        <w:pStyle w:val="Style29"/>
        <w:rPr/>
      </w:pPr>
      <w:r>
        <w:rPr/>
        <w:t>не предоставит в установленный Заказчиком срок документы, указанные в пункте </w:t>
      </w:r>
      <w:r>
        <w:rPr/>
        <w:fldChar w:fldCharType="begin"/>
      </w:r>
      <w:r>
        <w:rPr/>
        <w:instrText xml:space="preserve"> REF _Ref125551072 \w \h </w:instrText>
      </w:r>
      <w:r>
        <w:rPr/>
        <w:fldChar w:fldCharType="separate"/>
      </w:r>
      <w:r>
        <w:rPr/>
        <w:t>5.2.6</w:t>
      </w:r>
      <w:r>
        <w:rPr/>
        <w:fldChar w:fldCharType="end"/>
      </w:r>
      <w:r>
        <w:rPr/>
        <w:t>, или предоставит их с нарушением требований, установленных в Документации о закупке;</w:t>
      </w:r>
    </w:p>
    <w:p>
      <w:pPr>
        <w:pStyle w:val="Style29"/>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4"/>
          </w:rPr>
          <w:t>Приложения № 1 – Технические требования</w:t>
        </w:r>
      </w:hyperlink>
      <w:r>
        <w:rPr/>
        <w:t xml:space="preserve"> (в случае установления таковых);</w:t>
      </w:r>
    </w:p>
    <w:p>
      <w:pPr>
        <w:pStyle w:val="Style29"/>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9"/>
        <w:rPr/>
      </w:pPr>
      <w:r>
        <w:rPr/>
        <w:t>не выполнит другие условия, прямо предусмотренные Документацией о закупке,</w:t>
      </w:r>
    </w:p>
    <w:p>
      <w:pPr>
        <w:pStyle w:val="Style32"/>
        <w:ind w:hanging="0" w:left="1134"/>
        <w:rPr/>
      </w:pPr>
      <w:r>
        <w:rPr/>
        <w:t>то он (по истечению установленных в подразделе </w:t>
      </w:r>
      <w:r>
        <w:rPr/>
        <w:fldChar w:fldCharType="begin"/>
      </w:r>
      <w:r>
        <w:rPr/>
        <w:instrText xml:space="preserve"> REF _Ref138232981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6"/>
        <w:rPr/>
      </w:pPr>
      <w:bookmarkStart w:id="278" w:name="_Ref125370843"/>
      <w:bookmarkStart w:id="279" w:name="_Toc236402291"/>
      <w:bookmarkStart w:id="280" w:name="_Ref125370741"/>
      <w:bookmarkStart w:id="281" w:name="_Ref125363023"/>
      <w:bookmarkStart w:id="282" w:name="_Ref125364201"/>
      <w:bookmarkStart w:id="283" w:name="_Ref125363600"/>
      <w:bookmarkStart w:id="284" w:name="_Ref125370746"/>
      <w:bookmarkStart w:id="285" w:name="_Ref125364088"/>
      <w:bookmarkStart w:id="286" w:name="_Ref125370732"/>
      <w:bookmarkStart w:id="287" w:name="Прил01_ТехТребования"/>
      <w:bookmarkStart w:id="288" w:name="_Ref125363034"/>
      <w:bookmarkStart w:id="289" w:name="_Ref125363016"/>
      <w:bookmarkStart w:id="290" w:name="_Ref125370750"/>
      <w:bookmarkStart w:id="291" w:name="_Ref125363752"/>
      <w:r>
        <w:rPr/>
        <w:t>Приложение № 1 – Технические требования</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Style27"/>
        <w:rPr/>
      </w:pPr>
      <w:bookmarkStart w:id="292" w:name="_Toc236402292"/>
      <w:r>
        <w:rPr/>
        <w:t>Пояснения к Техническим требованиям</w:t>
      </w:r>
      <w:bookmarkEnd w:id="292"/>
    </w:p>
    <w:p>
      <w:pPr>
        <w:pStyle w:val="Style28"/>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6"/>
        <w:rPr/>
      </w:pPr>
      <w:bookmarkStart w:id="293" w:name="_Ref125363040"/>
      <w:bookmarkStart w:id="294" w:name="_Ref125363759"/>
      <w:bookmarkStart w:id="295" w:name="_Ref125364206"/>
      <w:bookmarkStart w:id="296" w:name="_Ref125364081"/>
      <w:bookmarkStart w:id="297" w:name="_Toc236402293"/>
      <w:bookmarkStart w:id="298" w:name="_Ref125370754"/>
      <w:bookmarkStart w:id="299" w:name="_Ref125361746"/>
      <w:bookmarkStart w:id="300" w:name="Прил02_ПроектДоговора"/>
      <w:bookmarkStart w:id="301" w:name="_Ref125363605"/>
      <w:r>
        <w:rPr/>
        <w:t>Приложение № 2 – Проект договора</w:t>
      </w:r>
      <w:bookmarkEnd w:id="293"/>
      <w:bookmarkEnd w:id="294"/>
      <w:bookmarkEnd w:id="295"/>
      <w:bookmarkEnd w:id="296"/>
      <w:bookmarkEnd w:id="297"/>
      <w:bookmarkEnd w:id="298"/>
      <w:bookmarkEnd w:id="299"/>
      <w:bookmarkEnd w:id="300"/>
      <w:bookmarkEnd w:id="301"/>
    </w:p>
    <w:p>
      <w:pPr>
        <w:pStyle w:val="Style27"/>
        <w:rPr/>
      </w:pPr>
      <w:bookmarkStart w:id="302" w:name="_Toc236402294"/>
      <w:r>
        <w:rPr/>
        <w:t>Пояснения к Проекту договора</w:t>
      </w:r>
      <w:bookmarkEnd w:id="302"/>
    </w:p>
    <w:p>
      <w:pPr>
        <w:pStyle w:val="Style28"/>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8"/>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_Ref125359973 \r \h </w:instrText>
      </w:r>
      <w:r>
        <w:rPr/>
        <w:fldChar w:fldCharType="separate"/>
      </w:r>
      <w:r>
        <w:rPr/>
        <w:t>1.2</w:t>
      </w:r>
      <w:r>
        <w:rPr/>
        <w:fldChar w:fldCharType="end"/>
      </w:r>
      <w:r>
        <w:rPr/>
        <w:t xml:space="preserve"> </w:t>
      </w:r>
      <w:bookmarkStart w:id="303" w:name="_Hlk132883778"/>
      <w:r>
        <w:rPr/>
        <w:t>как «Некритичные пункты Проекта договора»</w:t>
      </w:r>
      <w:bookmarkEnd w:id="303"/>
      <w:r>
        <w:rPr/>
        <w:t>.</w:t>
      </w:r>
    </w:p>
    <w:p>
      <w:pPr>
        <w:pStyle w:val="Style28"/>
        <w:rPr/>
      </w:pPr>
      <w:r>
        <w:rP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8"/>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304" w:name="_MON_1736255517"/>
      <w:bookmarkEnd w:id="304"/>
    </w:p>
    <w:p>
      <w:pPr>
        <w:sectPr>
          <w:headerReference w:type="default" r:id="rId10"/>
          <w:headerReference w:type="first" r:id="rId11"/>
          <w:footerReference w:type="default" r:id="rId12"/>
          <w:footerReference w:type="first" r:id="rId1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2"/>
        <w:jc w:val="center"/>
        <w:rPr/>
      </w:pPr>
      <w:r>
        <w:rPr/>
        <w:object>
          <v:shapetype id="_x0000_tole_rId8" coordsize="21600,21600" o:spt="ole_rId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 type="_x0000_tole_rId8" style="width:79.5pt;height:50.1pt;mso-wrap-distance-right:0pt" filled="f" o:ole="">
            <v:imagedata r:id="rId9" o:title=""/>
          </v:shape>
          <o:OLEObject Type="Embed" ProgID="Word.Document.12" ShapeID="ole_rId8" DrawAspect="Icon" ObjectID="_1358456217" r:id="rId8"/>
        </w:object>
      </w:r>
    </w:p>
    <w:p>
      <w:pPr>
        <w:pStyle w:val="Style26"/>
        <w:rPr/>
      </w:pPr>
      <w:bookmarkStart w:id="305" w:name="_Ref125361908"/>
      <w:bookmarkStart w:id="306" w:name="_Ref125365476"/>
      <w:bookmarkStart w:id="307" w:name="_Ref125361494"/>
      <w:bookmarkStart w:id="308" w:name="Прил03_ТребованияУчастникам"/>
      <w:bookmarkStart w:id="309" w:name="_Toc236402295"/>
      <w:bookmarkStart w:id="310" w:name="_Ref125370013"/>
      <w:r>
        <w:rPr/>
        <w:t>Приложение № 3 – Требования к Участникам</w:t>
      </w:r>
      <w:bookmarkEnd w:id="305"/>
      <w:bookmarkEnd w:id="306"/>
      <w:bookmarkEnd w:id="307"/>
      <w:bookmarkEnd w:id="308"/>
      <w:bookmarkEnd w:id="309"/>
      <w:bookmarkEnd w:id="310"/>
    </w:p>
    <w:p>
      <w:pPr>
        <w:pStyle w:val="Style27"/>
        <w:rPr/>
      </w:pPr>
      <w:bookmarkStart w:id="311" w:name="_Toc236402296"/>
      <w:r>
        <w:rPr/>
        <w:t>Пояснения к требованиям к Участникам</w:t>
      </w:r>
      <w:bookmarkEnd w:id="311"/>
    </w:p>
    <w:p>
      <w:pPr>
        <w:pStyle w:val="Style28"/>
        <w:rPr/>
      </w:pPr>
      <w:bookmarkStart w:id="312" w:name="_Hlk125628168"/>
      <w:r>
        <w:rPr/>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312"/>
    </w:p>
    <w:p>
      <w:pPr>
        <w:pStyle w:val="Style27"/>
        <w:spacing w:before="360" w:after="120"/>
        <w:rPr/>
      </w:pPr>
      <w:bookmarkStart w:id="313" w:name="_Ref125370071"/>
      <w:bookmarkStart w:id="314" w:name="_Toc236402297"/>
      <w:bookmarkStart w:id="315" w:name="_Ref125361846"/>
      <w:bookmarkStart w:id="316" w:name="_Ref125361832"/>
      <w:bookmarkStart w:id="317" w:name="_Ref125361617"/>
      <w:bookmarkStart w:id="318" w:name="_Ref125361926"/>
      <w:bookmarkStart w:id="319" w:name="_Ref125369088"/>
      <w:bookmarkStart w:id="320" w:name="_Ref125370058"/>
      <w:bookmarkStart w:id="321" w:name="_Ref125368895"/>
      <w:bookmarkStart w:id="322" w:name="_Ref125370064"/>
      <w:bookmarkStart w:id="323" w:name="_Ref125361590"/>
      <w:bookmarkStart w:id="324" w:name="_Ref125368812"/>
      <w:bookmarkStart w:id="325" w:name="_Ref125361435"/>
      <w:bookmarkStart w:id="326" w:name="_Ref125366879"/>
      <w:r>
        <w:rPr/>
        <w:t>Обязательные требования</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tbl>
      <w:tblPr>
        <w:tblStyle w:val="a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2"/>
              <w:widowControl w:val="false"/>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7" w:name="_Ref125552433"/>
            <w:bookmarkStart w:id="328" w:name="_Ref125552433"/>
            <w:bookmarkEnd w:id="328"/>
          </w:p>
        </w:tc>
        <w:tc>
          <w:tcPr>
            <w:tcW w:w="5671"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2"/>
              <w:widowControl w:val="false"/>
              <w:numPr>
                <w:ilvl w:val="0"/>
                <w:numId w:val="8"/>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2"/>
              <w:widowControl w:val="false"/>
              <w:numPr>
                <w:ilvl w:val="0"/>
                <w:numId w:val="14"/>
              </w:numPr>
              <w:suppressAutoHyphens w:val="true"/>
              <w:spacing w:before="60" w:after="60"/>
              <w:ind w:hanging="284" w:left="568"/>
              <w:rPr>
                <w:rFonts w:ascii="Times New Roman" w:hAnsi="Times New Roman" w:eastAsia="Calibri" w:cs=""/>
                <w:kern w:val="0"/>
                <w:sz w:val="26"/>
                <w:szCs w:val="22"/>
                <w:lang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
                <w:kern w:val="0"/>
                <w:sz w:val="26"/>
                <w:szCs w:val="22"/>
                <w:lang w:val="en-US" w:eastAsia="en-US" w:bidi="ar-SA"/>
              </w:rPr>
              <w:t>pdf</w:t>
            </w:r>
            <w:r>
              <w:rPr>
                <w:rFonts w:eastAsia="Calibri" w:cs=""/>
                <w:kern w:val="0"/>
                <w:sz w:val="26"/>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32"/>
              <w:widowControl w:val="false"/>
              <w:numPr>
                <w:ilvl w:val="0"/>
                <w:numId w:val="8"/>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2"/>
              <w:widowControl w:val="false"/>
              <w:numPr>
                <w:ilvl w:val="0"/>
                <w:numId w:val="14"/>
              </w:numPr>
              <w:suppressAutoHyphens w:val="true"/>
              <w:spacing w:before="60" w:after="60"/>
              <w:ind w:hanging="284" w:left="568"/>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2"/>
              <w:widowControl w:val="false"/>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предоставление Заявки на аккредитацию не требуется;</w:t>
            </w:r>
          </w:p>
          <w:p>
            <w:pPr>
              <w:pStyle w:val="Style32"/>
              <w:widowControl w:val="false"/>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2"/>
              <w:widowControl w:val="false"/>
              <w:suppressAutoHyphens w:val="true"/>
              <w:spacing w:before="60" w:after="60"/>
              <w:ind w:hanging="0"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2"/>
              <w:widowControl w:val="false"/>
              <w:suppressAutoHyphens w:val="true"/>
              <w:spacing w:before="60" w:after="60"/>
              <w:ind w:hanging="0"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2"/>
              <w:widowControl w:val="false"/>
              <w:suppressAutoHyphens w:val="true"/>
              <w:spacing w:before="60" w:after="60"/>
              <w:ind w:hanging="0"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2"/>
              <w:widowControl w:val="false"/>
              <w:suppressAutoHyphens w:val="true"/>
              <w:spacing w:before="60" w:after="60"/>
              <w:ind w:hanging="0" w:left="284"/>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Style14"/>
                  <w:rFonts w:eastAsia="Calibri" w:cs=""/>
                  <w:kern w:val="0"/>
                  <w:sz w:val="26"/>
                  <w:szCs w:val="22"/>
                  <w:lang w:val="ru-RU" w:eastAsia="en-US" w:bidi="ar-SA"/>
                </w:rPr>
                <w:t>Приложении № 11</w:t>
              </w:r>
            </w:hyperlink>
            <w:r>
              <w:rPr>
                <w:rStyle w:val="Style14"/>
                <w:rFonts w:eastAsia="Calibri" w:cs=""/>
                <w:kern w:val="0"/>
                <w:sz w:val="26"/>
                <w:szCs w:val="22"/>
                <w:lang w:val="ru-RU" w:eastAsia="en-US" w:bidi="ar-SA"/>
              </w:rPr>
              <w:t>)</w:t>
            </w:r>
            <w:r>
              <w:rPr>
                <w:rFonts w:eastAsia="Calibri" w:cs=""/>
                <w:kern w:val="0"/>
                <w:sz w:val="26"/>
                <w:szCs w:val="22"/>
                <w:lang w:val="ru-RU" w:eastAsia="en-US" w:bidi="ar-SA"/>
              </w:rPr>
              <w:t>.</w:t>
            </w:r>
          </w:p>
          <w:p>
            <w:pPr>
              <w:pStyle w:val="Style32"/>
              <w:widowControl w:val="false"/>
              <w:suppressAutoHyphens w:val="true"/>
              <w:spacing w:before="60" w:after="60"/>
              <w:ind w:hanging="0"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2"/>
              <w:widowControl w:val="false"/>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9" w:name="_Ref139028406"/>
            <w:bookmarkStart w:id="330" w:name="_Ref139028406"/>
            <w:bookmarkEnd w:id="330"/>
          </w:p>
        </w:tc>
        <w:tc>
          <w:tcPr>
            <w:tcW w:w="5671"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5"/>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6"/>
            </w:r>
            <w:r>
              <w:rPr>
                <w:rFonts w:eastAsia="Calibri" w:cs=""/>
                <w:kern w:val="0"/>
                <w:sz w:val="26"/>
                <w:szCs w:val="22"/>
                <w:lang w:val="ru-RU" w:eastAsia="en-US" w:bidi="ar-SA"/>
              </w:rPr>
              <w:t>:</w:t>
            </w:r>
          </w:p>
        </w:tc>
        <w:tc>
          <w:tcPr>
            <w:tcW w:w="8327" w:type="dxa"/>
            <w:tcBorders/>
          </w:tcPr>
          <w:p>
            <w:pPr>
              <w:pStyle w:val="Style32"/>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2"/>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2"/>
              <w:widowControl w:val="false"/>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1" w:name="_Ref186114004"/>
            <w:bookmarkStart w:id="332" w:name="_Ref186114004"/>
            <w:bookmarkEnd w:id="332"/>
          </w:p>
        </w:tc>
        <w:tc>
          <w:tcPr>
            <w:tcW w:w="5671"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2"/>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2"/>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2"/>
              <w:widowControl w:val="false"/>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3" w:name="_Ref186114012"/>
            <w:bookmarkStart w:id="334" w:name="_Ref186114012"/>
            <w:bookmarkEnd w:id="334"/>
          </w:p>
        </w:tc>
        <w:tc>
          <w:tcPr>
            <w:tcW w:w="5671"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2"/>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Style w:val="Style14"/>
                <w:rFonts w:eastAsia="Calibri" w:cs=""/>
                <w:kern w:val="0"/>
                <w:sz w:val="26"/>
                <w:szCs w:val="22"/>
                <w:lang w:val="ru-RU" w:eastAsia="en-US" w:bidi="ar-SA"/>
              </w:rPr>
              <w:t>)</w:t>
            </w:r>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2"/>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7"/>
        <w:spacing w:before="360" w:after="120"/>
        <w:rPr/>
      </w:pPr>
      <w:bookmarkStart w:id="335" w:name="_Ref125367539"/>
      <w:bookmarkStart w:id="336" w:name="_Ref125361869"/>
      <w:bookmarkStart w:id="337" w:name="_Ref125370079"/>
      <w:bookmarkStart w:id="338" w:name="_Ref125709401"/>
      <w:bookmarkStart w:id="339" w:name="_Ref125709153"/>
      <w:bookmarkStart w:id="340" w:name="_Ref125361671"/>
      <w:bookmarkStart w:id="341" w:name="_Ref125361442"/>
      <w:bookmarkStart w:id="342" w:name="_Ref125368818"/>
      <w:bookmarkStart w:id="343" w:name="_Ref125361633"/>
      <w:bookmarkStart w:id="344" w:name="_Toc236402298"/>
      <w:bookmarkStart w:id="345" w:name="_Ref125368901"/>
      <w:bookmarkStart w:id="346" w:name="_Ref125361937"/>
      <w:bookmarkStart w:id="347" w:name="_Ref125709888"/>
      <w:bookmarkStart w:id="348" w:name="_Ref125365459"/>
      <w:bookmarkStart w:id="349" w:name="_Ref125367521"/>
      <w:bookmarkStart w:id="350" w:name="_Ref125369099"/>
      <w:bookmarkStart w:id="351" w:name="_Ref125368916"/>
      <w:bookmarkStart w:id="352" w:name="_Ref125709250"/>
      <w:r>
        <w:rPr/>
        <w:t>Специальные требования</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tbl>
      <w:tblPr>
        <w:tblStyle w:val="a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2"/>
              <w:widowControl w:val="false"/>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vAlign w:val="center"/>
          </w:tcPr>
          <w:p>
            <w:pPr>
              <w:pStyle w:val="Style35"/>
              <w:widowControl w:val="false"/>
              <w:suppressAutoHyphens w:val="true"/>
              <w:spacing w:before="0" w:after="0"/>
              <w:rPr>
                <w:i w:val="false"/>
                <w:i w:val="false"/>
                <w:szCs w:val="26"/>
                <w:lang w:val="en-US"/>
              </w:rPr>
            </w:pPr>
            <w:r>
              <w:rPr>
                <w:rFonts w:eastAsia="Calibri" w:cs="Times New Roman"/>
                <w:i w:val="false"/>
                <w:kern w:val="0"/>
                <w:sz w:val="26"/>
                <w:szCs w:val="26"/>
                <w:shd w:fill="auto" w:val="clear"/>
                <w:lang w:val="ru-RU" w:eastAsia="ru-RU" w:bidi="ar-SA"/>
              </w:rPr>
              <w:t>Специальные требования не установлены</w:t>
            </w:r>
            <w:r>
              <w:rPr>
                <w:rFonts w:eastAsia="Calibri" w:cs="Times New Roman"/>
                <w:i w:val="false"/>
                <w:kern w:val="0"/>
                <w:sz w:val="26"/>
                <w:szCs w:val="26"/>
                <w:shd w:fill="auto" w:val="clear"/>
                <w:lang w:val="en-US" w:eastAsia="ru-RU" w:bidi="ar-SA"/>
              </w:rPr>
              <w:t>.</w:t>
            </w:r>
          </w:p>
        </w:tc>
        <w:tc>
          <w:tcPr>
            <w:tcW w:w="8327" w:type="dxa"/>
            <w:tcBorders/>
          </w:tcPr>
          <w:p>
            <w:pPr>
              <w:pStyle w:val="Style35"/>
              <w:widowControl w:val="false"/>
              <w:suppressAutoHyphens w:val="true"/>
              <w:spacing w:before="0" w:after="0"/>
              <w:rPr>
                <w:i w:val="false"/>
                <w:i w:val="false"/>
                <w:szCs w:val="26"/>
              </w:rPr>
            </w:pPr>
            <w:r>
              <w:rPr>
                <w:rFonts w:eastAsia="Calibri" w:cs="Times New Roman"/>
                <w:i w:val="false"/>
                <w:kern w:val="0"/>
                <w:sz w:val="26"/>
                <w:szCs w:val="26"/>
                <w:shd w:fill="auto" w:val="clear"/>
                <w:lang w:val="ru-RU" w:eastAsia="en-US" w:bidi="ar-SA"/>
              </w:rPr>
              <w:t>Специальные требования не установлены.</w:t>
            </w:r>
          </w:p>
        </w:tc>
      </w:tr>
    </w:tbl>
    <w:p>
      <w:pPr>
        <w:pStyle w:val="Style27"/>
        <w:spacing w:before="360" w:after="120"/>
        <w:rPr/>
      </w:pPr>
      <w:bookmarkStart w:id="353" w:name="_Ref125553681"/>
      <w:bookmarkStart w:id="354" w:name="_Toc236402299"/>
      <w:bookmarkStart w:id="355" w:name="_Ref125709895"/>
      <w:bookmarkStart w:id="356" w:name="_Ref125553296"/>
      <w:bookmarkStart w:id="357" w:name="_Ref125709154"/>
      <w:bookmarkStart w:id="358" w:name="_Ref125553475"/>
      <w:bookmarkStart w:id="359" w:name="_Ref125550353"/>
      <w:bookmarkStart w:id="360" w:name="_Ref125550270"/>
      <w:bookmarkStart w:id="361" w:name="_Ref125709256"/>
      <w:bookmarkStart w:id="362" w:name="_Ref125553242"/>
      <w:bookmarkStart w:id="363" w:name="_Ref125709541"/>
      <w:r>
        <w:rPr/>
        <w:t>Квалификационные требования</w:t>
      </w:r>
      <w:bookmarkEnd w:id="353"/>
      <w:bookmarkEnd w:id="354"/>
      <w:bookmarkEnd w:id="355"/>
      <w:bookmarkEnd w:id="356"/>
      <w:bookmarkEnd w:id="357"/>
      <w:bookmarkEnd w:id="358"/>
      <w:bookmarkEnd w:id="359"/>
      <w:bookmarkEnd w:id="360"/>
      <w:bookmarkEnd w:id="361"/>
      <w:bookmarkEnd w:id="362"/>
      <w:bookmarkEnd w:id="363"/>
    </w:p>
    <w:tbl>
      <w:tblPr>
        <w:tblStyle w:val="a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2"/>
              <w:widowControl w:val="false"/>
              <w:numPr>
                <w:ilvl w:val="0"/>
                <w:numId w:val="10"/>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shd w:color="auto" w:fill="auto" w:val="clear"/>
          </w:tcPr>
          <w:p>
            <w:pPr>
              <w:pStyle w:val="Normal"/>
              <w:widowControl w:val="false"/>
              <w:suppressAutoHyphens w:val="true"/>
              <w:spacing w:before="0" w:after="0"/>
              <w:jc w:val="both"/>
              <w:rPr>
                <w:rFonts w:ascii="Calibri" w:hAnsi="Calibri" w:eastAsia="Calibri"/>
                <w:color w:val="000000"/>
                <w:szCs w:val="26"/>
                <w:lang w:eastAsia="ru-RU"/>
              </w:rPr>
            </w:pPr>
            <w:r>
              <w:rPr>
                <w:rFonts w:eastAsia="Calibri" w:cs="Times New Roman"/>
                <w:iCs/>
                <w:color w:val="000000"/>
                <w:kern w:val="0"/>
                <w:sz w:val="26"/>
                <w:szCs w:val="26"/>
                <w:lang w:val="ru-RU" w:eastAsia="ru-RU" w:bidi="ar-SA"/>
              </w:rPr>
              <w:t>Квалификационные требования не установлены.</w:t>
            </w:r>
          </w:p>
          <w:p>
            <w:pPr>
              <w:pStyle w:val="Style35"/>
              <w:widowControl w:val="false"/>
              <w:suppressAutoHyphens w:val="true"/>
              <w:spacing w:before="0" w:after="0"/>
              <w:rPr>
                <w:i w:val="false"/>
                <w:i w:val="false"/>
                <w:szCs w:val="26"/>
              </w:rPr>
            </w:pPr>
            <w:r>
              <w:rPr>
                <w:i w:val="false"/>
                <w:szCs w:val="26"/>
              </w:rPr>
            </w:r>
          </w:p>
        </w:tc>
        <w:tc>
          <w:tcPr>
            <w:tcW w:w="8327" w:type="dxa"/>
            <w:tcBorders/>
            <w:shd w:color="auto" w:fill="auto" w:val="clear"/>
          </w:tcPr>
          <w:p>
            <w:pPr>
              <w:pStyle w:val="Style35"/>
              <w:widowControl w:val="false"/>
              <w:suppressAutoHyphens w:val="true"/>
              <w:spacing w:before="0" w:after="0"/>
              <w:rPr>
                <w:rFonts w:eastAsia="Calibri" w:cs="Times New Roman"/>
                <w:i w:val="false"/>
                <w:i w:val="false"/>
                <w:iCs/>
                <w:szCs w:val="26"/>
                <w:shd w:fill="auto" w:val="clear"/>
                <w:lang w:val="en-US" w:eastAsia="ru-RU"/>
              </w:rPr>
            </w:pPr>
            <w:r>
              <w:rPr>
                <w:rFonts w:eastAsia="Calibri" w:cs="Times New Roman"/>
                <w:i w:val="false"/>
                <w:iCs/>
                <w:kern w:val="0"/>
                <w:sz w:val="26"/>
                <w:szCs w:val="26"/>
                <w:shd w:fill="auto" w:val="clear"/>
                <w:lang w:val="ru-RU" w:eastAsia="ru-RU" w:bidi="ar-SA"/>
              </w:rPr>
              <w:t xml:space="preserve">Квалификационные требования не установлены.                                     </w:t>
            </w:r>
            <w:r>
              <w:rPr>
                <w:rFonts w:eastAsia="Calibri" w:cs="Times New Roman"/>
                <w:i w:val="false"/>
                <w:iCs/>
                <w:kern w:val="0"/>
                <w:sz w:val="26"/>
                <w:szCs w:val="26"/>
                <w:shd w:fill="auto" w:val="clear"/>
                <w:lang w:val="en-US" w:eastAsia="ru-RU" w:bidi="ar-SA"/>
              </w:rPr>
              <w:t xml:space="preserve"> </w:t>
            </w:r>
          </w:p>
        </w:tc>
      </w:tr>
    </w:tbl>
    <w:p>
      <w:pPr>
        <w:pStyle w:val="Style27"/>
        <w:spacing w:before="360" w:after="120"/>
        <w:rPr/>
      </w:pPr>
      <w:bookmarkStart w:id="364" w:name="_Toc236402300"/>
      <w:bookmarkStart w:id="365" w:name="_Ref125553692"/>
      <w:bookmarkStart w:id="366" w:name="_Ref125552455"/>
      <w:bookmarkStart w:id="367" w:name="_Ref125553703"/>
      <w:bookmarkStart w:id="368" w:name="_Ref125553500"/>
      <w:bookmarkStart w:id="369" w:name="_Ref125709228"/>
      <w:r>
        <w:rPr/>
        <w:t>Дополнительные требования к Коллективным участникам</w:t>
      </w:r>
      <w:bookmarkEnd w:id="364"/>
      <w:bookmarkEnd w:id="365"/>
      <w:bookmarkEnd w:id="366"/>
      <w:bookmarkEnd w:id="367"/>
      <w:bookmarkEnd w:id="368"/>
      <w:bookmarkEnd w:id="369"/>
    </w:p>
    <w:tbl>
      <w:tblPr>
        <w:tblStyle w:val="a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Коллективному участнику</w:t>
            </w:r>
          </w:p>
        </w:tc>
        <w:tc>
          <w:tcPr>
            <w:tcW w:w="8327"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Коллективного участника установленным требованиям</w:t>
            </w:r>
          </w:p>
        </w:tc>
      </w:tr>
      <w:tr>
        <w:trPr/>
        <w:tc>
          <w:tcPr>
            <w:tcW w:w="1128" w:type="dxa"/>
            <w:tcBorders/>
          </w:tcPr>
          <w:p>
            <w:pPr>
              <w:pStyle w:val="Style32"/>
              <w:widowControl w:val="false"/>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70" w:name="_Ref125370156"/>
            <w:bookmarkStart w:id="371" w:name="_Ref125370156"/>
            <w:bookmarkEnd w:id="371"/>
          </w:p>
        </w:tc>
        <w:tc>
          <w:tcPr>
            <w:tcW w:w="5671"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Члены Коллективного участника должны иметь между собой соглашение (или иной документ), соответствующее нормам ГК РФ:</w:t>
            </w:r>
          </w:p>
        </w:tc>
        <w:tc>
          <w:tcPr>
            <w:tcW w:w="8327"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_Ref125366972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3.2.3</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8" w:type="dxa"/>
            <w:tcBorders/>
          </w:tcPr>
          <w:p>
            <w:pPr>
              <w:pStyle w:val="Style32"/>
              <w:widowControl w:val="false"/>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72" w:name="_Ref125553738"/>
            <w:bookmarkStart w:id="373" w:name="_Ref125553738"/>
            <w:bookmarkEnd w:id="373"/>
          </w:p>
        </w:tc>
        <w:tc>
          <w:tcPr>
            <w:tcW w:w="5671"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Коллективного участника дополнительно должна включать сведения о распределении объемов поставки продукции между членами Коллективного участника:</w:t>
            </w:r>
          </w:p>
        </w:tc>
        <w:tc>
          <w:tcPr>
            <w:tcW w:w="8327" w:type="dxa"/>
            <w:tcBorders/>
          </w:tcPr>
          <w:p>
            <w:pPr>
              <w:pStyle w:val="Style32"/>
              <w:widowControl w:val="false"/>
              <w:suppressAutoHyphens w:val="true"/>
              <w:spacing w:before="60" w:after="60"/>
              <w:rPr/>
            </w:pPr>
            <w:r>
              <w:rPr>
                <w:rFonts w:eastAsia="Calibri" w:cs=""/>
                <w:kern w:val="0"/>
                <w:sz w:val="26"/>
                <w:szCs w:val="22"/>
                <w:lang w:val="ru-RU" w:eastAsia="en-US" w:bidi="ar-SA"/>
              </w:rPr>
              <w:t>План распределения объемов поставки продукции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 указанием необходимой информации;</w:t>
            </w:r>
          </w:p>
        </w:tc>
      </w:tr>
      <w:tr>
        <w:trPr/>
        <w:tc>
          <w:tcPr>
            <w:tcW w:w="1128" w:type="dxa"/>
            <w:tcBorders/>
          </w:tcPr>
          <w:p>
            <w:pPr>
              <w:pStyle w:val="Style32"/>
              <w:widowControl w:val="false"/>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74" w:name="_Ref125370162"/>
            <w:bookmarkStart w:id="375" w:name="_Ref125370162"/>
            <w:bookmarkEnd w:id="375"/>
          </w:p>
        </w:tc>
        <w:tc>
          <w:tcPr>
            <w:tcW w:w="5671" w:type="dxa"/>
            <w:tcBorders/>
          </w:tcPr>
          <w:p>
            <w:pPr>
              <w:pStyle w:val="Style32"/>
              <w:widowControl w:val="false"/>
              <w:suppressAutoHyphens w:val="true"/>
              <w:spacing w:before="60" w:after="60"/>
              <w:rPr/>
            </w:pPr>
            <w:r>
              <w:rPr>
                <w:rFonts w:eastAsia="Calibri" w:cs=""/>
                <w:kern w:val="0"/>
                <w:sz w:val="26"/>
                <w:szCs w:val="22"/>
                <w:lang w:val="ru-RU" w:eastAsia="en-US" w:bidi="ar-SA"/>
              </w:rPr>
              <w:t>Соответствие каждого члена Коллективного участника установленным требованиям (с учетом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_Ref125368791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_Ref134705077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3.2.7</w:t>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внутри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_Ref125553242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члена Коллективного участника, подтверждающие его соответствие данным требованиям.</w:t>
            </w:r>
          </w:p>
        </w:tc>
      </w:tr>
    </w:tbl>
    <w:p>
      <w:pPr>
        <w:pStyle w:val="Style27"/>
        <w:spacing w:before="360" w:after="120"/>
        <w:rPr/>
      </w:pPr>
      <w:bookmarkStart w:id="376" w:name="_Toc236402301"/>
      <w:bookmarkStart w:id="377" w:name="_Ref125361823"/>
      <w:bookmarkStart w:id="378" w:name="_Ref125370180"/>
      <w:bookmarkStart w:id="379" w:name="_Ref125370209"/>
      <w:bookmarkStart w:id="380" w:name="_Ref125370173"/>
      <w:bookmarkStart w:id="381" w:name="_Ref125369117"/>
      <w:bookmarkStart w:id="382" w:name="_Ref125709777"/>
      <w:bookmarkStart w:id="383" w:name="_Ref125362031"/>
      <w:bookmarkStart w:id="384" w:name="_Ref125709973"/>
      <w:r>
        <w:rPr/>
        <w:t>Дополнительные требования к Генеральным подрядчикам</w:t>
      </w:r>
      <w:bookmarkEnd w:id="376"/>
      <w:bookmarkEnd w:id="377"/>
      <w:bookmarkEnd w:id="378"/>
      <w:bookmarkEnd w:id="379"/>
      <w:bookmarkEnd w:id="380"/>
      <w:bookmarkEnd w:id="381"/>
      <w:bookmarkEnd w:id="382"/>
      <w:bookmarkEnd w:id="383"/>
      <w:bookmarkEnd w:id="384"/>
    </w:p>
    <w:tbl>
      <w:tblPr>
        <w:tblStyle w:val="a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2"/>
              <w:widowControl w:val="false"/>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5" w:name="_Ref125370187"/>
            <w:bookmarkStart w:id="386" w:name="_Ref125370187"/>
            <w:bookmarkEnd w:id="386"/>
          </w:p>
        </w:tc>
        <w:tc>
          <w:tcPr>
            <w:tcW w:w="5671"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2"/>
              <w:widowControl w:val="false"/>
              <w:suppressAutoHyphens w:val="true"/>
              <w:spacing w:before="60" w:after="60"/>
              <w:rPr/>
            </w:pPr>
            <w:r>
              <w:rPr>
                <w:rFonts w:eastAsia="Calibri" w:cs=""/>
                <w:kern w:val="0"/>
                <w:sz w:val="26"/>
                <w:szCs w:val="22"/>
                <w:lang w:val="ru-RU" w:eastAsia="en-US" w:bidi="ar-SA"/>
              </w:rPr>
              <w:t>План распределения объемов поставки продукции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 указанием необходимой информации;</w:t>
            </w:r>
          </w:p>
        </w:tc>
      </w:tr>
      <w:tr>
        <w:trPr/>
        <w:tc>
          <w:tcPr>
            <w:tcW w:w="1128" w:type="dxa"/>
            <w:tcBorders/>
          </w:tcPr>
          <w:p>
            <w:pPr>
              <w:pStyle w:val="Style32"/>
              <w:widowControl w:val="false"/>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7" w:name="_Ref125370199"/>
            <w:bookmarkStart w:id="388" w:name="_Ref125370199"/>
            <w:bookmarkEnd w:id="388"/>
          </w:p>
        </w:tc>
        <w:tc>
          <w:tcPr>
            <w:tcW w:w="5671"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Генеральный подрядчик должен доказать, что каждый из привлекаемых им субподрядчиков:</w:t>
            </w:r>
          </w:p>
          <w:p>
            <w:pPr>
              <w:pStyle w:val="Style32"/>
              <w:widowControl w:val="false"/>
              <w:numPr>
                <w:ilvl w:val="0"/>
                <w:numId w:val="13"/>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осведомлен о привлечении его в качестве субподрядчика;</w:t>
            </w:r>
          </w:p>
          <w:p>
            <w:pPr>
              <w:pStyle w:val="Style32"/>
              <w:widowControl w:val="false"/>
              <w:numPr>
                <w:ilvl w:val="0"/>
                <w:numId w:val="13"/>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согласен с выделяемым ему перечнем, объемами, сроками и стоимостью поставки продукции:</w:t>
            </w:r>
          </w:p>
        </w:tc>
        <w:tc>
          <w:tcPr>
            <w:tcW w:w="8327"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trPr/>
        <w:tc>
          <w:tcPr>
            <w:tcW w:w="1128" w:type="dxa"/>
            <w:tcBorders/>
          </w:tcPr>
          <w:p>
            <w:pPr>
              <w:pStyle w:val="Style32"/>
              <w:widowControl w:val="false"/>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9" w:name="_Ref125370193"/>
            <w:bookmarkStart w:id="390" w:name="_Ref125370193"/>
            <w:bookmarkEnd w:id="390"/>
          </w:p>
        </w:tc>
        <w:tc>
          <w:tcPr>
            <w:tcW w:w="5671" w:type="dxa"/>
            <w:tcBorders/>
          </w:tcPr>
          <w:p>
            <w:pPr>
              <w:pStyle w:val="Style32"/>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_Ref125553242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2"/>
              <w:widowControl w:val="false"/>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91" w:name="_Ref125553847"/>
            <w:bookmarkStart w:id="392" w:name="_Ref125553847"/>
            <w:bookmarkEnd w:id="392"/>
          </w:p>
        </w:tc>
        <w:tc>
          <w:tcPr>
            <w:tcW w:w="5671"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pStyle w:val="Style27"/>
        <w:spacing w:before="360" w:after="120"/>
        <w:rPr/>
      </w:pPr>
      <w:bookmarkStart w:id="393" w:name="_Ref125550523"/>
      <w:bookmarkStart w:id="394" w:name="_Ref125550566"/>
      <w:bookmarkStart w:id="395" w:name="_Ref125710480"/>
      <w:bookmarkStart w:id="396" w:name="_Ref125710459"/>
      <w:bookmarkStart w:id="397" w:name="_Ref125550560"/>
      <w:bookmarkStart w:id="398" w:name="_Toc236402302"/>
      <w:bookmarkStart w:id="399" w:name="_Ref125710517"/>
      <w:bookmarkStart w:id="400" w:name="_Ref125553821"/>
      <w:bookmarkStart w:id="401" w:name="_Ref125553513"/>
      <w:r>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r>
      <w:bookmarkEnd w:id="393"/>
      <w:bookmarkEnd w:id="394"/>
      <w:bookmarkEnd w:id="395"/>
      <w:bookmarkEnd w:id="396"/>
      <w:bookmarkEnd w:id="397"/>
      <w:bookmarkEnd w:id="398"/>
      <w:bookmarkEnd w:id="399"/>
      <w:bookmarkEnd w:id="400"/>
      <w:bookmarkEnd w:id="401"/>
    </w:p>
    <w:tbl>
      <w:tblPr>
        <w:tblStyle w:val="a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2"/>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2"/>
              <w:widowControl w:val="false"/>
              <w:numPr>
                <w:ilvl w:val="0"/>
                <w:numId w:val="11"/>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4"/>
          <w:headerReference w:type="first" r:id="rId15"/>
          <w:footerReference w:type="default" r:id="rId16"/>
          <w:footerReference w:type="first" r:id="rId17"/>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6"/>
        <w:rPr/>
      </w:pPr>
      <w:bookmarkStart w:id="402" w:name="_Toc236402303"/>
      <w:bookmarkStart w:id="403" w:name="Прил04_ФормыЗаявки"/>
      <w:bookmarkEnd w:id="403"/>
      <w:r>
        <w:rPr/>
        <w:t>Приложение № 4 – Образцы форм документов, включаемых в состав заявки</w:t>
      </w:r>
      <w:bookmarkEnd w:id="402"/>
    </w:p>
    <w:p>
      <w:pPr>
        <w:pStyle w:val="Style27"/>
        <w:rPr/>
      </w:pPr>
      <w:bookmarkStart w:id="404" w:name="_Toc236402304"/>
      <w:r>
        <w:rPr/>
        <w:t>Пояснения к Образцам форм документов, включаемых в состав заявки</w:t>
      </w:r>
      <w:bookmarkEnd w:id="404"/>
    </w:p>
    <w:p>
      <w:pPr>
        <w:pStyle w:val="Style28"/>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405" w:name="_Hlk208850004"/>
      <w:bookmarkStart w:id="406" w:name="_Hlk208677245"/>
      <w:r>
        <w:rPr/>
        <w:t>Участник при подготовке заявки обязан придерживаться установленных форм документов</w:t>
      </w:r>
      <w:bookmarkEnd w:id="406"/>
      <w:r>
        <w:rPr/>
        <w:t>.</w:t>
      </w:r>
      <w:bookmarkEnd w:id="405"/>
    </w:p>
    <w:p>
      <w:pPr>
        <w:pStyle w:val="Style26"/>
        <w:rPr/>
      </w:pPr>
      <w:bookmarkStart w:id="407" w:name="_Toc236402305"/>
      <w:bookmarkStart w:id="408" w:name="Прил05_ФормыПобедителя"/>
      <w:bookmarkEnd w:id="408"/>
      <w:r>
        <w:rPr/>
        <w:t>Приложение № 5 – Образцы форм документов, предоставляемых Победителем</w:t>
      </w:r>
      <w:bookmarkEnd w:id="407"/>
    </w:p>
    <w:p>
      <w:pPr>
        <w:pStyle w:val="Style27"/>
        <w:rPr/>
      </w:pPr>
      <w:bookmarkStart w:id="409" w:name="_Toc236402306"/>
      <w:r>
        <w:rPr/>
        <w:t>Пояснения к Образцам форм документов, предоставляемых Победителем</w:t>
      </w:r>
      <w:bookmarkEnd w:id="409"/>
    </w:p>
    <w:p>
      <w:pPr>
        <w:pStyle w:val="Style28"/>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7"/>
        <w:rPr/>
      </w:pPr>
      <w:bookmarkStart w:id="410" w:name="_Ref130395470"/>
      <w:bookmarkStart w:id="411" w:name="_Toc236402307"/>
      <w:r>
        <w:rPr/>
        <w:t>Форма справки «Сведения о цепочке собственников, включая бенефициаров (в том числе конечных)»</w:t>
      </w:r>
      <w:bookmarkEnd w:id="410"/>
      <w:bookmarkEnd w:id="411"/>
    </w:p>
    <w:p>
      <w:pPr>
        <w:pStyle w:val="Style28"/>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8"/>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412" w:name="_MON_1741074142"/>
    </w:p>
    <w:p>
      <w:pPr>
        <w:pStyle w:val="Style32"/>
        <w:jc w:val="center"/>
        <w:rPr/>
      </w:pPr>
      <w:bookmarkStart w:id="413" w:name="_Hlk208677262"/>
      <w:bookmarkEnd w:id="412"/>
      <w:r>
        <w:rPr/>
        <w:object>
          <v:shapetype id="_x0000_tole_rId18" coordsize="21600,21600" o:spt="ole_rId1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8" type="_x0000_tole_rId18" style="width:91pt;height:58.2pt;mso-wrap-distance-right:0pt" filled="f" o:ole="">
            <v:imagedata r:id="rId19" o:title=""/>
          </v:shape>
          <o:OLEObject Type="Embed" ProgID="Word.Document.12" ShapeID="ole_rId18" DrawAspect="Icon" ObjectID="_832438904" r:id="rId18"/>
        </w:object>
      </w:r>
      <w:bookmarkEnd w:id="413"/>
    </w:p>
    <w:p>
      <w:pPr>
        <w:pStyle w:val="Style27"/>
        <w:rPr/>
      </w:pPr>
      <w:bookmarkStart w:id="414" w:name="_Ref130395475"/>
      <w:bookmarkStart w:id="415" w:name="_Toc236402308"/>
      <w:r>
        <w:rPr/>
        <w:t>Форма «Заверение об обстоятельствах»</w:t>
      </w:r>
      <w:bookmarkEnd w:id="414"/>
      <w:bookmarkEnd w:id="415"/>
    </w:p>
    <w:p>
      <w:pPr>
        <w:pStyle w:val="Style28"/>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8"/>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8"/>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8"/>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416" w:name="_MON_1741074184"/>
    </w:p>
    <w:p>
      <w:pPr>
        <w:pStyle w:val="Style32"/>
        <w:spacing w:before="120" w:after="120"/>
        <w:jc w:val="center"/>
        <w:rPr/>
      </w:pPr>
      <w:bookmarkEnd w:id="416"/>
      <w:r>
        <w:rPr/>
        <w:object>
          <v:shapetype id="_x0000_tole_rId20" coordsize="21600,21600" o:spt="ole_rId2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0" type="_x0000_tole_rId20" style="width:79.5pt;height:50.1pt;mso-wrap-distance-right:0pt;mso-wrap-distance-bottom:6pt" filled="f" o:ole="">
            <v:imagedata r:id="rId21" o:title=""/>
          </v:shape>
          <o:OLEObject Type="Embed" ProgID="Word.Document.12" ShapeID="ole_rId20" DrawAspect="Icon" ObjectID="_1397455993" r:id="rId20"/>
        </w:object>
      </w:r>
    </w:p>
    <w:p>
      <w:pPr>
        <w:pStyle w:val="Style26"/>
        <w:rPr/>
      </w:pPr>
      <w:bookmarkStart w:id="417" w:name="_Ref125362865"/>
      <w:bookmarkStart w:id="418" w:name="_Ref125362900"/>
      <w:bookmarkStart w:id="419" w:name="_Toc236402309"/>
      <w:bookmarkStart w:id="420" w:name="Прил06_СоставЗаявки"/>
      <w:bookmarkEnd w:id="420"/>
      <w:r>
        <w:rPr/>
        <w:t>Приложение № 6 – Состав заявки</w:t>
      </w:r>
      <w:bookmarkEnd w:id="417"/>
      <w:bookmarkEnd w:id="418"/>
      <w:bookmarkEnd w:id="419"/>
    </w:p>
    <w:p>
      <w:pPr>
        <w:pStyle w:val="Style27"/>
        <w:rPr/>
      </w:pPr>
      <w:bookmarkStart w:id="421" w:name="_Toc236402310"/>
      <w:r>
        <w:rPr/>
        <w:t>Состав заявки</w:t>
      </w:r>
      <w:bookmarkEnd w:id="421"/>
    </w:p>
    <w:p>
      <w:pPr>
        <w:pStyle w:val="Style28"/>
        <w:spacing w:before="120" w:after="120"/>
        <w:rPr/>
      </w:pPr>
      <w:r>
        <w:rPr/>
        <w:t>Заявка на участие в закупке должна содержать следующий комплект документов (</w:t>
      </w:r>
      <w:bookmarkStart w:id="422" w:name="_Hlk208850042"/>
      <w:bookmarkStart w:id="423" w:name="_Hlk208677283"/>
      <w:r>
        <w:rPr/>
        <w:t xml:space="preserve">по установленным формам и в соответствии с инструкциями, приведенными </w:t>
      </w:r>
      <w:bookmarkEnd w:id="422"/>
      <w:bookmarkEnd w:id="423"/>
      <w:r>
        <w:rPr/>
        <w:t xml:space="preserve">в </w:t>
      </w:r>
      <w:hyperlink w:anchor="Прил04_ФормыЗаявки">
        <w:r>
          <w:rPr>
            <w:rStyle w:val="Style14"/>
          </w:rPr>
          <w:t>Приложении № 4</w:t>
        </w:r>
      </w:hyperlink>
      <w:r>
        <w:rPr/>
        <w:t>):</w:t>
      </w:r>
    </w:p>
    <w:tbl>
      <w:tblPr>
        <w:tblStyle w:val="afe"/>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2"/>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2"/>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4"/>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Техническое предложение (форма 4);</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4" w:name="_Ref130389408"/>
            <w:bookmarkStart w:id="425" w:name="_Ref130389408"/>
            <w:bookmarkEnd w:id="425"/>
          </w:p>
        </w:tc>
        <w:tc>
          <w:tcPr>
            <w:tcW w:w="8075" w:type="dxa"/>
            <w:tcBorders/>
          </w:tcPr>
          <w:p>
            <w:pPr>
              <w:pStyle w:val="Style32"/>
              <w:widowControl w:val="false"/>
              <w:suppressAutoHyphens w:val="true"/>
              <w:spacing w:before="60" w:after="60"/>
              <w:rPr/>
            </w:pPr>
            <w:r>
              <w:rPr>
                <w:rFonts w:eastAsia="Calibri" w:cs=""/>
                <w:kern w:val="0"/>
                <w:sz w:val="26"/>
                <w:szCs w:val="22"/>
                <w:lang w:val="ru-RU" w:eastAsia="en-US" w:bidi="ar-SA"/>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6" w:name="_Ref130389413"/>
            <w:bookmarkStart w:id="427" w:name="_Ref130389413"/>
            <w:bookmarkEnd w:id="427"/>
          </w:p>
        </w:tc>
        <w:tc>
          <w:tcPr>
            <w:tcW w:w="8075" w:type="dxa"/>
            <w:tcBorders/>
          </w:tcPr>
          <w:p>
            <w:pPr>
              <w:pStyle w:val="Style32"/>
              <w:widowControl w:val="false"/>
              <w:suppressAutoHyphens w:val="true"/>
              <w:spacing w:before="60" w:after="60"/>
              <w:rPr/>
            </w:pPr>
            <w:r>
              <w:rPr>
                <w:rFonts w:eastAsia="Calibri" w:cs=""/>
                <w:kern w:val="0"/>
                <w:sz w:val="26"/>
                <w:szCs w:val="22"/>
                <w:lang w:val="ru-RU" w:eastAsia="en-US" w:bidi="ar-SA"/>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8" w:name="_Ref130389419"/>
            <w:bookmarkStart w:id="429" w:name="_Ref130389419"/>
            <w:bookmarkEnd w:id="429"/>
          </w:p>
        </w:tc>
        <w:tc>
          <w:tcPr>
            <w:tcW w:w="8075" w:type="dxa"/>
            <w:tcBorders/>
          </w:tcPr>
          <w:p>
            <w:pPr>
              <w:pStyle w:val="Style32"/>
              <w:widowControl w:val="false"/>
              <w:suppressAutoHyphens w:val="true"/>
              <w:spacing w:before="60" w:after="60"/>
              <w:rPr/>
            </w:pPr>
            <w:r>
              <w:rPr>
                <w:rFonts w:eastAsia="Calibri" w:cs=""/>
                <w:kern w:val="0"/>
                <w:sz w:val="26"/>
                <w:szCs w:val="22"/>
                <w:lang w:val="ru-RU" w:eastAsia="en-US" w:bidi="ar-SA"/>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Normal"/>
              <w:widowControl w:val="false"/>
              <w:suppressAutoHyphens w:val="true"/>
              <w:spacing w:before="120" w:after="0"/>
              <w:jc w:val="both"/>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Коллективного участника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_Ref125709228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Коллективного участника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_Ref130305355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2"/>
              <w:widowControl w:val="false"/>
              <w:numPr>
                <w:ilvl w:val="0"/>
                <w:numId w:val="9"/>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План распределения объемов поставки продукции (форма 10);</w:t>
            </w:r>
          </w:p>
          <w:p>
            <w:pPr>
              <w:pStyle w:val="Style32"/>
              <w:widowControl w:val="false"/>
              <w:numPr>
                <w:ilvl w:val="0"/>
                <w:numId w:val="9"/>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_Ref125366972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Документации о закупке;</w:t>
            </w:r>
          </w:p>
          <w:p>
            <w:pPr>
              <w:pStyle w:val="Style32"/>
              <w:widowControl w:val="false"/>
              <w:numPr>
                <w:ilvl w:val="0"/>
                <w:numId w:val="9"/>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_Ref125709228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Style w:val="Style14"/>
                <w:rFonts w:eastAsia="Calibri" w:cs=""/>
                <w:kern w:val="0"/>
                <w:sz w:val="26"/>
                <w:szCs w:val="22"/>
                <w:lang w:val="ru-RU" w:eastAsia="en-US" w:bidi="ar-SA"/>
              </w:rPr>
              <w:t>;</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условиями проводимой закупки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3.3</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2"/>
              <w:widowControl w:val="false"/>
              <w:numPr>
                <w:ilvl w:val="0"/>
                <w:numId w:val="9"/>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План распределения объемов поставки продукции (форма 10);</w:t>
            </w:r>
          </w:p>
          <w:p>
            <w:pPr>
              <w:pStyle w:val="Style32"/>
              <w:widowControl w:val="false"/>
              <w:numPr>
                <w:ilvl w:val="0"/>
                <w:numId w:val="9"/>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Style w:val="Style14"/>
                <w:rFonts w:eastAsia="Calibri" w:cs=""/>
                <w:kern w:val="0"/>
                <w:sz w:val="26"/>
                <w:szCs w:val="22"/>
                <w:lang w:val="ru-RU" w:eastAsia="en-US" w:bidi="ar-SA"/>
              </w:rPr>
              <w:t>;</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с обязательным привлечением субподрядчиков (соисполнителей) из числа субъектов МСП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_Ref125710459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8.7</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условиями проводимой закупки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предусмотрено участие в закупке Участников, которые должны привлечь к исполнению Договора субподрядчиков (соисполнителей) из числа субъектов МСП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_Ref127524203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3.4</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 План распределения объемов поставки продукции (форма 10);</w:t>
            </w:r>
          </w:p>
        </w:tc>
      </w:tr>
      <w:tr>
        <w:trPr/>
        <w:tc>
          <w:tcPr>
            <w:tcW w:w="707" w:type="dxa"/>
            <w:tcBorders/>
          </w:tcPr>
          <w:p>
            <w:pPr>
              <w:pStyle w:val="Style32"/>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2"/>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bl>
    <w:p>
      <w:pPr>
        <w:sectPr>
          <w:headerReference w:type="default" r:id="rId22"/>
          <w:headerReference w:type="first" r:id="rId23"/>
          <w:footerReference w:type="default" r:id="rId24"/>
          <w:footerReference w:type="first" r:id="rId25"/>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8"/>
        <w:rPr>
          <w:rStyle w:val="Style11"/>
          <w:i w:val="false"/>
          <w:i w:val="false"/>
          <w:iCs w:val="false"/>
          <w:shd w:fill="auto" w:val="clear"/>
        </w:rPr>
      </w:pPr>
      <w:r>
        <w:rPr>
          <w:rStyle w:val="Style11"/>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6"/>
        <w:rPr/>
      </w:pPr>
      <w:bookmarkStart w:id="430" w:name="_Ref125365264"/>
      <w:bookmarkStart w:id="431" w:name="_Toc236402311"/>
      <w:bookmarkStart w:id="432" w:name="Прил07_ОтборочныеКритерии"/>
      <w:bookmarkEnd w:id="432"/>
      <w:r>
        <w:rPr/>
        <w:t>Приложение № 7 – Отборочные критерии рассмотрения заявок</w:t>
      </w:r>
      <w:bookmarkEnd w:id="430"/>
      <w:bookmarkEnd w:id="431"/>
    </w:p>
    <w:p>
      <w:pPr>
        <w:pStyle w:val="Style27"/>
        <w:spacing w:before="360" w:after="120"/>
        <w:rPr>
          <w:rStyle w:val="Style11"/>
          <w:i w:val="false"/>
          <w:i w:val="false"/>
          <w:iCs w:val="false"/>
          <w:shd w:fill="auto" w:val="clear"/>
        </w:rPr>
      </w:pPr>
      <w:bookmarkStart w:id="433" w:name="_Toc236402312"/>
      <w:r>
        <w:rPr>
          <w:rStyle w:val="Style11"/>
          <w:i w:val="false"/>
          <w:iCs w:val="false"/>
          <w:shd w:fill="auto" w:val="clear"/>
        </w:rPr>
        <w:t>Отборочные критерии рассмотрения заявок</w:t>
      </w:r>
      <w:bookmarkEnd w:id="433"/>
    </w:p>
    <w:tbl>
      <w:tblPr>
        <w:tblStyle w:val="a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2"/>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2"/>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2"/>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2"/>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2"/>
              <w:keepNext w:val="true"/>
              <w:widowControl w:val="false"/>
              <w:suppressAutoHyphens w:val="true"/>
              <w:spacing w:before="60" w:after="60"/>
              <w:rPr>
                <w:b/>
                <w:bCs/>
              </w:rPr>
            </w:pPr>
            <w:r>
              <w:rPr>
                <w:rFonts w:eastAsia="Calibri" w:cs=""/>
                <w:b/>
                <w:bCs/>
                <w:kern w:val="0"/>
                <w:sz w:val="26"/>
                <w:szCs w:val="22"/>
                <w:lang w:val="ru-RU" w:eastAsia="en-US" w:bidi="ar-SA"/>
              </w:rPr>
              <w:t>Состав заявки и правильность ее оформления, в том числе:</w:t>
            </w:r>
          </w:p>
        </w:tc>
        <w:tc>
          <w:tcPr>
            <w:tcW w:w="3117" w:type="dxa"/>
            <w:tcBorders/>
          </w:tcPr>
          <w:p>
            <w:pPr>
              <w:pStyle w:val="Style32"/>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2"/>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pPr>
            <w:r>
              <w:rPr>
                <w:rFonts w:eastAsia="Calibri" w:cs=""/>
                <w:kern w:val="0"/>
                <w:sz w:val="26"/>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r>
                <w:rPr>
                  <w:rStyle w:val="Style14"/>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32"/>
              <w:widowControl w:val="false"/>
              <w:suppressAutoHyphens w:val="true"/>
              <w:spacing w:before="60" w:after="60"/>
              <w:jc w:val="center"/>
              <w:rPr>
                <w:rStyle w:val="Style14"/>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4"/>
                  <w:rFonts w:eastAsia="Calibri" w:cs=""/>
                  <w:kern w:val="0"/>
                  <w:sz w:val="26"/>
                  <w:szCs w:val="22"/>
                  <w:lang w:val="ru-RU" w:eastAsia="en-US" w:bidi="ar-SA"/>
                </w:rPr>
                <w:t>Приложение № 6</w:t>
              </w:r>
            </w:hyperlink>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Цена, Юр</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_Ref135749133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4.9</w:t>
            </w:r>
            <w:r>
              <w:rPr>
                <w:sz w:val="26"/>
                <w:kern w:val="0"/>
                <w:szCs w:val="22"/>
                <w:rFonts w:eastAsia="Calibri" w:cs=""/>
                <w:lang w:val="ru-RU" w:eastAsia="en-US" w:bidi="ar-SA"/>
              </w:rPr>
              <w:fldChar w:fldCharType="end"/>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Цена, Юр</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7"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4.17</w:t>
            </w:r>
            <w:r>
              <w:rPr>
                <w:sz w:val="26"/>
                <w:kern w:val="0"/>
                <w:szCs w:val="22"/>
                <w:rFonts w:eastAsia="Calibri" w:cs=""/>
                <w:lang w:val="ru-RU" w:eastAsia="en-US" w:bidi="ar-SA"/>
              </w:rPr>
              <w:fldChar w:fldCharType="end"/>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9918" w:type="dxa"/>
            <w:gridSpan w:val="2"/>
            <w:tcBorders/>
          </w:tcPr>
          <w:p>
            <w:pPr>
              <w:pStyle w:val="Style32"/>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117" w:type="dxa"/>
            <w:tcBorders/>
          </w:tcPr>
          <w:p>
            <w:pPr>
              <w:pStyle w:val="Style32"/>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2"/>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4"/>
                  <w:rFonts w:eastAsia="Calibri" w:cs=""/>
                  <w:kern w:val="0"/>
                  <w:sz w:val="26"/>
                  <w:szCs w:val="22"/>
                  <w:lang w:val="ru-RU" w:eastAsia="en-US" w:bidi="ar-SA"/>
                </w:rPr>
                <w:t>Приложение № 4</w:t>
              </w:r>
            </w:hyperlink>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918" w:type="dxa"/>
            <w:gridSpan w:val="2"/>
            <w:tcBorders/>
          </w:tcPr>
          <w:p>
            <w:pPr>
              <w:pStyle w:val="Style32"/>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32"/>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2"/>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2"/>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
                <w:i/>
                <w:iCs/>
                <w:kern w:val="0"/>
                <w:sz w:val="26"/>
                <w:szCs w:val="22"/>
                <w:lang w:val="en-US" w:eastAsia="en-US" w:bidi="ar-SA"/>
              </w:rPr>
              <w:t> </w:t>
            </w:r>
            <w:r>
              <w:rPr>
                <w:rFonts w:eastAsia="Calibri" w:cs=""/>
                <w:i/>
                <w:iCs/>
                <w:kern w:val="0"/>
                <w:sz w:val="26"/>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_Ref139028406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_Ref186114004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2"/>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_Ref186114626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_Ref186114626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_Ref186114012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2"/>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_Ref186114626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_Ref186114626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квалификационным требованиям к Участникам</w:t>
            </w:r>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_Ref125550270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Коллективного участника установленным в отношении его требованиям:</w:t>
            </w:r>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рассмотрения заявки, поданной Коллективным участником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_Ref130305355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2"/>
              <w:widowControl w:val="false"/>
              <w:numPr>
                <w:ilvl w:val="1"/>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numPr>
                <w:ilvl w:val="0"/>
                <w:numId w:val="9"/>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_Ref125370156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p>
          <w:p>
            <w:pPr>
              <w:pStyle w:val="Style32"/>
              <w:widowControl w:val="false"/>
              <w:suppressAutoHyphens w:val="true"/>
              <w:spacing w:before="60" w:after="60"/>
              <w:ind w:hanging="0" w:left="219"/>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Юр</w:t>
            </w:r>
          </w:p>
        </w:tc>
      </w:tr>
      <w:tr>
        <w:trPr/>
        <w:tc>
          <w:tcPr>
            <w:tcW w:w="1412" w:type="dxa"/>
            <w:tcBorders/>
          </w:tcPr>
          <w:p>
            <w:pPr>
              <w:pStyle w:val="Style32"/>
              <w:widowControl w:val="false"/>
              <w:numPr>
                <w:ilvl w:val="1"/>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numPr>
                <w:ilvl w:val="0"/>
                <w:numId w:val="9"/>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_Ref125553738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1"/>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numPr>
                <w:ilvl w:val="0"/>
                <w:numId w:val="9"/>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_Ref125370162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p>
            <w:pPr>
              <w:pStyle w:val="Style32"/>
              <w:widowControl w:val="false"/>
              <w:suppressAutoHyphens w:val="true"/>
              <w:spacing w:before="60" w:after="60"/>
              <w:ind w:hanging="0" w:left="219"/>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2"/>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2"/>
              <w:widowControl w:val="false"/>
              <w:numPr>
                <w:ilvl w:val="1"/>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numPr>
                <w:ilvl w:val="0"/>
                <w:numId w:val="9"/>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_Ref125370199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1"/>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numPr>
                <w:ilvl w:val="0"/>
                <w:numId w:val="9"/>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с обязательным привлечением субподрядчиков (соисполнителей) из числа субъектов МСП установленным в отношении его требованиям</w:t>
            </w:r>
          </w:p>
          <w:p>
            <w:pPr>
              <w:pStyle w:val="Style32"/>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участвовать в которой могут только лица, обязанные привлечь к исполнению Договора субподрядчиков (соисполнителей) из числа субъектов МСП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_Ref127524203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_Ref125550523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8.7</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918" w:type="dxa"/>
            <w:gridSpan w:val="2"/>
            <w:tcBorders/>
          </w:tcPr>
          <w:p>
            <w:pPr>
              <w:pStyle w:val="Style32"/>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4"/>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2"/>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2"/>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2"/>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исполнения Заказчиком</w:t>
            </w:r>
            <w:r>
              <w:rPr>
                <w:rFonts w:eastAsia="Calibri" w:cs=""/>
                <w:kern w:val="0"/>
                <w:sz w:val="26"/>
                <w:szCs w:val="22"/>
                <w:lang w:val="ru-RU" w:eastAsia="en-US" w:bidi="ar-SA"/>
              </w:rPr>
              <w:t xml:space="preserve"> </w:t>
            </w:r>
            <w:r>
              <w:rPr>
                <w:rFonts w:eastAsia="Calibri" w:cs=""/>
                <w:i/>
                <w:iCs/>
                <w:kern w:val="0"/>
                <w:sz w:val="26"/>
                <w:szCs w:val="22"/>
                <w:lang w:val="ru-RU" w:eastAsia="en-US" w:bidi="ar-SA"/>
              </w:rPr>
              <w:t>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_Ref186114626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_Ref186114626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_Ref186114626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4"/>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2"/>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4"/>
                  <w:rFonts w:eastAsia="Calibri" w:cs=""/>
                  <w:kern w:val="0"/>
                  <w:sz w:val="26"/>
                  <w:szCs w:val="22"/>
                  <w:lang w:val="ru-RU" w:eastAsia="en-US" w:bidi="ar-SA"/>
                </w:rPr>
                <w:t>Приложение № 2</w:t>
              </w:r>
            </w:hyperlink>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4"/>
                  <w:rFonts w:eastAsia="Calibri" w:cs=""/>
                  <w:kern w:val="0"/>
                  <w:sz w:val="26"/>
                  <w:szCs w:val="22"/>
                  <w:lang w:val="ru-RU" w:eastAsia="en-US" w:bidi="ar-SA"/>
                </w:rPr>
                <w:t>Проекте договора (Приложение № 2)</w:t>
              </w:r>
            </w:hyperlink>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2"/>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4"/>
                  <w:rFonts w:eastAsia="Calibri" w:cs=""/>
                  <w:kern w:val="0"/>
                  <w:sz w:val="26"/>
                  <w:szCs w:val="22"/>
                  <w:lang w:val="ru-RU" w:eastAsia="en-US" w:bidi="ar-SA"/>
                </w:rPr>
                <w:t>Приложение № 2</w:t>
              </w:r>
            </w:hyperlink>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2"/>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2"/>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_Ref135749133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4.9</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4_ФормыЗаявки">
              <w:r>
                <w:rPr>
                  <w:rStyle w:val="Style14"/>
                  <w:rFonts w:eastAsia="Calibri" w:cs=""/>
                  <w:kern w:val="0"/>
                  <w:sz w:val="26"/>
                  <w:szCs w:val="22"/>
                  <w:lang w:val="ru-RU" w:eastAsia="en-US" w:bidi="ar-SA"/>
                </w:rPr>
                <w:t>Приложение № 4</w:t>
              </w:r>
            </w:hyperlink>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2"/>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_Ref130985951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2"/>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_Ref130985951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2"/>
              <w:widowControl w:val="false"/>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2"/>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 xml:space="preserve">Коммерческому приложению,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p>
            <w:pPr>
              <w:pStyle w:val="Style32"/>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4"/>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2"/>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2"/>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32"/>
        <w:keepNext w:val="true"/>
        <w:tabs>
          <w:tab w:val="clear" w:pos="708"/>
          <w:tab w:val="left" w:pos="851" w:leader="none"/>
        </w:tabs>
        <w:spacing w:before="240" w:after="0"/>
        <w:rPr>
          <w:b/>
          <w:bCs/>
        </w:rPr>
      </w:pPr>
      <w:r>
        <w:rPr>
          <w:b/>
          <w:bCs/>
        </w:rPr>
        <w:t>* Направления оценки заявок:</w:t>
      </w:r>
    </w:p>
    <w:p>
      <w:pPr>
        <w:pStyle w:val="Style32"/>
        <w:tabs>
          <w:tab w:val="clear" w:pos="708"/>
          <w:tab w:val="left" w:pos="1134" w:leader="none"/>
        </w:tabs>
        <w:ind w:hanging="1701" w:left="1701"/>
        <w:rPr/>
      </w:pPr>
      <w:r>
        <w:rPr>
          <w:b/>
          <w:bCs/>
        </w:rPr>
        <w:t>Орг</w:t>
      </w:r>
      <w:r>
        <w:rPr/>
        <w:tab/>
        <w:t>–</w:t>
        <w:tab/>
      </w:r>
      <w:bookmarkStart w:id="434" w:name="_Hlk138342484"/>
      <w:r>
        <w:rPr/>
        <w:t>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w:t>
      </w:r>
      <w:bookmarkEnd w:id="434"/>
      <w:r>
        <w:rPr/>
        <w:t xml:space="preserve">; </w:t>
      </w:r>
      <w:bookmarkStart w:id="435" w:name="_Hlk138342546"/>
      <w:r>
        <w:rPr/>
        <w:t xml:space="preserve">наличия обеспечения обязательств Участника, связанного с подачей заявки, в виде банковской гарантии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w:t>
      </w:r>
      <w:bookmarkEnd w:id="435"/>
      <w:r>
        <w:rPr/>
        <w:t xml:space="preserve">,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при установлении требования об обязательном привлечении к исполнению Договора субподрядчиков (соисполнителей) из числа субъектов МСП – проверка субподрядчиков (соисполнителей), указанных Участником в Плане распределения поставки продукции, на наличие информации о таком субподрядчике (соисполнителе)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w:t>
      </w:r>
      <w:bookmarkStart w:id="436" w:name="_Hlk138342572"/>
      <w:r>
        <w:rPr/>
        <w:t>–</w:t>
      </w:r>
      <w:bookmarkEnd w:id="436"/>
      <w:r>
        <w:rPr/>
        <w:t xml:space="preserve">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2"/>
        <w:tabs>
          <w:tab w:val="clear" w:pos="708"/>
          <w:tab w:val="left" w:pos="1134" w:leader="none"/>
        </w:tabs>
        <w:ind w:hanging="1701" w:left="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437" w:name="_Hlk188261128"/>
      <w:bookmarkStart w:id="438" w:name="_Hlk208678894"/>
      <w:bookmarkStart w:id="439" w:name="_Hlk207284070"/>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439"/>
      <w:r>
        <w:rPr/>
        <w:t>;</w:t>
      </w:r>
      <w:bookmarkEnd w:id="438"/>
      <w:r>
        <w:rPr/>
        <w:t xml:space="preserve"> </w:t>
      </w:r>
      <w:bookmarkEnd w:id="437"/>
      <w:r>
        <w:rPr/>
        <w:t xml:space="preserve">оценка Технических предложений и сведений, подтверждающих соответствия Участника квалификационным и специальным требованиям; </w:t>
      </w:r>
      <w:bookmarkStart w:id="440" w:name="_Hlk138342998"/>
      <w:r>
        <w:rP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440"/>
      <w:r>
        <w:rPr/>
        <w:t>;</w:t>
      </w:r>
    </w:p>
    <w:p>
      <w:pPr>
        <w:pStyle w:val="Style32"/>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2"/>
        <w:keepNext w:val="true"/>
        <w:tabs>
          <w:tab w:val="clear" w:pos="708"/>
          <w:tab w:val="left" w:pos="1134" w:leader="none"/>
        </w:tabs>
        <w:ind w:hanging="1701" w:left="1701"/>
        <w:rPr/>
      </w:pPr>
      <w:r>
        <w:rPr>
          <w:b/>
          <w:bCs/>
        </w:rPr>
        <w:t>Цена</w:t>
      </w:r>
      <w:r>
        <w:rPr/>
        <w:tab/>
        <w:t>–</w:t>
        <w:tab/>
      </w:r>
      <w:bookmarkStart w:id="441" w:name="_Hlk207621156"/>
      <w:bookmarkStart w:id="442" w:name="_Hlk208678908"/>
      <w:bookmarkStart w:id="443" w:name="_Hlk207643647"/>
      <w:bookmarkStart w:id="444" w:name="_Hlk208845482"/>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w:t>
      </w:r>
      <w:bookmarkStart w:id="445" w:name="_Hlk207616717"/>
      <w:r>
        <w:rPr/>
        <w:t>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w:t>
      </w:r>
      <w:bookmarkEnd w:id="442"/>
      <w:bookmarkEnd w:id="443"/>
      <w:bookmarkEnd w:id="444"/>
      <w:r>
        <w:rPr/>
        <w:t xml:space="preserve"> </w:t>
      </w:r>
      <w:bookmarkEnd w:id="445"/>
      <w:r>
        <w:rPr/>
        <w:t>непревышения ценового предложения участника установленного размера НМЦ</w:t>
      </w:r>
      <w:bookmarkEnd w:id="441"/>
      <w:r>
        <w:rPr/>
        <w:t>;</w:t>
      </w:r>
    </w:p>
    <w:p>
      <w:pPr>
        <w:pStyle w:val="Style32"/>
        <w:tabs>
          <w:tab w:val="clear" w:pos="708"/>
          <w:tab w:val="left" w:pos="1134" w:leader="none"/>
        </w:tabs>
        <w:ind w:hanging="1701" w:left="1701"/>
        <w:rPr/>
      </w:pPr>
      <w:r>
        <w:rPr>
          <w:b/>
          <w:bCs/>
        </w:rPr>
        <w:t>Фин</w:t>
      </w:r>
      <w:r>
        <w:rPr/>
        <w:tab/>
        <w:t>–</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банковской гарантии)</w:t>
      </w:r>
      <w:r>
        <w:rPr/>
        <w:t>.</w:t>
      </w:r>
    </w:p>
    <w:p>
      <w:pPr>
        <w:pStyle w:val="Style32"/>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6"/>
        <w:rPr/>
      </w:pPr>
      <w:bookmarkStart w:id="446" w:name="_Ref125368302"/>
      <w:bookmarkStart w:id="447" w:name="_Ref125366285"/>
      <w:bookmarkStart w:id="448" w:name="_Ref125361648"/>
      <w:bookmarkStart w:id="449" w:name="_Ref125361951"/>
      <w:bookmarkStart w:id="450" w:name="_Ref125366013"/>
      <w:bookmarkStart w:id="451" w:name="_Ref125366280"/>
      <w:bookmarkStart w:id="452" w:name="_Ref125368140"/>
      <w:bookmarkStart w:id="453" w:name="_Ref125368150"/>
      <w:bookmarkStart w:id="454" w:name="_Ref125368165"/>
      <w:bookmarkStart w:id="455" w:name="_Ref125368283"/>
      <w:bookmarkStart w:id="456" w:name="_Ref125368313"/>
      <w:bookmarkStart w:id="457" w:name="_Ref125368331"/>
      <w:bookmarkStart w:id="458" w:name="_Ref125369021"/>
      <w:bookmarkStart w:id="459" w:name="_Ref125369438"/>
      <w:bookmarkStart w:id="460" w:name="_Toc236402313"/>
      <w:bookmarkStart w:id="461" w:name="_Ref125368172"/>
      <w:bookmarkStart w:id="462" w:name="_Ref125368184"/>
      <w:bookmarkStart w:id="463" w:name="_Ref125368291"/>
      <w:bookmarkStart w:id="464" w:name="Прил08_ПорядокОценки"/>
      <w:bookmarkEnd w:id="464"/>
      <w:r>
        <w:rPr/>
        <w:t>Приложение № 8 – Порядок и критерии оценки и сопоставления заявок</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Style27"/>
        <w:rPr/>
      </w:pPr>
      <w:bookmarkStart w:id="465" w:name="_Toc236402314"/>
      <w:r>
        <w:rPr/>
        <w:t>Порядок и критерии оценки и сопоставления заявок</w:t>
      </w:r>
      <w:bookmarkEnd w:id="465"/>
    </w:p>
    <w:p>
      <w:pPr>
        <w:pStyle w:val="Style28"/>
        <w:rPr/>
      </w:pPr>
      <w:r>
        <w:rPr/>
        <w:t>Расчет итоговой оценки предпочтительности каждой заявки, успешно прошедшей отборочную стадию (подраздел </w:t>
      </w:r>
      <w:r>
        <w:rPr/>
        <w:fldChar w:fldCharType="begin"/>
      </w:r>
      <w:r>
        <w:rPr/>
        <w:instrText xml:space="preserve"> REF _Ref125362364 \w \h </w:instrText>
      </w:r>
      <w:r>
        <w:rPr/>
        <w:fldChar w:fldCharType="separate"/>
      </w:r>
      <w:r>
        <w:rPr/>
        <w:t>4.9</w:t>
      </w:r>
      <w:r>
        <w:rPr/>
        <w:fldChar w:fldCharType="end"/>
      </w:r>
      <w:r>
        <w:rPr/>
        <w:t>),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5195"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1133"/>
        <w:gridCol w:w="1421"/>
        <w:gridCol w:w="1840"/>
        <w:gridCol w:w="1700"/>
        <w:gridCol w:w="9"/>
        <w:gridCol w:w="1296"/>
        <w:gridCol w:w="10"/>
        <w:gridCol w:w="1975"/>
        <w:gridCol w:w="8"/>
        <w:gridCol w:w="5802"/>
      </w:tblGrid>
      <w:tr>
        <w:trPr>
          <w:cantSplit w:val="true"/>
        </w:trPr>
        <w:tc>
          <w:tcPr>
            <w:tcW w:w="1133" w:type="dxa"/>
            <w:vMerge w:val="restart"/>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r>
          </w:p>
          <w:p>
            <w:pPr>
              <w:pStyle w:val="Normal"/>
              <w:keepNext w:val="true"/>
              <w:widowControl w:val="false"/>
              <w:spacing w:before="40" w:after="40"/>
              <w:jc w:val="center"/>
              <w:rPr>
                <w:rFonts w:eastAsia="Calibri"/>
                <w:sz w:val="18"/>
                <w:szCs w:val="18"/>
              </w:rPr>
            </w:pPr>
            <w:r>
              <w:rPr>
                <w:rFonts w:eastAsia="Calibri"/>
                <w:sz w:val="18"/>
                <w:szCs w:val="18"/>
              </w:rPr>
              <w:t>Номер критерия оценки в структуре</w:t>
            </w:r>
          </w:p>
        </w:tc>
        <w:tc>
          <w:tcPr>
            <w:tcW w:w="1421" w:type="dxa"/>
            <w:vMerge w:val="restart"/>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bCs/>
                <w:sz w:val="18"/>
                <w:szCs w:val="18"/>
              </w:rPr>
              <w:t>Направление оценки заявок</w:t>
            </w:r>
          </w:p>
        </w:tc>
        <w:tc>
          <w:tcPr>
            <w:tcW w:w="3540" w:type="dxa"/>
            <w:gridSpan w:val="2"/>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t>Наименование критерия оценки</w:t>
            </w:r>
          </w:p>
        </w:tc>
        <w:tc>
          <w:tcPr>
            <w:tcW w:w="1315" w:type="dxa"/>
            <w:gridSpan w:val="3"/>
            <w:vMerge w:val="restart"/>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t>Значимость критерия оценки</w:t>
            </w:r>
          </w:p>
        </w:tc>
        <w:tc>
          <w:tcPr>
            <w:tcW w:w="1983" w:type="dxa"/>
            <w:gridSpan w:val="2"/>
            <w:vMerge w:val="restart"/>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t>Содержание частного критерия оценки</w:t>
            </w:r>
          </w:p>
        </w:tc>
        <w:tc>
          <w:tcPr>
            <w:tcW w:w="5802" w:type="dxa"/>
            <w:vMerge w:val="restart"/>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t>Расчет оценки предпочтительности заявки</w:t>
            </w:r>
          </w:p>
        </w:tc>
      </w:tr>
      <w:tr>
        <w:trPr>
          <w:cantSplit w:val="true"/>
        </w:trPr>
        <w:tc>
          <w:tcPr>
            <w:tcW w:w="1133" w:type="dxa"/>
            <w:vMerge w:val="continue"/>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r>
          </w:p>
        </w:tc>
        <w:tc>
          <w:tcPr>
            <w:tcW w:w="1421" w:type="dxa"/>
            <w:vMerge w:val="continue"/>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r>
          </w:p>
        </w:tc>
        <w:tc>
          <w:tcPr>
            <w:tcW w:w="1840" w:type="dxa"/>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t>критерий оценки первого уровня</w:t>
            </w:r>
          </w:p>
        </w:tc>
        <w:tc>
          <w:tcPr>
            <w:tcW w:w="1700" w:type="dxa"/>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t>критерий оценки второго уровня</w:t>
            </w:r>
          </w:p>
        </w:tc>
        <w:tc>
          <w:tcPr>
            <w:tcW w:w="1315" w:type="dxa"/>
            <w:gridSpan w:val="3"/>
            <w:vMerge w:val="continue"/>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r>
          </w:p>
        </w:tc>
        <w:tc>
          <w:tcPr>
            <w:tcW w:w="1983" w:type="dxa"/>
            <w:gridSpan w:val="2"/>
            <w:vMerge w:val="continue"/>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r>
          </w:p>
        </w:tc>
        <w:tc>
          <w:tcPr>
            <w:tcW w:w="5802" w:type="dxa"/>
            <w:vMerge w:val="continue"/>
            <w:tcBorders>
              <w:top w:val="single" w:sz="4" w:space="0" w:color="000000"/>
              <w:left w:val="single" w:sz="4" w:space="0" w:color="000000"/>
              <w:bottom w:val="single" w:sz="4" w:space="0" w:color="000000"/>
              <w:right w:val="single" w:sz="4" w:space="0" w:color="000000"/>
            </w:tcBorders>
            <w:shd w:color="auto" w:fill="D5DCE4" w:val="clear"/>
            <w:vAlign w:val="center"/>
          </w:tcPr>
          <w:p>
            <w:pPr>
              <w:pStyle w:val="Normal"/>
              <w:keepNext w:val="true"/>
              <w:widowControl w:val="false"/>
              <w:spacing w:before="40" w:after="40"/>
              <w:jc w:val="center"/>
              <w:rPr>
                <w:rFonts w:eastAsia="Calibri"/>
                <w:sz w:val="18"/>
                <w:szCs w:val="18"/>
              </w:rPr>
            </w:pPr>
            <w:r>
              <w:rPr>
                <w:rFonts w:eastAsia="Calibri"/>
                <w:sz w:val="18"/>
                <w:szCs w:val="18"/>
              </w:rPr>
            </w:r>
          </w:p>
        </w:tc>
      </w:tr>
      <w:tr>
        <w:trPr/>
        <w:tc>
          <w:tcPr>
            <w:tcW w:w="113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0"/>
              </w:numPr>
              <w:spacing w:before="40" w:after="40"/>
              <w:contextualSpacing/>
              <w:rPr/>
            </w:pPr>
            <w:r>
              <w:rPr/>
            </w:r>
          </w:p>
        </w:tc>
        <w:tc>
          <w:tcPr>
            <w:tcW w:w="14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40" w:after="40"/>
              <w:jc w:val="center"/>
              <w:rPr/>
            </w:pPr>
            <w:r>
              <w:rPr>
                <w:rFonts w:eastAsia="Calibri"/>
                <w:sz w:val="18"/>
                <w:szCs w:val="18"/>
              </w:rPr>
              <w:t>Ценовой (стоимостный) частный критерий оценки первого уровня / ЦЕНА</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40" w:after="40"/>
              <w:jc w:val="center"/>
              <w:rPr/>
            </w:pPr>
            <w:r>
              <w:rPr>
                <w:rFonts w:eastAsia="Calibri"/>
                <w:sz w:val="18"/>
                <w:szCs w:val="18"/>
              </w:rPr>
              <w:t>Цена договора (стоимость заявки)</w:t>
            </w:r>
          </w:p>
        </w:tc>
        <w:tc>
          <w:tcPr>
            <w:tcW w:w="1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40" w:after="40"/>
              <w:jc w:val="center"/>
              <w:rPr/>
            </w:pPr>
            <w:r>
              <w:rPr>
                <w:rFonts w:eastAsia="Calibri"/>
                <w:i/>
                <w:sz w:val="18"/>
                <w:szCs w:val="18"/>
              </w:rPr>
              <w:t>Отсутствует</w:t>
            </w:r>
          </w:p>
        </w:tc>
        <w:tc>
          <w:tcPr>
            <w:tcW w:w="1305"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40" w:after="40"/>
              <w:jc w:val="center"/>
              <w:rPr/>
            </w:pPr>
            <w:r>
              <w:rPr>
                <w:sz w:val="18"/>
                <w:szCs w:val="18"/>
              </w:rPr>
              <w:t>75%</w:t>
            </w:r>
          </w:p>
          <w:p>
            <w:pPr>
              <w:pStyle w:val="Normal"/>
              <w:widowControl w:val="false"/>
              <w:spacing w:before="40" w:after="40"/>
              <w:jc w:val="center"/>
              <w:rPr/>
            </w:pPr>
            <w:r>
              <w:rPr>
                <w:sz w:val="18"/>
                <w:szCs w:val="18"/>
              </w:rPr>
              <w:t>(B</w:t>
            </w:r>
            <w:r>
              <w:rPr>
                <w:sz w:val="18"/>
                <w:szCs w:val="18"/>
                <w:vertAlign w:val="subscript"/>
              </w:rPr>
              <w:t>1</w:t>
            </w:r>
            <w:r>
              <w:rPr>
                <w:sz w:val="18"/>
                <w:szCs w:val="18"/>
              </w:rPr>
              <w:t xml:space="preserve"> = 0,75)</w:t>
            </w:r>
          </w:p>
        </w:tc>
        <w:tc>
          <w:tcPr>
            <w:tcW w:w="1985"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jc w:val="center"/>
              <w:rPr>
                <w:rFonts w:eastAsia="Calibri"/>
                <w:sz w:val="18"/>
                <w:szCs w:val="18"/>
              </w:rPr>
            </w:pPr>
            <w:r>
              <w:rPr>
                <w:rFonts w:eastAsia="Calibri"/>
                <w:sz w:val="18"/>
                <w:szCs w:val="18"/>
              </w:rPr>
              <w:t>Чем меньше цена</w:t>
            </w:r>
          </w:p>
          <w:p>
            <w:pPr>
              <w:pStyle w:val="Normal"/>
              <w:widowControl w:val="false"/>
              <w:spacing w:before="0" w:after="0"/>
              <w:jc w:val="center"/>
              <w:rPr>
                <w:rFonts w:eastAsia="Calibri"/>
                <w:sz w:val="18"/>
                <w:szCs w:val="18"/>
              </w:rPr>
            </w:pPr>
            <w:r>
              <w:rPr>
                <w:rFonts w:eastAsia="Calibri"/>
                <w:sz w:val="18"/>
                <w:szCs w:val="18"/>
              </w:rPr>
              <w:t>договора (стоимость</w:t>
            </w:r>
          </w:p>
          <w:p>
            <w:pPr>
              <w:pStyle w:val="Normal"/>
              <w:widowControl w:val="false"/>
              <w:spacing w:before="0" w:after="0"/>
              <w:jc w:val="center"/>
              <w:rPr>
                <w:rFonts w:eastAsia="Calibri"/>
                <w:sz w:val="18"/>
                <w:szCs w:val="18"/>
              </w:rPr>
            </w:pPr>
            <w:r>
              <w:rPr>
                <w:rFonts w:eastAsia="Calibri"/>
                <w:sz w:val="18"/>
                <w:szCs w:val="18"/>
              </w:rPr>
              <w:t>заявки), тем выше</w:t>
            </w:r>
          </w:p>
          <w:p>
            <w:pPr>
              <w:pStyle w:val="Normal"/>
              <w:widowControl w:val="false"/>
              <w:spacing w:before="0" w:after="0"/>
              <w:jc w:val="center"/>
              <w:rPr/>
            </w:pPr>
            <w:r>
              <w:rPr>
                <w:rFonts w:eastAsia="Calibri"/>
                <w:sz w:val="18"/>
                <w:szCs w:val="18"/>
              </w:rPr>
              <w:t>предпочтительность</w:t>
            </w:r>
          </w:p>
        </w:tc>
        <w:tc>
          <w:tcPr>
            <w:tcW w:w="5810"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7"/>
                <w:numId w:val="22"/>
              </w:numPr>
              <w:suppressAutoHyphens w:val="true"/>
              <w:spacing w:before="120" w:after="0"/>
              <w:jc w:val="both"/>
              <w:rPr/>
            </w:pPr>
            <w:r>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pPr>
              <w:pStyle w:val="22"/>
              <w:widowControl w:val="false"/>
              <w:numPr>
                <w:ilvl w:val="6"/>
                <w:numId w:val="23"/>
              </w:numPr>
              <w:spacing w:lineRule="auto" w:line="240"/>
              <w:rPr>
                <w:sz w:val="24"/>
                <w:szCs w:val="24"/>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r>
                    <w:rPr>
                      <w:rFonts w:ascii="Cambria Math" w:hAnsi="Cambria Math"/>
                    </w:rPr>
                    <m:t xml:space="preserve">ЦЕНА</m:t>
                  </m:r>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instrText xml:space="preserve">vnd.oasis.opendocument.field.UNHANDLED</w:instrText>
            </w:r>
            <w:r>
              <w:rPr/>
            </w:r>
            <w:r>
              <w:rPr/>
              <w:drawing>
                <wp:inline distT="0" distB="0" distL="0" distR="0">
                  <wp:extent cx="990600" cy="276225"/>
                  <wp:effectExtent l="0" t="0" r="0" b="0"/>
                  <wp:docPr id="1" name="Рисунок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6" descr=""/>
                          <pic:cNvPicPr>
                            <a:picLocks noChangeAspect="1" noChangeArrowheads="1"/>
                          </pic:cNvPicPr>
                        </pic:nvPicPr>
                        <pic:blipFill>
                          <a:blip r:embed="rId26"/>
                          <a:stretch>
                            <a:fillRect/>
                          </a:stretch>
                        </pic:blipFill>
                        <pic:spPr bwMode="auto">
                          <a:xfrm>
                            <a:off x="0" y="0"/>
                            <a:ext cx="990600" cy="276225"/>
                          </a:xfrm>
                          <a:prstGeom prst="rect">
                            <a:avLst/>
                          </a:prstGeom>
                        </pic:spPr>
                      </pic:pic>
                    </a:graphicData>
                  </a:graphic>
                </wp:inline>
              </w:drawing>
            </w:r>
            <w:r>
              <w:rPr>
                <w:sz w:val="24"/>
                <w:szCs w:val="24"/>
              </w:rPr>
              <w:fldChar w:fldCharType="separate"/>
            </w:r>
            <w:r>
              <w:rPr>
                <w:sz w:val="24"/>
                <w:szCs w:val="24"/>
              </w:rPr>
            </w:r>
            <w:r/>
            <w:r>
              <w:rPr>
                <w:sz w:val="24"/>
                <w:szCs w:val="24"/>
              </w:rPr>
              <w:fldChar w:fldCharType="end"/>
            </w:r>
            <w:r>
              <w:rPr>
                <w:sz w:val="24"/>
                <w:szCs w:val="24"/>
              </w:rPr>
            </w:r>
          </w:p>
          <w:p>
            <w:pPr>
              <w:pStyle w:val="22"/>
              <w:widowControl w:val="false"/>
              <w:numPr>
                <w:ilvl w:val="6"/>
                <w:numId w:val="23"/>
              </w:numPr>
              <w:spacing w:lineRule="auto" w:line="240"/>
              <w:ind w:hanging="0" w:left="0" w:right="113"/>
              <w:rPr/>
            </w:pPr>
            <w:r>
              <w:rPr>
                <w:sz w:val="18"/>
                <w:szCs w:val="18"/>
              </w:rPr>
              <w:t>где:</w:t>
            </w:r>
          </w:p>
          <w:p>
            <w:pPr>
              <w:pStyle w:val="22"/>
              <w:widowControl w:val="false"/>
              <w:numPr>
                <w:ilvl w:val="6"/>
                <w:numId w:val="23"/>
              </w:numPr>
              <w:spacing w:lineRule="auto" w:line="240"/>
              <w:ind w:hanging="0" w:left="0" w:right="113"/>
              <w:rPr/>
            </w:pPr>
            <w:r>
              <w:rPr>
                <w:sz w:val="18"/>
                <w:szCs w:val="18"/>
              </w:rPr>
              <w:t>Б</w:t>
            </w:r>
            <w:r>
              <w:rPr>
                <w:sz w:val="20"/>
                <w:szCs w:val="20"/>
                <w:vertAlign w:val="subscript"/>
              </w:rPr>
              <w:t>1</w:t>
            </w:r>
            <w:r>
              <w:rPr>
                <w:sz w:val="20"/>
                <w:szCs w:val="20"/>
              </w:rPr>
              <w:tab/>
            </w:r>
            <w:r>
              <w:rPr>
                <w:sz w:val="18"/>
                <w:szCs w:val="18"/>
              </w:rPr>
              <w:t>–</w:t>
              <w:tab/>
              <w:t>рассчитанная оценка предпочтительности по данному частному критерию оценки в баллах;</w:t>
            </w:r>
          </w:p>
          <w:p>
            <w:pPr>
              <w:pStyle w:val="22"/>
              <w:widowControl w:val="false"/>
              <w:numPr>
                <w:ilvl w:val="6"/>
                <w:numId w:val="23"/>
              </w:numPr>
              <w:spacing w:lineRule="auto" w:line="240"/>
              <w:ind w:hanging="0" w:left="0" w:right="113"/>
              <w:rPr/>
            </w:pPr>
            <w:r>
              <w:rPr>
                <w:sz w:val="18"/>
                <w:szCs w:val="18"/>
              </w:rPr>
              <w:t>ЦЕНАi – цена договора (стоимость заявки), указанная в i-ой заявке (в Коммерческом предложении по установленной в Документации о закупке форме) допущенного Участника, руб. без учета НДС;</w:t>
            </w:r>
          </w:p>
          <w:p>
            <w:pPr>
              <w:pStyle w:val="22"/>
              <w:widowControl w:val="false"/>
              <w:numPr>
                <w:ilvl w:val="6"/>
                <w:numId w:val="23"/>
              </w:numPr>
              <w:spacing w:lineRule="auto" w:line="240"/>
              <w:ind w:hanging="0" w:left="0" w:right="113"/>
              <w:rPr/>
            </w:pPr>
            <w:r>
              <w:rPr>
                <w:sz w:val="18"/>
                <w:szCs w:val="18"/>
              </w:rPr>
              <w:t>ЦЕНАmin – минимальная цена договора (стоимость заявки) среди всех допущенных заявок Участников, руб. без учета НДС;</w:t>
            </w:r>
          </w:p>
          <w:p>
            <w:pPr>
              <w:pStyle w:val="22"/>
              <w:widowControl w:val="false"/>
              <w:numPr>
                <w:ilvl w:val="6"/>
                <w:numId w:val="23"/>
              </w:numPr>
              <w:spacing w:lineRule="auto" w:line="240"/>
              <w:ind w:hanging="0" w:left="0" w:right="113"/>
              <w:rPr/>
            </w:pPr>
            <w:r>
              <w:rPr>
                <w:sz w:val="18"/>
                <w:szCs w:val="18"/>
              </w:rPr>
              <w:t>Ш</w:t>
              <w:tab/>
              <w:t>–</w:t>
              <w:tab/>
              <w:t>максимально возможный балл (максимальная возможная оценка предпочтительности) по шкале оценок (Ш = 5).</w:t>
            </w:r>
          </w:p>
          <w:p>
            <w:pPr>
              <w:pStyle w:val="22"/>
              <w:widowControl w:val="false"/>
              <w:numPr>
                <w:ilvl w:val="6"/>
                <w:numId w:val="23"/>
              </w:numPr>
              <w:spacing w:lineRule="auto" w:line="240"/>
              <w:ind w:hanging="0" w:left="0" w:right="113"/>
              <w:rPr/>
            </w:pPr>
            <w:r>
              <w:rPr>
                <w:sz w:val="18"/>
                <w:szCs w:val="18"/>
              </w:rPr>
              <w:t>Оценка предпочтительности заявок осуществляется в едином базисе сопоставления ценовых (стоимостных) предложений (единичных расценок), установленном в документации о закупке: без учета НДС.</w:t>
            </w:r>
          </w:p>
          <w:p>
            <w:pPr>
              <w:pStyle w:val="22"/>
              <w:widowControl w:val="false"/>
              <w:numPr>
                <w:ilvl w:val="6"/>
                <w:numId w:val="24"/>
              </w:numPr>
              <w:spacing w:lineRule="auto" w:line="240"/>
              <w:ind w:hanging="0" w:left="0" w:right="113"/>
              <w:rPr/>
            </w:pPr>
            <w:r>
              <w:rPr>
                <w:sz w:val="18"/>
                <w:szCs w:val="18"/>
              </w:rPr>
              <w:t>Шкала оценок от 0 до 5 баллов.</w:t>
            </w:r>
          </w:p>
        </w:tc>
      </w:tr>
      <w:tr>
        <w:trPr/>
        <w:tc>
          <w:tcPr>
            <w:tcW w:w="113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30"/>
              </w:numPr>
              <w:spacing w:before="40" w:after="40"/>
              <w:contextualSpacing/>
              <w:jc w:val="center"/>
              <w:rPr>
                <w:rFonts w:eastAsia="Calibri"/>
                <w:sz w:val="18"/>
                <w:szCs w:val="18"/>
              </w:rPr>
            </w:pPr>
            <w:r>
              <w:rPr>
                <w:rFonts w:eastAsia="Calibri"/>
                <w:sz w:val="18"/>
                <w:szCs w:val="18"/>
              </w:rPr>
            </w:r>
          </w:p>
        </w:tc>
        <w:tc>
          <w:tcPr>
            <w:tcW w:w="14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590" w:leader="none"/>
              </w:tabs>
              <w:spacing w:before="120" w:after="0"/>
              <w:jc w:val="center"/>
              <w:rPr>
                <w:rFonts w:eastAsia="Calibri"/>
                <w:sz w:val="18"/>
                <w:szCs w:val="18"/>
              </w:rPr>
            </w:pPr>
            <w:r>
              <w:rPr>
                <w:rFonts w:eastAsia="Calibri"/>
                <w:sz w:val="18"/>
                <w:szCs w:val="18"/>
              </w:rPr>
              <w:t>Неценовой критерий оценки первого уровня / ТЕХ</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0"/>
              <w:jc w:val="center"/>
              <w:rPr>
                <w:rFonts w:eastAsia="Calibri"/>
                <w:sz w:val="18"/>
                <w:szCs w:val="18"/>
              </w:rPr>
            </w:pPr>
            <w:r>
              <w:rPr>
                <w:rFonts w:eastAsia="Calibri"/>
                <w:sz w:val="18"/>
                <w:szCs w:val="18"/>
              </w:rPr>
              <w:t>Квалификация (предпочтительность) Участника</w:t>
            </w:r>
          </w:p>
        </w:tc>
        <w:tc>
          <w:tcPr>
            <w:tcW w:w="1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0"/>
              <w:jc w:val="center"/>
              <w:rPr>
                <w:rFonts w:eastAsia="Calibri"/>
                <w:i/>
                <w:i/>
                <w:sz w:val="18"/>
                <w:szCs w:val="18"/>
              </w:rPr>
            </w:pPr>
            <w:r>
              <w:rPr>
                <w:rFonts w:eastAsia="Calibri"/>
                <w:i/>
                <w:sz w:val="18"/>
                <w:szCs w:val="18"/>
              </w:rPr>
              <w:t>Отсутствует</w:t>
            </w:r>
          </w:p>
        </w:tc>
        <w:tc>
          <w:tcPr>
            <w:tcW w:w="1305"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0"/>
              <w:jc w:val="center"/>
              <w:rPr>
                <w:rFonts w:eastAsia="Calibri"/>
                <w:sz w:val="18"/>
                <w:szCs w:val="18"/>
              </w:rPr>
            </w:pPr>
            <w:r>
              <w:rPr>
                <w:rFonts w:eastAsia="Calibri"/>
                <w:sz w:val="18"/>
                <w:szCs w:val="18"/>
              </w:rPr>
              <w:t>20%</w:t>
              <w:br/>
              <w:t>(В</w:t>
            </w:r>
            <w:r>
              <w:rPr>
                <w:rFonts w:eastAsia="Calibri"/>
                <w:sz w:val="18"/>
                <w:szCs w:val="18"/>
                <w:vertAlign w:val="subscript"/>
              </w:rPr>
              <w:t>2</w:t>
            </w:r>
            <w:r>
              <w:rPr>
                <w:rFonts w:eastAsia="Calibri"/>
                <w:sz w:val="18"/>
                <w:szCs w:val="18"/>
              </w:rPr>
              <w:t xml:space="preserve"> = 0,20)</w:t>
            </w:r>
          </w:p>
        </w:tc>
        <w:tc>
          <w:tcPr>
            <w:tcW w:w="198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jc w:val="center"/>
              <w:rPr>
                <w:rFonts w:eastAsia="Calibri"/>
                <w:sz w:val="18"/>
                <w:szCs w:val="18"/>
              </w:rPr>
            </w:pPr>
            <w:r>
              <w:rPr>
                <w:rFonts w:eastAsia="Calibri"/>
                <w:sz w:val="18"/>
                <w:szCs w:val="18"/>
              </w:rPr>
              <w:t>Чем больше опыт оказания услуг по сопровождению программного обеспечения (более установленного минимума), тем выше предпочтительность</w:t>
            </w:r>
          </w:p>
        </w:tc>
        <w:tc>
          <w:tcPr>
            <w:tcW w:w="581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7"/>
                <w:numId w:val="29"/>
              </w:numPr>
              <w:tabs>
                <w:tab w:val="clear" w:pos="708"/>
                <w:tab w:val="left" w:pos="360" w:leader="none"/>
              </w:tabs>
              <w:suppressAutoHyphens w:val="true"/>
              <w:spacing w:before="96" w:after="96"/>
              <w:jc w:val="both"/>
              <w:rPr>
                <w:rFonts w:eastAsia="Calibri"/>
                <w:szCs w:val="28"/>
              </w:rPr>
            </w:pPr>
            <w:r>
              <w:rPr>
                <w:rFonts w:eastAsia="Calibri"/>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numPr>
                <w:ilvl w:val="7"/>
                <w:numId w:val="29"/>
              </w:numPr>
              <w:suppressAutoHyphens w:val="true"/>
              <w:jc w:val="both"/>
              <w:rPr/>
            </w:pPr>
            <w:r>
              <w:rPr>
                <w:sz w:val="18"/>
              </w:rPr>
              <w:t xml:space="preserve">Порядок осуществления оценки (значение оцениваемого параметра), в зависимости от предоставленных в i-ой заявке сведений (в Справке об опыте Участника по установленной в Документации о закупке форме, с приложением подтверждающих документов о наличии совокупного опыта (в рамках одного или нескольких договоров) </w:t>
            </w:r>
            <w:r>
              <w:rPr>
                <w:b/>
                <w:bCs/>
                <w:sz w:val="18"/>
              </w:rPr>
              <w:t xml:space="preserve"> </w:t>
            </w:r>
            <w:r>
              <w:rPr>
                <w:rFonts w:eastAsia="Calibri"/>
                <w:b/>
                <w:bCs/>
                <w:sz w:val="18"/>
                <w:szCs w:val="18"/>
              </w:rPr>
              <w:t>оказания услуг по программно-техническому сопровождению ""1С:Бухгалтерия предприятия КОРП + БИТ.ФИНАНС.УУ"", ""1С:Зарплата и управление персоналом"", интеграции с «1С:Управление автотранспортом ПРОФ»  за последние 5 лет</w:t>
            </w:r>
            <w:r>
              <w:rPr>
                <w:sz w:val="18"/>
              </w:rPr>
              <w:t>, предшествующих дате подачи заявки, с приложением следующих подтверждающих документов:</w:t>
            </w:r>
          </w:p>
          <w:p>
            <w:pPr>
              <w:pStyle w:val="31"/>
              <w:widowControl w:val="false"/>
              <w:numPr>
                <w:ilvl w:val="7"/>
                <w:numId w:val="29"/>
              </w:numPr>
              <w:spacing w:lineRule="auto" w:line="240" w:before="40" w:after="40"/>
              <w:rPr/>
            </w:pPr>
            <w:r>
              <w:rPr>
                <w:sz w:val="18"/>
                <w:szCs w:val="16"/>
              </w:rPr>
              <w:t xml:space="preserve">- </w:t>
            </w:r>
            <w:r>
              <w:rPr>
                <w:sz w:val="18"/>
                <w:szCs w:val="18"/>
              </w:rPr>
              <w:t>копий договоров, подписанных с обеих сторон;</w:t>
            </w:r>
          </w:p>
          <w:p>
            <w:pPr>
              <w:pStyle w:val="31"/>
              <w:widowControl w:val="false"/>
              <w:numPr>
                <w:ilvl w:val="7"/>
                <w:numId w:val="29"/>
              </w:numPr>
              <w:spacing w:lineRule="auto" w:line="240" w:before="40" w:after="40"/>
              <w:rPr/>
            </w:pPr>
            <w:r>
              <w:rPr>
                <w:sz w:val="18"/>
                <w:szCs w:val="16"/>
              </w:rPr>
              <w:t>-</w:t>
            </w:r>
            <w:r>
              <w:rPr>
                <w:sz w:val="18"/>
                <w:szCs w:val="18"/>
                <w:lang w:eastAsia="ru-RU"/>
              </w:rPr>
              <w:t xml:space="preserve"> </w:t>
            </w:r>
            <w:r>
              <w:rPr>
                <w:rFonts w:eastAsia="Calibri"/>
                <w:sz w:val="18"/>
                <w:szCs w:val="18"/>
                <w:lang w:eastAsia="ru-RU"/>
              </w:rPr>
              <w:t>копии актов сдачи-приемки услуг (иных документов, оформляющих, в соответствии с условиями договора, факт оказания услуг), подписанных с обеих сторон, свидетельствующих об оказании услуг в рамках каждого предоставленного договора.</w:t>
            </w:r>
          </w:p>
          <w:p>
            <w:pPr>
              <w:pStyle w:val="Normal"/>
              <w:widowControl w:val="false"/>
              <w:numPr>
                <w:ilvl w:val="7"/>
                <w:numId w:val="29"/>
              </w:numPr>
              <w:suppressAutoHyphens w:val="true"/>
              <w:jc w:val="both"/>
              <w:rPr/>
            </w:pPr>
            <w:r>
              <w:rPr>
                <w:rFonts w:eastAsia="Calibri"/>
                <w:sz w:val="18"/>
                <w:szCs w:val="18"/>
              </w:rPr>
              <w:t xml:space="preserve">Порядок осуществления оценки (значение оцениваемого параметра), в зависимости от предоставленных в </w:t>
            </w:r>
            <w:r>
              <w:rPr>
                <w:rFonts w:eastAsia="Calibri"/>
                <w:i/>
                <w:sz w:val="18"/>
                <w:szCs w:val="18"/>
                <w:lang w:val="en-US"/>
              </w:rPr>
              <w:t>i</w:t>
            </w:r>
            <w:r>
              <w:rPr>
                <w:rFonts w:eastAsia="Calibri"/>
                <w:sz w:val="18"/>
                <w:szCs w:val="18"/>
              </w:rPr>
              <w:t>-ой заявке сведений</w:t>
            </w:r>
          </w:p>
          <w:tbl>
            <w:tblPr>
              <w:tblW w:w="491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69"/>
              <w:gridCol w:w="4242"/>
            </w:tblGrid>
            <w:tr>
              <w:trPr>
                <w:trHeight w:val="663" w:hRule="atLeast"/>
                <w:cantSplit w:val="true"/>
              </w:trPr>
              <w:tc>
                <w:tcPr>
                  <w:tcW w:w="669" w:type="dxa"/>
                  <w:tcBorders>
                    <w:bottom w:val="single" w:sz="4" w:space="0" w:color="000000"/>
                    <w:right w:val="single" w:sz="4" w:space="0" w:color="000000"/>
                  </w:tcBorders>
                </w:tcPr>
                <w:p>
                  <w:pPr>
                    <w:pStyle w:val="Normal"/>
                    <w:widowControl w:val="false"/>
                    <w:numPr>
                      <w:ilvl w:val="7"/>
                      <w:numId w:val="28"/>
                    </w:numPr>
                    <w:spacing w:before="40" w:after="40"/>
                    <w:jc w:val="both"/>
                    <w:rPr>
                      <w:rFonts w:eastAsia="Calibri"/>
                      <w:sz w:val="18"/>
                      <w:szCs w:val="18"/>
                    </w:rPr>
                  </w:pPr>
                  <w:r>
                    <w:rPr>
                      <w:rFonts w:eastAsia="Calibri"/>
                      <w:sz w:val="18"/>
                      <w:szCs w:val="18"/>
                    </w:rPr>
                    <w:t>Б</w:t>
                  </w:r>
                  <w:r>
                    <w:rPr>
                      <w:rFonts w:eastAsia="Calibri"/>
                      <w:sz w:val="18"/>
                      <w:szCs w:val="18"/>
                      <w:vertAlign w:val="subscript"/>
                    </w:rPr>
                    <w:t>2</w:t>
                  </w:r>
                  <w:r>
                    <w:rPr>
                      <w:rFonts w:eastAsia="Calibri"/>
                      <w:sz w:val="18"/>
                      <w:szCs w:val="18"/>
                    </w:rPr>
                    <w:t xml:space="preserve"> = 0</w:t>
                  </w:r>
                </w:p>
              </w:tc>
              <w:tc>
                <w:tcPr>
                  <w:tcW w:w="4242" w:type="dxa"/>
                  <w:tcBorders>
                    <w:left w:val="single" w:sz="4" w:space="0" w:color="000000"/>
                    <w:bottom w:val="single" w:sz="4" w:space="0" w:color="000000"/>
                  </w:tcBorders>
                </w:tcPr>
                <w:p>
                  <w:pPr>
                    <w:pStyle w:val="-3"/>
                    <w:widowControl w:val="false"/>
                    <w:numPr>
                      <w:ilvl w:val="4"/>
                      <w:numId w:val="28"/>
                    </w:numPr>
                    <w:spacing w:lineRule="auto" w:line="240" w:before="40" w:after="40"/>
                    <w:ind w:hanging="284" w:left="284"/>
                    <w:rPr>
                      <w:shd w:fill="FFFF00" w:val="clear"/>
                    </w:rPr>
                  </w:pPr>
                  <w:r>
                    <w:rPr>
                      <w:color w:val="000000"/>
                      <w:sz w:val="18"/>
                      <w:szCs w:val="18"/>
                    </w:rPr>
                    <w:t>от 0 % (</w:t>
                  </w:r>
                  <w:r>
                    <w:rPr>
                      <w:color w:val="000000"/>
                      <w:sz w:val="18"/>
                      <w:szCs w:val="18"/>
                      <w:lang w:eastAsia="ru-RU"/>
                    </w:rPr>
                    <w:t>опыт отсутствует, либо не подтвержден)</w:t>
                  </w:r>
                  <w:r>
                    <w:rPr>
                      <w:color w:val="000000"/>
                      <w:sz w:val="18"/>
                      <w:szCs w:val="18"/>
                    </w:rPr>
                    <w:t xml:space="preserve"> от НМЦ, без учета НДС, до 30 % (включительно) от НМЦ, без учета НДС </w:t>
                  </w:r>
                  <w:r>
                    <w:rPr>
                      <w:color w:val="000000"/>
                      <w:sz w:val="18"/>
                      <w:szCs w:val="18"/>
                      <w:lang w:eastAsia="ru-RU"/>
                    </w:rPr>
                    <w:t>за последние 5 лет</w:t>
                  </w:r>
                  <w:r>
                    <w:rPr>
                      <w:color w:val="000000"/>
                      <w:sz w:val="18"/>
                      <w:szCs w:val="18"/>
                    </w:rPr>
                    <w:t>;</w:t>
                  </w:r>
                </w:p>
              </w:tc>
            </w:tr>
            <w:tr>
              <w:trPr>
                <w:trHeight w:val="663" w:hRule="atLeast"/>
                <w:cantSplit w:val="true"/>
              </w:trPr>
              <w:tc>
                <w:tcPr>
                  <w:tcW w:w="669" w:type="dxa"/>
                  <w:tcBorders>
                    <w:top w:val="single" w:sz="4" w:space="0" w:color="000000"/>
                    <w:bottom w:val="single" w:sz="4" w:space="0" w:color="000000"/>
                    <w:right w:val="single" w:sz="4" w:space="0" w:color="000000"/>
                  </w:tcBorders>
                </w:tcPr>
                <w:p>
                  <w:pPr>
                    <w:pStyle w:val="Normal"/>
                    <w:widowControl w:val="false"/>
                    <w:numPr>
                      <w:ilvl w:val="7"/>
                      <w:numId w:val="28"/>
                    </w:numPr>
                    <w:spacing w:before="40" w:after="40"/>
                    <w:jc w:val="both"/>
                    <w:rPr>
                      <w:rFonts w:eastAsia="Calibri"/>
                      <w:sz w:val="18"/>
                      <w:szCs w:val="18"/>
                    </w:rPr>
                  </w:pPr>
                  <w:r>
                    <w:rPr>
                      <w:rFonts w:eastAsia="Calibri"/>
                      <w:sz w:val="18"/>
                      <w:szCs w:val="18"/>
                    </w:rPr>
                    <w:t>Б</w:t>
                  </w:r>
                  <w:r>
                    <w:rPr>
                      <w:rFonts w:eastAsia="Calibri"/>
                      <w:sz w:val="18"/>
                      <w:szCs w:val="18"/>
                      <w:vertAlign w:val="subscript"/>
                    </w:rPr>
                    <w:t>2</w:t>
                  </w:r>
                  <w:r>
                    <w:rPr>
                      <w:rFonts w:eastAsia="Calibri"/>
                      <w:sz w:val="18"/>
                      <w:szCs w:val="18"/>
                    </w:rPr>
                    <w:t xml:space="preserve"> = 1</w:t>
                  </w:r>
                </w:p>
              </w:tc>
              <w:tc>
                <w:tcPr>
                  <w:tcW w:w="4242" w:type="dxa"/>
                  <w:tcBorders>
                    <w:top w:val="single" w:sz="4" w:space="0" w:color="000000"/>
                    <w:left w:val="single" w:sz="4" w:space="0" w:color="000000"/>
                    <w:bottom w:val="single" w:sz="4" w:space="0" w:color="000000"/>
                  </w:tcBorders>
                </w:tcPr>
                <w:p>
                  <w:pPr>
                    <w:pStyle w:val="Normal"/>
                    <w:widowControl w:val="false"/>
                    <w:numPr>
                      <w:ilvl w:val="4"/>
                      <w:numId w:val="28"/>
                    </w:numPr>
                    <w:tabs>
                      <w:tab w:val="clear" w:pos="708"/>
                      <w:tab w:val="left" w:pos="360" w:leader="none"/>
                    </w:tabs>
                    <w:suppressAutoHyphens w:val="true"/>
                    <w:spacing w:before="40" w:after="40"/>
                    <w:ind w:hanging="284" w:left="284"/>
                    <w:jc w:val="both"/>
                    <w:outlineLvl w:val="4"/>
                    <w:rPr>
                      <w:rFonts w:eastAsia="Calibri"/>
                      <w:sz w:val="18"/>
                      <w:szCs w:val="18"/>
                    </w:rPr>
                  </w:pPr>
                  <w:r>
                    <w:rPr>
                      <w:rFonts w:eastAsia="Calibri"/>
                      <w:color w:val="000000"/>
                      <w:sz w:val="18"/>
                      <w:szCs w:val="18"/>
                    </w:rPr>
                    <w:t>более 30 % от НМЦ, без учета НДС, до 40 %  (включительно) от НМЦ, без учета НДС за последние 5 лет;</w:t>
                  </w:r>
                </w:p>
              </w:tc>
            </w:tr>
            <w:tr>
              <w:trPr>
                <w:trHeight w:val="681" w:hRule="atLeast"/>
                <w:cantSplit w:val="true"/>
              </w:trPr>
              <w:tc>
                <w:tcPr>
                  <w:tcW w:w="669" w:type="dxa"/>
                  <w:tcBorders>
                    <w:top w:val="single" w:sz="4" w:space="0" w:color="000000"/>
                    <w:bottom w:val="single" w:sz="4" w:space="0" w:color="000000"/>
                    <w:right w:val="single" w:sz="4" w:space="0" w:color="000000"/>
                  </w:tcBorders>
                </w:tcPr>
                <w:p>
                  <w:pPr>
                    <w:pStyle w:val="Normal"/>
                    <w:widowControl w:val="false"/>
                    <w:numPr>
                      <w:ilvl w:val="7"/>
                      <w:numId w:val="28"/>
                    </w:numPr>
                    <w:spacing w:before="40" w:after="40"/>
                    <w:jc w:val="both"/>
                    <w:rPr>
                      <w:rFonts w:eastAsia="Calibri"/>
                      <w:sz w:val="18"/>
                      <w:szCs w:val="18"/>
                    </w:rPr>
                  </w:pPr>
                  <w:r>
                    <w:rPr>
                      <w:rFonts w:eastAsia="Calibri"/>
                      <w:sz w:val="18"/>
                      <w:szCs w:val="18"/>
                    </w:rPr>
                    <w:t>Б</w:t>
                  </w:r>
                  <w:r>
                    <w:rPr>
                      <w:rFonts w:eastAsia="Calibri"/>
                      <w:sz w:val="18"/>
                      <w:szCs w:val="18"/>
                      <w:vertAlign w:val="subscript"/>
                    </w:rPr>
                    <w:t>2</w:t>
                  </w:r>
                  <w:r>
                    <w:rPr>
                      <w:rFonts w:eastAsia="Calibri"/>
                      <w:sz w:val="18"/>
                      <w:szCs w:val="18"/>
                    </w:rPr>
                    <w:t xml:space="preserve"> = 2</w:t>
                  </w:r>
                </w:p>
              </w:tc>
              <w:tc>
                <w:tcPr>
                  <w:tcW w:w="4242" w:type="dxa"/>
                  <w:tcBorders>
                    <w:top w:val="single" w:sz="4" w:space="0" w:color="000000"/>
                    <w:left w:val="single" w:sz="4" w:space="0" w:color="000000"/>
                    <w:bottom w:val="single" w:sz="4" w:space="0" w:color="000000"/>
                  </w:tcBorders>
                </w:tcPr>
                <w:p>
                  <w:pPr>
                    <w:pStyle w:val="Normal"/>
                    <w:widowControl w:val="false"/>
                    <w:numPr>
                      <w:ilvl w:val="4"/>
                      <w:numId w:val="28"/>
                    </w:numPr>
                    <w:spacing w:before="40" w:after="40"/>
                    <w:ind w:hanging="284" w:left="284"/>
                    <w:jc w:val="both"/>
                    <w:outlineLvl w:val="4"/>
                    <w:rPr>
                      <w:rFonts w:eastAsia="Calibri"/>
                      <w:sz w:val="18"/>
                      <w:szCs w:val="18"/>
                    </w:rPr>
                  </w:pPr>
                  <w:r>
                    <w:rPr>
                      <w:rFonts w:eastAsia="Calibri"/>
                      <w:color w:val="000000"/>
                      <w:sz w:val="18"/>
                      <w:szCs w:val="18"/>
                    </w:rPr>
                    <w:t>более 40 % от НМЦ, без учета НДС, до 50 %  (включительно) от НМЦ, без учета НДС за последние 5 лет;</w:t>
                  </w:r>
                </w:p>
              </w:tc>
            </w:tr>
            <w:tr>
              <w:trPr>
                <w:trHeight w:val="663" w:hRule="atLeast"/>
                <w:cantSplit w:val="true"/>
              </w:trPr>
              <w:tc>
                <w:tcPr>
                  <w:tcW w:w="669" w:type="dxa"/>
                  <w:tcBorders>
                    <w:top w:val="single" w:sz="4" w:space="0" w:color="000000"/>
                    <w:bottom w:val="single" w:sz="4" w:space="0" w:color="000000"/>
                    <w:right w:val="single" w:sz="4" w:space="0" w:color="000000"/>
                  </w:tcBorders>
                </w:tcPr>
                <w:p>
                  <w:pPr>
                    <w:pStyle w:val="Normal"/>
                    <w:widowControl w:val="false"/>
                    <w:numPr>
                      <w:ilvl w:val="7"/>
                      <w:numId w:val="28"/>
                    </w:numPr>
                    <w:spacing w:before="40" w:after="40"/>
                    <w:jc w:val="both"/>
                    <w:rPr>
                      <w:rFonts w:eastAsia="Calibri"/>
                      <w:sz w:val="18"/>
                      <w:szCs w:val="18"/>
                    </w:rPr>
                  </w:pPr>
                  <w:r>
                    <w:rPr>
                      <w:rFonts w:eastAsia="Calibri"/>
                      <w:sz w:val="18"/>
                      <w:szCs w:val="18"/>
                    </w:rPr>
                    <w:t>Б</w:t>
                  </w:r>
                  <w:r>
                    <w:rPr>
                      <w:rFonts w:eastAsia="Calibri"/>
                      <w:sz w:val="18"/>
                      <w:szCs w:val="18"/>
                      <w:vertAlign w:val="subscript"/>
                    </w:rPr>
                    <w:t>2</w:t>
                  </w:r>
                  <w:r>
                    <w:rPr>
                      <w:rFonts w:eastAsia="Calibri"/>
                      <w:sz w:val="18"/>
                      <w:szCs w:val="18"/>
                    </w:rPr>
                    <w:t xml:space="preserve"> = 3</w:t>
                  </w:r>
                </w:p>
              </w:tc>
              <w:tc>
                <w:tcPr>
                  <w:tcW w:w="4242" w:type="dxa"/>
                  <w:tcBorders>
                    <w:top w:val="single" w:sz="4" w:space="0" w:color="000000"/>
                    <w:left w:val="single" w:sz="4" w:space="0" w:color="000000"/>
                    <w:bottom w:val="single" w:sz="4" w:space="0" w:color="000000"/>
                  </w:tcBorders>
                </w:tcPr>
                <w:p>
                  <w:pPr>
                    <w:pStyle w:val="Normal"/>
                    <w:widowControl w:val="false"/>
                    <w:numPr>
                      <w:ilvl w:val="4"/>
                      <w:numId w:val="28"/>
                    </w:numPr>
                    <w:tabs>
                      <w:tab w:val="clear" w:pos="708"/>
                      <w:tab w:val="left" w:pos="360" w:leader="none"/>
                    </w:tabs>
                    <w:suppressAutoHyphens w:val="true"/>
                    <w:spacing w:before="40" w:after="40"/>
                    <w:ind w:hanging="284" w:left="284"/>
                    <w:jc w:val="both"/>
                    <w:outlineLvl w:val="4"/>
                    <w:rPr>
                      <w:rFonts w:eastAsia="Calibri"/>
                      <w:sz w:val="18"/>
                      <w:szCs w:val="18"/>
                    </w:rPr>
                  </w:pPr>
                  <w:r>
                    <w:rPr>
                      <w:rFonts w:eastAsia="Calibri"/>
                      <w:color w:val="000000"/>
                      <w:sz w:val="18"/>
                      <w:szCs w:val="18"/>
                    </w:rPr>
                    <w:t>более 50 % от НМЦ, без учета НДС, до 60 % (включительно) от НМЦ, без учета НДС за последние 5 лет;</w:t>
                  </w:r>
                </w:p>
              </w:tc>
            </w:tr>
            <w:tr>
              <w:trPr>
                <w:trHeight w:val="663" w:hRule="atLeast"/>
                <w:cantSplit w:val="true"/>
              </w:trPr>
              <w:tc>
                <w:tcPr>
                  <w:tcW w:w="669" w:type="dxa"/>
                  <w:tcBorders>
                    <w:top w:val="single" w:sz="4" w:space="0" w:color="000000"/>
                    <w:bottom w:val="single" w:sz="4" w:space="0" w:color="000000"/>
                    <w:right w:val="single" w:sz="4" w:space="0" w:color="000000"/>
                  </w:tcBorders>
                </w:tcPr>
                <w:p>
                  <w:pPr>
                    <w:pStyle w:val="Normal"/>
                    <w:widowControl w:val="false"/>
                    <w:numPr>
                      <w:ilvl w:val="7"/>
                      <w:numId w:val="28"/>
                    </w:numPr>
                    <w:spacing w:before="40" w:after="40"/>
                    <w:jc w:val="both"/>
                    <w:rPr>
                      <w:rFonts w:eastAsia="Calibri"/>
                      <w:sz w:val="18"/>
                      <w:szCs w:val="18"/>
                    </w:rPr>
                  </w:pPr>
                  <w:r>
                    <w:rPr>
                      <w:rFonts w:eastAsia="Calibri"/>
                      <w:sz w:val="18"/>
                      <w:szCs w:val="18"/>
                    </w:rPr>
                    <w:t>Б</w:t>
                  </w:r>
                  <w:r>
                    <w:rPr>
                      <w:rFonts w:eastAsia="Calibri"/>
                      <w:sz w:val="18"/>
                      <w:szCs w:val="18"/>
                      <w:vertAlign w:val="subscript"/>
                    </w:rPr>
                    <w:t>2</w:t>
                  </w:r>
                  <w:r>
                    <w:rPr>
                      <w:rFonts w:eastAsia="Calibri"/>
                      <w:sz w:val="18"/>
                      <w:szCs w:val="18"/>
                    </w:rPr>
                    <w:t xml:space="preserve"> = 4</w:t>
                  </w:r>
                </w:p>
              </w:tc>
              <w:tc>
                <w:tcPr>
                  <w:tcW w:w="4242" w:type="dxa"/>
                  <w:tcBorders>
                    <w:top w:val="single" w:sz="4" w:space="0" w:color="000000"/>
                    <w:left w:val="single" w:sz="4" w:space="0" w:color="000000"/>
                    <w:bottom w:val="single" w:sz="4" w:space="0" w:color="000000"/>
                  </w:tcBorders>
                </w:tcPr>
                <w:p>
                  <w:pPr>
                    <w:pStyle w:val="Normal"/>
                    <w:widowControl w:val="false"/>
                    <w:numPr>
                      <w:ilvl w:val="4"/>
                      <w:numId w:val="28"/>
                    </w:numPr>
                    <w:tabs>
                      <w:tab w:val="clear" w:pos="708"/>
                      <w:tab w:val="left" w:pos="360" w:leader="none"/>
                    </w:tabs>
                    <w:suppressAutoHyphens w:val="true"/>
                    <w:spacing w:before="40" w:after="40"/>
                    <w:ind w:hanging="284" w:left="284"/>
                    <w:jc w:val="both"/>
                    <w:outlineLvl w:val="4"/>
                    <w:rPr>
                      <w:rFonts w:eastAsia="Calibri"/>
                      <w:sz w:val="18"/>
                      <w:szCs w:val="18"/>
                    </w:rPr>
                  </w:pPr>
                  <w:r>
                    <w:rPr>
                      <w:rFonts w:eastAsia="Calibri"/>
                      <w:color w:val="000000"/>
                      <w:sz w:val="18"/>
                      <w:szCs w:val="18"/>
                    </w:rPr>
                    <w:t>более 60 % от НМЦ, без учета НДС, до 70 % (включительно) от НМЦ, без учета НДС за последние 5 лет;</w:t>
                  </w:r>
                </w:p>
              </w:tc>
            </w:tr>
            <w:tr>
              <w:trPr>
                <w:trHeight w:val="448" w:hRule="atLeast"/>
                <w:cantSplit w:val="true"/>
              </w:trPr>
              <w:tc>
                <w:tcPr>
                  <w:tcW w:w="669" w:type="dxa"/>
                  <w:tcBorders>
                    <w:top w:val="single" w:sz="4" w:space="0" w:color="000000"/>
                    <w:right w:val="single" w:sz="4" w:space="0" w:color="000000"/>
                  </w:tcBorders>
                </w:tcPr>
                <w:p>
                  <w:pPr>
                    <w:pStyle w:val="Normal"/>
                    <w:widowControl w:val="false"/>
                    <w:numPr>
                      <w:ilvl w:val="7"/>
                      <w:numId w:val="28"/>
                    </w:numPr>
                    <w:spacing w:before="40" w:after="40"/>
                    <w:jc w:val="both"/>
                    <w:rPr>
                      <w:rFonts w:eastAsia="Calibri"/>
                      <w:sz w:val="18"/>
                      <w:szCs w:val="18"/>
                    </w:rPr>
                  </w:pPr>
                  <w:r>
                    <w:rPr>
                      <w:rFonts w:eastAsia="Calibri"/>
                      <w:sz w:val="18"/>
                      <w:szCs w:val="18"/>
                    </w:rPr>
                    <w:t>Б</w:t>
                  </w:r>
                  <w:r>
                    <w:rPr>
                      <w:rFonts w:eastAsia="Calibri"/>
                      <w:sz w:val="18"/>
                      <w:szCs w:val="18"/>
                      <w:vertAlign w:val="subscript"/>
                    </w:rPr>
                    <w:t>2</w:t>
                  </w:r>
                  <w:r>
                    <w:rPr>
                      <w:rFonts w:eastAsia="Calibri"/>
                      <w:sz w:val="18"/>
                      <w:szCs w:val="18"/>
                    </w:rPr>
                    <w:t xml:space="preserve"> = 5</w:t>
                  </w:r>
                </w:p>
              </w:tc>
              <w:tc>
                <w:tcPr>
                  <w:tcW w:w="4242" w:type="dxa"/>
                  <w:tcBorders>
                    <w:top w:val="single" w:sz="4" w:space="0" w:color="000000"/>
                    <w:left w:val="single" w:sz="4" w:space="0" w:color="000000"/>
                  </w:tcBorders>
                </w:tcPr>
                <w:p>
                  <w:pPr>
                    <w:pStyle w:val="Normal"/>
                    <w:widowControl w:val="false"/>
                    <w:numPr>
                      <w:ilvl w:val="4"/>
                      <w:numId w:val="28"/>
                    </w:numPr>
                    <w:tabs>
                      <w:tab w:val="clear" w:pos="708"/>
                      <w:tab w:val="left" w:pos="360" w:leader="none"/>
                    </w:tabs>
                    <w:suppressAutoHyphens w:val="true"/>
                    <w:spacing w:before="40" w:after="40"/>
                    <w:ind w:hanging="284" w:left="284"/>
                    <w:jc w:val="both"/>
                    <w:outlineLvl w:val="4"/>
                    <w:rPr>
                      <w:rFonts w:eastAsia="Calibri"/>
                      <w:sz w:val="18"/>
                      <w:szCs w:val="18"/>
                    </w:rPr>
                  </w:pPr>
                  <w:r>
                    <w:rPr>
                      <w:rFonts w:eastAsia="Calibri"/>
                      <w:sz w:val="18"/>
                      <w:szCs w:val="18"/>
                    </w:rPr>
                    <w:t xml:space="preserve">более 70 % </w:t>
                  </w:r>
                  <w:r>
                    <w:rPr>
                      <w:rFonts w:eastAsia="Calibri"/>
                      <w:color w:val="000000"/>
                      <w:sz w:val="18"/>
                      <w:szCs w:val="18"/>
                    </w:rPr>
                    <w:t xml:space="preserve">от НМЦ, без учета НДС </w:t>
                  </w:r>
                  <w:r>
                    <w:rPr>
                      <w:rFonts w:eastAsia="Calibri"/>
                      <w:sz w:val="18"/>
                      <w:szCs w:val="18"/>
                    </w:rPr>
                    <w:t xml:space="preserve">за последние </w:t>
                  </w:r>
                  <w:r>
                    <w:rPr>
                      <w:rFonts w:eastAsia="Calibri"/>
                      <w:color w:val="000000"/>
                      <w:sz w:val="18"/>
                      <w:szCs w:val="18"/>
                    </w:rPr>
                    <w:t>5</w:t>
                  </w:r>
                  <w:r>
                    <w:rPr>
                      <w:rFonts w:eastAsia="Calibri"/>
                      <w:sz w:val="18"/>
                      <w:szCs w:val="18"/>
                    </w:rPr>
                    <w:t xml:space="preserve"> лет.</w:t>
                  </w:r>
                </w:p>
              </w:tc>
            </w:tr>
          </w:tbl>
          <w:p>
            <w:pPr>
              <w:pStyle w:val="Normal"/>
              <w:widowControl w:val="false"/>
              <w:numPr>
                <w:ilvl w:val="6"/>
                <w:numId w:val="28"/>
              </w:numPr>
              <w:tabs>
                <w:tab w:val="clear" w:pos="708"/>
                <w:tab w:val="left" w:pos="360" w:leader="none"/>
              </w:tabs>
              <w:suppressAutoHyphens w:val="true"/>
              <w:spacing w:before="96" w:after="0"/>
              <w:ind w:hanging="0" w:left="0"/>
              <w:jc w:val="both"/>
              <w:rPr>
                <w:rFonts w:eastAsia="Calibri"/>
                <w:sz w:val="18"/>
                <w:szCs w:val="18"/>
              </w:rPr>
            </w:pPr>
            <w:r>
              <w:rPr>
                <w:rFonts w:eastAsia="Calibri"/>
                <w:sz w:val="18"/>
                <w:szCs w:val="18"/>
              </w:rPr>
              <w:t>где:</w:t>
            </w:r>
          </w:p>
          <w:p>
            <w:pPr>
              <w:pStyle w:val="Normal"/>
              <w:widowControl w:val="false"/>
              <w:numPr>
                <w:ilvl w:val="6"/>
                <w:numId w:val="28"/>
              </w:numPr>
              <w:tabs>
                <w:tab w:val="clear" w:pos="708"/>
                <w:tab w:val="left" w:pos="742" w:leader="none"/>
                <w:tab w:val="left" w:pos="1167" w:leader="none"/>
              </w:tabs>
              <w:suppressAutoHyphens w:val="true"/>
              <w:spacing w:before="0" w:after="0"/>
              <w:ind w:hanging="0" w:left="0"/>
              <w:jc w:val="both"/>
              <w:rPr>
                <w:rFonts w:eastAsia="Calibri"/>
                <w:sz w:val="18"/>
                <w:szCs w:val="18"/>
              </w:rPr>
            </w:pPr>
            <w:r>
              <w:rPr>
                <w:rFonts w:eastAsia="Calibri"/>
                <w:sz w:val="18"/>
                <w:szCs w:val="18"/>
              </w:rPr>
              <w:t>Б</w:t>
            </w:r>
            <w:r>
              <w:rPr>
                <w:rFonts w:eastAsia="Calibri"/>
                <w:sz w:val="18"/>
                <w:szCs w:val="18"/>
                <w:vertAlign w:val="subscript"/>
              </w:rPr>
              <w:t>2</w:t>
            </w:r>
            <w:r>
              <w:rPr>
                <w:rFonts w:eastAsia="Calibri"/>
                <w:sz w:val="18"/>
                <w:szCs w:val="18"/>
              </w:rPr>
              <w:tab/>
              <w:t>–</w:t>
              <w:tab/>
              <w:t>рассчитанная оценка предпочтительности по данному частному критерию оценки в баллах.</w:t>
            </w:r>
          </w:p>
          <w:p>
            <w:pPr>
              <w:pStyle w:val="Normal"/>
              <w:widowControl w:val="false"/>
              <w:numPr>
                <w:ilvl w:val="7"/>
                <w:numId w:val="28"/>
              </w:numPr>
              <w:tabs>
                <w:tab w:val="clear" w:pos="708"/>
                <w:tab w:val="left" w:pos="360" w:leader="none"/>
              </w:tabs>
              <w:suppressAutoHyphens w:val="true"/>
              <w:spacing w:before="40" w:after="40"/>
              <w:jc w:val="both"/>
              <w:rPr>
                <w:rFonts w:eastAsia="Calibri"/>
                <w:sz w:val="18"/>
                <w:szCs w:val="18"/>
              </w:rPr>
            </w:pPr>
            <w:r>
              <w:rPr>
                <w:rFonts w:eastAsia="Calibri"/>
                <w:sz w:val="18"/>
                <w:szCs w:val="18"/>
              </w:rPr>
              <w:t>Опыт, несоответствующий установленным в документации о закупке требованиям, не оценивается.</w:t>
            </w:r>
          </w:p>
          <w:p>
            <w:pPr>
              <w:pStyle w:val="31"/>
              <w:widowControl w:val="false"/>
              <w:numPr>
                <w:ilvl w:val="7"/>
                <w:numId w:val="28"/>
              </w:numPr>
              <w:spacing w:lineRule="auto" w:line="240" w:before="40" w:after="40"/>
              <w:rPr/>
            </w:pPr>
            <w:r>
              <w:rPr>
                <w:sz w:val="18"/>
                <w:szCs w:val="18"/>
                <w:lang w:eastAsia="ru-RU"/>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val="false"/>
              <w:numPr>
                <w:ilvl w:val="7"/>
                <w:numId w:val="28"/>
              </w:numPr>
              <w:tabs>
                <w:tab w:val="clear" w:pos="708"/>
                <w:tab w:val="left" w:pos="360" w:leader="none"/>
              </w:tabs>
              <w:suppressAutoHyphens w:val="true"/>
              <w:spacing w:before="40" w:after="40"/>
              <w:jc w:val="both"/>
              <w:rPr>
                <w:rFonts w:eastAsia="Calibri"/>
                <w:sz w:val="18"/>
                <w:szCs w:val="18"/>
              </w:rPr>
            </w:pPr>
            <w:r>
              <w:rPr>
                <w:rFonts w:eastAsia="Calibri"/>
                <w:sz w:val="18"/>
                <w:szCs w:val="18"/>
              </w:rPr>
              <w:t>Шкала оценок от 0 до 5 баллов.</w:t>
            </w:r>
          </w:p>
        </w:tc>
      </w:tr>
      <w:tr>
        <w:trPr/>
        <w:tc>
          <w:tcPr>
            <w:tcW w:w="1133" w:type="dxa"/>
            <w:tcBorders>
              <w:left w:val="single" w:sz="4" w:space="0" w:color="000000"/>
              <w:bottom w:val="single" w:sz="4" w:space="0" w:color="000000"/>
              <w:right w:val="single" w:sz="4" w:space="0" w:color="000000"/>
            </w:tcBorders>
            <w:shd w:color="auto" w:fill="auto" w:val="clear"/>
          </w:tcPr>
          <w:p>
            <w:pPr>
              <w:pStyle w:val="Normal"/>
              <w:widowControl w:val="false"/>
              <w:spacing w:before="40" w:after="40"/>
              <w:jc w:val="center"/>
              <w:rPr>
                <w:rFonts w:eastAsia="Calibri"/>
                <w:sz w:val="18"/>
                <w:szCs w:val="18"/>
              </w:rPr>
            </w:pPr>
            <w:r>
              <w:rPr>
                <w:rFonts w:eastAsia="Calibri"/>
                <w:sz w:val="18"/>
                <w:szCs w:val="18"/>
              </w:rPr>
              <w:t>3.</w:t>
            </w:r>
          </w:p>
        </w:tc>
        <w:tc>
          <w:tcPr>
            <w:tcW w:w="1421"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590" w:leader="none"/>
              </w:tabs>
              <w:spacing w:before="120" w:after="0"/>
              <w:jc w:val="center"/>
              <w:rPr>
                <w:color w:val="000000"/>
              </w:rPr>
            </w:pPr>
            <w:r>
              <w:rPr>
                <w:color w:val="000000"/>
                <w:sz w:val="18"/>
                <w:szCs w:val="18"/>
              </w:rPr>
              <w:t xml:space="preserve">Неценовой критерий оценки первого уровня / </w:t>
            </w:r>
            <w:r>
              <w:rPr>
                <w:rFonts w:eastAsia="Calibri"/>
                <w:color w:val="000000"/>
                <w:sz w:val="18"/>
                <w:szCs w:val="18"/>
              </w:rPr>
              <w:t xml:space="preserve"> ОРГ</w:t>
            </w:r>
          </w:p>
        </w:tc>
        <w:tc>
          <w:tcPr>
            <w:tcW w:w="1840" w:type="dxa"/>
            <w:tcBorders>
              <w:left w:val="single" w:sz="4" w:space="0" w:color="000000"/>
              <w:bottom w:val="single" w:sz="4" w:space="0" w:color="000000"/>
              <w:right w:val="single" w:sz="4" w:space="0" w:color="000000"/>
            </w:tcBorders>
          </w:tcPr>
          <w:p>
            <w:pPr>
              <w:pStyle w:val="Normal"/>
              <w:widowControl w:val="false"/>
              <w:spacing w:before="0" w:after="0"/>
              <w:jc w:val="center"/>
              <w:rPr/>
            </w:pPr>
            <w:r>
              <w:rPr>
                <w:rFonts w:eastAsia="Calibri"/>
                <w:sz w:val="18"/>
                <w:szCs w:val="18"/>
              </w:rPr>
              <w:t>Финансовое</w:t>
            </w:r>
          </w:p>
          <w:p>
            <w:pPr>
              <w:pStyle w:val="Normal"/>
              <w:widowControl w:val="false"/>
              <w:spacing w:before="0" w:after="0"/>
              <w:jc w:val="center"/>
              <w:rPr/>
            </w:pPr>
            <w:r>
              <w:rPr>
                <w:rFonts w:eastAsia="Calibri"/>
                <w:sz w:val="18"/>
                <w:szCs w:val="18"/>
              </w:rPr>
              <w:t>состояние</w:t>
            </w:r>
          </w:p>
          <w:p>
            <w:pPr>
              <w:pStyle w:val="Normal"/>
              <w:widowControl w:val="false"/>
              <w:spacing w:before="0" w:after="0"/>
              <w:jc w:val="center"/>
              <w:rPr/>
            </w:pPr>
            <w:r>
              <w:rPr>
                <w:rFonts w:eastAsia="Calibri"/>
                <w:sz w:val="18"/>
                <w:szCs w:val="18"/>
              </w:rPr>
              <w:t>(устойчивость)</w:t>
            </w:r>
          </w:p>
          <w:p>
            <w:pPr>
              <w:pStyle w:val="Normal"/>
              <w:widowControl w:val="false"/>
              <w:spacing w:before="0" w:after="0"/>
              <w:jc w:val="center"/>
              <w:rPr/>
            </w:pPr>
            <w:r>
              <w:rPr>
                <w:rFonts w:eastAsia="Calibri"/>
                <w:sz w:val="18"/>
                <w:szCs w:val="18"/>
              </w:rPr>
              <w:t>Участника</w:t>
            </w:r>
          </w:p>
        </w:tc>
        <w:tc>
          <w:tcPr>
            <w:tcW w:w="1700" w:type="dxa"/>
            <w:tcBorders>
              <w:left w:val="single" w:sz="4" w:space="0" w:color="000000"/>
              <w:bottom w:val="single" w:sz="4" w:space="0" w:color="000000"/>
              <w:right w:val="single" w:sz="4" w:space="0" w:color="000000"/>
            </w:tcBorders>
          </w:tcPr>
          <w:p>
            <w:pPr>
              <w:pStyle w:val="Normal"/>
              <w:widowControl w:val="false"/>
              <w:spacing w:before="120" w:after="0"/>
              <w:jc w:val="center"/>
              <w:rPr>
                <w:rFonts w:eastAsia="Calibri"/>
                <w:i/>
                <w:i/>
                <w:sz w:val="18"/>
                <w:szCs w:val="18"/>
              </w:rPr>
            </w:pPr>
            <w:r>
              <w:rPr>
                <w:rFonts w:eastAsia="Calibri"/>
                <w:i/>
                <w:sz w:val="18"/>
                <w:szCs w:val="18"/>
              </w:rPr>
              <w:t>отсутствует</w:t>
            </w:r>
          </w:p>
        </w:tc>
        <w:tc>
          <w:tcPr>
            <w:tcW w:w="1305" w:type="dxa"/>
            <w:gridSpan w:val="2"/>
            <w:tcBorders>
              <w:left w:val="single" w:sz="4" w:space="0" w:color="000000"/>
              <w:bottom w:val="single" w:sz="4" w:space="0" w:color="000000"/>
              <w:right w:val="single" w:sz="4" w:space="0" w:color="000000"/>
            </w:tcBorders>
          </w:tcPr>
          <w:p>
            <w:pPr>
              <w:pStyle w:val="Normal"/>
              <w:widowControl w:val="false"/>
              <w:spacing w:before="120" w:after="0"/>
              <w:jc w:val="center"/>
              <w:rPr>
                <w:rFonts w:eastAsia="Calibri"/>
                <w:sz w:val="18"/>
                <w:szCs w:val="18"/>
              </w:rPr>
            </w:pPr>
            <w:r>
              <w:rPr>
                <w:rFonts w:eastAsia="Calibri"/>
                <w:sz w:val="18"/>
                <w:szCs w:val="18"/>
              </w:rPr>
              <w:t>5%</w:t>
            </w:r>
          </w:p>
          <w:p>
            <w:pPr>
              <w:pStyle w:val="Normal"/>
              <w:widowControl w:val="false"/>
              <w:jc w:val="center"/>
              <w:rPr>
                <w:rFonts w:eastAsia="Calibri"/>
                <w:sz w:val="18"/>
                <w:szCs w:val="18"/>
              </w:rPr>
            </w:pPr>
            <w:r>
              <w:rPr>
                <w:rFonts w:eastAsia="Calibri"/>
                <w:sz w:val="18"/>
                <w:szCs w:val="18"/>
              </w:rPr>
              <w:t>(В</w:t>
            </w:r>
            <w:r>
              <w:rPr>
                <w:rFonts w:eastAsia="Calibri"/>
                <w:sz w:val="18"/>
                <w:szCs w:val="18"/>
                <w:vertAlign w:val="subscript"/>
              </w:rPr>
              <w:t>3</w:t>
            </w:r>
            <w:r>
              <w:rPr>
                <w:rFonts w:eastAsia="Calibri"/>
                <w:sz w:val="18"/>
                <w:szCs w:val="18"/>
              </w:rPr>
              <w:t>= 0,05)</w:t>
            </w:r>
          </w:p>
        </w:tc>
        <w:tc>
          <w:tcPr>
            <w:tcW w:w="1985" w:type="dxa"/>
            <w:gridSpan w:val="2"/>
            <w:tcBorders>
              <w:left w:val="single" w:sz="4" w:space="0" w:color="000000"/>
              <w:bottom w:val="single" w:sz="4" w:space="0" w:color="000000"/>
              <w:right w:val="single" w:sz="4" w:space="0" w:color="000000"/>
            </w:tcBorders>
            <w:shd w:color="auto" w:fill="auto" w:val="clear"/>
          </w:tcPr>
          <w:p>
            <w:pPr>
              <w:pStyle w:val="Normal"/>
              <w:widowControl w:val="false"/>
              <w:spacing w:before="120" w:after="0"/>
              <w:jc w:val="center"/>
              <w:rPr>
                <w:rFonts w:eastAsia="Calibri"/>
                <w:sz w:val="18"/>
                <w:szCs w:val="18"/>
              </w:rPr>
            </w:pPr>
            <w:r>
              <w:rPr>
                <w:rFonts w:eastAsia="Calibri"/>
                <w:sz w:val="18"/>
                <w:szCs w:val="18"/>
              </w:rPr>
              <w:t>Чем выше результат оценки финансового состояния (устойчивости) Участника, тем выше предпочтительность</w:t>
            </w:r>
          </w:p>
        </w:tc>
        <w:tc>
          <w:tcPr>
            <w:tcW w:w="5810" w:type="dxa"/>
            <w:gridSpan w:val="2"/>
            <w:tcBorders>
              <w:left w:val="single" w:sz="4" w:space="0" w:color="000000"/>
              <w:bottom w:val="single" w:sz="4" w:space="0" w:color="000000"/>
              <w:right w:val="single" w:sz="4" w:space="0" w:color="000000"/>
            </w:tcBorders>
            <w:shd w:color="auto" w:fill="auto" w:val="clear"/>
          </w:tcPr>
          <w:p>
            <w:pPr>
              <w:pStyle w:val="Normal"/>
              <w:widowControl w:val="false"/>
              <w:spacing w:before="120" w:after="0"/>
              <w:jc w:val="both"/>
              <w:rPr>
                <w:rFonts w:eastAsia="Calibri"/>
                <w:sz w:val="18"/>
                <w:szCs w:val="18"/>
              </w:rPr>
            </w:pPr>
            <w:r>
              <w:rPr>
                <w:rFonts w:eastAsia="Calibri"/>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contextualSpacing/>
              <w:jc w:val="both"/>
              <w:rPr>
                <w:rFonts w:eastAsia="Calibri"/>
                <w:sz w:val="18"/>
                <w:szCs w:val="18"/>
              </w:rPr>
            </w:pPr>
            <w:r>
              <w:rPr>
                <w:sz w:val="18"/>
                <w:szCs w:val="18"/>
              </w:rPr>
              <w:t xml:space="preserve">Порядок осуществления оценки (значение оцениваемого параметра), в зависимости от полученного Участником (с </w:t>
            </w:r>
            <w:r>
              <w:rPr>
                <w:i/>
                <w:sz w:val="18"/>
                <w:szCs w:val="18"/>
                <w:lang w:val="en-US"/>
              </w:rPr>
              <w:t>i</w:t>
            </w:r>
            <w:r>
              <w:rPr>
                <w:sz w:val="18"/>
                <w:szCs w:val="18"/>
              </w:rPr>
              <w:t xml:space="preserve">-ой заявкой) значения расчетного балла </w:t>
            </w:r>
            <w:bookmarkStart w:id="466" w:name="_Hlk140493522"/>
            <w:r>
              <w:rPr>
                <w:sz w:val="18"/>
                <w:szCs w:val="18"/>
              </w:rPr>
              <w:t>(интегрального показателя финансового состояния)</w:t>
            </w:r>
            <w:bookmarkEnd w:id="466"/>
            <w:r>
              <w:rPr>
                <w:sz w:val="18"/>
                <w:szCs w:val="18"/>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spacing w:before="120" w:after="0"/>
              <w:ind w:hanging="0" w:left="62"/>
              <w:contextualSpacing/>
              <w:jc w:val="both"/>
              <w:rPr>
                <w:sz w:val="18"/>
                <w:szCs w:val="18"/>
              </w:rPr>
            </w:pPr>
            <w:r>
              <w:rPr>
                <w:rFonts w:eastAsia="Calibri"/>
                <w:sz w:val="18"/>
                <w:szCs w:val="18"/>
              </w:rPr>
              <w:t>- порядок проведения оценки финансового состояния (устойчивости) Участника</w:t>
            </w:r>
            <w:r>
              <w:rPr>
                <w:rStyle w:val="FootnoteReference"/>
                <w:rFonts w:eastAsia="Calibri"/>
                <w:sz w:val="18"/>
                <w:szCs w:val="18"/>
              </w:rPr>
              <w:footnoteReference w:id="17"/>
            </w:r>
            <w:r>
              <w:rPr>
                <w:rFonts w:eastAsia="Calibri"/>
                <w:sz w:val="18"/>
                <w:szCs w:val="18"/>
              </w:rPr>
              <w:t xml:space="preserve"> установлен Приложением № 4 к Положению об аккредитации;</w:t>
            </w:r>
          </w:p>
          <w:p>
            <w:pPr>
              <w:pStyle w:val="Normal"/>
              <w:widowControl w:val="false"/>
              <w:spacing w:before="120" w:after="0"/>
              <w:ind w:hanging="0" w:left="62"/>
              <w:contextualSpacing/>
              <w:jc w:val="both"/>
              <w:rPr>
                <w:sz w:val="18"/>
                <w:szCs w:val="18"/>
              </w:rPr>
            </w:pPr>
            <w:r>
              <w:rPr>
                <w:rFonts w:eastAsia="Calibri"/>
                <w:sz w:val="18"/>
                <w:szCs w:val="18"/>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27">
              <w:r>
                <w:rPr>
                  <w:rStyle w:val="Hyperlink"/>
                  <w:rFonts w:eastAsia="Calibri"/>
                  <w:sz w:val="18"/>
                  <w:szCs w:val="18"/>
                </w:rPr>
                <w:t>https://bo.nalog.ru</w:t>
              </w:r>
            </w:hyperlink>
            <w:r>
              <w:rPr>
                <w:rFonts w:eastAsia="Calibri"/>
                <w:sz w:val="18"/>
                <w:szCs w:val="18"/>
              </w:rPr>
              <w:t xml:space="preserve">) за предыдущий отчетный период (год) </w:t>
            </w:r>
            <w:r>
              <w:rPr>
                <w:sz w:val="18"/>
                <w:szCs w:val="18"/>
              </w:rPr>
              <w:t>по состоянию на дату окончания срока подачи заявок</w:t>
            </w:r>
            <w:r>
              <w:rPr>
                <w:rFonts w:eastAsia="Calibri"/>
                <w:sz w:val="18"/>
                <w:szCs w:val="18"/>
              </w:rPr>
              <w:t>.</w:t>
            </w:r>
          </w:p>
          <w:p>
            <w:pPr>
              <w:pStyle w:val="Normal"/>
              <w:widowControl w:val="false"/>
              <w:spacing w:before="120" w:after="0"/>
              <w:contextualSpacing/>
              <w:jc w:val="both"/>
              <w:rPr>
                <w:rFonts w:eastAsia="Calibri"/>
                <w:sz w:val="18"/>
                <w:szCs w:val="18"/>
              </w:rPr>
            </w:pPr>
            <w:r>
              <w:rPr>
                <w:rFonts w:eastAsia="Calibri"/>
                <w:sz w:val="18"/>
                <w:szCs w:val="18"/>
              </w:rPr>
              <w:t xml:space="preserve">Если Участник в соответствии с законодательством РФ не размещает сведения о своей бухгалтерской (финансовой) отчетности </w:t>
            </w:r>
            <w:r>
              <w:rPr>
                <w:sz w:val="18"/>
                <w:szCs w:val="18"/>
              </w:rPr>
              <w:t xml:space="preserve">(по формам ОКУД 0710001, 0710002) </w:t>
            </w:r>
            <w:r>
              <w:rPr>
                <w:rFonts w:eastAsia="Calibri"/>
                <w:sz w:val="18"/>
                <w:szCs w:val="18"/>
              </w:rPr>
              <w:t xml:space="preserve">в упомянутом государственном информационном ресурсе – оценка его финансового состояния производится на основании </w:t>
            </w:r>
            <w:r>
              <w:rPr>
                <w:sz w:val="18"/>
                <w:szCs w:val="18"/>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18"/>
                <w:szCs w:val="18"/>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pacing w:before="120" w:after="0"/>
              <w:contextualSpacing/>
              <w:jc w:val="both"/>
              <w:rPr>
                <w:sz w:val="18"/>
                <w:szCs w:val="18"/>
              </w:rPr>
            </w:pPr>
            <w:r>
              <w:rPr>
                <w:sz w:val="18"/>
                <w:szCs w:val="18"/>
              </w:rPr>
              <w:t>Если Участник в соответствии с законодательством формирует отчетность по </w:t>
            </w:r>
            <w:r>
              <w:rPr>
                <w:rFonts w:eastAsia="Calibri"/>
                <w:sz w:val="18"/>
                <w:szCs w:val="18"/>
              </w:rPr>
              <w:t>формам</w:t>
            </w:r>
            <w:r>
              <w:rPr>
                <w:sz w:val="18"/>
                <w:szCs w:val="18"/>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32"/>
              <w:keepNext w:val="true"/>
              <w:widowControl w:val="false"/>
              <w:numPr>
                <w:ilvl w:val="0"/>
                <w:numId w:val="27"/>
              </w:numPr>
              <w:tabs>
                <w:tab w:val="clear" w:pos="708"/>
                <w:tab w:val="left" w:pos="324" w:leader="none"/>
              </w:tabs>
              <w:suppressAutoHyphens w:val="true"/>
              <w:spacing w:before="40" w:after="40"/>
              <w:ind w:hanging="0" w:left="40"/>
              <w:contextualSpacing/>
              <w:rPr/>
            </w:pPr>
            <w:r>
              <w:rPr>
                <w:sz w:val="18"/>
                <w:szCs w:val="18"/>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2"/>
              <w:keepNext w:val="true"/>
              <w:widowControl w:val="false"/>
              <w:numPr>
                <w:ilvl w:val="0"/>
                <w:numId w:val="27"/>
              </w:numPr>
              <w:tabs>
                <w:tab w:val="clear" w:pos="708"/>
                <w:tab w:val="left" w:pos="324" w:leader="none"/>
              </w:tabs>
              <w:suppressAutoHyphens w:val="true"/>
              <w:spacing w:before="40" w:after="40"/>
              <w:ind w:hanging="0" w:left="40"/>
              <w:contextualSpacing/>
              <w:rPr/>
            </w:pPr>
            <w:r>
              <w:rPr>
                <w:sz w:val="18"/>
                <w:szCs w:val="18"/>
              </w:rPr>
              <w:t>дополнительных сведений о размере всех требуемых показателей согласно данным бухгалтерской (финансовой) отчетности по установленной форме Документации о закупке (</w:t>
            </w:r>
            <w:hyperlink w:anchor="Прил11_Форма_данных_бухотчетность">
              <w:r>
                <w:rPr>
                  <w:rStyle w:val="Style14"/>
                  <w:sz w:val="18"/>
                  <w:szCs w:val="18"/>
                </w:rPr>
                <w:t>Приложение № 11</w:t>
              </w:r>
            </w:hyperlink>
            <w:r>
              <w:rPr>
                <w:sz w:val="18"/>
                <w:szCs w:val="18"/>
              </w:rPr>
              <w:t>).</w:t>
            </w:r>
          </w:p>
          <w:p>
            <w:pPr>
              <w:pStyle w:val="Normal"/>
              <w:widowControl w:val="false"/>
              <w:spacing w:before="120" w:after="120"/>
              <w:contextualSpacing/>
              <w:jc w:val="both"/>
              <w:rPr>
                <w:sz w:val="18"/>
                <w:szCs w:val="18"/>
              </w:rPr>
            </w:pPr>
            <w:r>
              <w:rPr>
                <w:rFonts w:eastAsia="Calibri"/>
                <w:sz w:val="18"/>
                <w:szCs w:val="18"/>
              </w:rPr>
              <w:t>Оценка предпочтительности по частному критерию осуществляется в соответствии со следующей шкалой:</w:t>
            </w:r>
          </w:p>
          <w:tbl>
            <w:tblPr>
              <w:tblW w:w="504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90"/>
              <w:gridCol w:w="4352"/>
            </w:tblGrid>
            <w:tr>
              <w:trPr>
                <w:trHeight w:val="3206" w:hRule="atLeast"/>
                <w:cantSplit w:val="true"/>
              </w:trPr>
              <w:tc>
                <w:tcPr>
                  <w:tcW w:w="690" w:type="dxa"/>
                  <w:tcBorders>
                    <w:bottom w:val="single" w:sz="4" w:space="0" w:color="000000"/>
                    <w:right w:val="single" w:sz="4" w:space="0" w:color="000000"/>
                  </w:tcBorders>
                </w:tcPr>
                <w:p>
                  <w:pPr>
                    <w:pStyle w:val="31"/>
                    <w:widowControl w:val="false"/>
                    <w:numPr>
                      <w:ilvl w:val="7"/>
                      <w:numId w:val="25"/>
                    </w:numPr>
                    <w:tabs>
                      <w:tab w:val="clear" w:pos="360"/>
                    </w:tabs>
                    <w:suppressAutoHyphens w:val="false"/>
                    <w:spacing w:lineRule="auto" w:line="240" w:before="40" w:after="40"/>
                    <w:jc w:val="center"/>
                    <w:rPr>
                      <w:sz w:val="18"/>
                      <w:szCs w:val="18"/>
                      <w:lang w:eastAsia="ru-RU"/>
                    </w:rPr>
                  </w:pPr>
                  <w:r>
                    <w:rPr>
                      <w:sz w:val="18"/>
                      <w:szCs w:val="18"/>
                      <w:lang w:eastAsia="ru-RU"/>
                    </w:rPr>
                    <w:t>Б</w:t>
                  </w:r>
                  <w:r>
                    <w:rPr>
                      <w:sz w:val="18"/>
                      <w:szCs w:val="18"/>
                      <w:vertAlign w:val="subscript"/>
                      <w:lang w:eastAsia="ru-RU"/>
                    </w:rPr>
                    <w:t>3</w:t>
                  </w:r>
                  <w:r>
                    <w:rPr>
                      <w:sz w:val="18"/>
                      <w:szCs w:val="18"/>
                      <w:lang w:eastAsia="ru-RU"/>
                    </w:rPr>
                    <w:t xml:space="preserve"> = 0</w:t>
                  </w:r>
                </w:p>
              </w:tc>
              <w:tc>
                <w:tcPr>
                  <w:tcW w:w="4352" w:type="dxa"/>
                  <w:tcBorders>
                    <w:left w:val="single" w:sz="4" w:space="0" w:color="000000"/>
                    <w:bottom w:val="single" w:sz="4" w:space="0" w:color="000000"/>
                  </w:tcBorders>
                </w:tcPr>
                <w:p>
                  <w:pPr>
                    <w:pStyle w:val="Normal"/>
                    <w:widowControl w:val="false"/>
                    <w:spacing w:before="120" w:after="0"/>
                    <w:jc w:val="both"/>
                    <w:rPr>
                      <w:rFonts w:eastAsia="Calibri"/>
                      <w:sz w:val="18"/>
                      <w:szCs w:val="18"/>
                    </w:rPr>
                  </w:pPr>
                  <w:r>
                    <w:rPr>
                      <w:rFonts w:eastAsia="Calibri"/>
                      <w:sz w:val="18"/>
                      <w:szCs w:val="18"/>
                    </w:rPr>
                    <w:t>Результат оценки финансового состояния (устойчивости): менее 0,45 балла – Кризисное финансовое состояние;</w:t>
                  </w:r>
                </w:p>
                <w:p>
                  <w:pPr>
                    <w:pStyle w:val="Normal"/>
                    <w:widowControl w:val="false"/>
                    <w:jc w:val="both"/>
                    <w:rPr>
                      <w:rFonts w:eastAsia="Calibri"/>
                      <w:i/>
                      <w:i/>
                      <w:iCs/>
                      <w:sz w:val="18"/>
                      <w:szCs w:val="18"/>
                    </w:rPr>
                  </w:pPr>
                  <w:r>
                    <w:rPr>
                      <w:rFonts w:eastAsia="Calibri"/>
                      <w:i/>
                      <w:iCs/>
                      <w:sz w:val="18"/>
                      <w:szCs w:val="18"/>
                    </w:rPr>
                    <w:t>или</w:t>
                  </w:r>
                </w:p>
                <w:p>
                  <w:pPr>
                    <w:pStyle w:val="Normal"/>
                    <w:widowControl w:val="false"/>
                    <w:jc w:val="both"/>
                    <w:rPr>
                      <w:rFonts w:eastAsia="Calibri"/>
                      <w:sz w:val="18"/>
                      <w:szCs w:val="18"/>
                    </w:rPr>
                  </w:pPr>
                  <w:r>
                    <w:rPr>
                      <w:rFonts w:eastAsia="Calibri"/>
                      <w:sz w:val="18"/>
                      <w:szCs w:val="18"/>
                    </w:rPr>
                    <w:t>в случае отсутствия исходных данных для оценки финансового состояния Участника, в том числе если он является:</w:t>
                  </w:r>
                </w:p>
                <w:p>
                  <w:pPr>
                    <w:pStyle w:val="-3"/>
                    <w:widowControl w:val="false"/>
                    <w:numPr>
                      <w:ilvl w:val="4"/>
                      <w:numId w:val="26"/>
                    </w:numPr>
                    <w:spacing w:lineRule="auto" w:line="240" w:before="40" w:after="40"/>
                    <w:ind w:hanging="209" w:left="209"/>
                    <w:rPr>
                      <w:sz w:val="18"/>
                      <w:szCs w:val="18"/>
                    </w:rPr>
                  </w:pPr>
                  <w:r>
                    <w:rPr>
                      <w:sz w:val="18"/>
                      <w:szCs w:val="18"/>
                    </w:rPr>
                    <w:t>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pPr>
                    <w:pStyle w:val="-3"/>
                    <w:widowControl w:val="false"/>
                    <w:numPr>
                      <w:ilvl w:val="4"/>
                      <w:numId w:val="26"/>
                    </w:numPr>
                    <w:spacing w:lineRule="auto" w:line="240" w:before="40" w:after="40"/>
                    <w:ind w:hanging="209" w:left="209"/>
                    <w:rPr>
                      <w:sz w:val="18"/>
                      <w:szCs w:val="18"/>
                      <w:lang w:eastAsia="ru-RU"/>
                    </w:rPr>
                  </w:pPr>
                  <w:r>
                    <w:rPr>
                      <w:sz w:val="18"/>
                      <w:szCs w:val="18"/>
                      <w:lang w:eastAsia="ru-RU"/>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trPr>
                <w:trHeight w:val="698" w:hRule="atLeast"/>
                <w:cantSplit w:val="true"/>
              </w:trPr>
              <w:tc>
                <w:tcPr>
                  <w:tcW w:w="690" w:type="dxa"/>
                  <w:tcBorders>
                    <w:top w:val="single" w:sz="4" w:space="0" w:color="000000"/>
                    <w:bottom w:val="single" w:sz="4" w:space="0" w:color="000000"/>
                    <w:right w:val="single" w:sz="4" w:space="0" w:color="000000"/>
                  </w:tcBorders>
                </w:tcPr>
                <w:p>
                  <w:pPr>
                    <w:pStyle w:val="31"/>
                    <w:widowControl w:val="false"/>
                    <w:numPr>
                      <w:ilvl w:val="7"/>
                      <w:numId w:val="25"/>
                    </w:numPr>
                    <w:tabs>
                      <w:tab w:val="clear" w:pos="360"/>
                    </w:tabs>
                    <w:suppressAutoHyphens w:val="false"/>
                    <w:spacing w:lineRule="auto" w:line="240" w:before="40" w:after="40"/>
                    <w:jc w:val="center"/>
                    <w:rPr>
                      <w:sz w:val="18"/>
                      <w:szCs w:val="18"/>
                      <w:lang w:eastAsia="ru-RU"/>
                    </w:rPr>
                  </w:pPr>
                  <w:r>
                    <w:rPr>
                      <w:sz w:val="18"/>
                      <w:szCs w:val="18"/>
                      <w:lang w:eastAsia="ru-RU"/>
                    </w:rPr>
                    <w:t>Б</w:t>
                  </w:r>
                  <w:r>
                    <w:rPr>
                      <w:sz w:val="18"/>
                      <w:szCs w:val="18"/>
                      <w:vertAlign w:val="subscript"/>
                      <w:lang w:eastAsia="ru-RU"/>
                    </w:rPr>
                    <w:t>3</w:t>
                  </w:r>
                  <w:r>
                    <w:rPr>
                      <w:sz w:val="18"/>
                      <w:szCs w:val="18"/>
                      <w:lang w:eastAsia="ru-RU"/>
                    </w:rPr>
                    <w:t xml:space="preserve"> = 3</w:t>
                  </w:r>
                </w:p>
              </w:tc>
              <w:tc>
                <w:tcPr>
                  <w:tcW w:w="4352" w:type="dxa"/>
                  <w:tcBorders>
                    <w:top w:val="single" w:sz="4" w:space="0" w:color="000000"/>
                    <w:left w:val="single" w:sz="4" w:space="0" w:color="000000"/>
                    <w:bottom w:val="single" w:sz="4" w:space="0" w:color="000000"/>
                  </w:tcBorders>
                </w:tcPr>
                <w:p>
                  <w:pPr>
                    <w:pStyle w:val="-3"/>
                    <w:widowControl w:val="false"/>
                    <w:numPr>
                      <w:ilvl w:val="0"/>
                      <w:numId w:val="0"/>
                    </w:numPr>
                    <w:spacing w:lineRule="auto" w:line="240" w:before="40" w:after="40"/>
                    <w:ind w:hanging="0" w:left="0"/>
                    <w:rPr>
                      <w:sz w:val="18"/>
                      <w:szCs w:val="18"/>
                      <w:lang w:eastAsia="ru-RU"/>
                    </w:rPr>
                  </w:pPr>
                  <w:r>
                    <w:rPr>
                      <w:sz w:val="18"/>
                      <w:szCs w:val="18"/>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trPr>
                <w:trHeight w:val="472" w:hRule="atLeast"/>
                <w:cantSplit w:val="true"/>
              </w:trPr>
              <w:tc>
                <w:tcPr>
                  <w:tcW w:w="690" w:type="dxa"/>
                  <w:tcBorders>
                    <w:top w:val="single" w:sz="4" w:space="0" w:color="000000"/>
                    <w:bottom w:val="single" w:sz="4" w:space="0" w:color="000000"/>
                    <w:right w:val="single" w:sz="4" w:space="0" w:color="000000"/>
                  </w:tcBorders>
                </w:tcPr>
                <w:p>
                  <w:pPr>
                    <w:pStyle w:val="31"/>
                    <w:widowControl w:val="false"/>
                    <w:numPr>
                      <w:ilvl w:val="7"/>
                      <w:numId w:val="25"/>
                    </w:numPr>
                    <w:tabs>
                      <w:tab w:val="clear" w:pos="360"/>
                    </w:tabs>
                    <w:suppressAutoHyphens w:val="false"/>
                    <w:spacing w:lineRule="auto" w:line="240" w:before="40" w:after="40"/>
                    <w:jc w:val="center"/>
                    <w:rPr>
                      <w:sz w:val="18"/>
                      <w:szCs w:val="18"/>
                      <w:lang w:eastAsia="ru-RU"/>
                    </w:rPr>
                  </w:pPr>
                  <w:r>
                    <w:rPr>
                      <w:sz w:val="18"/>
                      <w:szCs w:val="18"/>
                      <w:lang w:eastAsia="ru-RU"/>
                    </w:rPr>
                    <w:t>Б</w:t>
                  </w:r>
                  <w:r>
                    <w:rPr>
                      <w:sz w:val="18"/>
                      <w:szCs w:val="18"/>
                      <w:vertAlign w:val="subscript"/>
                      <w:lang w:eastAsia="ru-RU"/>
                    </w:rPr>
                    <w:t>3</w:t>
                  </w:r>
                  <w:r>
                    <w:rPr>
                      <w:sz w:val="18"/>
                      <w:szCs w:val="18"/>
                      <w:lang w:eastAsia="ru-RU"/>
                    </w:rPr>
                    <w:t xml:space="preserve"> = 5</w:t>
                  </w:r>
                </w:p>
              </w:tc>
              <w:tc>
                <w:tcPr>
                  <w:tcW w:w="4352" w:type="dxa"/>
                  <w:tcBorders>
                    <w:top w:val="single" w:sz="4" w:space="0" w:color="000000"/>
                    <w:left w:val="single" w:sz="4" w:space="0" w:color="000000"/>
                    <w:bottom w:val="single" w:sz="4" w:space="0" w:color="000000"/>
                  </w:tcBorders>
                </w:tcPr>
                <w:p>
                  <w:pPr>
                    <w:pStyle w:val="-3"/>
                    <w:widowControl w:val="false"/>
                    <w:numPr>
                      <w:ilvl w:val="0"/>
                      <w:numId w:val="0"/>
                    </w:numPr>
                    <w:spacing w:lineRule="auto" w:line="240" w:before="40" w:after="40"/>
                    <w:ind w:hanging="0" w:left="0"/>
                    <w:rPr>
                      <w:sz w:val="18"/>
                      <w:szCs w:val="18"/>
                      <w:lang w:eastAsia="ru-RU"/>
                    </w:rPr>
                  </w:pPr>
                  <w:r>
                    <w:rPr>
                      <w:sz w:val="18"/>
                      <w:szCs w:val="18"/>
                    </w:rPr>
                    <w:t>Результат оценки финансового состояния (устойчивости): более 0,90 балла – Удовлетворительное финансовое состояние.</w:t>
                  </w:r>
                </w:p>
              </w:tc>
            </w:tr>
          </w:tbl>
          <w:p>
            <w:pPr>
              <w:pStyle w:val="Style32"/>
              <w:widowControl w:val="false"/>
              <w:tabs>
                <w:tab w:val="clear" w:pos="708"/>
                <w:tab w:val="left" w:pos="324" w:leader="none"/>
              </w:tabs>
              <w:spacing w:before="40" w:after="40"/>
              <w:rPr>
                <w:rFonts w:eastAsia="Calibri"/>
                <w:sz w:val="18"/>
                <w:szCs w:val="18"/>
              </w:rPr>
            </w:pPr>
            <w:r>
              <w:rPr>
                <w:rFonts w:eastAsia="Calibri"/>
                <w:sz w:val="18"/>
                <w:szCs w:val="18"/>
              </w:rPr>
              <w:t>где:</w:t>
            </w:r>
          </w:p>
          <w:p>
            <w:pPr>
              <w:pStyle w:val="Style32"/>
              <w:widowControl w:val="false"/>
              <w:tabs>
                <w:tab w:val="clear" w:pos="708"/>
                <w:tab w:val="left" w:pos="324" w:leader="none"/>
              </w:tabs>
              <w:spacing w:before="40" w:after="40"/>
              <w:rPr>
                <w:rFonts w:eastAsia="Calibri"/>
                <w:sz w:val="18"/>
                <w:szCs w:val="18"/>
              </w:rPr>
            </w:pPr>
            <w:r>
              <w:rPr>
                <w:rFonts w:eastAsia="Calibri"/>
                <w:sz w:val="18"/>
                <w:szCs w:val="18"/>
              </w:rPr>
              <w:t>Б</w:t>
            </w:r>
            <w:r>
              <w:rPr>
                <w:rFonts w:eastAsia="Calibri"/>
                <w:sz w:val="18"/>
                <w:szCs w:val="18"/>
                <w:vertAlign w:val="subscript"/>
              </w:rPr>
              <w:t>3</w:t>
            </w:r>
            <w:r>
              <w:rPr>
                <w:rFonts w:eastAsia="Calibri"/>
                <w:sz w:val="18"/>
                <w:szCs w:val="18"/>
              </w:rPr>
              <w:tab/>
              <w:t>–</w:t>
              <w:tab/>
              <w:t>рассчитанная оценка предпочтительности по данному частному критерию оценки в баллах.</w:t>
            </w:r>
          </w:p>
          <w:p>
            <w:pPr>
              <w:pStyle w:val="Style32"/>
              <w:widowControl w:val="false"/>
              <w:tabs>
                <w:tab w:val="clear" w:pos="708"/>
                <w:tab w:val="left" w:pos="324" w:leader="none"/>
              </w:tabs>
              <w:spacing w:before="40" w:after="40"/>
              <w:rPr>
                <w:rFonts w:eastAsia="Calibri"/>
                <w:sz w:val="18"/>
                <w:szCs w:val="18"/>
              </w:rPr>
            </w:pPr>
            <w:r>
              <w:rPr>
                <w:rFonts w:eastAsia="Calibri"/>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32"/>
              <w:widowControl w:val="false"/>
              <w:tabs>
                <w:tab w:val="clear" w:pos="708"/>
                <w:tab w:val="left" w:pos="324" w:leader="none"/>
              </w:tabs>
              <w:spacing w:before="40" w:after="40"/>
              <w:rPr>
                <w:rFonts w:eastAsia="Calibri"/>
                <w:sz w:val="18"/>
                <w:szCs w:val="18"/>
              </w:rPr>
            </w:pPr>
            <w:r>
              <w:rPr>
                <w:rFonts w:eastAsia="Calibri"/>
                <w:sz w:val="18"/>
                <w:szCs w:val="18"/>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(объемной доли) поставляемой им продукции согласно Плану распределения объемов поставки продукции (форма № 10, Приложение № 4 к Документации о закупке), представленному в заявке такого Коллективного участника на участие в закупке.</w:t>
            </w:r>
          </w:p>
          <w:p>
            <w:pPr>
              <w:pStyle w:val="Style32"/>
              <w:widowControl w:val="false"/>
              <w:tabs>
                <w:tab w:val="clear" w:pos="708"/>
                <w:tab w:val="left" w:pos="324" w:leader="none"/>
              </w:tabs>
              <w:spacing w:before="40" w:after="40"/>
              <w:rPr>
                <w:sz w:val="18"/>
                <w:szCs w:val="18"/>
              </w:rPr>
            </w:pPr>
            <w:r>
              <w:rPr>
                <w:rFonts w:eastAsia="Calibri"/>
                <w:sz w:val="18"/>
                <w:szCs w:val="18"/>
              </w:rPr>
              <w:t>Шкала оценок от 0 до 5 баллов.</w:t>
            </w:r>
          </w:p>
        </w:tc>
      </w:tr>
      <w:tr>
        <w:trPr/>
        <w:tc>
          <w:tcPr>
            <w:tcW w:w="6103"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40" w:after="40"/>
              <w:jc w:val="right"/>
              <w:rPr>
                <w:rFonts w:eastAsia="Calibri"/>
                <w:sz w:val="18"/>
                <w:szCs w:val="18"/>
              </w:rPr>
            </w:pPr>
            <w:r>
              <w:rPr>
                <w:rFonts w:eastAsia="Calibri"/>
                <w:sz w:val="18"/>
                <w:szCs w:val="18"/>
              </w:rPr>
              <w:t>Итоговая оценка предпочтительности заявки:</w:t>
            </w:r>
          </w:p>
        </w:tc>
        <w:tc>
          <w:tcPr>
            <w:tcW w:w="9091"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40" w:after="0"/>
              <w:rPr>
                <w:rFonts w:eastAsia="Calibri"/>
                <w:sz w:val="18"/>
                <w:szCs w:val="18"/>
              </w:rPr>
            </w:pPr>
            <w:r>
              <w:rPr>
                <w:rFonts w:eastAsia="Calibri"/>
                <w:sz w:val="18"/>
                <w:szCs w:val="18"/>
              </w:rPr>
              <w:t xml:space="preserve">Расчет итоговой оценки предпочтительности </w:t>
            </w:r>
            <w:r>
              <w:rPr>
                <w:rFonts w:eastAsia="Calibri"/>
                <w:i/>
                <w:sz w:val="18"/>
                <w:szCs w:val="18"/>
                <w:lang w:val="en-US"/>
              </w:rPr>
              <w:t>i</w:t>
            </w:r>
            <w:r>
              <w:rPr>
                <w:rFonts w:eastAsia="Calibri"/>
                <w:sz w:val="18"/>
                <w:szCs w:val="18"/>
              </w:rPr>
              <w:t>-ой заявки:</w:t>
            </w:r>
          </w:p>
          <w:p>
            <w:pPr>
              <w:pStyle w:val="Normal"/>
              <w:keepNext w:val="true"/>
              <w:widowControl w:val="false"/>
              <w:jc w:val="center"/>
              <w:rPr>
                <w:rFonts w:eastAsia="Calibri"/>
                <w:sz w:val="18"/>
                <w:szCs w:val="18"/>
              </w:rPr>
            </w:pPr>
            <w:r>
              <w:rPr>
                <w:rFonts w:eastAsia="Calibri"/>
                <w:sz w:val="18"/>
                <w:szCs w:val="18"/>
              </w:rPr>
            </w:r>
          </w:p>
          <w:p>
            <w:pPr>
              <w:pStyle w:val="Normal"/>
              <w:keepNext w:val="true"/>
              <w:widowControl w:val="false"/>
              <w:spacing w:before="96" w:after="0"/>
              <w:jc w:val="center"/>
              <w:rPr>
                <w:rFonts w:eastAsia="Calibri"/>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r>
                          <w:rPr>
                            <w:rFonts w:ascii="Cambria Math" w:hAnsi="Cambria Math"/>
                          </w:rPr>
                          <m:t xml:space="preserve">×</m:t>
                        </m:r>
                        <m:sSub>
                          <m:e>
                            <m:r>
                              <w:rPr>
                                <w:rFonts w:ascii="Cambria Math" w:hAnsi="Cambria Math"/>
                              </w:rPr>
                              <m:t xml:space="preserve">В</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e>
                    </m:d>
                  </m:e>
                </m:nary>
                <m:r>
                  <w:rPr>
                    <w:rFonts w:ascii="Cambria Math" w:hAnsi="Cambria Math"/>
                  </w:rPr>
                  <m:t xml:space="preserve">,</m:t>
                </m:r>
              </m:oMath>
            </m:oMathPara>
          </w:p>
          <w:p>
            <w:pPr>
              <w:pStyle w:val="Normal"/>
              <w:keepNext w:val="true"/>
              <w:widowControl w:val="false"/>
              <w:spacing w:before="96" w:after="0"/>
              <w:rPr>
                <w:rFonts w:eastAsia="Calibri"/>
                <w:sz w:val="18"/>
                <w:szCs w:val="18"/>
              </w:rPr>
            </w:pPr>
            <w:r>
              <w:rPr>
                <w:rFonts w:eastAsia="Calibri"/>
                <w:sz w:val="18"/>
                <w:szCs w:val="18"/>
              </w:rPr>
              <w:t>где:</w:t>
            </w:r>
          </w:p>
          <w:p>
            <w:pPr>
              <w:pStyle w:val="Normal"/>
              <w:widowControl w:val="false"/>
              <w:tabs>
                <w:tab w:val="clear" w:pos="708"/>
                <w:tab w:val="left" w:pos="742" w:leader="none"/>
                <w:tab w:val="left" w:pos="1167" w:leader="none"/>
              </w:tabs>
              <w:rPr>
                <w:rFonts w:eastAsia="Calibri"/>
                <w:sz w:val="18"/>
                <w:szCs w:val="18"/>
              </w:rPr>
            </w:pPr>
            <w:r>
              <w:rPr>
                <w:rFonts w:eastAsia="Calibri"/>
                <w:sz w:val="18"/>
                <w:szCs w:val="18"/>
              </w:rPr>
              <w:t>Б</w:t>
            </w:r>
            <w:r>
              <w:rPr>
                <w:rFonts w:eastAsia="Calibri"/>
                <w:sz w:val="18"/>
                <w:szCs w:val="18"/>
                <w:vertAlign w:val="subscript"/>
              </w:rPr>
              <w:t>ИТОГ</w:t>
            </w:r>
            <w:r>
              <w:rPr>
                <w:rFonts w:eastAsia="Calibri"/>
                <w:sz w:val="18"/>
                <w:szCs w:val="18"/>
              </w:rPr>
              <w:tab/>
              <w:t>–</w:t>
              <w:tab/>
              <w:t>рассчитанная итоговая оценка предпочтительности в баллах;</w:t>
            </w:r>
          </w:p>
          <w:p>
            <w:pPr>
              <w:pStyle w:val="Normal"/>
              <w:widowControl w:val="false"/>
              <w:tabs>
                <w:tab w:val="clear" w:pos="708"/>
                <w:tab w:val="left" w:pos="742" w:leader="none"/>
                <w:tab w:val="left" w:pos="1167" w:leader="none"/>
              </w:tabs>
              <w:rPr>
                <w:rFonts w:eastAsia="Calibri"/>
                <w:sz w:val="18"/>
                <w:szCs w:val="18"/>
              </w:rPr>
            </w:pPr>
            <w:r>
              <w:rPr>
                <w:rFonts w:eastAsia="Calibri"/>
                <w:sz w:val="18"/>
                <w:szCs w:val="18"/>
              </w:rPr>
              <w:t>Б</w:t>
            </w:r>
            <w:r>
              <w:rPr>
                <w:rFonts w:eastAsia="Calibri"/>
                <w:sz w:val="18"/>
                <w:szCs w:val="18"/>
                <w:vertAlign w:val="subscript"/>
              </w:rPr>
              <w:t>1 уровень k</w:t>
            </w:r>
            <w:r>
              <w:rPr>
                <w:rFonts w:eastAsia="Calibri"/>
                <w:sz w:val="18"/>
                <w:szCs w:val="18"/>
              </w:rPr>
              <w:tab/>
              <w:t>–</w:t>
              <w:tab/>
              <w:t>оценка предпочтительности по k-тому критерию оценки первого уровня в баллах;</w:t>
            </w:r>
          </w:p>
          <w:p>
            <w:pPr>
              <w:pStyle w:val="Normal"/>
              <w:widowControl w:val="false"/>
              <w:tabs>
                <w:tab w:val="clear" w:pos="708"/>
                <w:tab w:val="left" w:pos="742" w:leader="none"/>
                <w:tab w:val="left" w:pos="1167" w:leader="none"/>
              </w:tabs>
              <w:spacing w:before="120" w:after="40"/>
              <w:rPr>
                <w:rFonts w:eastAsia="Calibri"/>
                <w:sz w:val="18"/>
                <w:szCs w:val="18"/>
              </w:rPr>
            </w:pPr>
            <w:r>
              <w:rPr>
                <w:rFonts w:eastAsia="Calibri"/>
                <w:sz w:val="18"/>
                <w:szCs w:val="18"/>
              </w:rPr>
              <w:t>В</w:t>
            </w:r>
            <w:r>
              <w:rPr>
                <w:rFonts w:eastAsia="Calibri"/>
                <w:sz w:val="18"/>
                <w:szCs w:val="18"/>
                <w:vertAlign w:val="subscript"/>
              </w:rPr>
              <w:t>1 уровень k</w:t>
            </w:r>
            <w:r>
              <w:rPr>
                <w:rFonts w:eastAsia="Calibri"/>
                <w:sz w:val="18"/>
                <w:szCs w:val="18"/>
              </w:rPr>
              <w:tab/>
              <w:t>–</w:t>
              <w:tab/>
              <w:t>значимость k-ого критерия оценки первого уровня, выраженная в диапазоне от 1% до 100% (или от 0,01 до 1,00) – вес k-ого критерия оценки первого уровня.</w:t>
            </w:r>
          </w:p>
          <w:p>
            <w:pPr>
              <w:pStyle w:val="Normal"/>
              <w:widowControl w:val="false"/>
              <w:tabs>
                <w:tab w:val="clear" w:pos="708"/>
                <w:tab w:val="left" w:pos="742" w:leader="none"/>
                <w:tab w:val="left" w:pos="1167" w:leader="none"/>
              </w:tabs>
              <w:spacing w:before="120" w:after="40"/>
              <w:rPr>
                <w:rFonts w:eastAsia="Calibri"/>
                <w:sz w:val="18"/>
                <w:szCs w:val="18"/>
              </w:rPr>
            </w:pPr>
            <w:r>
              <w:rPr>
                <w:rFonts w:cs="Times New Roman (???????? ?????"/>
                <w:i/>
                <w:iCs/>
                <w:color w:val="000000"/>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32"/>
        <w:spacing w:before="120" w:after="120"/>
        <w:ind w:hanging="0" w:left="1134"/>
        <w:rPr>
          <w:rStyle w:val="Style11"/>
        </w:rPr>
      </w:pPr>
      <w:r>
        <w:rPr/>
      </w:r>
    </w:p>
    <w:p>
      <w:pPr>
        <w:pStyle w:val="Style28"/>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8"/>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_Ref130985951 \r \h </w:instrText>
      </w:r>
      <w:r>
        <w:rPr/>
        <w:fldChar w:fldCharType="separate"/>
      </w:r>
      <w:r>
        <w:rPr/>
        <w:t>4.13</w:t>
      </w:r>
      <w:r>
        <w:rPr/>
        <w:fldChar w:fldCharType="end"/>
      </w:r>
      <w:r>
        <w:rPr/>
        <w:t>.</w:t>
      </w:r>
    </w:p>
    <w:p>
      <w:pPr>
        <w:sectPr>
          <w:headerReference w:type="default" r:id="rId28"/>
          <w:headerReference w:type="first" r:id="rId29"/>
          <w:footerReference w:type="default" r:id="rId30"/>
          <w:footerReference w:type="first" r:id="rId3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8"/>
        <w:rPr/>
      </w:pPr>
      <w:r>
        <w:rP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pPr>
        <w:pStyle w:val="Style26"/>
        <w:rPr/>
      </w:pPr>
      <w:bookmarkStart w:id="467" w:name="_Ref125360420"/>
      <w:bookmarkStart w:id="468" w:name="Прил09_ОбоснованиеНМЦ"/>
      <w:bookmarkStart w:id="469" w:name="_Toc236402315"/>
      <w:bookmarkStart w:id="470" w:name="_Toc136249262"/>
      <w:bookmarkStart w:id="471" w:name="_Toc136249260"/>
      <w:bookmarkStart w:id="472" w:name="_Toc136261689"/>
      <w:bookmarkStart w:id="473" w:name="_Toc136261766"/>
      <w:bookmarkStart w:id="474" w:name="_Toc136261769"/>
      <w:bookmarkStart w:id="475" w:name="_Toc136249261"/>
      <w:bookmarkStart w:id="476" w:name="_Toc136261690"/>
      <w:bookmarkStart w:id="477" w:name="_Toc136261767"/>
      <w:bookmarkStart w:id="478" w:name="_Toc136261691"/>
      <w:bookmarkStart w:id="479" w:name="_Toc136261768"/>
      <w:bookmarkStart w:id="480" w:name="_Toc136249263"/>
      <w:bookmarkStart w:id="481" w:name="_Toc136261692"/>
      <w:bookmarkEnd w:id="470"/>
      <w:bookmarkEnd w:id="471"/>
      <w:bookmarkEnd w:id="472"/>
      <w:bookmarkEnd w:id="473"/>
      <w:bookmarkEnd w:id="474"/>
      <w:bookmarkEnd w:id="475"/>
      <w:bookmarkEnd w:id="476"/>
      <w:bookmarkEnd w:id="477"/>
      <w:bookmarkEnd w:id="478"/>
      <w:bookmarkEnd w:id="479"/>
      <w:bookmarkEnd w:id="480"/>
      <w:bookmarkEnd w:id="481"/>
      <w:r>
        <w:rPr/>
        <w:t>Приложение № 9 – Обоснование НМЦ</w:t>
      </w:r>
      <w:bookmarkEnd w:id="467"/>
      <w:bookmarkEnd w:id="468"/>
      <w:bookmarkEnd w:id="469"/>
    </w:p>
    <w:p>
      <w:pPr>
        <w:pStyle w:val="Style27"/>
        <w:rPr/>
      </w:pPr>
      <w:bookmarkStart w:id="482" w:name="_Toc236402316"/>
      <w:r>
        <w:rPr/>
        <w:t>Пояснения к Обоснованию НМЦ</w:t>
      </w:r>
      <w:bookmarkEnd w:id="482"/>
    </w:p>
    <w:p>
      <w:pPr>
        <w:pStyle w:val="Style28"/>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6"/>
        <w:rPr/>
      </w:pPr>
      <w:bookmarkStart w:id="483" w:name="_Toc236402317"/>
      <w:bookmarkStart w:id="484" w:name="Прил10_ЗаявкаНаАккредитацию"/>
      <w:bookmarkEnd w:id="484"/>
      <w:r>
        <w:rPr/>
        <w:t>Приложение № 10 – Форма Заявки на аккредитацию</w:t>
      </w:r>
      <w:bookmarkEnd w:id="483"/>
    </w:p>
    <w:p>
      <w:pPr>
        <w:pStyle w:val="Style27"/>
        <w:rPr/>
      </w:pPr>
      <w:bookmarkStart w:id="485" w:name="_Toc236402318"/>
      <w:r>
        <w:rPr/>
        <w:t>Пояснения к форме Заявки на аккредитацию</w:t>
      </w:r>
      <w:bookmarkEnd w:id="485"/>
    </w:p>
    <w:p>
      <w:pPr>
        <w:pStyle w:val="Style28"/>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8"/>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86"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86"/>
      <w:r>
        <w:rPr/>
        <w:t>.</w:t>
      </w:r>
    </w:p>
    <w:p>
      <w:pPr>
        <w:pStyle w:val="Style32"/>
        <w:jc w:val="center"/>
        <w:rPr/>
      </w:pPr>
      <w:r>
        <w:rPr/>
        <w:object>
          <v:shapetype id="_x0000_tole_rId32" coordsize="21600,21600" o:spt="ole_rId3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2" type="_x0000_tole_rId32" style="width:93.3pt;height:59.35pt;mso-wrap-distance-right:0pt" filled="f" o:ole="">
            <v:imagedata r:id="rId33" o:title=""/>
          </v:shape>
          <o:OLEObject Type="Embed" ProgID="Excel.Sheet.12" ShapeID="ole_rId32" DrawAspect="Icon" ObjectID="_398521092" r:id="rId32"/>
        </w:object>
      </w:r>
    </w:p>
    <w:p>
      <w:pPr>
        <w:pStyle w:val="Normal"/>
        <w:rPr/>
      </w:pPr>
      <w:r>
        <w:rPr/>
      </w:r>
    </w:p>
    <w:p>
      <w:pPr>
        <w:pStyle w:val="Normal"/>
        <w:rPr/>
      </w:pPr>
      <w:r>
        <w:rPr/>
      </w:r>
    </w:p>
    <w:p>
      <w:pPr>
        <w:pStyle w:val="Style26"/>
        <w:rPr/>
      </w:pPr>
      <w:bookmarkStart w:id="487" w:name="_Toc236402319"/>
      <w:bookmarkStart w:id="488" w:name="Прил11_Данные_бухотчетность"/>
      <w:r>
        <w:rPr/>
        <w:t xml:space="preserve">Приложение № 11 </w:t>
      </w:r>
      <w:bookmarkEnd w:id="488"/>
      <w:r>
        <w:rPr/>
        <w:t>– форма Данных бухгалтерской (финансовой) отчетности</w:t>
      </w:r>
      <w:bookmarkEnd w:id="487"/>
    </w:p>
    <w:p>
      <w:pPr>
        <w:pStyle w:val="Style27"/>
        <w:rPr/>
      </w:pPr>
      <w:bookmarkStart w:id="489" w:name="_Toc236402320"/>
      <w:r>
        <w:rPr/>
        <w:t>Пояснения к форме Данных бухгалтерской (финансовой) отчетности</w:t>
      </w:r>
      <w:bookmarkEnd w:id="489"/>
      <w:r>
        <w:rPr/>
        <w:t xml:space="preserve"> </w:t>
      </w:r>
    </w:p>
    <w:p>
      <w:pPr>
        <w:pStyle w:val="Style28"/>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90" w:name="_MON_1821255075"/>
      <w:bookmarkStart w:id="491" w:name="_MON_1821255075"/>
      <w:bookmarkEnd w:id="491"/>
    </w:p>
    <w:p>
      <w:pPr>
        <w:pStyle w:val="Normal"/>
        <w:jc w:val="center"/>
        <w:rPr/>
      </w:pPr>
      <w:bookmarkStart w:id="492" w:name="_Hlk210643886"/>
      <w:bookmarkStart w:id="493" w:name="_GoBack"/>
      <w:bookmarkStart w:id="494" w:name="_MON_1821255075_Копия_1"/>
      <w:bookmarkEnd w:id="494"/>
      <w:r>
        <w:rPr/>
        <w:object>
          <v:shapetype id="_x0000_tole_rId34" coordsize="21600,21600" o:spt="ole_rId3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4" type="_x0000_tole_rId34" style="width:79.5pt;height:50.1pt;mso-wrap-distance-right:0pt" filled="f" o:ole="">
            <v:imagedata r:id="rId35" o:title=""/>
          </v:shape>
          <o:OLEObject Type="Embed" ProgID="Word.Document.12" ShapeID="ole_rId34" DrawAspect="Icon" ObjectID="_1885285847" r:id="rId34"/>
        </w:object>
      </w:r>
      <w:bookmarkEnd w:id="492"/>
      <w:bookmarkEnd w:id="493"/>
    </w:p>
    <w:p>
      <w:pPr>
        <w:pStyle w:val="Normal"/>
        <w:jc w:val="center"/>
        <w:rPr/>
      </w:pPr>
      <w:r>
        <w:rPr/>
      </w:r>
    </w:p>
    <w:sectPr>
      <w:headerReference w:type="default" r:id="rId36"/>
      <w:headerReference w:type="first" r:id="rId37"/>
      <w:footerReference w:type="default" r:id="rId38"/>
      <w:footerReference w:type="first" r:id="rId3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Liberation Serif">
    <w:altName w:val="Times New Roman"/>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0023510"/>
    </w:sdtPr>
    <w:sdtContent>
      <w:p>
        <w:pPr>
          <w:pStyle w:val="Footer"/>
          <w:spacing w:before="120" w:after="0"/>
          <w:rPr/>
        </w:pPr>
        <w:r>
          <w:rPr/>
          <w:fldChar w:fldCharType="begin"/>
        </w:r>
        <w:r>
          <w:rPr/>
          <w:instrText xml:space="preserve"> PAGE </w:instrText>
        </w:r>
        <w:r>
          <w:rPr/>
          <w:fldChar w:fldCharType="separate"/>
        </w:r>
        <w:r>
          <w:rPr/>
          <w:t>26</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33512328"/>
    </w:sdtPr>
    <w:sdtContent>
      <w:p>
        <w:pPr>
          <w:pStyle w:val="Footer"/>
          <w:spacing w:before="120" w:after="0"/>
          <w:rPr/>
        </w:pPr>
        <w:r>
          <w:rPr/>
          <w:fldChar w:fldCharType="begin"/>
        </w:r>
        <w:r>
          <w:rPr/>
          <w:instrText xml:space="preserve"> PAGE </w:instrText>
        </w:r>
        <w:r>
          <w:rPr/>
          <w:fldChar w:fldCharType="separate"/>
        </w:r>
        <w:r>
          <w:rPr/>
          <w:t>57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47879543"/>
    </w:sdtPr>
    <w:sdtContent>
      <w:p>
        <w:pPr>
          <w:pStyle w:val="Footer"/>
          <w:spacing w:before="120" w:after="0"/>
          <w:rPr/>
        </w:pPr>
        <w:r>
          <w:rPr/>
          <w:fldChar w:fldCharType="begin"/>
        </w:r>
        <w:r>
          <w:rPr/>
          <w:instrText xml:space="preserve"> PAGE </w:instrText>
        </w:r>
        <w:r>
          <w:rPr/>
          <w:fldChar w:fldCharType="separate"/>
        </w:r>
        <w:r>
          <w:rPr/>
          <w:t>63</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42294454"/>
    </w:sdtPr>
    <w:sdtContent>
      <w:p>
        <w:pPr>
          <w:pStyle w:val="Footer"/>
          <w:spacing w:before="120" w:after="0"/>
          <w:rPr/>
        </w:pPr>
        <w:r>
          <w:rPr/>
          <w:fldChar w:fldCharType="begin"/>
        </w:r>
        <w:r>
          <w:rPr/>
          <w:instrText xml:space="preserve"> PAGE </w:instrText>
        </w:r>
        <w:r>
          <w:rPr/>
          <w:fldChar w:fldCharType="separate"/>
        </w:r>
        <w:r>
          <w:rPr/>
          <w:t>69</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8510372"/>
    </w:sdtPr>
    <w:sdtContent>
      <w:p>
        <w:pPr>
          <w:pStyle w:val="Footer"/>
          <w:spacing w:before="120" w:after="0"/>
          <w:rPr/>
        </w:pPr>
        <w:r>
          <w:rPr/>
          <w:fldChar w:fldCharType="begin"/>
        </w:r>
        <w:r>
          <w:rPr/>
          <w:instrText xml:space="preserve"> PAGE </w:instrText>
        </w:r>
        <w:r>
          <w:rPr/>
          <w:fldChar w:fldCharType="separate"/>
        </w:r>
        <w:r>
          <w:rPr/>
          <w:t>81</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38886333"/>
    </w:sdtPr>
    <w:sdtContent>
      <w:p>
        <w:pPr>
          <w:pStyle w:val="Footer"/>
          <w:spacing w:before="120" w:after="0"/>
          <w:rPr/>
        </w:pPr>
        <w:r>
          <w:rPr/>
          <w:fldChar w:fldCharType="begin"/>
        </w:r>
        <w:r>
          <w:rPr/>
          <w:instrText xml:space="preserve"> PAGE </w:instrText>
        </w:r>
        <w:r>
          <w:rPr/>
          <w:fldChar w:fldCharType="separate"/>
        </w:r>
        <w:r>
          <w:rPr/>
          <w:t>84</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4"/>
        <w:spacing w:before="80" w:after="0"/>
        <w:ind w:hanging="567" w:left="567"/>
        <w:jc w:val="both"/>
        <w:rPr/>
      </w:pPr>
      <w:r>
        <w:rPr>
          <w:rStyle w:val="Style13"/>
        </w:rPr>
        <w:footnoteRef/>
      </w:r>
      <w:r>
        <w:rP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3">
    <w:p>
      <w:pPr>
        <w:pStyle w:val="Style34"/>
        <w:spacing w:before="80" w:after="0"/>
        <w:ind w:hanging="567" w:left="567"/>
        <w:jc w:val="both"/>
        <w:rPr/>
      </w:pPr>
      <w:r>
        <w:rPr>
          <w:rStyle w:val="Style13"/>
        </w:rPr>
        <w:footnoteRef/>
      </w:r>
      <w:r>
        <w:rPr/>
        <w:tab/>
        <w:t>Определенные в соответствии с Законом 422-ФЗ.</w:t>
      </w:r>
    </w:p>
  </w:footnote>
  <w:footnote w:id="4">
    <w:p>
      <w:pPr>
        <w:pStyle w:val="Style34"/>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4"/>
        <w:spacing w:before="80" w:after="0"/>
        <w:ind w:hanging="567" w:left="567"/>
        <w:jc w:val="both"/>
        <w:rPr/>
      </w:pPr>
      <w:r>
        <w:rPr>
          <w:rStyle w:val="Style13"/>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4.12</w:t>
      </w:r>
      <w:r>
        <w:rPr/>
        <w:fldChar w:fldCharType="end"/>
      </w:r>
      <w:r>
        <w:rPr/>
        <w:t>), не допускается.</w:t>
      </w:r>
    </w:p>
  </w:footnote>
  <w:footnote w:id="6">
    <w:p>
      <w:pPr>
        <w:pStyle w:val="Style34"/>
        <w:spacing w:before="80" w:after="0"/>
        <w:ind w:hanging="567" w:left="567"/>
        <w:jc w:val="both"/>
        <w:rPr/>
      </w:pPr>
      <w:r>
        <w:rPr>
          <w:rStyle w:val="Style13"/>
        </w:rPr>
        <w:footnoteRef/>
      </w:r>
      <w:r>
        <w:rPr/>
        <w:tab/>
        <w:t>С учетом пункта </w:t>
      </w:r>
      <w:r>
        <w:rPr/>
        <w:fldChar w:fldCharType="begin"/>
      </w:r>
      <w:r>
        <w:rPr/>
        <w:instrText xml:space="preserve"> REF _Ref236139588 \r \h </w:instrText>
      </w:r>
      <w:r>
        <w:rPr/>
        <w:fldChar w:fldCharType="separate"/>
      </w:r>
      <w:r>
        <w:rPr/>
        <w:t>4.13.6</w:t>
      </w:r>
      <w:r>
        <w:rPr/>
        <w:fldChar w:fldCharType="end"/>
      </w:r>
      <w:r>
        <w:rPr/>
        <w:t>.</w:t>
      </w:r>
    </w:p>
  </w:footnote>
  <w:footnote w:id="7">
    <w:p>
      <w:pPr>
        <w:pStyle w:val="Style34"/>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Style34"/>
        <w:spacing w:before="80" w:after="0"/>
        <w:ind w:hanging="567" w:left="567"/>
        <w:jc w:val="both"/>
        <w:rPr/>
      </w:pPr>
      <w:r>
        <w:rPr>
          <w:rStyle w:val="Style13"/>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34"/>
        <w:spacing w:before="80" w:after="0"/>
        <w:rPr>
          <w:szCs w:val="22"/>
        </w:rPr>
      </w:pPr>
      <w:r>
        <w:rPr>
          <w:rStyle w:val="Style13"/>
        </w:rPr>
        <w:footnoteRef/>
      </w:r>
      <w:r>
        <w:rPr>
          <w:szCs w:val="22"/>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34"/>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34"/>
        <w:spacing w:before="80" w:after="0"/>
        <w:ind w:hanging="567" w:left="567"/>
        <w:jc w:val="both"/>
        <w:rPr/>
      </w:pPr>
      <w:r>
        <w:rPr>
          <w:rStyle w:val="Style13"/>
        </w:rPr>
        <w:footnoteRef/>
      </w:r>
      <w:r>
        <w:rPr/>
        <w:tab/>
        <w:t>https://minfin.gov.ru/ru/perfomance/tax_relations/policy/bankwarranty/</w:t>
      </w:r>
    </w:p>
  </w:footnote>
  <w:footnote w:id="12">
    <w:p>
      <w:pPr>
        <w:pStyle w:val="Normal"/>
        <w:spacing w:before="120" w:after="0"/>
        <w:jc w:val="both"/>
        <w:rPr>
          <w:sz w:val="20"/>
          <w:szCs w:val="20"/>
        </w:rPr>
      </w:pPr>
      <w:r>
        <w:rPr>
          <w:rStyle w:val="Style13"/>
        </w:rPr>
        <w:footnoteRef/>
      </w:r>
      <w:r>
        <w:rPr/>
        <w:t xml:space="preserve"> </w:t>
      </w:r>
      <w:r>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p>
      <w:pPr>
        <w:pStyle w:val="FootnoteText"/>
        <w:rPr/>
      </w:pPr>
      <w:r>
        <w:rPr/>
      </w:r>
    </w:p>
  </w:footnote>
  <w:footnote w:id="13">
    <w:p>
      <w:pPr>
        <w:pStyle w:val="Style34"/>
        <w:spacing w:before="80" w:after="0"/>
        <w:ind w:hanging="567" w:left="567"/>
        <w:jc w:val="both"/>
        <w:rPr/>
      </w:pPr>
      <w:r>
        <w:rPr>
          <w:rStyle w:val="Style13"/>
        </w:rPr>
        <w:footnoteRef/>
      </w:r>
      <w:r>
        <w:rPr/>
        <w:tab/>
        <w:t>Коллективный участник предоставляет указанные документы на каждого члена.</w:t>
      </w:r>
    </w:p>
  </w:footnote>
  <w:footnote w:id="14">
    <w:p>
      <w:pPr>
        <w:pStyle w:val="Style34"/>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Победителя.</w:t>
      </w:r>
    </w:p>
  </w:footnote>
  <w:footnote w:id="15">
    <w:p>
      <w:pPr>
        <w:pStyle w:val="Style34"/>
        <w:spacing w:before="80" w:after="0"/>
        <w:ind w:hanging="567" w:left="567"/>
        <w:jc w:val="both"/>
        <w:rPr/>
      </w:pPr>
      <w:r>
        <w:rPr>
          <w:rStyle w:val="Style13"/>
        </w:rPr>
        <w:footnoteRef/>
      </w:r>
      <w:bookmarkStart w:id="495" w:name="_Hlk139028796_Копия_1_Копия_1_Копия_1_Ко"/>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95"/>
    </w:p>
  </w:footnote>
  <w:footnote w:id="16">
    <w:p>
      <w:pPr>
        <w:pStyle w:val="Style34"/>
        <w:spacing w:before="80" w:after="0"/>
        <w:ind w:hanging="567" w:left="567"/>
        <w:jc w:val="both"/>
        <w:rPr/>
      </w:pPr>
      <w:r>
        <w:rPr>
          <w:rStyle w:val="Style13"/>
        </w:rPr>
        <w:footnoteRef/>
      </w:r>
      <w:bookmarkStart w:id="496" w:name="_Hlk139028803_Копия_1_Копия_1_Копия_1_Ко"/>
      <w:bookmarkStart w:id="497" w:name="_Hlk139028804_Копия_1_Копия_1_Копия_1_Ко"/>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96"/>
      <w:bookmarkEnd w:id="497"/>
    </w:p>
  </w:footnote>
  <w:footnote w:id="17">
    <w:p>
      <w:pPr>
        <w:pStyle w:val="FootnoteText"/>
        <w:widowControl w:val="false"/>
        <w:rPr/>
      </w:pPr>
      <w:r>
        <w:rPr>
          <w:rStyle w:val="Style13"/>
        </w:rPr>
        <w:footnoteRef/>
      </w:r>
      <w:r>
        <w:rPr/>
        <w:tab/>
        <w:t xml:space="preserve"> 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6"/>
      <w:numFmt w:val="decimal"/>
      <w:lvlText w:val="%1."/>
      <w:lvlJc w:val="left"/>
      <w:pPr>
        <w:tabs>
          <w:tab w:val="num" w:pos="1134"/>
        </w:tabs>
        <w:ind w:left="1134" w:hanging="1134"/>
      </w:pPr>
      <w:rPr/>
    </w:lvl>
    <w:lvl w:ilvl="1">
      <w:start w:val="1"/>
      <w:pStyle w:val="Style27"/>
      <w:numFmt w:val="decimal"/>
      <w:lvlText w:val="%1.%2"/>
      <w:lvlJc w:val="left"/>
      <w:pPr>
        <w:tabs>
          <w:tab w:val="num" w:pos="1134"/>
        </w:tabs>
        <w:ind w:left="1134" w:hanging="1134"/>
      </w:pPr>
      <w:rPr/>
    </w:lvl>
    <w:lvl w:ilvl="2">
      <w:start w:val="1"/>
      <w:pStyle w:val="Style28"/>
      <w:numFmt w:val="decimal"/>
      <w:lvlText w:val="%1.%2.%3"/>
      <w:lvlJc w:val="left"/>
      <w:pPr>
        <w:tabs>
          <w:tab w:val="num" w:pos="1134"/>
        </w:tabs>
        <w:ind w:left="1134" w:hanging="1134"/>
      </w:pPr>
      <w:rPr/>
    </w:lvl>
    <w:lvl w:ilvl="3">
      <w:start w:val="1"/>
      <w:pStyle w:val="Style29"/>
      <w:numFmt w:val="russianLower"/>
      <w:lvlText w:val="%4)"/>
      <w:lvlJc w:val="left"/>
      <w:pPr>
        <w:tabs>
          <w:tab w:val="num" w:pos="1701"/>
        </w:tabs>
        <w:ind w:left="1701" w:hanging="567"/>
      </w:pPr>
      <w:rPr/>
    </w:lvl>
    <w:lvl w:ilvl="4">
      <w:start w:val="1"/>
      <w:pStyle w:val="Style30"/>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russianLower"/>
      <w:lvlText w:val="%1)"/>
      <w:lvlJc w:val="left"/>
      <w:pPr>
        <w:tabs>
          <w:tab w:val="num" w:pos="0"/>
        </w:tabs>
        <w:ind w:left="1918" w:hanging="360"/>
      </w:pPr>
      <w:rPr/>
    </w:lvl>
    <w:lvl w:ilvl="1">
      <w:start w:val="1"/>
      <w:numFmt w:val="lowerLetter"/>
      <w:lvlText w:val="%2."/>
      <w:lvlJc w:val="left"/>
      <w:pPr>
        <w:tabs>
          <w:tab w:val="num" w:pos="0"/>
        </w:tabs>
        <w:ind w:left="2638" w:hanging="360"/>
      </w:pPr>
      <w:rPr/>
    </w:lvl>
    <w:lvl w:ilvl="2">
      <w:start w:val="1"/>
      <w:numFmt w:val="lowerRoman"/>
      <w:lvlText w:val="%3."/>
      <w:lvlJc w:val="right"/>
      <w:pPr>
        <w:tabs>
          <w:tab w:val="num" w:pos="0"/>
        </w:tabs>
        <w:ind w:left="3358" w:hanging="180"/>
      </w:pPr>
      <w:rPr/>
    </w:lvl>
    <w:lvl w:ilvl="3">
      <w:start w:val="1"/>
      <w:numFmt w:val="decimal"/>
      <w:lvlText w:val="%4."/>
      <w:lvlJc w:val="left"/>
      <w:pPr>
        <w:tabs>
          <w:tab w:val="num" w:pos="0"/>
        </w:tabs>
        <w:ind w:left="4078" w:hanging="360"/>
      </w:pPr>
      <w:rPr/>
    </w:lvl>
    <w:lvl w:ilvl="4">
      <w:start w:val="1"/>
      <w:numFmt w:val="lowerLetter"/>
      <w:lvlText w:val="%5."/>
      <w:lvlJc w:val="left"/>
      <w:pPr>
        <w:tabs>
          <w:tab w:val="num" w:pos="0"/>
        </w:tabs>
        <w:ind w:left="4798" w:hanging="360"/>
      </w:pPr>
      <w:rPr/>
    </w:lvl>
    <w:lvl w:ilvl="5">
      <w:start w:val="1"/>
      <w:numFmt w:val="lowerRoman"/>
      <w:lvlText w:val="%6."/>
      <w:lvlJc w:val="right"/>
      <w:pPr>
        <w:tabs>
          <w:tab w:val="num" w:pos="0"/>
        </w:tabs>
        <w:ind w:left="5518" w:hanging="180"/>
      </w:pPr>
      <w:rPr/>
    </w:lvl>
    <w:lvl w:ilvl="6">
      <w:start w:val="1"/>
      <w:numFmt w:val="decimal"/>
      <w:lvlText w:val="%7."/>
      <w:lvlJc w:val="left"/>
      <w:pPr>
        <w:tabs>
          <w:tab w:val="num" w:pos="0"/>
        </w:tabs>
        <w:ind w:left="6238" w:hanging="360"/>
      </w:pPr>
      <w:rPr/>
    </w:lvl>
    <w:lvl w:ilvl="7">
      <w:start w:val="1"/>
      <w:numFmt w:val="lowerLetter"/>
      <w:lvlText w:val="%8."/>
      <w:lvlJc w:val="left"/>
      <w:pPr>
        <w:tabs>
          <w:tab w:val="num" w:pos="0"/>
        </w:tabs>
        <w:ind w:left="6958" w:hanging="360"/>
      </w:pPr>
      <w:rPr/>
    </w:lvl>
    <w:lvl w:ilvl="8">
      <w:start w:val="1"/>
      <w:numFmt w:val="lowerRoman"/>
      <w:lvlText w:val="%9."/>
      <w:lvlJc w:val="right"/>
      <w:pPr>
        <w:tabs>
          <w:tab w:val="num" w:pos="0"/>
        </w:tabs>
        <w:ind w:left="7678" w:hanging="180"/>
      </w:pPr>
      <w:rPr/>
    </w:lvl>
  </w:abstractNum>
  <w:abstractNum w:abstractNumId="17">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9">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20">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1">
    <w:lvl w:ilvl="0">
      <w:start w:val="1"/>
      <w:numFmt w:val="upperRoman"/>
      <w:lvlText w:val="Раздел %1"/>
      <w:lvlJc w:val="left"/>
      <w:pPr>
        <w:tabs>
          <w:tab w:val="num" w:pos="0"/>
        </w:tabs>
        <w:ind w:left="1701" w:hanging="1701"/>
      </w:pPr>
      <w:rPr/>
    </w:lvl>
    <w:lvl w:ilvl="1">
      <w:start w:val="1"/>
      <w:numFmt w:val="decimal"/>
      <w:lvlText w:val="Глава %2"/>
      <w:lvlJc w:val="left"/>
      <w:pPr>
        <w:tabs>
          <w:tab w:val="num" w:pos="0"/>
        </w:tabs>
        <w:ind w:left="1701" w:hanging="1701"/>
      </w:pPr>
      <w:rPr/>
    </w:lvl>
    <w:lvl w:ilvl="2">
      <w:start w:val="1"/>
      <w:numFmt w:val="decimal"/>
      <w:lvlText w:val="%2.%3"/>
      <w:lvlJc w:val="left"/>
      <w:pPr>
        <w:tabs>
          <w:tab w:val="num" w:pos="0"/>
        </w:tabs>
        <w:ind w:left="1701" w:hanging="1701"/>
      </w:pPr>
      <w:rPr/>
    </w:lvl>
    <w:lvl w:ilvl="3">
      <w:start w:val="1"/>
      <w:numFmt w:val="decimal"/>
      <w:lvlText w:val="%2.%3.%4"/>
      <w:lvlJc w:val="left"/>
      <w:pPr>
        <w:tabs>
          <w:tab w:val="num" w:pos="0"/>
        </w:tabs>
        <w:ind w:left="1701" w:hanging="1701"/>
      </w:pPr>
      <w:rPr/>
    </w:lvl>
    <w:lvl w:ilvl="4">
      <w:start w:val="1"/>
      <w:numFmt w:val="russianLower"/>
      <w:lvlText w:val="%5)"/>
      <w:lvlJc w:val="left"/>
      <w:pPr>
        <w:tabs>
          <w:tab w:val="num" w:pos="0"/>
        </w:tabs>
        <w:ind w:left="2268" w:hanging="567"/>
      </w:pPr>
      <w:rPr/>
    </w:lvl>
    <w:lvl w:ilvl="5">
      <w:start w:val="1"/>
      <w:numFmt w:val="bullet"/>
      <w:lvlText w:val=""/>
      <w:lvlJc w:val="left"/>
      <w:pPr>
        <w:tabs>
          <w:tab w:val="num" w:pos="0"/>
        </w:tabs>
        <w:ind w:left="2268" w:hanging="567"/>
      </w:pPr>
      <w:rPr>
        <w:rFonts w:ascii="Symbol" w:hAnsi="Symbol" w:cs="Symbol" w:hint="default"/>
      </w:rPr>
    </w:lvl>
    <w:lvl w:ilvl="6">
      <w:start w:val="1"/>
      <w:numFmt w:val="none"/>
      <w:suff w:val="nothing"/>
      <w:lvlText w:val="%7"/>
      <w:lvlJc w:val="left"/>
      <w:pPr>
        <w:tabs>
          <w:tab w:val="num" w:pos="0"/>
        </w:tabs>
        <w:ind w:left="0" w:firstLine="1134"/>
      </w:pPr>
      <w:rPr/>
    </w:lvl>
    <w:lvl w:ilvl="7">
      <w:start w:val="1"/>
      <w:numFmt w:val="none"/>
      <w:suff w:val="nothing"/>
      <w:lvlText w:val="%8"/>
      <w:lvlJc w:val="left"/>
      <w:pPr>
        <w:tabs>
          <w:tab w:val="num" w:pos="0"/>
        </w:tabs>
        <w:ind w:left="0" w:firstLine="1701"/>
      </w:pPr>
      <w:rPr/>
    </w:lvl>
    <w:lvl w:ilvl="8">
      <w:start w:val="1"/>
      <w:numFmt w:val="none"/>
      <w:suff w:val="nothing"/>
      <w:lvlText w:val="%9"/>
      <w:lvlJc w:val="left"/>
      <w:pPr>
        <w:tabs>
          <w:tab w:val="num" w:pos="0"/>
        </w:tabs>
        <w:ind w:left="0" w:firstLine="1701"/>
      </w:pPr>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4">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5">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7">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30">
    <w:lvl w:ilvl="0">
      <w:start w:val="1"/>
      <w:numFmt w:val="decimal"/>
      <w:lvlText w:val="%1."/>
      <w:lvlJc w:val="left"/>
      <w:pPr>
        <w:tabs>
          <w:tab w:val="num" w:pos="0"/>
        </w:tabs>
        <w:ind w:left="720" w:hanging="360"/>
      </w:pPr>
      <w:rPr>
        <w:sz w:val="18"/>
        <w:szCs w:val="18"/>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95"/>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uiPriority="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semiHidden="1" w:unhideWhenUsed="1" w:qFormat="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customStyle="1">
    <w:name w:val="Символ сноски"/>
    <w:qFormat/>
    <w:rsid w:val="009a2706"/>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1" w:customStyle="1">
    <w:name w:val="Неразрешенное упоминание1"/>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iPriority w:val="99"/>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79507d"/>
    <w:rPr>
      <w:rFonts w:ascii="Segoe UI" w:hAnsi="Segoe UI" w:cs="Segoe UI"/>
      <w:sz w:val="18"/>
      <w:szCs w:val="18"/>
    </w:rPr>
  </w:style>
  <w:style w:type="character" w:styleId="UnresolvedMention" w:customStyle="1">
    <w:name w:val="Unresolved Mention"/>
    <w:basedOn w:val="DefaultParagraphFont"/>
    <w:uiPriority w:val="99"/>
    <w:semiHidden/>
    <w:unhideWhenUsed/>
    <w:qFormat/>
    <w:rsid w:val="00811dfe"/>
    <w:rPr>
      <w:color w:val="605E5C"/>
      <w:shd w:fill="E1DFDD" w:val="clear"/>
    </w:rPr>
  </w:style>
  <w:style w:type="character" w:styleId="Style19" w:customStyle="1">
    <w:name w:val="РГ_ЕПоЗ_а) Знак"/>
    <w:basedOn w:val="DefaultParagraphFont"/>
    <w:link w:val="Style36"/>
    <w:qFormat/>
    <w:rsid w:val="006e19c3"/>
    <w:rPr>
      <w:rFonts w:eastAsia="Calibri" w:cs="Times New Roman"/>
      <w:sz w:val="28"/>
      <w:szCs w:val="28"/>
    </w:rPr>
  </w:style>
  <w:style w:type="character" w:styleId="-" w:customStyle="1">
    <w:name w:val="РГ_ЕПоЗ_- Знак"/>
    <w:basedOn w:val="DefaultParagraphFont"/>
    <w:link w:val="-2"/>
    <w:qFormat/>
    <w:rsid w:val="006e19c3"/>
    <w:rPr>
      <w:rFonts w:eastAsia="Times New Roman" w:cs="Times New Roman"/>
      <w:sz w:val="28"/>
      <w:szCs w:val="20"/>
      <w:lang w:eastAsia="ru-RU"/>
    </w:rPr>
  </w:style>
  <w:style w:type="character" w:styleId="Style20" w:customStyle="1">
    <w:name w:val="Абзац списка Знак"/>
    <w:link w:val="ListParagraph"/>
    <w:uiPriority w:val="34"/>
    <w:qFormat/>
    <w:locked/>
    <w:rsid w:val="009a2706"/>
    <w:rPr/>
  </w:style>
  <w:style w:type="character" w:styleId="3" w:customStyle="1">
    <w:name w:val="УРОВЕНЬ_Абзац_тип3 Знак"/>
    <w:link w:val="31"/>
    <w:qFormat/>
    <w:locked/>
    <w:rsid w:val="009a2706"/>
    <w:rPr>
      <w:rFonts w:eastAsia="Calibri" w:cs="Times New Roman"/>
      <w:szCs w:val="28"/>
    </w:rPr>
  </w:style>
  <w:style w:type="character" w:styleId="-1" w:customStyle="1">
    <w:name w:val="УРОВЕНЬ_- Знак"/>
    <w:link w:val="-3"/>
    <w:qFormat/>
    <w:locked/>
    <w:rsid w:val="009a2706"/>
    <w:rPr>
      <w:rFonts w:eastAsia="Calibri" w:cs="Times New Roman"/>
      <w:szCs w:val="28"/>
    </w:rPr>
  </w:style>
  <w:style w:type="character" w:styleId="2" w:customStyle="1">
    <w:name w:val="УРОВЕНЬ_Абзац_тип2 Знак"/>
    <w:link w:val="21"/>
    <w:qFormat/>
    <w:locked/>
    <w:rsid w:val="009a2706"/>
    <w:rPr>
      <w:rFonts w:eastAsia="Calibri" w:cs="Times New Roman"/>
      <w:szCs w:val="28"/>
    </w:rPr>
  </w:style>
  <w:style w:type="character" w:styleId="Style21">
    <w:name w:val="Ссылка указателя"/>
    <w:qFormat/>
    <w:rPr/>
  </w:style>
  <w:style w:type="character" w:styleId="Style22">
    <w:name w:val="комментарий"/>
    <w:qFormat/>
    <w:rPr>
      <w:b/>
      <w:i/>
      <w:shd w:fill="FFFF99" w:val="clear"/>
    </w:rPr>
  </w:style>
  <w:style w:type="character" w:styleId="Style23">
    <w:name w:val="Символ концевой сноски"/>
    <w:qFormat/>
    <w:rPr>
      <w:vertAlign w:val="superscript"/>
    </w:rPr>
  </w:style>
  <w:style w:type="character" w:styleId="EndnoteReference">
    <w:name w:val="Endnote Reference"/>
    <w:rPr>
      <w:vertAlign w:val="superscript"/>
    </w:rPr>
  </w:style>
  <w:style w:type="paragraph" w:styleId="Style24">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5">
    <w:name w:val="Указатель"/>
    <w:basedOn w:val="Normal"/>
    <w:qFormat/>
    <w:pPr>
      <w:suppressLineNumbers/>
    </w:pPr>
    <w:rPr>
      <w:rFonts w:cs="Arial Unicode MS"/>
    </w:rPr>
  </w:style>
  <w:style w:type="paragraph" w:styleId="Style26" w:customStyle="1">
    <w:name w:val="[РГ] Раздел"/>
    <w:basedOn w:val="Normal"/>
    <w:next w:val="Style27"/>
    <w:qFormat/>
    <w:rsid w:val="00c95e18"/>
    <w:pPr>
      <w:keepNext w:val="true"/>
      <w:pageBreakBefore/>
      <w:numPr>
        <w:ilvl w:val="0"/>
        <w:numId w:val="1"/>
      </w:numPr>
      <w:spacing w:before="0" w:after="360"/>
      <w:jc w:val="both"/>
      <w:outlineLvl w:val="0"/>
    </w:pPr>
    <w:rPr>
      <w:b/>
      <w:bCs/>
      <w:caps/>
    </w:rPr>
  </w:style>
  <w:style w:type="paragraph" w:styleId="Style27" w:customStyle="1">
    <w:name w:val="[РГ] Подраздел"/>
    <w:basedOn w:val="Normal"/>
    <w:next w:val="Style28"/>
    <w:qFormat/>
    <w:rsid w:val="00891546"/>
    <w:pPr>
      <w:keepNext w:val="true"/>
      <w:numPr>
        <w:ilvl w:val="1"/>
        <w:numId w:val="1"/>
      </w:numPr>
      <w:spacing w:before="360" w:after="0"/>
      <w:jc w:val="both"/>
      <w:outlineLvl w:val="1"/>
    </w:pPr>
    <w:rPr>
      <w:b/>
      <w:bCs/>
    </w:rPr>
  </w:style>
  <w:style w:type="paragraph" w:styleId="Style28" w:customStyle="1">
    <w:name w:val="[РГ] Пункт"/>
    <w:basedOn w:val="Normal"/>
    <w:qFormat/>
    <w:rsid w:val="00891546"/>
    <w:pPr>
      <w:numPr>
        <w:ilvl w:val="2"/>
        <w:numId w:val="1"/>
      </w:numPr>
      <w:jc w:val="both"/>
      <w:outlineLvl w:val="2"/>
    </w:pPr>
    <w:rPr/>
  </w:style>
  <w:style w:type="paragraph" w:styleId="Style29" w:customStyle="1">
    <w:name w:val="[РГ] Подпункт"/>
    <w:basedOn w:val="Normal"/>
    <w:qFormat/>
    <w:rsid w:val="00891546"/>
    <w:pPr>
      <w:numPr>
        <w:ilvl w:val="3"/>
        <w:numId w:val="1"/>
      </w:numPr>
      <w:jc w:val="both"/>
      <w:outlineLvl w:val="3"/>
    </w:pPr>
    <w:rPr/>
  </w:style>
  <w:style w:type="paragraph" w:styleId="Style30" w:customStyle="1">
    <w:name w:val="[РГ] Перечисление"/>
    <w:basedOn w:val="Normal"/>
    <w:qFormat/>
    <w:rsid w:val="00891546"/>
    <w:pPr>
      <w:numPr>
        <w:ilvl w:val="4"/>
        <w:numId w:val="1"/>
      </w:numPr>
      <w:jc w:val="both"/>
      <w:outlineLvl w:val="4"/>
    </w:pPr>
    <w:rPr/>
  </w:style>
  <w:style w:type="paragraph" w:styleId="Style31" w:customStyle="1">
    <w:name w:val="[РГ] Заголовок"/>
    <w:basedOn w:val="Normal"/>
    <w:next w:val="Style32"/>
    <w:qFormat/>
    <w:rsid w:val="00f87384"/>
    <w:pPr>
      <w:keepNext w:val="true"/>
      <w:pageBreakBefore/>
      <w:spacing w:before="0" w:after="360"/>
      <w:jc w:val="both"/>
    </w:pPr>
    <w:rPr>
      <w:b/>
      <w:bCs/>
      <w:caps/>
    </w:rPr>
  </w:style>
  <w:style w:type="paragraph" w:styleId="Style32" w:customStyle="1">
    <w:name w:val="[РГ] Текст"/>
    <w:basedOn w:val="Normal"/>
    <w:qFormat/>
    <w:rsid w:val="00891546"/>
    <w:pPr>
      <w:jc w:val="both"/>
    </w:pPr>
    <w:rPr/>
  </w:style>
  <w:style w:type="paragraph" w:styleId="Style33">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nhideWhenUsed/>
    <w:rsid w:val="006608d1"/>
    <w:pPr>
      <w:spacing w:before="0" w:after="0"/>
    </w:pPr>
    <w:rPr>
      <w:sz w:val="20"/>
      <w:szCs w:val="20"/>
    </w:rPr>
  </w:style>
  <w:style w:type="paragraph" w:styleId="Style34"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hanging="0"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hanging="0"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hanging="0"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hanging="0"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hanging="0"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hanging="0"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hanging="0"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5" w:customStyle="1">
    <w:name w:val="[РГ] Альтернатива / Дополнение"/>
    <w:basedOn w:val="Style32"/>
    <w:next w:val="Style32"/>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link w:val="Style20"/>
    <w:uiPriority w:val="34"/>
    <w:qFormat/>
    <w:rsid w:val="00bb1e37"/>
    <w:pPr>
      <w:spacing w:before="120" w:after="0"/>
      <w:ind w:hanging="0" w:left="720"/>
      <w:contextualSpacing/>
    </w:pPr>
    <w:rPr/>
  </w:style>
  <w:style w:type="paragraph" w:styleId="BalloonText">
    <w:name w:val="Balloon Text"/>
    <w:basedOn w:val="Normal"/>
    <w:link w:val="Style18"/>
    <w:uiPriority w:val="99"/>
    <w:semiHidden/>
    <w:unhideWhenUsed/>
    <w:qFormat/>
    <w:rsid w:val="0079507d"/>
    <w:pPr>
      <w:spacing w:before="0" w:after="0"/>
    </w:pPr>
    <w:rPr>
      <w:rFonts w:ascii="Segoe UI" w:hAnsi="Segoe UI" w:cs="Segoe UI"/>
      <w:sz w:val="18"/>
      <w:szCs w:val="18"/>
    </w:rPr>
  </w:style>
  <w:style w:type="paragraph" w:styleId="11" w:customStyle="1">
    <w:name w:val="РГ_ЕПоЗ_1."/>
    <w:basedOn w:val="Normal"/>
    <w:qFormat/>
    <w:rsid w:val="006e19c3"/>
    <w:pPr>
      <w:keepNext w:val="true"/>
      <w:numPr>
        <w:ilvl w:val="0"/>
        <w:numId w:val="17"/>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6e19c3"/>
    <w:pPr>
      <w:keepNext w:val="true"/>
      <w:numPr>
        <w:ilvl w:val="1"/>
        <w:numId w:val="17"/>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6" w:customStyle="1">
    <w:name w:val="РГ_ЕПоЗ_а)"/>
    <w:basedOn w:val="ListParagraph"/>
    <w:link w:val="Style19"/>
    <w:qFormat/>
    <w:rsid w:val="006e19c3"/>
    <w:pPr>
      <w:numPr>
        <w:ilvl w:val="4"/>
        <w:numId w:val="17"/>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6e19c3"/>
    <w:pPr>
      <w:numPr>
        <w:ilvl w:val="3"/>
        <w:numId w:val="17"/>
      </w:numPr>
      <w:tabs>
        <w:tab w:val="clear" w:pos="708"/>
        <w:tab w:val="left" w:pos="1843" w:leader="none"/>
      </w:tabs>
      <w:jc w:val="both"/>
    </w:pPr>
    <w:rPr>
      <w:rFonts w:eastAsia="Times New Roman" w:cs="Times New Roman"/>
      <w:sz w:val="28"/>
      <w:szCs w:val="28"/>
      <w:lang w:eastAsia="ru-RU"/>
    </w:rPr>
  </w:style>
  <w:style w:type="paragraph" w:styleId="-2" w:customStyle="1">
    <w:name w:val="РГ_ЕПоЗ_-"/>
    <w:basedOn w:val="Normal"/>
    <w:link w:val="-"/>
    <w:qFormat/>
    <w:rsid w:val="006e19c3"/>
    <w:pPr>
      <w:numPr>
        <w:ilvl w:val="5"/>
        <w:numId w:val="17"/>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6e19c3"/>
    <w:pPr>
      <w:numPr>
        <w:ilvl w:val="2"/>
        <w:numId w:val="17"/>
      </w:numPr>
      <w:tabs>
        <w:tab w:val="clear" w:pos="708"/>
        <w:tab w:val="left" w:pos="1134" w:leader="none"/>
      </w:tabs>
      <w:jc w:val="both"/>
    </w:pPr>
    <w:rPr>
      <w:rFonts w:eastAsia="Times New Roman" w:cs="Times New Roman"/>
      <w:sz w:val="28"/>
      <w:szCs w:val="28"/>
      <w:lang w:eastAsia="ru-RU"/>
    </w:rPr>
  </w:style>
  <w:style w:type="paragraph" w:styleId="Tableheader" w:customStyle="1">
    <w:name w:val="Table_header"/>
    <w:basedOn w:val="Normal"/>
    <w:qFormat/>
    <w:rsid w:val="00a11dea"/>
    <w:pPr>
      <w:jc w:val="both"/>
    </w:pPr>
    <w:rPr>
      <w:rFonts w:eastAsia="Times New Roman" w:cs="Times New Roman"/>
      <w:b/>
      <w:sz w:val="20"/>
      <w:szCs w:val="24"/>
      <w:lang w:eastAsia="ru-RU"/>
    </w:rPr>
  </w:style>
  <w:style w:type="paragraph" w:styleId="Style37" w:customStyle="1">
    <w:name w:val="УРОВЕНЬ_(а)"/>
    <w:basedOn w:val="ListParagraph"/>
    <w:qFormat/>
    <w:rsid w:val="009a2706"/>
    <w:pPr>
      <w:numPr>
        <w:ilvl w:val="3"/>
        <w:numId w:val="20"/>
      </w:numPr>
      <w:tabs>
        <w:tab w:val="clear" w:pos="708"/>
        <w:tab w:val="left" w:pos="360" w:leader="none"/>
      </w:tabs>
      <w:suppressAutoHyphens w:val="true"/>
      <w:spacing w:lineRule="exact" w:line="360" w:before="120" w:after="0"/>
      <w:ind w:hanging="0" w:left="720"/>
      <w:contextualSpacing w:val="false"/>
      <w:jc w:val="both"/>
      <w:outlineLvl w:val="3"/>
    </w:pPr>
    <w:rPr>
      <w:rFonts w:eastAsia="Calibri" w:cs="Times New Roman"/>
      <w:szCs w:val="28"/>
    </w:rPr>
  </w:style>
  <w:style w:type="paragraph" w:styleId="-3" w:customStyle="1">
    <w:name w:val="УРОВЕНЬ_-"/>
    <w:basedOn w:val="ListParagraph"/>
    <w:link w:val="-1"/>
    <w:qFormat/>
    <w:rsid w:val="009a2706"/>
    <w:pPr>
      <w:numPr>
        <w:ilvl w:val="4"/>
        <w:numId w:val="20"/>
      </w:numPr>
      <w:tabs>
        <w:tab w:val="clear" w:pos="708"/>
        <w:tab w:val="left" w:pos="360" w:leader="none"/>
      </w:tabs>
      <w:suppressAutoHyphens w:val="true"/>
      <w:spacing w:lineRule="exact" w:line="360" w:before="120" w:after="0"/>
      <w:ind w:hanging="0" w:left="720"/>
      <w:contextualSpacing w:val="false"/>
      <w:jc w:val="both"/>
      <w:outlineLvl w:val="4"/>
    </w:pPr>
    <w:rPr>
      <w:rFonts w:eastAsia="Calibri" w:cs="Times New Roman"/>
      <w:szCs w:val="28"/>
    </w:rPr>
  </w:style>
  <w:style w:type="paragraph" w:styleId="21" w:customStyle="1">
    <w:name w:val="УРОВЕНЬ_Абзац_тип2"/>
    <w:basedOn w:val="ListParagraph"/>
    <w:link w:val="2"/>
    <w:qFormat/>
    <w:rsid w:val="009a2706"/>
    <w:pPr>
      <w:numPr>
        <w:ilvl w:val="6"/>
        <w:numId w:val="20"/>
      </w:numPr>
      <w:tabs>
        <w:tab w:val="clear" w:pos="708"/>
        <w:tab w:val="left" w:pos="360" w:leader="none"/>
      </w:tabs>
      <w:suppressAutoHyphens w:val="true"/>
      <w:spacing w:lineRule="exact" w:line="360" w:before="120" w:after="0"/>
      <w:ind w:hanging="0" w:left="720"/>
      <w:contextualSpacing w:val="false"/>
      <w:jc w:val="both"/>
    </w:pPr>
    <w:rPr>
      <w:rFonts w:eastAsia="Calibri" w:cs="Times New Roman"/>
      <w:szCs w:val="28"/>
    </w:rPr>
  </w:style>
  <w:style w:type="paragraph" w:styleId="31" w:customStyle="1">
    <w:name w:val="УРОВЕНЬ_Абзац_тип3"/>
    <w:basedOn w:val="ListParagraph"/>
    <w:link w:val="3"/>
    <w:qFormat/>
    <w:rsid w:val="009a2706"/>
    <w:pPr>
      <w:numPr>
        <w:ilvl w:val="7"/>
        <w:numId w:val="20"/>
      </w:numPr>
      <w:tabs>
        <w:tab w:val="clear" w:pos="708"/>
        <w:tab w:val="left" w:pos="360" w:leader="none"/>
      </w:tabs>
      <w:suppressAutoHyphens w:val="true"/>
      <w:spacing w:lineRule="exact" w:line="360" w:before="120" w:after="0"/>
      <w:contextualSpacing w:val="false"/>
      <w:jc w:val="both"/>
    </w:pPr>
    <w:rPr>
      <w:rFonts w:eastAsia="Calibri" w:cs="Times New Roman"/>
      <w:szCs w:val="28"/>
    </w:rPr>
  </w:style>
  <w:style w:type="paragraph" w:styleId="Style38" w:customStyle="1">
    <w:name w:val="УРОВЕНЬ_Подпись"/>
    <w:basedOn w:val="ListParagraph"/>
    <w:qFormat/>
    <w:rsid w:val="009a2706"/>
    <w:pPr>
      <w:keepNext w:val="true"/>
      <w:numPr>
        <w:ilvl w:val="5"/>
        <w:numId w:val="20"/>
      </w:numPr>
      <w:tabs>
        <w:tab w:val="clear" w:pos="708"/>
        <w:tab w:val="left" w:pos="360" w:leader="none"/>
      </w:tabs>
      <w:suppressAutoHyphens w:val="true"/>
      <w:spacing w:lineRule="exact" w:line="360" w:before="120" w:after="120"/>
      <w:ind w:hanging="0" w:left="720"/>
      <w:contextualSpacing w:val="false"/>
      <w:jc w:val="right"/>
      <w:outlineLvl w:val="3"/>
    </w:pPr>
    <w:rPr>
      <w:rFonts w:eastAsia="Calibri" w:cs="Times New Roman"/>
      <w:szCs w:val="28"/>
    </w:rPr>
  </w:style>
  <w:style w:type="paragraph" w:styleId="Style39" w:customStyle="1">
    <w:name w:val="[РусГидро] Глава"/>
    <w:basedOn w:val="ListParagraph"/>
    <w:next w:val="Style41"/>
    <w:qFormat/>
    <w:rsid w:val="009a2706"/>
    <w:pPr>
      <w:keepNext w:val="true"/>
      <w:keepLines/>
      <w:numPr>
        <w:ilvl w:val="1"/>
        <w:numId w:val="21"/>
      </w:numPr>
      <w:tabs>
        <w:tab w:val="clear" w:pos="708"/>
        <w:tab w:val="left" w:pos="360" w:leader="none"/>
      </w:tabs>
      <w:suppressAutoHyphens w:val="true"/>
      <w:spacing w:before="360" w:after="240"/>
      <w:ind w:hanging="0" w:left="720"/>
      <w:contextualSpacing w:val="false"/>
      <w:jc w:val="both"/>
      <w:outlineLvl w:val="1"/>
    </w:pPr>
    <w:rPr>
      <w:rFonts w:cs="Times New Roman"/>
      <w:b/>
      <w:bCs/>
      <w:caps/>
      <w:szCs w:val="26"/>
    </w:rPr>
  </w:style>
  <w:style w:type="paragraph" w:styleId="Style40" w:customStyle="1">
    <w:name w:val="[РусГидро] Раздел"/>
    <w:basedOn w:val="ListParagraph"/>
    <w:next w:val="Style39"/>
    <w:qFormat/>
    <w:rsid w:val="009a2706"/>
    <w:pPr>
      <w:keepNext w:val="true"/>
      <w:keepLines/>
      <w:pageBreakBefore/>
      <w:numPr>
        <w:ilvl w:val="0"/>
        <w:numId w:val="21"/>
      </w:numPr>
      <w:tabs>
        <w:tab w:val="clear" w:pos="708"/>
        <w:tab w:val="left" w:pos="360" w:leader="none"/>
      </w:tabs>
      <w:suppressAutoHyphens w:val="true"/>
      <w:spacing w:before="0" w:after="0"/>
      <w:ind w:hanging="0" w:left="720"/>
      <w:contextualSpacing w:val="false"/>
      <w:jc w:val="both"/>
      <w:outlineLvl w:val="0"/>
    </w:pPr>
    <w:rPr>
      <w:rFonts w:cs="Times New Roman"/>
      <w:b/>
      <w:bCs/>
      <w:caps/>
      <w:szCs w:val="26"/>
    </w:rPr>
  </w:style>
  <w:style w:type="paragraph" w:styleId="Style41" w:customStyle="1">
    <w:name w:val="[РусГидро] Пункт"/>
    <w:basedOn w:val="ListParagraph"/>
    <w:qFormat/>
    <w:rsid w:val="009a2706"/>
    <w:pPr>
      <w:numPr>
        <w:ilvl w:val="2"/>
        <w:numId w:val="21"/>
      </w:numPr>
      <w:tabs>
        <w:tab w:val="clear" w:pos="708"/>
        <w:tab w:val="left" w:pos="360" w:leader="none"/>
      </w:tabs>
      <w:suppressAutoHyphens w:val="true"/>
      <w:spacing w:before="120" w:after="0"/>
      <w:ind w:hanging="0" w:left="720"/>
      <w:contextualSpacing w:val="false"/>
      <w:jc w:val="both"/>
      <w:outlineLvl w:val="2"/>
    </w:pPr>
    <w:rPr>
      <w:rFonts w:cs="Times New Roman"/>
      <w:szCs w:val="26"/>
    </w:rPr>
  </w:style>
  <w:style w:type="paragraph" w:styleId="Style42" w:customStyle="1">
    <w:name w:val="[РусГидро] Подпункт"/>
    <w:basedOn w:val="ListParagraph"/>
    <w:qFormat/>
    <w:rsid w:val="009a2706"/>
    <w:pPr>
      <w:numPr>
        <w:ilvl w:val="3"/>
        <w:numId w:val="21"/>
      </w:numPr>
      <w:tabs>
        <w:tab w:val="clear" w:pos="708"/>
        <w:tab w:val="left" w:pos="360" w:leader="none"/>
      </w:tabs>
      <w:suppressAutoHyphens w:val="true"/>
      <w:spacing w:before="120" w:after="0"/>
      <w:ind w:hanging="0" w:left="720"/>
      <w:contextualSpacing w:val="false"/>
      <w:jc w:val="both"/>
      <w:outlineLvl w:val="3"/>
    </w:pPr>
    <w:rPr>
      <w:rFonts w:cs="Times New Roman"/>
      <w:szCs w:val="26"/>
    </w:rPr>
  </w:style>
  <w:style w:type="paragraph" w:styleId="Style43" w:customStyle="1">
    <w:name w:val="[РусГидро] Перечисление"/>
    <w:basedOn w:val="ListParagraph"/>
    <w:qFormat/>
    <w:rsid w:val="009a2706"/>
    <w:pPr>
      <w:numPr>
        <w:ilvl w:val="4"/>
        <w:numId w:val="21"/>
      </w:numPr>
      <w:tabs>
        <w:tab w:val="clear" w:pos="708"/>
        <w:tab w:val="left" w:pos="360" w:leader="none"/>
      </w:tabs>
      <w:suppressAutoHyphens w:val="true"/>
      <w:spacing w:before="120" w:after="0"/>
      <w:ind w:hanging="0" w:left="720"/>
      <w:contextualSpacing w:val="false"/>
      <w:jc w:val="both"/>
      <w:outlineLvl w:val="4"/>
    </w:pPr>
    <w:rPr>
      <w:rFonts w:cs="Times New Roman"/>
      <w:szCs w:val="26"/>
    </w:rPr>
  </w:style>
  <w:style w:type="paragraph" w:styleId="Style44" w:customStyle="1">
    <w:name w:val="[РусГидро] Буллиты"/>
    <w:basedOn w:val="ListParagraph"/>
    <w:qFormat/>
    <w:rsid w:val="009a2706"/>
    <w:pPr>
      <w:numPr>
        <w:ilvl w:val="5"/>
        <w:numId w:val="21"/>
      </w:numPr>
      <w:tabs>
        <w:tab w:val="clear" w:pos="708"/>
        <w:tab w:val="left" w:pos="360" w:leader="none"/>
      </w:tabs>
      <w:suppressAutoHyphens w:val="true"/>
      <w:spacing w:before="120" w:after="0"/>
      <w:ind w:hanging="0" w:left="720"/>
      <w:contextualSpacing w:val="false"/>
      <w:jc w:val="both"/>
      <w:outlineLvl w:val="5"/>
    </w:pPr>
    <w:rPr>
      <w:rFonts w:cs="Times New Roman"/>
      <w:szCs w:val="26"/>
    </w:rPr>
  </w:style>
  <w:style w:type="paragraph" w:styleId="Style45" w:customStyle="1">
    <w:name w:val="[РусГидро] Текст"/>
    <w:basedOn w:val="ListParagraph"/>
    <w:qFormat/>
    <w:rsid w:val="009a2706"/>
    <w:pPr>
      <w:numPr>
        <w:ilvl w:val="6"/>
        <w:numId w:val="21"/>
      </w:numPr>
      <w:tabs>
        <w:tab w:val="clear" w:pos="708"/>
        <w:tab w:val="left" w:pos="360" w:leader="none"/>
        <w:tab w:val="left" w:pos="1701" w:leader="none"/>
      </w:tabs>
      <w:suppressAutoHyphens w:val="true"/>
      <w:spacing w:before="120" w:after="0"/>
      <w:ind w:hanging="0" w:left="720"/>
      <w:contextualSpacing w:val="false"/>
      <w:jc w:val="both"/>
      <w:outlineLvl w:val="6"/>
    </w:pPr>
    <w:rPr>
      <w:rFonts w:cs="Times New Roman"/>
      <w:szCs w:val="26"/>
    </w:rPr>
  </w:style>
  <w:style w:type="paragraph" w:styleId="22" w:customStyle="1">
    <w:name w:val="Пункт2"/>
    <w:basedOn w:val="ListParagraph"/>
    <w:qFormat/>
    <w:rsid w:val="00d75ef7"/>
    <w:pPr>
      <w:numPr>
        <w:ilvl w:val="6"/>
      </w:numPr>
      <w:tabs>
        <w:tab w:val="clear" w:pos="708"/>
        <w:tab w:val="left" w:pos="360" w:leader="none"/>
      </w:tabs>
      <w:suppressAutoHyphens w:val="true"/>
      <w:spacing w:lineRule="exact" w:line="360" w:before="120" w:after="0"/>
      <w:ind w:hanging="0" w:left="720"/>
      <w:contextualSpacing w:val="false"/>
      <w:jc w:val="both"/>
    </w:pPr>
    <w:rPr>
      <w:rFonts w:eastAsia="Calibri" w:cs="Times New Roman"/>
      <w:szCs w:val="28"/>
      <w:lang w:eastAsia="ru-RU"/>
    </w:rPr>
  </w:style>
  <w:style w:type="paragraph" w:styleId="Standard">
    <w:name w:val="Standard"/>
    <w:qFormat/>
    <w:pPr>
      <w:widowControl/>
      <w:suppressAutoHyphens w:val="true"/>
      <w:bidi w:val="0"/>
      <w:spacing w:before="0" w:after="0"/>
      <w:jc w:val="left"/>
      <w:textAlignment w:val="baseline"/>
    </w:pPr>
    <w:rPr>
      <w:rFonts w:ascii="Liberation Serif" w:hAnsi="Liberation Serif" w:eastAsia="Arial Unicode MS" w:cs="Arial Unicode MS"/>
      <w:color w:val="auto"/>
      <w:kern w:val="2"/>
      <w:sz w:val="24"/>
      <w:szCs w:val="24"/>
      <w:lang w:val="ru-RU" w:eastAsia="zh-CN" w:bidi="hi-IN"/>
    </w:rPr>
  </w:style>
  <w:style w:type="paragraph" w:styleId="Tabletext">
    <w:name w:val="Table_text"/>
    <w:basedOn w:val="Normal"/>
    <w:qFormat/>
    <w:pPr/>
    <w:rPr>
      <w:sz w:val="20"/>
      <w:szCs w:val="24"/>
    </w:rPr>
  </w:style>
  <w:style w:type="numbering" w:styleId="NoList" w:default="1">
    <w:name w:val="No List"/>
    <w:uiPriority w:val="99"/>
    <w:semiHidden/>
    <w:unhideWhenUsed/>
    <w:qFormat/>
  </w:style>
  <w:style w:type="table" w:default="1" w:styleId="af0">
    <w:name w:val="Normal Table"/>
    <w:uiPriority w:val="99"/>
    <w:semiHidden/>
    <w:unhideWhenUsed/>
    <w:tblPr>
      <w:tblCellMar>
        <w:top w:w="0" w:type="dxa"/>
        <w:left w:w="108" w:type="dxa"/>
        <w:bottom w:w="0" w:type="dxa"/>
        <w:right w:w="108" w:type="dxa"/>
      </w:tblCellMar>
    </w:tblPr>
  </w:style>
  <w:style w:type="table" w:customStyle="1" w:styleId="afe">
    <w:name w:val="[РГ] Таблица"/>
    <w:basedOn w:val="af0"/>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f">
    <w:name w:val="Table Grid"/>
    <w:basedOn w:val="af0"/>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https://tender.lot-online.ru/documentation/223fz/user_manuals" TargetMode="External"/><Relationship Id="rId4" Type="http://schemas.openxmlformats.org/officeDocument/2006/relationships/footer" Target="footer1.xm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package" Target="embeddings/oleObject1.docx"/><Relationship Id="rId9" Type="http://schemas.openxmlformats.org/officeDocument/2006/relationships/image" Target="media/image1.wmf"/><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package" Target="embeddings/oleObject2.docx"/><Relationship Id="rId19" Type="http://schemas.openxmlformats.org/officeDocument/2006/relationships/image" Target="media/image2.wmf"/><Relationship Id="rId20" Type="http://schemas.openxmlformats.org/officeDocument/2006/relationships/package" Target="embeddings/oleObject3.docx"/><Relationship Id="rId21" Type="http://schemas.openxmlformats.org/officeDocument/2006/relationships/image" Target="media/image3.wmf"/><Relationship Id="rId22" Type="http://schemas.openxmlformats.org/officeDocument/2006/relationships/header" Target="header6.xml"/><Relationship Id="rId23" Type="http://schemas.openxmlformats.org/officeDocument/2006/relationships/header" Target="header7.xml"/><Relationship Id="rId24" Type="http://schemas.openxmlformats.org/officeDocument/2006/relationships/footer" Target="footer8.xml"/><Relationship Id="rId25" Type="http://schemas.openxmlformats.org/officeDocument/2006/relationships/footer" Target="footer9.xml"/><Relationship Id="rId26" Type="http://schemas.openxmlformats.org/officeDocument/2006/relationships/image" Target="media/image4.png"/><Relationship Id="rId27" Type="http://schemas.openxmlformats.org/officeDocument/2006/relationships/hyperlink" Target="https://bo.nalog.ru/" TargetMode="External"/><Relationship Id="rId28" Type="http://schemas.openxmlformats.org/officeDocument/2006/relationships/header" Target="header8.xml"/><Relationship Id="rId29" Type="http://schemas.openxmlformats.org/officeDocument/2006/relationships/header" Target="header9.xml"/><Relationship Id="rId30" Type="http://schemas.openxmlformats.org/officeDocument/2006/relationships/footer" Target="footer10.xml"/><Relationship Id="rId31" Type="http://schemas.openxmlformats.org/officeDocument/2006/relationships/footer" Target="footer11.xml"/><Relationship Id="rId32" Type="http://schemas.openxmlformats.org/officeDocument/2006/relationships/package" Target="embeddings/oleObject4.xlsx"/><Relationship Id="rId33" Type="http://schemas.openxmlformats.org/officeDocument/2006/relationships/image" Target="media/image5.wmf"/><Relationship Id="rId34" Type="http://schemas.openxmlformats.org/officeDocument/2006/relationships/package" Target="embeddings/oleObject5.docx"/><Relationship Id="rId35" Type="http://schemas.openxmlformats.org/officeDocument/2006/relationships/image" Target="media/image6.wmf"/><Relationship Id="rId36" Type="http://schemas.openxmlformats.org/officeDocument/2006/relationships/header" Target="header10.xml"/><Relationship Id="rId37" Type="http://schemas.openxmlformats.org/officeDocument/2006/relationships/header" Target="header11.xml"/><Relationship Id="rId38" Type="http://schemas.openxmlformats.org/officeDocument/2006/relationships/footer" Target="footer12.xml"/><Relationship Id="rId39" Type="http://schemas.openxmlformats.org/officeDocument/2006/relationships/footer" Target="footer13.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Relationship Id="rId4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1B616-ACB8-418B-A450-8AFF4F1AA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Application>AlterOffice/2026.2.0.0$Linux_X86_64 LibreOffice_project/bc4ef1adf80b36c7a6365f8ed6cbf29021361edd</Application>
  <AppVersion>15.0000</AppVersion>
  <Pages>84</Pages>
  <Words>20901</Words>
  <Characters>145714</Characters>
  <CharactersWithSpaces>165084</CharactersWithSpaces>
  <Paragraphs>1175</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2026-03-19T13:04:00Z</dcterms:created>
  <dc:creator>Владимир Щербаков</dc:creator>
  <dc:description/>
  <cp:keywords>Типовая форма</cp:keywords>
  <dc:language>ru-RU</dc:language>
  <cp:lastModifiedBy>perfilevvv@corp.gidroogk.com</cp:lastModifiedBy>
  <cp:lastPrinted>2026-10-02T09:11:43Z</cp:lastPrinted>
  <dcterms:modified xsi:type="dcterms:W3CDTF">2026-10-02T16:31:05Z</dcterms:modified>
  <cp:revision>48</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