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Владивосток</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r>
    </w:p>
    <w:p>
      <w:pPr>
        <w:pStyle w:val="Normal"/>
        <w:jc w:val="both"/>
        <w:rPr>
          <w:bCs/>
          <w:lang w:val="ru-RU"/>
        </w:rPr>
      </w:pPr>
      <w:r>
        <w:rPr/>
      </w:r>
    </w:p>
    <w:p>
      <w:pPr>
        <w:pStyle w:val="BodyText3"/>
        <w:spacing w:before="0" w:after="0"/>
        <w:ind w:firstLine="708"/>
        <w:jc w:val="both"/>
        <w:rPr>
          <w:sz w:val="24"/>
          <w:szCs w:val="24"/>
          <w:lang w:val="ru-RU"/>
        </w:rPr>
      </w:pPr>
      <w:r>
        <w:rPr>
          <w:sz w:val="24"/>
          <w:szCs w:val="24"/>
          <w:lang w:val="ru-RU"/>
        </w:rPr>
        <w:t xml:space="preserve">Акционерное общество «Транспортная компания РусГидро» (АО «ТК РусГидро») (далее - «Заказчик»), в лице руководителя группы информационных технологий и связи Клюевым Алексеем Александровичем, действующего на основании доверенности № 858 от 12 августа 2026 года,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pPr>
        <w:pStyle w:val="Normal"/>
        <w:ind w:firstLine="708"/>
        <w:jc w:val="both"/>
        <w:rPr>
          <w:lang w:val="ru-RU"/>
        </w:rPr>
      </w:pPr>
      <w:r>
        <w:rPr/>
        <w:t>заключили настоящий договор (далее – «Договор») о нижеследующем:</w:t>
      </w:r>
    </w:p>
    <w:p>
      <w:pPr>
        <w:pStyle w:val="Normal"/>
        <w:ind w:firstLine="708"/>
        <w:jc w:val="both"/>
        <w:rPr>
          <w:lang w:val="ru-RU"/>
        </w:rPr>
      </w:pPr>
      <w:r>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 xml:space="preserve">________________________________________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 xml:space="preserve">Услуги по Договору оказываются для нужд: </w:t>
      </w:r>
      <w:r>
        <w:rPr>
          <w:bCs/>
          <w:highlight w:val="lightGray"/>
          <w:lang w:val="ru-RU"/>
        </w:rPr>
        <w:t>АО «ТК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highlight w:val="lightGray"/>
        </w:rPr>
        <w:t>«</w:t>
      </w:r>
      <w:r>
        <w:rPr>
          <w:bCs/>
          <w:highlight w:val="lightGray"/>
        </w:rPr>
        <w:t>01</w:t>
      </w:r>
      <w:r>
        <w:rPr>
          <w:bCs/>
          <w:highlight w:val="lightGray"/>
        </w:rPr>
        <w:t xml:space="preserve">» </w:t>
      </w:r>
      <w:r>
        <w:rPr>
          <w:bCs/>
          <w:highlight w:val="lightGray"/>
        </w:rPr>
        <w:t>января</w:t>
      </w:r>
      <w:r>
        <w:rPr>
          <w:bCs/>
          <w:highlight w:val="lightGray"/>
        </w:rPr>
        <w:t xml:space="preserve"> 20</w:t>
      </w:r>
      <w:r>
        <w:rPr>
          <w:bCs/>
          <w:highlight w:val="lightGray"/>
        </w:rPr>
        <w:t>27</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lang w:val="ru-RU"/>
        </w:rPr>
        <w:t>31» декабря 2027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firstLine="709" w:left="0"/>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3"/>
        </w:numPr>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numPr>
          <w:ilvl w:val="2"/>
          <w:numId w:val="13"/>
        </w:numPr>
        <w:shd w:val="clear" w:color="auto" w:fill="FFFFFF"/>
        <w:tabs>
          <w:tab w:val="clear" w:pos="709"/>
          <w:tab w:val="left" w:pos="1418" w:leader="none"/>
        </w:tabs>
        <w:ind w:firstLine="709" w:left="0"/>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numPr>
          <w:ilvl w:val="2"/>
          <w:numId w:val="13"/>
        </w:numPr>
        <w:shd w:val="clear" w:color="auto" w:fill="FFFFFF"/>
        <w:tabs>
          <w:tab w:val="clear" w:pos="709"/>
          <w:tab w:val="left" w:pos="1418" w:leader="none"/>
        </w:tabs>
        <w:ind w:firstLine="709" w:left="0"/>
        <w:jc w:val="both"/>
        <w:rPr/>
      </w:pPr>
      <w:bookmarkStart w:id="4"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3"/>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3"/>
        </w:numPr>
        <w:shd w:val="clear" w:color="auto" w:fill="FFFFFF"/>
        <w:tabs>
          <w:tab w:val="clear" w:pos="709"/>
          <w:tab w:val="left" w:pos="1418" w:leader="none"/>
        </w:tabs>
        <w:ind w:firstLine="709" w:left="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4"/>
        </w:numPr>
        <w:shd w:val="clear" w:color="auto" w:fill="FFFFFF"/>
        <w:tabs>
          <w:tab w:val="clear" w:pos="709"/>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4"/>
        </w:numPr>
        <w:shd w:val="clear" w:color="auto" w:fill="FFFFFF"/>
        <w:tabs>
          <w:tab w:val="clear" w:pos="709"/>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3"/>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3"/>
        </w:numPr>
        <w:shd w:val="clear" w:color="auto" w:fill="FFFFFF"/>
        <w:tabs>
          <w:tab w:val="clear" w:pos="709"/>
          <w:tab w:val="left" w:pos="1418" w:leader="none"/>
        </w:tabs>
        <w:ind w:firstLine="709" w:left="0"/>
        <w:jc w:val="both"/>
        <w:rPr>
          <w:highlight w:val="lightGray"/>
        </w:rPr>
      </w:pPr>
      <w:r>
        <w:rPr>
          <w:highlight w:val="lightGray"/>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firstLine="709" w:left="0"/>
        <w:jc w:val="both"/>
        <w:rPr>
          <w:highlight w:val="lightGray"/>
        </w:rPr>
      </w:pPr>
      <w:r>
        <w:rPr>
          <w:highlight w:val="lightGray"/>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firstLine="709" w:left="0"/>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firstLine="709" w:left="0"/>
        <w:jc w:val="both"/>
        <w:rPr>
          <w:highlight w:val="lightGray"/>
        </w:rPr>
      </w:pPr>
      <w:r>
        <w:rPr>
          <w:highlight w:val="lightGray"/>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3"/>
        </w:numPr>
        <w:shd w:val="clear" w:color="auto" w:fill="FFFFFF"/>
        <w:tabs>
          <w:tab w:val="clear" w:pos="709"/>
          <w:tab w:val="left" w:pos="1418" w:leader="none"/>
        </w:tabs>
        <w:ind w:firstLine="709" w:left="0"/>
        <w:jc w:val="both"/>
        <w:rPr>
          <w:highlight w:val="lightGray"/>
        </w:rPr>
      </w:pPr>
      <w:r>
        <w:rPr>
          <w:highlight w:val="lightGray"/>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3"/>
        </w:numPr>
        <w:shd w:val="clear" w:color="auto" w:fill="FFFFFF"/>
        <w:tabs>
          <w:tab w:val="clear" w:pos="709"/>
          <w:tab w:val="left" w:pos="1418" w:leader="none"/>
        </w:tabs>
        <w:ind w:firstLine="709" w:left="0"/>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 xml:space="preserve">соблюдение (в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3"/>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firstLine="709" w:left="0"/>
        <w:jc w:val="both"/>
        <w:rPr>
          <w:highlight w:val="lightGray"/>
        </w:rPr>
      </w:pPr>
      <w:r>
        <w:rPr>
          <w:highlight w:val="lightGray"/>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3"/>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3"/>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firstLine="709" w:lef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  </w:t>
      </w:r>
    </w:p>
    <w:p>
      <w:pPr>
        <w:pStyle w:val="ListParagraph"/>
        <w:numPr>
          <w:ilvl w:val="0"/>
          <w:numId w:val="0"/>
        </w:numPr>
        <w:shd w:val="clear" w:color="auto" w:fill="FFFFFF"/>
        <w:tabs>
          <w:tab w:val="clear" w:pos="709"/>
          <w:tab w:val="left" w:pos="851" w:leader="none"/>
          <w:tab w:val="left" w:pos="1418" w:leader="none"/>
        </w:tabs>
        <w:ind w:hanging="0" w:left="0"/>
        <w:jc w:val="both"/>
        <w:rPr/>
      </w:pPr>
      <w:r>
        <w:rPr/>
        <w:t xml:space="preserve">    </w:t>
      </w:r>
      <w:r>
        <w:rPr/>
        <w:t xml:space="preserve">2.3.13 </w:t>
      </w: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0"/>
          <w:numId w:val="0"/>
        </w:numPr>
        <w:shd w:val="clear" w:color="auto" w:fill="FFFFFF"/>
        <w:tabs>
          <w:tab w:val="clear" w:pos="709"/>
          <w:tab w:val="left" w:pos="1418" w:leader="none"/>
        </w:tabs>
        <w:ind w:hanging="0" w:left="0"/>
        <w:jc w:val="both"/>
        <w:rPr/>
      </w:pPr>
      <w:r>
        <w:rPr/>
        <w:t xml:space="preserve">         </w:t>
      </w:r>
      <w:r>
        <w:rPr/>
        <w:t xml:space="preserve">2.3.14 </w:t>
      </w: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firstLine="709" w:left="0"/>
        <w:jc w:val="both"/>
        <w:rPr/>
      </w:pPr>
      <w:r>
        <w:rPr/>
        <w:t xml:space="preserve">2.3.15 </w:t>
      </w: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shd w:val="clear" w:color="auto" w:fill="FFFFFF"/>
        <w:tabs>
          <w:tab w:val="clear" w:pos="709"/>
          <w:tab w:val="left" w:pos="1418" w:leader="none"/>
        </w:tabs>
        <w:ind w:firstLine="709" w:left="0"/>
        <w:jc w:val="both"/>
        <w:rPr/>
      </w:pPr>
      <w:r>
        <w:rPr/>
        <w:t xml:space="preserve">2.3.16 </w:t>
      </w: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hanging="0" w:left="709"/>
        <w:jc w:val="both"/>
        <w:rPr/>
      </w:pPr>
      <w:r>
        <w:rPr/>
      </w:r>
    </w:p>
    <w:p>
      <w:pPr>
        <w:pStyle w:val="ListParagraph"/>
        <w:numPr>
          <w:ilvl w:val="1"/>
          <w:numId w:val="18"/>
        </w:numPr>
        <w:shd w:val="clear" w:color="auto" w:fill="FFFFFF"/>
        <w:tabs>
          <w:tab w:val="clear" w:pos="709"/>
          <w:tab w:val="left" w:pos="1134" w:leader="none"/>
          <w:tab w:val="left" w:pos="1418" w:leader="none"/>
        </w:tabs>
        <w:ind w:firstLine="709" w:left="0"/>
        <w:jc w:val="both"/>
        <w:rPr/>
      </w:pPr>
      <w:r>
        <w:rPr>
          <w:u w:val="single"/>
        </w:rPr>
        <w:t>Исполнитель имеет право</w:t>
      </w:r>
      <w:r>
        <w:rPr/>
        <w:t>:</w:t>
      </w:r>
    </w:p>
    <w:p>
      <w:pPr>
        <w:pStyle w:val="ListParagraph"/>
        <w:numPr>
          <w:ilvl w:val="2"/>
          <w:numId w:val="19"/>
        </w:numPr>
        <w:shd w:val="clear" w:color="auto" w:fill="FFFFFF"/>
        <w:tabs>
          <w:tab w:val="clear" w:pos="709"/>
          <w:tab w:val="left" w:pos="1418" w:leader="none"/>
        </w:tabs>
        <w:ind w:firstLine="709" w:left="0"/>
        <w:jc w:val="both"/>
        <w:rPr/>
      </w:pPr>
      <w:r>
        <w:rPr/>
        <w:t>Самостоятельно организовать оказание Услуг.</w:t>
      </w:r>
    </w:p>
    <w:p>
      <w:pPr>
        <w:pStyle w:val="ListParagraph"/>
        <w:numPr>
          <w:ilvl w:val="2"/>
          <w:numId w:val="19"/>
        </w:numPr>
        <w:shd w:val="clear" w:color="auto" w:fill="FFFFFF"/>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9"/>
        </w:numPr>
        <w:shd w:val="clear" w:color="auto" w:fill="FFFFFF"/>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0"/>
          <w:numId w:val="0"/>
        </w:numPr>
        <w:ind w:hanging="0" w:left="0"/>
        <w:jc w:val="both"/>
        <w:rPr>
          <w:bCs/>
          <w:highlight w:val="lightGray"/>
        </w:rPr>
      </w:pPr>
      <w:r>
        <w:rPr/>
      </w:r>
    </w:p>
    <w:p>
      <w:pPr>
        <w:pStyle w:val="ListParagraph"/>
        <w:shd w:val="clear" w:color="auto" w:fill="FFFFFF"/>
        <w:tabs>
          <w:tab w:val="clear" w:pos="709"/>
          <w:tab w:val="left" w:pos="1418" w:leader="none"/>
        </w:tabs>
        <w:ind w:hanging="0" w:left="709"/>
        <w:jc w:val="both"/>
        <w:rPr>
          <w:highlight w:val="lightGray"/>
        </w:rPr>
      </w:pPr>
      <w:r>
        <w:rPr>
          <w:highlight w:val="lightGray"/>
        </w:rPr>
      </w:r>
    </w:p>
    <w:p>
      <w:pPr>
        <w:pStyle w:val="ListParagraph"/>
        <w:numPr>
          <w:ilvl w:val="0"/>
          <w:numId w:val="19"/>
        </w:numPr>
        <w:shd w:val="clear" w:color="auto" w:fill="FFFFFF"/>
        <w:tabs>
          <w:tab w:val="clear" w:pos="709"/>
          <w:tab w:val="left" w:pos="284" w:leader="none"/>
        </w:tabs>
        <w:ind w:hanging="0" w:left="0"/>
        <w:jc w:val="center"/>
        <w:rPr>
          <w:b/>
        </w:rPr>
      </w:pPr>
      <w:r>
        <w:rPr>
          <w:b/>
        </w:rPr>
        <w:t>Цена Договора и порядок расчетов</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t xml:space="preserve">Цена Договора в соответствии с </w:t>
      </w:r>
      <w:r>
        <w:rPr>
          <w:highlight w:val="lightGray"/>
        </w:rPr>
        <w:t xml:space="preserve"> Расчетом стоимости Услуг</w:t>
      </w:r>
      <w:r>
        <w:rPr/>
        <w:t xml:space="preserve"> (Приложение № 2 к Договору) является</w:t>
      </w:r>
      <w:r>
        <w:rPr>
          <w:highlight w:val="lightGray"/>
        </w:rPr>
        <w:t xml:space="preserve"> предельной </w:t>
      </w:r>
      <w:r>
        <w:rP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22"/>
        </w:numPr>
        <w:shd w:val="clear" w:color="auto" w:fill="FFFFFF"/>
        <w:tabs>
          <w:tab w:val="clear" w:pos="709"/>
          <w:tab w:val="left" w:pos="355"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6"/>
        </w:numPr>
        <w:shd w:val="clear" w:color="auto" w:fill="FFFFFF"/>
        <w:tabs>
          <w:tab w:val="clear" w:pos="709"/>
          <w:tab w:val="left" w:pos="1418" w:leader="none"/>
        </w:tabs>
        <w:ind w:firstLine="709" w:left="0"/>
        <w:jc w:val="both"/>
        <w:rPr>
          <w:highlight w:val="lightGray"/>
        </w:rPr>
      </w:pPr>
      <w:r>
        <w:rPr>
          <w:highlight w:val="lightGray"/>
        </w:rPr>
        <w:t>приобретение материально-технических ресурсов, необходимых для оказания Услуг по Договору;</w:t>
      </w:r>
    </w:p>
    <w:p>
      <w:pPr>
        <w:pStyle w:val="ListParagraph"/>
        <w:numPr>
          <w:ilvl w:val="2"/>
          <w:numId w:val="16"/>
        </w:numPr>
        <w:shd w:val="clear" w:color="auto" w:fill="FFFFFF"/>
        <w:tabs>
          <w:tab w:val="clear" w:pos="709"/>
          <w:tab w:val="left" w:pos="1418" w:leader="none"/>
        </w:tabs>
        <w:ind w:firstLine="709" w:left="0"/>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16"/>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6"/>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left" w:pos="709" w:leader="none"/>
          <w:tab w:val="left" w:pos="851" w:leader="none"/>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left" w:pos="709" w:leader="none"/>
          <w:tab w:val="left" w:pos="851" w:leader="none"/>
          <w:tab w:val="left" w:pos="1134" w:leader="none"/>
        </w:tabs>
        <w:ind w:firstLine="709" w:left="0"/>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7"/>
        </w:numPr>
        <w:shd w:val="clear" w:color="auto" w:fill="FFFFFF"/>
        <w:tabs>
          <w:tab w:val="left" w:pos="709" w:leader="none"/>
          <w:tab w:val="left" w:pos="851" w:leader="none"/>
          <w:tab w:val="left" w:pos="1134" w:leader="none"/>
        </w:tabs>
        <w:ind w:firstLine="709" w:left="0"/>
        <w:jc w:val="both"/>
        <w:rPr/>
      </w:pPr>
      <w:bookmarkStart w:id="9" w:name="_Ref361834178"/>
      <w:bookmarkStart w:id="10" w:name="_Ref373240288"/>
      <w:r>
        <w:rPr>
          <w:bCs/>
        </w:rPr>
        <w:t xml:space="preserve">Авансовый платеж </w:t>
      </w:r>
      <w:r>
        <w:rPr/>
        <w:t xml:space="preserve">в размере </w:t>
      </w:r>
      <w:r>
        <w:rPr>
          <w:highlight w:val="lightGray"/>
        </w:rPr>
        <w:t>10 (десяти) процентов</w:t>
      </w:r>
      <w:r>
        <w:rP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 но не ранее чем за 30 (тридцать) календарных дней до даты начала оказания Услуг и с учетом пункта 3.5.3 Договора. </w:t>
      </w:r>
      <w:bookmarkStart w:id="11" w:name="_Ref372549497"/>
      <w:bookmarkEnd w:id="9"/>
      <w:bookmarkEnd w:id="10"/>
    </w:p>
    <w:p>
      <w:pPr>
        <w:pStyle w:val="ListParagraph"/>
        <w:numPr>
          <w:ilvl w:val="2"/>
          <w:numId w:val="17"/>
        </w:numPr>
        <w:shd w:val="clear" w:color="auto" w:fill="FFFFFF"/>
        <w:tabs>
          <w:tab w:val="left" w:pos="709" w:leader="none"/>
          <w:tab w:val="left" w:pos="851" w:leader="none"/>
          <w:tab w:val="left" w:pos="1134" w:leader="none"/>
        </w:tabs>
        <w:ind w:firstLine="709" w:left="0"/>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FootnoteReference"/>
          <w:highlight w:val="lightGray"/>
        </w:rPr>
        <w:footnoteReference w:id="2"/>
      </w:r>
      <w:r>
        <w:rPr/>
        <w:t xml:space="preserve"> /  / </w:t>
      </w:r>
      <w:r>
        <w:rPr>
          <w:highlight w:val="lightGray"/>
        </w:rPr>
        <w:t>7 (семи) рабочих дней</w:t>
      </w:r>
      <w:r>
        <w:rPr>
          <w:rStyle w:val="FootnoteReference"/>
          <w:highlight w:val="lightGray"/>
        </w:rPr>
        <w:footnoteReference w:id="3"/>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3.5.3 Договора.</w:t>
      </w:r>
    </w:p>
    <w:p>
      <w:pPr>
        <w:pStyle w:val="ListParagraph"/>
        <w:numPr>
          <w:ilvl w:val="2"/>
          <w:numId w:val="17"/>
        </w:numPr>
        <w:shd w:val="clear" w:color="auto" w:fill="FFFFFF"/>
        <w:tabs>
          <w:tab w:val="left" w:pos="709" w:leader="none"/>
          <w:tab w:val="left" w:pos="851" w:leader="none"/>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1"/>
      <w:r>
        <w:rPr/>
        <w:t xml:space="preserve"> </w:t>
      </w:r>
    </w:p>
    <w:p>
      <w:pPr>
        <w:pStyle w:val="ListParagraph"/>
        <w:numPr>
          <w:ilvl w:val="1"/>
          <w:numId w:val="17"/>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clear" w:pos="709"/>
          <w:tab w:val="left" w:pos="1134" w:leader="none"/>
        </w:tabs>
        <w:ind w:firstLine="709" w:left="0"/>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clear" w:pos="709"/>
          <w:tab w:val="left" w:pos="1134" w:leader="none"/>
        </w:tabs>
        <w:ind w:firstLine="709" w:left="0"/>
        <w:jc w:val="both"/>
        <w:rPr/>
      </w:pPr>
      <w:r>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7"/>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7"/>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firstLine="709" w:left="0"/>
        <w:jc w:val="both"/>
        <w:rPr/>
      </w:pPr>
      <w:r>
        <w:rPr/>
      </w:r>
    </w:p>
    <w:p>
      <w:pPr>
        <w:pStyle w:val="ListParagraph"/>
        <w:numPr>
          <w:ilvl w:val="0"/>
          <w:numId w:val="17"/>
        </w:numPr>
        <w:shd w:val="clear" w:color="auto" w:fill="FFFFFF"/>
        <w:tabs>
          <w:tab w:val="clear" w:pos="709"/>
          <w:tab w:val="left" w:pos="284" w:leader="none"/>
        </w:tabs>
        <w:ind w:hanging="0" w:left="0"/>
        <w:jc w:val="center"/>
        <w:rPr>
          <w:b/>
        </w:rPr>
      </w:pPr>
      <w:r>
        <w:rPr>
          <w:b/>
        </w:rPr>
        <w:t>Порядок сдачи-приемки Услуг</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 xml:space="preserve">По окончании оказания Услуг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0"/>
        </w:numPr>
        <w:shd w:val="clear" w:color="auto" w:fill="FFFFFF"/>
        <w:tabs>
          <w:tab w:val="clear" w:pos="709"/>
          <w:tab w:val="left" w:pos="284" w:leader="none"/>
          <w:tab w:val="left" w:pos="1134" w:leader="none"/>
        </w:tabs>
        <w:ind w:firstLine="709" w:left="0"/>
        <w:jc w:val="both"/>
        <w:rPr/>
      </w:pPr>
      <w:bookmarkStart w:id="12"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Pr/>
        <w:t xml:space="preserve"> </w:t>
      </w:r>
    </w:p>
    <w:p>
      <w:pPr>
        <w:pStyle w:val="ListParagraph"/>
        <w:numPr>
          <w:ilvl w:val="1"/>
          <w:numId w:val="20"/>
        </w:numPr>
        <w:shd w:val="clear" w:color="auto" w:fill="FFFFFF"/>
        <w:tabs>
          <w:tab w:val="clear" w:pos="709"/>
          <w:tab w:val="left" w:pos="284" w:leader="none"/>
          <w:tab w:val="left" w:pos="1134" w:leader="none"/>
        </w:tabs>
        <w:ind w:firstLine="709" w:left="0"/>
        <w:jc w:val="both"/>
        <w:rPr/>
      </w:pPr>
      <w:bookmarkStart w:id="13"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ListParagraph"/>
        <w:shd w:val="clear" w:color="auto" w:fill="FFFFFF"/>
        <w:tabs>
          <w:tab w:val="clear" w:pos="709"/>
          <w:tab w:val="left" w:pos="1134" w:leader="none"/>
        </w:tabs>
        <w:ind w:firstLine="709" w:left="0"/>
        <w:jc w:val="both"/>
        <w:rPr/>
      </w:pPr>
      <w:r>
        <w:rPr/>
      </w:r>
    </w:p>
    <w:p>
      <w:pPr>
        <w:pStyle w:val="ListParagraph"/>
        <w:numPr>
          <w:ilvl w:val="0"/>
          <w:numId w:val="20"/>
        </w:numPr>
        <w:shd w:val="clear" w:color="auto" w:fill="FFFFFF"/>
        <w:tabs>
          <w:tab w:val="clear" w:pos="709"/>
          <w:tab w:val="left" w:pos="284" w:leader="none"/>
        </w:tabs>
        <w:ind w:hanging="0" w:left="0"/>
        <w:jc w:val="center"/>
        <w:rPr>
          <w:b/>
        </w:rPr>
      </w:pPr>
      <w:r>
        <w:rPr>
          <w:b/>
        </w:rPr>
        <w:t>Ответственность Сторон</w:t>
      </w:r>
    </w:p>
    <w:p>
      <w:pPr>
        <w:pStyle w:val="ListParagraph"/>
        <w:numPr>
          <w:ilvl w:val="1"/>
          <w:numId w:val="20"/>
        </w:numPr>
        <w:shd w:val="clear" w:color="auto" w:fill="FFFFFF"/>
        <w:tabs>
          <w:tab w:val="left" w:pos="709" w:leader="none"/>
          <w:tab w:val="left" w:pos="1134" w:leader="none"/>
        </w:tabs>
        <w:ind w:firstLine="709" w:left="0"/>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20"/>
        </w:numPr>
        <w:tabs>
          <w:tab w:val="left" w:pos="496" w:leader="none"/>
          <w:tab w:val="left" w:pos="709" w:leader="none"/>
          <w:tab w:val="left" w:pos="1134" w:leader="none"/>
        </w:tabs>
        <w:ind w:firstLine="709" w:left="0"/>
        <w:jc w:val="both"/>
        <w:rPr>
          <w:lang w:val="ru-RU"/>
        </w:rPr>
      </w:pPr>
      <w:r>
        <w:rPr>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0"/>
        </w:numPr>
        <w:tabs>
          <w:tab w:val="left" w:pos="709" w:leader="none"/>
          <w:tab w:val="left" w:pos="1134" w:leader="none"/>
        </w:tabs>
        <w:ind w:firstLine="709" w:left="0"/>
        <w:jc w:val="both"/>
        <w:rPr>
          <w:lang w:val="ru-RU"/>
        </w:rPr>
      </w:pPr>
      <w:r>
        <w:rPr>
          <w:lang w:val="ru-RU"/>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0"/>
        </w:numPr>
        <w:shd w:val="clear" w:color="auto" w:fill="FFFFFF"/>
        <w:tabs>
          <w:tab w:val="clear" w:pos="709"/>
          <w:tab w:val="left" w:pos="355" w:leader="none"/>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0"/>
        </w:numPr>
        <w:shd w:val="clear" w:color="auto" w:fill="FFFFFF"/>
        <w:tabs>
          <w:tab w:val="clear" w:pos="709"/>
          <w:tab w:val="left" w:pos="1418"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0"/>
        </w:numPr>
        <w:shd w:val="clear" w:color="auto" w:fill="FFFFFF"/>
        <w:tabs>
          <w:tab w:val="clear" w:pos="709"/>
          <w:tab w:val="left" w:pos="1418"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0"/>
        </w:numPr>
        <w:shd w:val="clear" w:color="auto" w:fill="FFFFFF"/>
        <w:tabs>
          <w:tab w:val="clear" w:pos="709"/>
          <w:tab w:val="left" w:pos="1418"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0"/>
        </w:numPr>
        <w:shd w:val="clear" w:color="auto" w:fill="FFFFFF"/>
        <w:tabs>
          <w:tab w:val="clear" w:pos="709"/>
          <w:tab w:val="left" w:pos="496" w:leader="none"/>
          <w:tab w:val="left" w:pos="1418" w:leader="none"/>
        </w:tabs>
        <w:ind w:firstLine="709" w:left="0"/>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496" w:leader="none"/>
          <w:tab w:val="left" w:pos="1276" w:leader="none"/>
        </w:tabs>
        <w:ind w:hanging="0" w:left="496"/>
        <w:jc w:val="both"/>
        <w:rPr>
          <w:lang w:val="ru-RU"/>
        </w:rPr>
      </w:pPr>
      <w:r>
        <w:rPr>
          <w:lang w:val="ru-RU"/>
        </w:rPr>
      </w:r>
    </w:p>
    <w:p>
      <w:pPr>
        <w:pStyle w:val="ListParagraph"/>
        <w:numPr>
          <w:ilvl w:val="0"/>
          <w:numId w:val="12"/>
        </w:numPr>
        <w:shd w:val="clear" w:color="auto" w:fill="FFFFFF"/>
        <w:tabs>
          <w:tab w:val="clear" w:pos="709"/>
          <w:tab w:val="left" w:pos="284" w:leader="none"/>
        </w:tabs>
        <w:ind w:hanging="360" w:left="0"/>
        <w:jc w:val="center"/>
        <w:rPr>
          <w:b/>
        </w:rPr>
      </w:pPr>
      <w:r>
        <w:rPr>
          <w:b/>
        </w:rPr>
        <w:t>Исключительные права и патенты</w:t>
      </w:r>
    </w:p>
    <w:p>
      <w:pPr>
        <w:pStyle w:val="ListParagraph"/>
        <w:numPr>
          <w:ilvl w:val="1"/>
          <w:numId w:val="12"/>
        </w:numPr>
        <w:shd w:val="clear" w:color="auto" w:fill="FFFFFF"/>
        <w:tabs>
          <w:tab w:val="clear" w:pos="709"/>
          <w:tab w:val="left" w:pos="355" w:leader="none"/>
          <w:tab w:val="left" w:pos="1134" w:leader="none"/>
        </w:tabs>
        <w:ind w:firstLine="709" w:left="0"/>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12"/>
        </w:numPr>
        <w:shd w:val="clear" w:color="auto" w:fill="FFFFFF"/>
        <w:tabs>
          <w:tab w:val="clear" w:pos="709"/>
          <w:tab w:val="left" w:pos="0" w:leader="none"/>
          <w:tab w:val="left" w:pos="284" w:leader="none"/>
        </w:tabs>
        <w:ind w:hanging="0" w:left="0"/>
        <w:jc w:val="center"/>
        <w:rPr>
          <w:b/>
          <w:bCs/>
        </w:rPr>
      </w:pPr>
      <w:r>
        <w:rPr>
          <w:b/>
          <w:bCs/>
        </w:rPr>
        <w:t>Конфиденциальность</w:t>
      </w:r>
    </w:p>
    <w:p>
      <w:pPr>
        <w:pStyle w:val="ListParagraph"/>
        <w:numPr>
          <w:ilvl w:val="1"/>
          <w:numId w:val="12"/>
        </w:numPr>
        <w:shd w:val="clear" w:color="auto" w:fill="FFFFFF"/>
        <w:tabs>
          <w:tab w:val="clear" w:pos="709"/>
          <w:tab w:val="left" w:pos="0" w:leader="none"/>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2"/>
        </w:numPr>
        <w:shd w:val="clear" w:color="auto" w:fill="FFFFFF"/>
        <w:tabs>
          <w:tab w:val="clear" w:pos="709"/>
          <w:tab w:val="left" w:pos="1134" w:leader="none"/>
        </w:tabs>
        <w:ind w:firstLine="709" w:left="0"/>
        <w:jc w:val="both"/>
        <w:rPr>
          <w:bCs/>
        </w:rPr>
      </w:pPr>
      <w:bookmarkStart w:id="15"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5"/>
      <w:r>
        <w:rPr>
          <w:bCs/>
        </w:rPr>
        <w:t xml:space="preserve"> </w:t>
      </w:r>
    </w:p>
    <w:p>
      <w:pPr>
        <w:pStyle w:val="ListParagraph"/>
        <w:numPr>
          <w:ilvl w:val="2"/>
          <w:numId w:val="12"/>
        </w:numPr>
        <w:shd w:val="clear" w:color="auto" w:fill="FFFFFF"/>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12"/>
        </w:numPr>
        <w:shd w:val="clear" w:color="auto" w:fill="FFFFFF"/>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2"/>
        </w:numPr>
        <w:shd w:val="clear" w:color="auto" w:fill="FFFFFF"/>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2"/>
        </w:numPr>
        <w:shd w:val="clear" w:color="auto" w:fill="FFFFFF"/>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2"/>
        </w:numPr>
        <w:shd w:val="clear" w:color="auto" w:fill="FFFFFF"/>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2"/>
        </w:numPr>
        <w:shd w:val="clear" w:color="auto" w:fill="FFFFFF"/>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2"/>
        </w:numPr>
        <w:shd w:val="clear" w:color="auto" w:fill="FFFFFF"/>
        <w:tabs>
          <w:tab w:val="clear" w:pos="709"/>
          <w:tab w:val="left" w:pos="1134" w:leader="none"/>
        </w:tabs>
        <w:ind w:firstLine="709" w:left="0"/>
        <w:jc w:val="both"/>
        <w:rPr>
          <w:bCs/>
        </w:rPr>
      </w:pPr>
      <w:bookmarkStart w:id="16"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2"/>
        </w:numPr>
        <w:shd w:val="clear" w:color="auto" w:fill="FFFFFF"/>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2"/>
        </w:numPr>
        <w:shd w:val="clear" w:color="auto" w:fill="FFFFFF"/>
        <w:tabs>
          <w:tab w:val="left" w:pos="709" w:leader="none"/>
          <w:tab w:val="left" w:pos="1134" w:leader="none"/>
        </w:tabs>
        <w:ind w:firstLine="709" w:left="0"/>
        <w:jc w:val="both"/>
        <w:rPr>
          <w:bCs/>
        </w:rPr>
      </w:pPr>
      <w:bookmarkStart w:id="17"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2"/>
        </w:numPr>
        <w:shd w:val="clear" w:color="auto" w:fill="FFFFFF"/>
        <w:tabs>
          <w:tab w:val="left" w:pos="709" w:leader="none"/>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rPr>
      </w:pPr>
      <w:r>
        <w:rPr>
          <w:b/>
        </w:rPr>
      </w:r>
    </w:p>
    <w:p>
      <w:pPr>
        <w:pStyle w:val="ListParagraph"/>
        <w:numPr>
          <w:ilvl w:val="0"/>
          <w:numId w:val="12"/>
        </w:numPr>
        <w:shd w:val="clear" w:color="auto" w:fill="FFFFFF"/>
        <w:tabs>
          <w:tab w:val="clear" w:pos="709"/>
          <w:tab w:val="left" w:pos="284" w:leader="none"/>
          <w:tab w:val="left" w:pos="426" w:leader="none"/>
        </w:tabs>
        <w:ind w:hanging="0" w:left="0"/>
        <w:jc w:val="center"/>
        <w:rPr>
          <w:bCs/>
        </w:rPr>
      </w:pPr>
      <w:r>
        <w:rPr>
          <w:b/>
          <w:bCs/>
        </w:rPr>
        <w:t>Разрешение споров</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sz w:val="24"/>
          <w:szCs w:val="24"/>
          <w:highlight w:val="lightGray"/>
          <w:shd w:fill="auto" w:val="clear"/>
        </w:rPr>
        <w:footnoteReference w:id="4"/>
      </w:r>
      <w:r>
        <w:rPr>
          <w:bCs/>
          <w:highlight w:val="lightGray"/>
        </w:rPr>
        <w:t xml:space="preserve"> </w:t>
      </w:r>
      <w:r>
        <w:rPr>
          <w:bCs/>
        </w:rPr>
        <w:t>в соответствии с законодательством Российской Федерации.</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firstLine="851" w:left="0"/>
        <w:jc w:val="both"/>
        <w:rPr/>
      </w:pPr>
      <w:r>
        <w:rPr/>
      </w:r>
    </w:p>
    <w:p>
      <w:pPr>
        <w:pStyle w:val="ListParagraph"/>
        <w:numPr>
          <w:ilvl w:val="0"/>
          <w:numId w:val="12"/>
        </w:numPr>
        <w:shd w:val="clear" w:color="auto" w:fill="FFFFFF"/>
        <w:tabs>
          <w:tab w:val="clear" w:pos="709"/>
          <w:tab w:val="left" w:pos="284" w:leader="none"/>
        </w:tabs>
        <w:ind w:hanging="0" w:left="0"/>
        <w:jc w:val="center"/>
        <w:rPr>
          <w:b/>
        </w:rPr>
      </w:pPr>
      <w:r>
        <w:rPr>
          <w:b/>
          <w:bCs/>
        </w:rPr>
        <w:t>Антикоррупционная оговорка</w:t>
      </w:r>
    </w:p>
    <w:p>
      <w:pPr>
        <w:pStyle w:val="ListParagraph"/>
        <w:widowControl w:val="false"/>
        <w:numPr>
          <w:ilvl w:val="1"/>
          <w:numId w:val="12"/>
        </w:numPr>
        <w:shd w:val="clear" w:color="auto" w:fill="FFFFFF"/>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2"/>
        </w:numPr>
        <w:shd w:val="clear" w:color="auto" w:fill="FFFFFF"/>
        <w:tabs>
          <w:tab w:val="left" w:pos="709" w:leader="none"/>
          <w:tab w:val="left" w:pos="1418" w:leader="none"/>
        </w:tabs>
        <w:ind w:firstLine="709" w:left="0"/>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2"/>
        </w:numPr>
        <w:shd w:val="clear" w:color="auto" w:fill="FFFFFF"/>
        <w:tabs>
          <w:tab w:val="left" w:pos="709" w:leader="none"/>
          <w:tab w:val="left" w:pos="1418" w:leader="none"/>
        </w:tabs>
        <w:ind w:firstLine="709" w:left="0"/>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2"/>
        </w:numPr>
        <w:shd w:val="clear" w:color="auto" w:fill="FFFFFF"/>
        <w:tabs>
          <w:tab w:val="left" w:pos="709" w:leader="none"/>
          <w:tab w:val="left" w:pos="1418" w:leader="none"/>
        </w:tabs>
        <w:ind w:firstLine="709" w:left="0"/>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2"/>
        </w:numPr>
        <w:shd w:val="clear" w:color="auto" w:fill="FFFFFF"/>
        <w:tabs>
          <w:tab w:val="clear" w:pos="709"/>
          <w:tab w:val="left" w:pos="426" w:leader="none"/>
          <w:tab w:val="left" w:pos="1418" w:leader="none"/>
        </w:tabs>
        <w:ind w:firstLine="709" w:left="0"/>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2"/>
        </w:numPr>
        <w:shd w:val="clear" w:color="auto" w:fill="FFFFFF"/>
        <w:tabs>
          <w:tab w:val="left" w:pos="709" w:leader="none"/>
          <w:tab w:val="left" w:pos="1418" w:leader="none"/>
        </w:tabs>
        <w:ind w:firstLine="709" w:left="0"/>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2"/>
        </w:numPr>
        <w:shd w:val="clear" w:color="auto" w:fill="FFFFFF"/>
        <w:tabs>
          <w:tab w:val="left" w:pos="709" w:leader="none"/>
          <w:tab w:val="left" w:pos="1418" w:leader="none"/>
        </w:tabs>
        <w:ind w:firstLine="709" w:left="0"/>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firstLine="709" w:left="0"/>
        <w:jc w:val="both"/>
        <w:rPr/>
      </w:pPr>
      <w:r>
        <w:rPr/>
      </w:r>
    </w:p>
    <w:p>
      <w:pPr>
        <w:pStyle w:val="ListParagraph"/>
        <w:numPr>
          <w:ilvl w:val="0"/>
          <w:numId w:val="12"/>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2"/>
        </w:numPr>
        <w:shd w:val="clear" w:color="auto" w:fill="FFFFFF"/>
        <w:tabs>
          <w:tab w:val="clear" w:pos="709"/>
          <w:tab w:val="left" w:pos="355" w:leader="none"/>
        </w:tabs>
        <w:ind w:firstLine="709" w:left="0"/>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2"/>
        </w:numPr>
        <w:shd w:val="clear" w:color="auto" w:fill="FFFFFF"/>
        <w:tabs>
          <w:tab w:val="clear" w:pos="709"/>
          <w:tab w:val="left" w:pos="1134" w:leader="none"/>
        </w:tabs>
        <w:ind w:firstLine="709" w:left="0"/>
        <w:jc w:val="both"/>
        <w:rPr>
          <w:bCs/>
        </w:rPr>
      </w:pPr>
      <w:bookmarkStart w:id="18"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8"/>
    </w:p>
    <w:p>
      <w:pPr>
        <w:pStyle w:val="ListParagraph"/>
        <w:numPr>
          <w:ilvl w:val="1"/>
          <w:numId w:val="1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1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12"/>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12"/>
        </w:numPr>
        <w:shd w:val="clear" w:color="auto" w:fill="FFFFFF"/>
        <w:tabs>
          <w:tab w:val="clear" w:pos="709"/>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12"/>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355"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Normal"/>
        <w:shd w:val="clear" w:color="auto" w:fill="FFFFFF"/>
        <w:tabs>
          <w:tab w:val="clear" w:pos="709"/>
          <w:tab w:val="left" w:pos="355" w:leader="none"/>
          <w:tab w:val="left" w:pos="1418" w:leader="none"/>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2"/>
        </w:numPr>
        <w:shd w:val="clear" w:color="auto" w:fill="FFFFFF"/>
        <w:tabs>
          <w:tab w:val="clear" w:pos="709"/>
          <w:tab w:val="left" w:pos="355"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2"/>
        </w:numPr>
        <w:shd w:val="clear" w:color="auto" w:fill="FFFFFF"/>
        <w:tabs>
          <w:tab w:val="clear" w:pos="709"/>
          <w:tab w:val="left" w:pos="355"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1"/>
          <w:numId w:val="12"/>
        </w:numPr>
        <w:shd w:val="clear" w:color="auto" w:fill="FFFFFF"/>
        <w:tabs>
          <w:tab w:val="clear" w:pos="709"/>
          <w:tab w:val="left" w:pos="355"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firstLine="567" w:left="0"/>
        <w:jc w:val="both"/>
        <w:rPr>
          <w:b/>
          <w:bCs/>
        </w:rPr>
      </w:pPr>
      <w:r>
        <w:rPr>
          <w:b/>
          <w:bCs/>
        </w:rPr>
      </w:r>
    </w:p>
    <w:p>
      <w:pPr>
        <w:pStyle w:val="ListParagraph"/>
        <w:numPr>
          <w:ilvl w:val="0"/>
          <w:numId w:val="21"/>
        </w:numPr>
        <w:shd w:val="clear" w:color="auto" w:fill="FFFFFF"/>
        <w:tabs>
          <w:tab w:val="clear" w:pos="709"/>
          <w:tab w:val="left" w:pos="426" w:leader="none"/>
        </w:tabs>
        <w:jc w:val="center"/>
        <w:rPr>
          <w:b/>
          <w:bCs/>
        </w:rPr>
      </w:pPr>
      <w:r>
        <w:rPr>
          <w:b/>
          <w:bCs/>
        </w:rPr>
        <w:t>Заключительные положения</w:t>
      </w:r>
    </w:p>
    <w:p>
      <w:pPr>
        <w:pStyle w:val="ListParagraph"/>
        <w:numPr>
          <w:ilvl w:val="1"/>
          <w:numId w:val="21"/>
        </w:numPr>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21"/>
        </w:numPr>
        <w:shd w:val="clear" w:color="auto" w:fill="FFFFFF"/>
        <w:tabs>
          <w:tab w:val="clear" w:pos="709"/>
          <w:tab w:val="left" w:pos="1134"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rPr/>
        <w:t xml:space="preserve"> Договора. </w:t>
      </w:r>
    </w:p>
    <w:p>
      <w:pPr>
        <w:pStyle w:val="ListParagraph"/>
        <w:numPr>
          <w:ilvl w:val="1"/>
          <w:numId w:val="21"/>
        </w:numPr>
        <w:shd w:val="clear" w:color="auto" w:fill="FFFFFF"/>
        <w:tabs>
          <w:tab w:val="clear" w:pos="709"/>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1"/>
        </w:numPr>
        <w:shd w:val="clear" w:color="auto" w:fill="FFFFFF"/>
        <w:tabs>
          <w:tab w:val="clear" w:pos="709"/>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1"/>
        </w:numPr>
        <w:shd w:val="clear" w:color="auto" w:fill="FFFFFF"/>
        <w:tabs>
          <w:tab w:val="clear" w:pos="709"/>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1"/>
        </w:numPr>
        <w:shd w:val="clear" w:color="auto" w:fill="FFFFFF"/>
        <w:tabs>
          <w:tab w:val="clear" w:pos="709"/>
          <w:tab w:val="left" w:pos="1134"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rPr/>
        <w:t xml:space="preserve"> Договора. </w:t>
      </w:r>
    </w:p>
    <w:p>
      <w:pPr>
        <w:pStyle w:val="ListParagraph"/>
        <w:numPr>
          <w:ilvl w:val="1"/>
          <w:numId w:val="21"/>
        </w:numPr>
        <w:shd w:val="clear" w:color="auto" w:fill="FFFFFF"/>
        <w:tabs>
          <w:tab w:val="clear" w:pos="709"/>
          <w:tab w:val="left" w:pos="0" w:leader="none"/>
          <w:tab w:val="left" w:pos="1418" w:leader="none"/>
        </w:tabs>
        <w:ind w:firstLine="709" w:left="0"/>
        <w:jc w:val="both"/>
        <w:rPr/>
      </w:pPr>
      <w:r>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firstLine="709" w:left="0"/>
        <w:jc w:val="both"/>
        <w:rPr>
          <w:bCs/>
        </w:rPr>
      </w:pPr>
      <w:r>
        <w:rPr>
          <w:bCs/>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firstLine="720" w:left="0"/>
        <w:jc w:val="both"/>
        <w:rPr/>
      </w:pPr>
      <w:r>
        <w:rPr>
          <w:bCs/>
        </w:rPr>
        <w:t xml:space="preserve">14.8.2.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bCs/>
        </w:rPr>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 14.8.2.</w:t>
      </w:r>
      <w:r>
        <w:rPr>
          <w:bCs/>
        </w:rPr>
        <w:t xml:space="preserve"> Договора.</w:t>
      </w:r>
    </w:p>
    <w:p>
      <w:pPr>
        <w:pStyle w:val="ListParagraph"/>
        <w:numPr>
          <w:ilvl w:val="1"/>
          <w:numId w:val="21"/>
        </w:numPr>
        <w:shd w:val="clear" w:color="auto" w:fill="FFFFFF"/>
        <w:tabs>
          <w:tab w:val="clear" w:pos="709"/>
          <w:tab w:val="left" w:pos="1418"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1"/>
        </w:numPr>
        <w:shd w:val="clear" w:color="auto" w:fill="FFFFFF"/>
        <w:tabs>
          <w:tab w:val="clear" w:pos="709"/>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1"/>
        </w:numPr>
        <w:shd w:val="clear" w:color="auto" w:fill="FFFFFF"/>
        <w:tabs>
          <w:tab w:val="clear" w:pos="709"/>
          <w:tab w:val="left" w:pos="1276" w:leader="none"/>
          <w:tab w:val="left" w:pos="1418"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5"/>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1"/>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w:t>
      </w:r>
      <w:r>
        <w:rPr>
          <w:highlight w:val="lightGray"/>
          <w:lang w:val="ru-RU"/>
        </w:rPr>
        <w:t xml:space="preserve">  </w:t>
      </w:r>
      <w:r>
        <w:rPr>
          <w:highlight w:val="lightGray"/>
          <w:lang w:val="ru-RU" w:eastAsia="en-US"/>
        </w:rPr>
        <w:t>Расчет стоимости Услуг</w:t>
      </w:r>
      <w:r>
        <w:rPr>
          <w:lang w:val="ru-RU"/>
        </w:rPr>
        <w:t>;</w:t>
      </w:r>
    </w:p>
    <w:p>
      <w:pPr>
        <w:pStyle w:val="Normal"/>
        <w:tabs>
          <w:tab w:val="clear" w:pos="709"/>
          <w:tab w:val="left" w:pos="2127" w:leader="none"/>
          <w:tab w:val="left" w:pos="2410" w:leader="none"/>
        </w:tabs>
        <w:jc w:val="both"/>
        <w:rPr>
          <w:lang w:val="ru-RU"/>
        </w:rPr>
      </w:pPr>
      <w:r>
        <w:rPr>
          <w:lang w:val="ru-RU"/>
        </w:rPr>
        <w:t xml:space="preserve">Приложение № </w:t>
      </w:r>
      <w:r>
        <w:rPr>
          <w:lang w:val="ru-RU"/>
        </w:rPr>
        <w:t>3</w:t>
      </w:r>
      <w:r>
        <w:rPr>
          <w:lang w:val="ru-RU"/>
        </w:rPr>
        <w:t xml:space="preserve">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 xml:space="preserve">Приложение № </w:t>
      </w:r>
      <w:r>
        <w:rPr>
          <w:lang w:val="ru-RU"/>
        </w:rPr>
        <w:t>4</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lang w:val="ru-RU"/>
        </w:rPr>
      </w:pPr>
      <w:r>
        <w:rPr/>
      </w:r>
    </w:p>
    <w:p>
      <w:pPr>
        <w:pStyle w:val="ListParagraph"/>
        <w:shd w:val="clear" w:color="auto" w:fill="FFFFFF"/>
        <w:tabs>
          <w:tab w:val="clear" w:pos="709"/>
          <w:tab w:val="left" w:pos="1134" w:leader="none"/>
          <w:tab w:val="left" w:pos="2127" w:leader="none"/>
          <w:tab w:val="left" w:pos="2410" w:leader="none"/>
        </w:tabs>
        <w:ind w:hanging="0" w:left="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color w:val="000000"/>
                <w:sz w:val="24"/>
                <w:szCs w:val="24"/>
              </w:rPr>
            </w:pPr>
            <w:r>
              <w:rPr>
                <w:color w:val="000000"/>
                <w:sz w:val="24"/>
                <w:szCs w:val="24"/>
              </w:rPr>
              <w:t>Полное наименование юридического лица:</w:t>
            </w:r>
          </w:p>
          <w:p>
            <w:pPr>
              <w:pStyle w:val="Normal"/>
              <w:widowControl w:val="false"/>
              <w:rPr>
                <w:color w:val="000000"/>
                <w:sz w:val="24"/>
                <w:szCs w:val="24"/>
              </w:rPr>
            </w:pPr>
            <w:r>
              <w:rPr>
                <w:color w:val="000000"/>
                <w:sz w:val="24"/>
                <w:szCs w:val="24"/>
              </w:rPr>
              <w:t>Акционерное общество «Транспортная компания РусГидро»</w:t>
            </w:r>
          </w:p>
          <w:p>
            <w:pPr>
              <w:pStyle w:val="Normal"/>
              <w:widowControl w:val="false"/>
              <w:rPr>
                <w:color w:val="000000"/>
                <w:sz w:val="24"/>
                <w:szCs w:val="24"/>
              </w:rPr>
            </w:pPr>
            <w:r>
              <w:rPr>
                <w:color w:val="000000"/>
                <w:sz w:val="24"/>
                <w:szCs w:val="24"/>
              </w:rPr>
              <w:t>Сокращенное наименование юридического лица</w:t>
              <w:tab/>
              <w:t>АО «ТК РусГидро»</w:t>
            </w:r>
          </w:p>
          <w:p>
            <w:pPr>
              <w:pStyle w:val="Normal"/>
              <w:widowControl w:val="false"/>
              <w:rPr>
                <w:color w:val="000000"/>
                <w:sz w:val="24"/>
                <w:szCs w:val="24"/>
              </w:rPr>
            </w:pPr>
            <w:r>
              <w:rPr>
                <w:color w:val="000000"/>
                <w:sz w:val="24"/>
                <w:szCs w:val="24"/>
              </w:rPr>
              <w:t>Юридический адрес</w:t>
              <w:tab/>
              <w:t>655619, Хакасия Республика, Саяногорск город, Черемушки рабочий поселок, строение 101</w:t>
            </w:r>
          </w:p>
          <w:p>
            <w:pPr>
              <w:pStyle w:val="Normal"/>
              <w:widowControl w:val="false"/>
              <w:rPr>
                <w:color w:val="000000"/>
                <w:sz w:val="24"/>
                <w:szCs w:val="24"/>
              </w:rPr>
            </w:pPr>
            <w:r>
              <w:rPr>
                <w:color w:val="000000"/>
                <w:sz w:val="24"/>
                <w:szCs w:val="24"/>
              </w:rPr>
              <w:t>Почтовый адрес</w:t>
              <w:tab/>
              <w:t>690003, Россия, Приморский край, г. Владивосток, ул. Станюковича, д.1</w:t>
            </w:r>
          </w:p>
          <w:p>
            <w:pPr>
              <w:pStyle w:val="Normal"/>
              <w:widowControl w:val="false"/>
              <w:rPr>
                <w:color w:val="000000"/>
                <w:sz w:val="24"/>
                <w:szCs w:val="24"/>
              </w:rPr>
            </w:pPr>
            <w:r>
              <w:rPr>
                <w:color w:val="000000"/>
                <w:sz w:val="24"/>
                <w:szCs w:val="24"/>
              </w:rPr>
              <w:t>ИНН</w:t>
              <w:tab/>
              <w:t>1902018248</w:t>
            </w:r>
          </w:p>
          <w:p>
            <w:pPr>
              <w:pStyle w:val="Normal"/>
              <w:widowControl w:val="false"/>
              <w:rPr>
                <w:color w:val="000000"/>
                <w:sz w:val="24"/>
                <w:szCs w:val="24"/>
              </w:rPr>
            </w:pPr>
            <w:r>
              <w:rPr>
                <w:color w:val="000000"/>
                <w:sz w:val="24"/>
                <w:szCs w:val="24"/>
              </w:rPr>
              <w:t>КПП</w:t>
              <w:tab/>
              <w:t>190201001</w:t>
            </w:r>
          </w:p>
          <w:p>
            <w:pPr>
              <w:pStyle w:val="Normal"/>
              <w:widowControl w:val="false"/>
              <w:rPr>
                <w:color w:val="000000"/>
                <w:sz w:val="24"/>
                <w:szCs w:val="24"/>
              </w:rPr>
            </w:pPr>
            <w:r>
              <w:rPr>
                <w:color w:val="000000"/>
                <w:sz w:val="24"/>
                <w:szCs w:val="24"/>
              </w:rPr>
              <w:t>ОГРН</w:t>
              <w:tab/>
              <w:t>1031900676356</w:t>
            </w:r>
          </w:p>
          <w:p>
            <w:pPr>
              <w:pStyle w:val="Normal"/>
              <w:widowControl w:val="false"/>
              <w:rPr>
                <w:color w:val="000000"/>
                <w:sz w:val="24"/>
                <w:szCs w:val="24"/>
              </w:rPr>
            </w:pPr>
            <w:r>
              <w:rPr>
                <w:color w:val="000000"/>
                <w:sz w:val="24"/>
                <w:szCs w:val="24"/>
              </w:rPr>
              <w:t>ОКПО</w:t>
              <w:tab/>
              <w:t>42213224</w:t>
            </w:r>
          </w:p>
          <w:p>
            <w:pPr>
              <w:pStyle w:val="Normal"/>
              <w:widowControl w:val="false"/>
              <w:rPr>
                <w:color w:val="000000"/>
                <w:sz w:val="24"/>
                <w:szCs w:val="24"/>
              </w:rPr>
            </w:pPr>
            <w:r>
              <w:rPr>
                <w:color w:val="000000"/>
                <w:sz w:val="24"/>
                <w:szCs w:val="24"/>
              </w:rPr>
              <w:t>Наименование банка и его адрес</w:t>
              <w:tab/>
              <w:t>«ГПБ» (АО), г. Москва</w:t>
            </w:r>
          </w:p>
          <w:p>
            <w:pPr>
              <w:pStyle w:val="Normal"/>
              <w:widowControl w:val="false"/>
              <w:rPr>
                <w:color w:val="000000"/>
                <w:sz w:val="24"/>
                <w:szCs w:val="24"/>
              </w:rPr>
            </w:pPr>
            <w:r>
              <w:rPr>
                <w:color w:val="000000"/>
                <w:sz w:val="24"/>
                <w:szCs w:val="24"/>
              </w:rPr>
              <w:t>Банковские реквизиты</w:t>
              <w:tab/>
              <w:t>р/с 40702810795000000002</w:t>
            </w:r>
          </w:p>
          <w:p>
            <w:pPr>
              <w:pStyle w:val="Normal"/>
              <w:widowControl w:val="false"/>
              <w:rPr>
                <w:color w:val="000000"/>
                <w:sz w:val="24"/>
                <w:szCs w:val="24"/>
              </w:rPr>
            </w:pPr>
            <w:r>
              <w:rPr>
                <w:color w:val="000000"/>
                <w:sz w:val="24"/>
                <w:szCs w:val="24"/>
              </w:rPr>
              <w:t>к/с 30101810400000000823</w:t>
            </w:r>
          </w:p>
          <w:p>
            <w:pPr>
              <w:pStyle w:val="Normal"/>
              <w:widowControl w:val="false"/>
              <w:rPr>
                <w:color w:val="000000"/>
                <w:sz w:val="24"/>
                <w:szCs w:val="24"/>
              </w:rPr>
            </w:pPr>
            <w:r>
              <w:rPr>
                <w:color w:val="000000"/>
                <w:sz w:val="24"/>
                <w:szCs w:val="24"/>
              </w:rPr>
              <w:t>БИК 044525823</w:t>
            </w:r>
          </w:p>
          <w:p>
            <w:pPr>
              <w:pStyle w:val="Normal"/>
              <w:widowControl w:val="false"/>
              <w:rPr>
                <w:color w:val="000000"/>
                <w:sz w:val="24"/>
                <w:szCs w:val="24"/>
              </w:rPr>
            </w:pPr>
            <w:r>
              <w:rPr>
                <w:color w:val="000000"/>
                <w:sz w:val="24"/>
                <w:szCs w:val="24"/>
              </w:rPr>
              <w:t>Телефон</w:t>
              <w:tab/>
            </w:r>
          </w:p>
          <w:p>
            <w:pPr>
              <w:pStyle w:val="Normal"/>
              <w:widowControl w:val="false"/>
              <w:rPr>
                <w:color w:val="000000"/>
                <w:sz w:val="24"/>
                <w:szCs w:val="24"/>
              </w:rPr>
            </w:pPr>
            <w:r>
              <w:rPr>
                <w:b/>
                <w:color w:val="000000"/>
                <w:sz w:val="24"/>
                <w:szCs w:val="24"/>
              </w:rPr>
              <w:t>E-mail</w:t>
              <w:tab/>
              <w:t>Office_IA_TK@rushydro.ru</w:t>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r>
          </w:p>
        </w:tc>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hanging="0" w:left="482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6379"/>
        <w:rPr>
          <w:lang w:val="ru-RU"/>
        </w:rPr>
      </w:pPr>
      <w:r>
        <w:rPr>
          <w:lang w:val="ru-RU"/>
        </w:rPr>
      </w:r>
    </w:p>
    <w:p>
      <w:pPr>
        <w:pStyle w:val="Normal"/>
        <w:ind w:hanging="0" w:left="6379"/>
        <w:rPr>
          <w:lang w:val="ru-RU"/>
        </w:rPr>
      </w:pPr>
      <w:r>
        <w:rPr>
          <w:lang w:val="ru-RU"/>
        </w:rPr>
      </w:r>
    </w:p>
    <w:p>
      <w:pPr>
        <w:pStyle w:val="Normal"/>
        <w:jc w:val="center"/>
        <w:rPr>
          <w:b/>
          <w:lang w:val="ru-RU" w:eastAsia="en-US"/>
        </w:rPr>
      </w:pPr>
      <w:r>
        <w:rPr>
          <w:b/>
          <w:highlight w:val="lightGray"/>
          <w:lang w:val="ru-RU" w:eastAsia="en-US"/>
        </w:rPr>
        <w:t xml:space="preserve"> </w:t>
      </w:r>
      <w:r>
        <w:rPr>
          <w:b/>
          <w:highlight w:val="lightGray"/>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Приложение № </w:t>
      </w:r>
      <w:r>
        <w:rPr>
          <w:sz w:val="22"/>
          <w:szCs w:val="22"/>
          <w:lang w:val="ru-RU"/>
        </w:rPr>
        <w:t>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r>
        <w:rPr>
          <w:rStyle w:val="FootnoteReference"/>
          <w:b/>
          <w:bCs/>
          <w:iCs/>
          <w:sz w:val="24"/>
          <w:szCs w:val="24"/>
        </w:rPr>
        <w:footnoteReference w:id="6"/>
      </w:r>
    </w:p>
    <w:p>
      <w:pPr>
        <w:pStyle w:val="Title"/>
        <w:rPr>
          <w:iCs/>
        </w:rPr>
      </w:pPr>
      <w:r>
        <w:rPr>
          <w:iCs/>
        </w:rPr>
      </w:r>
    </w:p>
    <w:tbl>
      <w:tblPr>
        <w:tblW w:w="9627"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lang w:val="ru-RU"/>
              </w:rPr>
            </w:pPr>
            <w:r>
              <w:rPr>
                <w:iCs/>
                <w:lang w:val="ru-RU" w:eastAsia="ru-RU"/>
              </w:rPr>
              <w:t xml:space="preserve">АКТ </w:t>
            </w:r>
            <w:r>
              <w:rPr>
                <w:lang w:val="ru-RU"/>
              </w:rPr>
              <w:t xml:space="preserve"> №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tabs>
                <w:tab w:val="left" w:pos="709" w:leader="none"/>
                <w:tab w:val="left" w:pos="4111" w:leader="none"/>
              </w:tabs>
              <w:jc w:val="both"/>
              <w:rPr>
                <w:b/>
                <w:bCs/>
                <w:lang w:val="ru-RU"/>
              </w:rPr>
            </w:pPr>
            <w:r>
              <w:rPr>
                <w:b/>
                <w:bCs/>
                <w:lang w:val="ru-RU"/>
              </w:rPr>
              <w:t>______________________________________________________________.</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spacing w:lineRule="auto" w:line="240"/>
              <w:ind w:hanging="0" w:left="0" w:right="0"/>
              <w:jc w:val="both"/>
              <w:rPr>
                <w:i/>
                <w:i/>
                <w:iCs/>
                <w:sz w:val="16"/>
                <w:szCs w:val="20"/>
              </w:rPr>
            </w:pPr>
            <w:r>
              <w:rPr>
                <w:i w:val="false"/>
                <w:iCs w:val="false"/>
                <w:sz w:val="16"/>
                <w:szCs w:val="20"/>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 xml:space="preserve">Приложение № </w:t>
      </w:r>
      <w:r>
        <w:rPr>
          <w:sz w:val="22"/>
          <w:szCs w:val="22"/>
          <w:lang w:val="ru-RU"/>
        </w:rPr>
        <w:t>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r>
              <w:rPr>
                <w:rFonts w:eastAsia="Calibri" w:cs="Times New Roman"/>
                <w:color w:val="000000"/>
                <w:kern w:val="0"/>
                <w:sz w:val="24"/>
                <w:szCs w:val="24"/>
                <w:shd w:fill="C0C0C0" w:val="clear"/>
                <w:lang w:val="ru-RU" w:eastAsia="en-US" w:bidi="ar-SA"/>
              </w:rPr>
              <w:t>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актами (документами) Заказчика в области обращения с Отходами на территории Заказчика.</w:t>
            </w:r>
            <w:r>
              <w:rPr>
                <w:rStyle w:val="FootnoteReference"/>
                <w:rFonts w:eastAsia="Calibri" w:cs="Times New Roman"/>
                <w:color w:val="000000"/>
                <w:kern w:val="0"/>
                <w:sz w:val="24"/>
                <w:szCs w:val="24"/>
                <w:shd w:fill="C0C0C0" w:val="clear"/>
                <w:lang w:val="ru-RU" w:eastAsia="en-US" w:bidi="ar-SA"/>
              </w:rPr>
              <w:footnoteReference w:id="7"/>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- 500 (пятьсот) рублей в случае утраты или приведения в негодность электронного пропуска, выданного Заказчиком;</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r>
    </w:p>
    <w:p>
      <w:pPr>
        <w:pStyle w:val="Normal"/>
        <w:spacing w:before="120" w:after="20"/>
        <w:ind w:firstLine="709"/>
        <w:jc w:val="both"/>
        <w:rPr>
          <w:lang w:val="ru-RU"/>
        </w:rPr>
      </w:pPr>
      <w:r>
        <w:rPr>
          <w:lang w:val="ru-RU"/>
        </w:rPr>
      </w:r>
    </w:p>
    <w:p>
      <w:pPr>
        <w:pStyle w:val="Normal"/>
        <w:rPr>
          <w:color w:val="FF0000"/>
          <w:lang w:val="ru-RU"/>
        </w:rPr>
      </w:pPr>
      <w:r>
        <w:rPr>
          <w:color w:val="FF0000"/>
          <w:lang w:val="ru-RU"/>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3">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5">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p>
      <w:pPr>
        <w:pStyle w:val="FootnoteText"/>
        <w:rPr>
          <w:lang w:val="ru-RU"/>
        </w:rPr>
      </w:pPr>
      <w:r>
        <w:rPr/>
      </w:r>
    </w:p>
  </w:footnote>
  <w:footnote w:id="6">
    <w:p>
      <w:pPr>
        <w:pStyle w:val="FootnoteText"/>
        <w:rPr/>
      </w:pPr>
      <w:r>
        <w:rPr>
          <w:rStyle w:val="Style6"/>
        </w:rPr>
        <w:footnoteRef/>
      </w:r>
      <w:r>
        <w:rPr/>
        <w:t xml:space="preserve"> </w:t>
      </w:r>
      <w:r>
        <w:rPr/>
        <w:t>Применяется, если не используется УПД.</w:t>
      </w:r>
    </w:p>
  </w:footnote>
  <w:footnote w:id="7">
    <w:p>
      <w:pPr>
        <w:pStyle w:val="FootnoteText"/>
        <w:jc w:val="both"/>
        <w:rPr/>
      </w:pPr>
      <w:r>
        <w:rPr>
          <w:rStyle w:val="Style6"/>
        </w:rPr>
        <w:footnoteRef/>
      </w:r>
      <w:r>
        <w:rPr/>
        <w:t xml:space="preserve"> </w:t>
      </w:r>
      <w:r>
        <w:rPr/>
        <w:t xml:space="preserve">Включается в Договор, включающий выполнение работ / оказание услуг по: </w:t>
      </w:r>
    </w:p>
    <w:p>
      <w:pPr>
        <w:pStyle w:val="FootnoteText"/>
        <w:widowControl w:val="false"/>
        <w:jc w:val="both"/>
        <w:rPr/>
      </w:pPr>
      <w:r>
        <w:rP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pPr>
        <w:pStyle w:val="FootnoteText"/>
        <w:widowControl w:val="false"/>
        <w:jc w:val="both"/>
        <w:rPr/>
      </w:pPr>
      <w:r>
        <w:rPr/>
        <w:t xml:space="preserve">- очистке прилегающей акватории водохранилища от приплывающей к гидротехническим сооружениям ГЭС древесины и другого мусора; </w:t>
      </w:r>
    </w:p>
    <w:p>
      <w:pPr>
        <w:pStyle w:val="FootnoteText"/>
        <w:widowControl w:val="false"/>
        <w:jc w:val="both"/>
        <w:rPr/>
      </w:pPr>
      <w:r>
        <w:rPr/>
        <w:t xml:space="preserve">- техническому обслуживанию оборудования, зданий, сооружений Заказчика; </w:t>
      </w:r>
    </w:p>
    <w:p>
      <w:pPr>
        <w:pStyle w:val="FootnoteText"/>
        <w:widowControl w:val="false"/>
        <w:jc w:val="both"/>
        <w:rPr/>
      </w:pPr>
      <w:r>
        <w:rPr/>
        <w:t>- утилизации плавмусора.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5.1.2.</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val="false"/>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8">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8"/>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0">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1">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2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65"/>
  <w:embedSystemFonts/>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8">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0416A-CA56-4F38-B1E2-D0266DC78306}">
  <ds:schemaRefs>
    <ds:schemaRef ds:uri="http://schemas.openxmlformats.org/officeDocument/2006/bibliography"/>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BEB21E5D-F93B-461F-A9CE-F5E4E19593BF}">
  <ds:schemaRefs>
    <ds:schemaRef ds:uri="http://schemas.openxmlformats.org/officeDocument/2006/bibliography"/>
  </ds:schemaRefs>
</ds:datastoreItem>
</file>

<file path=customXml/itemProps4.xml><?xml version="1.0" encoding="utf-8"?>
<ds:datastoreItem xmlns:ds="http://schemas.openxmlformats.org/officeDocument/2006/customXml" ds:itemID="{2FB64E58-9D39-4D7D-9DA8-D03B246F4F6C}">
  <ds:schemaRefs>
    <ds:schemaRef ds:uri="http://schemas.openxmlformats.org/officeDocument/2006/bibliography"/>
  </ds:schemaRefs>
</ds:datastoreItem>
</file>

<file path=customXml/itemProps5.xml><?xml version="1.0" encoding="utf-8"?>
<ds:datastoreItem xmlns:ds="http://schemas.openxmlformats.org/officeDocument/2006/customXml" ds:itemID="{87BE7DDC-4AA1-46F4-BC99-D3A7A2B980D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EE0E5183-4D71-4D13-8804-D1EDDDD8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Application>AlterOffice/2026.2.0.0$Linux_X86_64 LibreOffice_project/bc4ef1adf80b36c7a6365f8ed6cbf29021361edd</Application>
  <AppVersion>15.0000</AppVersion>
  <Pages>24</Pages>
  <Words>7949</Words>
  <Characters>56643</Characters>
  <CharactersWithSpaces>64368</CharactersWithSpaces>
  <Paragraphs>367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2020-06-09T22:32:00Z</dcterms:created>
  <dc:creator>UK VoHEC</dc:creator>
  <dc:description/>
  <dc:language>ru-RU</dc:language>
  <cp:lastModifiedBy>perfilevvv@corp.gidroogk.com</cp:lastModifiedBy>
  <cp:lastPrinted>2016-12-15T13:00:00Z</cp:lastPrinted>
  <dcterms:modified xsi:type="dcterms:W3CDTF">2026-09-29T16:37:11Z</dcterms:modified>
  <cp:revision>63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