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9.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header6.xml" ContentType="application/vnd.openxmlformats-officedocument.wordprocessingml.header+xml"/>
  <Override PartName="/word/header7.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spacing w:lineRule="auto" w:line="240" w:before="0" w:after="0"/>
        <w:jc w:val="center"/>
        <w:rPr>
          <w:rFonts w:ascii="Times New Roman" w:hAnsi="Times New Roman"/>
          <w:sz w:val="24"/>
          <w:szCs w:val="24"/>
        </w:rPr>
      </w:pPr>
      <w:r>
        <w:rPr>
          <w:rFonts w:ascii="Times New Roman" w:hAnsi="Times New Roman"/>
          <w:sz w:val="24"/>
          <w:szCs w:val="24"/>
        </w:rPr>
        <w:t xml:space="preserve">                                                     </w:t>
      </w:r>
    </w:p>
    <w:p>
      <w:pPr>
        <w:pStyle w:val="Normal"/>
        <w:keepNext w:val="true"/>
        <w:keepLines/>
        <w:spacing w:lineRule="auto" w:line="240" w:before="0" w:after="0"/>
        <w:jc w:val="center"/>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jc w:val="center"/>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rPr>
          <w:rFonts w:ascii="Times New Roman" w:hAnsi="Times New Roman"/>
          <w:sz w:val="24"/>
          <w:szCs w:val="24"/>
        </w:rPr>
      </w:pPr>
      <w:r>
        <w:rPr>
          <w:rFonts w:ascii="Times New Roman" w:hAnsi="Times New Roman"/>
          <w:sz w:val="24"/>
          <w:szCs w:val="24"/>
        </w:rPr>
      </w:r>
      <w:bookmarkStart w:id="0" w:name="_GoBack"/>
      <w:bookmarkStart w:id="1" w:name="_GoBack"/>
      <w:bookmarkEnd w:id="1"/>
    </w:p>
    <w:p>
      <w:pPr>
        <w:pStyle w:val="Normal"/>
        <w:keepNext w:val="true"/>
        <w:keepLines/>
        <w:spacing w:lineRule="auto" w:line="240" w:before="0" w:after="0"/>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jc w:val="center"/>
        <w:rPr>
          <w:rFonts w:ascii="Times New Roman" w:hAnsi="Times New Roman"/>
          <w:sz w:val="24"/>
          <w:szCs w:val="24"/>
        </w:rPr>
      </w:pPr>
      <w:r>
        <w:rPr>
          <w:rFonts w:ascii="Times New Roman" w:hAnsi="Times New Roman"/>
          <w:sz w:val="24"/>
          <w:szCs w:val="24"/>
        </w:rPr>
        <w:t>Технические требования на оказание услуг</w:t>
      </w:r>
    </w:p>
    <w:p>
      <w:pPr>
        <w:pStyle w:val="Normal"/>
        <w:keepNext w:val="true"/>
        <w:keepLines/>
        <w:spacing w:lineRule="auto" w:line="240" w:before="0" w:after="0"/>
        <w:jc w:val="center"/>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jc w:val="center"/>
        <w:rPr>
          <w:rFonts w:ascii="Times New Roman" w:hAnsi="Times New Roman"/>
          <w:sz w:val="24"/>
          <w:szCs w:val="24"/>
        </w:rPr>
      </w:pPr>
      <w:r>
        <w:rPr>
          <w:rFonts w:ascii="Times New Roman" w:hAnsi="Times New Roman"/>
          <w:sz w:val="24"/>
          <w:szCs w:val="24"/>
        </w:rPr>
        <w:t>ОКПД 2: 62.01- Услуги по программно-техническому сопровождению ""1С: Бухгалтерия предприятия КОРП + БИТ.ФИНАНС.УУ"", ""1С: Зарплата и управление персоналом"",</w:t>
      </w:r>
    </w:p>
    <w:p>
      <w:pPr>
        <w:pStyle w:val="Normal"/>
        <w:keepNext w:val="true"/>
        <w:keepLines/>
        <w:spacing w:lineRule="auto" w:line="240" w:before="0" w:after="0"/>
        <w:jc w:val="center"/>
        <w:rPr>
          <w:rFonts w:ascii="Times New Roman" w:hAnsi="Times New Roman"/>
          <w:sz w:val="24"/>
          <w:szCs w:val="24"/>
        </w:rPr>
      </w:pPr>
      <w:r>
        <w:rPr>
          <w:rFonts w:ascii="Times New Roman" w:hAnsi="Times New Roman"/>
          <w:sz w:val="24"/>
          <w:szCs w:val="24"/>
        </w:rPr>
        <w:t>интеграции с «1С: Управление автотранспортом ПРОФ» для нужд АО «ТК РусГидро»</w:t>
      </w:r>
    </w:p>
    <w:p>
      <w:pPr>
        <w:pStyle w:val="Normal"/>
        <w:keepNext w:val="true"/>
        <w:keepLines/>
        <w:spacing w:lineRule="auto" w:line="240" w:before="0" w:after="0"/>
        <w:jc w:val="center"/>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jc w:val="center"/>
        <w:rPr>
          <w:rFonts w:ascii="Times New Roman" w:hAnsi="Times New Roman"/>
          <w:sz w:val="24"/>
          <w:szCs w:val="24"/>
        </w:rPr>
      </w:pPr>
      <w:r>
        <w:rPr>
          <w:rFonts w:ascii="Times New Roman" w:hAnsi="Times New Roman"/>
          <w:sz w:val="24"/>
          <w:szCs w:val="24"/>
        </w:rPr>
        <w:t>Лот № 1005-ЭКСП ДИТ-2027-ТК</w:t>
      </w:r>
    </w:p>
    <w:p>
      <w:pPr>
        <w:pStyle w:val="Normal"/>
        <w:spacing w:lineRule="auto" w:line="240" w:before="0" w:after="0"/>
        <w:rPr>
          <w:rFonts w:ascii="Times New Roman" w:hAnsi="Times New Roman"/>
          <w:sz w:val="24"/>
          <w:szCs w:val="24"/>
        </w:rPr>
      </w:pPr>
      <w:r>
        <w:rPr>
          <w:rFonts w:ascii="Times New Roman" w:hAnsi="Times New Roman"/>
          <w:sz w:val="24"/>
          <w:szCs w:val="24"/>
        </w:rPr>
      </w:r>
      <w:r>
        <w:br w:type="page"/>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Содержание</w:t>
      </w:r>
    </w:p>
    <w:sdt>
      <w:sdtPr>
        <w:docPartObj>
          <w:docPartGallery w:val="Table of Contents"/>
          <w:docPartUnique w:val="true"/>
        </w:docPartObj>
      </w:sdtPr>
      <w:sdtContent>
        <w:p>
          <w:pPr>
            <w:pStyle w:val="TOC1"/>
            <w:tabs>
              <w:tab w:val="clear" w:pos="709"/>
              <w:tab w:val="left" w:pos="560" w:leader="none"/>
              <w:tab w:val="right" w:pos="9911" w:leader="dot"/>
            </w:tabs>
            <w:rPr>
              <w:rFonts w:ascii="Calibri" w:hAnsi="Calibri" w:eastAsia="" w:cs="" w:asciiTheme="minorHAnsi" w:cstheme="minorBidi" w:eastAsiaTheme="minorEastAsia" w:hAnsiTheme="minorHAnsi"/>
              <w:b w:val="false"/>
              <w:color w:val="auto"/>
              <w:sz w:val="22"/>
              <w:szCs w:val="22"/>
            </w:rPr>
          </w:pPr>
          <w:r>
            <w:fldChar w:fldCharType="begin"/>
          </w:r>
          <w:r>
            <w:rPr>
              <w:webHidden/>
              <w:rStyle w:val="Style15"/>
              <w:vanish w:val="false"/>
            </w:rPr>
            <w:instrText xml:space="preserve"> TOC \z \o "1-4" \u \h</w:instrText>
          </w:r>
          <w:r>
            <w:rPr>
              <w:webHidden/>
              <w:rStyle w:val="Style15"/>
              <w:vanish w:val="false"/>
            </w:rPr>
            <w:fldChar w:fldCharType="separate"/>
          </w:r>
          <w:hyperlink w:anchor="_Toc241654338">
            <w:r>
              <w:rPr>
                <w:webHidden/>
                <w:rStyle w:val="Style15"/>
                <w:vanish w:val="false"/>
              </w:rPr>
              <w:t>1.</w:t>
            </w:r>
            <w:r>
              <w:rPr>
                <w:rStyle w:val="Style15"/>
                <w:rFonts w:eastAsia="" w:cs="" w:ascii="Calibri" w:hAnsi="Calibri" w:asciiTheme="minorHAnsi" w:cstheme="minorBidi" w:eastAsiaTheme="minorEastAsia" w:hAnsiTheme="minorHAnsi"/>
                <w:b w:val="false"/>
                <w:color w:val="auto"/>
                <w:sz w:val="22"/>
                <w:szCs w:val="22"/>
              </w:rPr>
              <w:tab/>
            </w:r>
            <w:r>
              <w:rPr>
                <w:rStyle w:val="Style15"/>
              </w:rPr>
              <w:t>Общие сведения</w:t>
            </w:r>
            <w:r>
              <w:rPr>
                <w:webHidden/>
              </w:rPr>
              <w:fldChar w:fldCharType="begin"/>
            </w:r>
            <w:r>
              <w:rPr>
                <w:webHidden/>
              </w:rPr>
              <w:instrText xml:space="preserve">PAGEREF _Toc241654338 \h</w:instrText>
            </w:r>
            <w:r>
              <w:rPr>
                <w:webHidden/>
              </w:rPr>
              <w:fldChar w:fldCharType="separate"/>
            </w:r>
            <w:r>
              <w:rPr>
                <w:rStyle w:val="Style15"/>
                <w:vanish w:val="false"/>
              </w:rPr>
              <w:tab/>
              <w:t>3</w:t>
            </w:r>
            <w:r>
              <w:rPr>
                <w:webHidden/>
              </w:rPr>
              <w:fldChar w:fldCharType="end"/>
            </w:r>
          </w:hyperlink>
        </w:p>
        <w:p>
          <w:pPr>
            <w:pStyle w:val="TOC4"/>
            <w:rPr>
              <w:rFonts w:ascii="Calibri" w:hAnsi="Calibri" w:eastAsia="" w:cs="" w:asciiTheme="minorHAnsi" w:cstheme="minorBidi" w:eastAsiaTheme="minorEastAsia" w:hAnsiTheme="minorHAnsi"/>
              <w:color w:val="auto"/>
              <w:sz w:val="22"/>
              <w:szCs w:val="22"/>
            </w:rPr>
          </w:pPr>
          <w:hyperlink w:anchor="_Toc241654339">
            <w:r>
              <w:rPr>
                <w:webHidden/>
                <w:rStyle w:val="Style15"/>
                <w:b/>
                <w:bCs/>
                <w:vanish w:val="false"/>
              </w:rPr>
              <w:t>1.1.</w:t>
            </w:r>
            <w:r>
              <w:rPr>
                <w:rStyle w:val="Style15"/>
                <w:rFonts w:eastAsia="" w:cs="" w:ascii="Calibri" w:hAnsi="Calibri" w:asciiTheme="minorHAnsi" w:cstheme="minorBidi" w:eastAsiaTheme="minorEastAsia" w:hAnsiTheme="minorHAnsi"/>
                <w:color w:val="auto"/>
                <w:sz w:val="22"/>
                <w:szCs w:val="22"/>
              </w:rPr>
              <w:tab/>
            </w:r>
            <w:r>
              <w:rPr>
                <w:rStyle w:val="Style15"/>
                <w:b/>
                <w:bCs/>
              </w:rPr>
              <w:t>Обозначения и сокращения</w:t>
            </w:r>
            <w:r>
              <w:rPr>
                <w:webHidden/>
              </w:rPr>
              <w:fldChar w:fldCharType="begin"/>
            </w:r>
            <w:r>
              <w:rPr>
                <w:webHidden/>
              </w:rPr>
              <w:instrText xml:space="preserve">PAGEREF _Toc241654339 \h</w:instrText>
            </w:r>
            <w:r>
              <w:rPr>
                <w:webHidden/>
              </w:rPr>
              <w:fldChar w:fldCharType="separate"/>
            </w:r>
            <w:r>
              <w:rPr>
                <w:rStyle w:val="Style15"/>
                <w:vanish w:val="false"/>
              </w:rPr>
              <w:tab/>
              <w:t>3</w:t>
            </w:r>
            <w:r>
              <w:rPr>
                <w:webHidden/>
              </w:rPr>
              <w:fldChar w:fldCharType="end"/>
            </w:r>
          </w:hyperlink>
        </w:p>
        <w:p>
          <w:pPr>
            <w:pStyle w:val="TOC4"/>
            <w:rPr>
              <w:rFonts w:ascii="Calibri" w:hAnsi="Calibri" w:eastAsia="" w:cs="" w:asciiTheme="minorHAnsi" w:cstheme="minorBidi" w:eastAsiaTheme="minorEastAsia" w:hAnsiTheme="minorHAnsi"/>
              <w:color w:val="auto"/>
              <w:sz w:val="22"/>
              <w:szCs w:val="22"/>
            </w:rPr>
          </w:pPr>
          <w:hyperlink w:anchor="_Toc241654340">
            <w:r>
              <w:rPr>
                <w:webHidden/>
                <w:rStyle w:val="Style15"/>
                <w:b/>
                <w:bCs/>
                <w:vanish w:val="false"/>
              </w:rPr>
              <w:t>1.2.</w:t>
            </w:r>
            <w:r>
              <w:rPr>
                <w:rStyle w:val="Style15"/>
                <w:rFonts w:eastAsia="" w:cs="" w:ascii="Calibri" w:hAnsi="Calibri" w:asciiTheme="minorHAnsi" w:cstheme="minorBidi" w:eastAsiaTheme="minorEastAsia" w:hAnsiTheme="minorHAnsi"/>
                <w:color w:val="auto"/>
                <w:sz w:val="22"/>
                <w:szCs w:val="22"/>
              </w:rPr>
              <w:tab/>
            </w:r>
            <w:r>
              <w:rPr>
                <w:rStyle w:val="Style15"/>
                <w:b/>
                <w:bCs/>
              </w:rPr>
              <w:t>Наименование закупаемой услуги</w:t>
            </w:r>
            <w:r>
              <w:rPr>
                <w:webHidden/>
              </w:rPr>
              <w:fldChar w:fldCharType="begin"/>
            </w:r>
            <w:r>
              <w:rPr>
                <w:webHidden/>
              </w:rPr>
              <w:instrText xml:space="preserve">PAGEREF _Toc241654340 \h</w:instrText>
            </w:r>
            <w:r>
              <w:rPr>
                <w:webHidden/>
              </w:rPr>
              <w:fldChar w:fldCharType="separate"/>
            </w:r>
            <w:r>
              <w:rPr>
                <w:rStyle w:val="Style15"/>
                <w:vanish w:val="false"/>
              </w:rPr>
              <w:tab/>
              <w:t>4</w:t>
            </w:r>
            <w:r>
              <w:rPr>
                <w:webHidden/>
              </w:rPr>
              <w:fldChar w:fldCharType="end"/>
            </w:r>
          </w:hyperlink>
        </w:p>
        <w:p>
          <w:pPr>
            <w:pStyle w:val="TOC4"/>
            <w:rPr>
              <w:rFonts w:ascii="Calibri" w:hAnsi="Calibri" w:eastAsia="" w:cs="" w:asciiTheme="minorHAnsi" w:cstheme="minorBidi" w:eastAsiaTheme="minorEastAsia" w:hAnsiTheme="minorHAnsi"/>
              <w:color w:val="auto"/>
              <w:sz w:val="22"/>
              <w:szCs w:val="22"/>
            </w:rPr>
          </w:pPr>
          <w:hyperlink w:anchor="_Toc241654341">
            <w:r>
              <w:rPr>
                <w:webHidden/>
                <w:rStyle w:val="Style15"/>
                <w:b/>
                <w:bCs/>
                <w:vanish w:val="false"/>
              </w:rPr>
              <w:t>1.3.</w:t>
            </w:r>
            <w:r>
              <w:rPr>
                <w:rStyle w:val="Style15"/>
                <w:rFonts w:eastAsia="" w:cs="" w:ascii="Calibri" w:hAnsi="Calibri" w:asciiTheme="minorHAnsi" w:cstheme="minorBidi" w:eastAsiaTheme="minorEastAsia" w:hAnsiTheme="minorHAnsi"/>
                <w:color w:val="auto"/>
                <w:sz w:val="22"/>
                <w:szCs w:val="22"/>
              </w:rPr>
              <w:tab/>
            </w:r>
            <w:r>
              <w:rPr>
                <w:rStyle w:val="Style15"/>
                <w:b/>
                <w:bCs/>
              </w:rPr>
              <w:t>Цель и задачи оказания услуг</w:t>
            </w:r>
            <w:r>
              <w:rPr>
                <w:webHidden/>
              </w:rPr>
              <w:fldChar w:fldCharType="begin"/>
            </w:r>
            <w:r>
              <w:rPr>
                <w:webHidden/>
              </w:rPr>
              <w:instrText xml:space="preserve">PAGEREF _Toc241654341 \h</w:instrText>
            </w:r>
            <w:r>
              <w:rPr>
                <w:webHidden/>
              </w:rPr>
              <w:fldChar w:fldCharType="separate"/>
            </w:r>
            <w:r>
              <w:rPr>
                <w:rStyle w:val="Style15"/>
                <w:vanish w:val="false"/>
              </w:rPr>
              <w:tab/>
              <w:t>4</w:t>
            </w:r>
            <w:r>
              <w:rPr>
                <w:webHidden/>
              </w:rPr>
              <w:fldChar w:fldCharType="end"/>
            </w:r>
          </w:hyperlink>
        </w:p>
        <w:p>
          <w:pPr>
            <w:pStyle w:val="TOC1"/>
            <w:tabs>
              <w:tab w:val="clear" w:pos="709"/>
              <w:tab w:val="left" w:pos="560" w:leader="none"/>
              <w:tab w:val="right" w:pos="9911" w:leader="dot"/>
            </w:tabs>
            <w:rPr>
              <w:rFonts w:ascii="Calibri" w:hAnsi="Calibri" w:eastAsia="" w:cs="" w:asciiTheme="minorHAnsi" w:cstheme="minorBidi" w:eastAsiaTheme="minorEastAsia" w:hAnsiTheme="minorHAnsi"/>
              <w:b w:val="false"/>
              <w:color w:val="auto"/>
              <w:sz w:val="22"/>
              <w:szCs w:val="22"/>
            </w:rPr>
          </w:pPr>
          <w:hyperlink w:anchor="_Toc241654342">
            <w:r>
              <w:rPr>
                <w:webHidden/>
                <w:rStyle w:val="Style15"/>
                <w:bCs/>
                <w:vanish w:val="false"/>
              </w:rPr>
              <w:t>2.</w:t>
            </w:r>
            <w:r>
              <w:rPr>
                <w:rStyle w:val="Style15"/>
                <w:rFonts w:eastAsia="" w:cs="" w:ascii="Calibri" w:hAnsi="Calibri" w:asciiTheme="minorHAnsi" w:cstheme="minorBidi" w:eastAsiaTheme="minorEastAsia" w:hAnsiTheme="minorHAnsi"/>
                <w:b w:val="false"/>
                <w:color w:val="auto"/>
                <w:sz w:val="22"/>
                <w:szCs w:val="22"/>
              </w:rPr>
              <w:tab/>
            </w:r>
            <w:r>
              <w:rPr>
                <w:rStyle w:val="Style15"/>
                <w:bCs/>
              </w:rPr>
              <w:t>Требования к услуге</w:t>
            </w:r>
            <w:r>
              <w:rPr>
                <w:webHidden/>
              </w:rPr>
              <w:fldChar w:fldCharType="begin"/>
            </w:r>
            <w:r>
              <w:rPr>
                <w:webHidden/>
              </w:rPr>
              <w:instrText xml:space="preserve">PAGEREF _Toc241654342 \h</w:instrText>
            </w:r>
            <w:r>
              <w:rPr>
                <w:webHidden/>
              </w:rPr>
              <w:fldChar w:fldCharType="separate"/>
            </w:r>
            <w:r>
              <w:rPr>
                <w:rStyle w:val="Style15"/>
                <w:vanish w:val="false"/>
              </w:rPr>
              <w:tab/>
              <w:t>7</w:t>
            </w:r>
            <w:r>
              <w:rPr>
                <w:webHidden/>
              </w:rPr>
              <w:fldChar w:fldCharType="end"/>
            </w:r>
          </w:hyperlink>
        </w:p>
        <w:p>
          <w:pPr>
            <w:pStyle w:val="TOC4"/>
            <w:rPr>
              <w:rFonts w:ascii="Calibri" w:hAnsi="Calibri" w:eastAsia="" w:cs="" w:asciiTheme="minorHAnsi" w:cstheme="minorBidi" w:eastAsiaTheme="minorEastAsia" w:hAnsiTheme="minorHAnsi"/>
              <w:color w:val="auto"/>
              <w:sz w:val="22"/>
              <w:szCs w:val="22"/>
            </w:rPr>
          </w:pPr>
          <w:hyperlink w:anchor="_Toc241654343">
            <w:r>
              <w:rPr>
                <w:webHidden/>
                <w:rStyle w:val="Style15"/>
                <w:b/>
                <w:bCs/>
                <w:vanish w:val="false"/>
              </w:rPr>
              <w:t>2.1.</w:t>
            </w:r>
            <w:r>
              <w:rPr>
                <w:rStyle w:val="Style15"/>
                <w:rFonts w:eastAsia="" w:cs="" w:ascii="Calibri" w:hAnsi="Calibri" w:asciiTheme="minorHAnsi" w:cstheme="minorBidi" w:eastAsiaTheme="minorEastAsia" w:hAnsiTheme="minorHAnsi"/>
                <w:color w:val="auto"/>
                <w:sz w:val="22"/>
                <w:szCs w:val="22"/>
              </w:rPr>
              <w:tab/>
            </w:r>
            <w:r>
              <w:rPr>
                <w:rStyle w:val="Style15"/>
                <w:b/>
                <w:bCs/>
              </w:rPr>
              <w:t>Требования к объемам и срокам оказания услуг</w:t>
            </w:r>
            <w:r>
              <w:rPr>
                <w:webHidden/>
              </w:rPr>
              <w:fldChar w:fldCharType="begin"/>
            </w:r>
            <w:r>
              <w:rPr>
                <w:webHidden/>
              </w:rPr>
              <w:instrText xml:space="preserve">PAGEREF _Toc241654343 \h</w:instrText>
            </w:r>
            <w:r>
              <w:rPr>
                <w:webHidden/>
              </w:rPr>
              <w:fldChar w:fldCharType="separate"/>
            </w:r>
            <w:r>
              <w:rPr>
                <w:rStyle w:val="Style15"/>
                <w:vanish w:val="false"/>
              </w:rPr>
              <w:tab/>
              <w:t>7</w:t>
            </w:r>
            <w:r>
              <w:rPr>
                <w:webHidden/>
              </w:rPr>
              <w:fldChar w:fldCharType="end"/>
            </w:r>
          </w:hyperlink>
        </w:p>
        <w:p>
          <w:pPr>
            <w:pStyle w:val="TOC4"/>
            <w:rPr>
              <w:rFonts w:ascii="Calibri" w:hAnsi="Calibri" w:eastAsia="" w:cs="" w:asciiTheme="minorHAnsi" w:cstheme="minorBidi" w:eastAsiaTheme="minorEastAsia" w:hAnsiTheme="minorHAnsi"/>
              <w:color w:val="auto"/>
              <w:sz w:val="22"/>
              <w:szCs w:val="22"/>
            </w:rPr>
          </w:pPr>
          <w:hyperlink w:anchor="_Toc241654344">
            <w:r>
              <w:rPr>
                <w:webHidden/>
                <w:rStyle w:val="Style15"/>
                <w:b/>
                <w:bCs/>
                <w:vanish w:val="false"/>
              </w:rPr>
              <w:t>2.1.1 Требования к перечню и объему услуг</w:t>
            </w:r>
            <w:r>
              <w:rPr>
                <w:webHidden/>
              </w:rPr>
              <w:fldChar w:fldCharType="begin"/>
            </w:r>
            <w:r>
              <w:rPr>
                <w:webHidden/>
              </w:rPr>
              <w:instrText xml:space="preserve">PAGEREF _Toc241654344 \h</w:instrText>
            </w:r>
            <w:r>
              <w:rPr>
                <w:webHidden/>
              </w:rPr>
              <w:fldChar w:fldCharType="separate"/>
            </w:r>
            <w:r>
              <w:rPr>
                <w:rStyle w:val="Style15"/>
                <w:vanish w:val="false"/>
              </w:rPr>
              <w:tab/>
              <w:t>7</w:t>
            </w:r>
            <w:r>
              <w:rPr>
                <w:webHidden/>
              </w:rPr>
              <w:fldChar w:fldCharType="end"/>
            </w:r>
          </w:hyperlink>
        </w:p>
        <w:p>
          <w:pPr>
            <w:pStyle w:val="TOC1"/>
            <w:tabs>
              <w:tab w:val="clear" w:pos="709"/>
              <w:tab w:val="right" w:pos="9911" w:leader="dot"/>
            </w:tabs>
            <w:rPr>
              <w:rFonts w:ascii="Calibri" w:hAnsi="Calibri" w:eastAsia="" w:cs="" w:asciiTheme="minorHAnsi" w:cstheme="minorBidi" w:eastAsiaTheme="minorEastAsia" w:hAnsiTheme="minorHAnsi"/>
              <w:b w:val="false"/>
              <w:color w:val="auto"/>
              <w:sz w:val="22"/>
              <w:szCs w:val="22"/>
            </w:rPr>
          </w:pPr>
          <w:hyperlink w:anchor="_Toc241654345">
            <w:r>
              <w:rPr>
                <w:webHidden/>
              </w:rPr>
              <w:fldChar w:fldCharType="begin"/>
            </w:r>
            <w:r>
              <w:rPr>
                <w:webHidden/>
              </w:rPr>
              <w:instrText xml:space="preserve">PAGEREF _Toc241654345 \h</w:instrText>
            </w:r>
            <w:r>
              <w:rPr>
                <w:webHidden/>
              </w:rPr>
              <w:fldChar w:fldCharType="separate"/>
            </w:r>
            <w:r>
              <w:rPr>
                <w:webHidden/>
                <w:rStyle w:val="Style15"/>
                <w:vanish w:val="false"/>
              </w:rPr>
              <w:t>Таблица 2. Перечень и объем оказываемых услуг</w:t>
              <w:tab/>
              <w:t>7</w:t>
            </w:r>
            <w:r>
              <w:rPr>
                <w:webHidden/>
              </w:rPr>
              <w:fldChar w:fldCharType="end"/>
            </w:r>
          </w:hyperlink>
        </w:p>
        <w:p>
          <w:pPr>
            <w:pStyle w:val="TOC3"/>
            <w:tabs>
              <w:tab w:val="clear" w:pos="709"/>
              <w:tab w:val="left" w:pos="1000" w:leader="none"/>
              <w:tab w:val="right" w:pos="9911" w:leader="dot"/>
            </w:tabs>
            <w:ind w:left="567"/>
            <w:rPr>
              <w:rFonts w:ascii="Calibri" w:hAnsi="Calibri" w:eastAsia="" w:cs="" w:asciiTheme="minorHAnsi" w:cstheme="minorBidi" w:eastAsiaTheme="minorEastAsia" w:hAnsiTheme="minorHAnsi"/>
              <w:color w:val="auto"/>
              <w:sz w:val="22"/>
              <w:szCs w:val="22"/>
            </w:rPr>
          </w:pPr>
          <w:hyperlink w:anchor="_Toc241654346">
            <w:r>
              <w:rPr>
                <w:webHidden/>
                <w:rStyle w:val="Style15"/>
                <w:b/>
                <w:bCs/>
                <w:vanish w:val="false"/>
              </w:rPr>
              <w:t>2.1.2. Требования к срокам оказания услуг</w:t>
            </w:r>
            <w:r>
              <w:rPr>
                <w:webHidden/>
              </w:rPr>
              <w:fldChar w:fldCharType="begin"/>
            </w:r>
            <w:r>
              <w:rPr>
                <w:webHidden/>
              </w:rPr>
              <w:instrText xml:space="preserve">PAGEREF _Toc241654346 \h</w:instrText>
            </w:r>
            <w:r>
              <w:rPr>
                <w:webHidden/>
              </w:rPr>
              <w:fldChar w:fldCharType="separate"/>
            </w:r>
            <w:r>
              <w:rPr>
                <w:rStyle w:val="Style15"/>
                <w:vanish w:val="false"/>
              </w:rPr>
              <w:tab/>
              <w:t>8</w:t>
            </w:r>
            <w:r>
              <w:rPr>
                <w:webHidden/>
              </w:rPr>
              <w:fldChar w:fldCharType="end"/>
            </w:r>
          </w:hyperlink>
        </w:p>
        <w:p>
          <w:pPr>
            <w:pStyle w:val="TOC1"/>
            <w:tabs>
              <w:tab w:val="clear" w:pos="709"/>
              <w:tab w:val="right" w:pos="9911" w:leader="dot"/>
            </w:tabs>
            <w:rPr>
              <w:rFonts w:ascii="Calibri" w:hAnsi="Calibri" w:eastAsia="" w:cs="" w:asciiTheme="minorHAnsi" w:cstheme="minorBidi" w:eastAsiaTheme="minorEastAsia" w:hAnsiTheme="minorHAnsi"/>
              <w:b w:val="false"/>
              <w:color w:val="auto"/>
              <w:sz w:val="22"/>
              <w:szCs w:val="22"/>
            </w:rPr>
          </w:pPr>
          <w:hyperlink w:anchor="_Toc241654347">
            <w:r>
              <w:rPr>
                <w:webHidden/>
                <w:rStyle w:val="Style15"/>
                <w:bCs/>
                <w:vanish w:val="false"/>
              </w:rPr>
              <w:t>Таблица 3. Требования к срокам оказания услуг</w:t>
            </w:r>
            <w:r>
              <w:rPr>
                <w:webHidden/>
              </w:rPr>
              <w:fldChar w:fldCharType="begin"/>
            </w:r>
            <w:r>
              <w:rPr>
                <w:webHidden/>
              </w:rPr>
              <w:instrText xml:space="preserve">PAGEREF _Toc241654347 \h</w:instrText>
            </w:r>
            <w:r>
              <w:rPr>
                <w:webHidden/>
              </w:rPr>
              <w:fldChar w:fldCharType="separate"/>
            </w:r>
            <w:r>
              <w:rPr>
                <w:rStyle w:val="Style15"/>
                <w:vanish w:val="false"/>
              </w:rPr>
              <w:tab/>
              <w:t>8</w:t>
            </w:r>
            <w:r>
              <w:rPr>
                <w:webHidden/>
              </w:rPr>
              <w:fldChar w:fldCharType="end"/>
            </w:r>
          </w:hyperlink>
        </w:p>
        <w:p>
          <w:pPr>
            <w:pStyle w:val="TOC4"/>
            <w:rPr>
              <w:rFonts w:ascii="Calibri" w:hAnsi="Calibri" w:eastAsia="" w:cs="" w:asciiTheme="minorHAnsi" w:cstheme="minorBidi" w:eastAsiaTheme="minorEastAsia" w:hAnsiTheme="minorHAnsi"/>
              <w:color w:val="auto"/>
              <w:sz w:val="22"/>
              <w:szCs w:val="22"/>
            </w:rPr>
          </w:pPr>
          <w:hyperlink w:anchor="_Toc241654348">
            <w:r>
              <w:rPr>
                <w:webHidden/>
                <w:rStyle w:val="Style15"/>
                <w:b/>
                <w:vanish w:val="false"/>
              </w:rPr>
              <w:t>2.2.</w:t>
            </w:r>
            <w:r>
              <w:rPr>
                <w:rStyle w:val="Style15"/>
                <w:rFonts w:eastAsia="" w:cs="" w:ascii="Calibri" w:hAnsi="Calibri" w:asciiTheme="minorHAnsi" w:cstheme="minorBidi" w:eastAsiaTheme="minorEastAsia" w:hAnsiTheme="minorHAnsi"/>
                <w:color w:val="auto"/>
                <w:sz w:val="22"/>
                <w:szCs w:val="22"/>
              </w:rPr>
              <w:tab/>
            </w:r>
            <w:r>
              <w:rPr>
                <w:rStyle w:val="Style15"/>
                <w:b/>
              </w:rPr>
              <w:t>Требования к качеству услуг</w:t>
            </w:r>
            <w:r>
              <w:rPr>
                <w:webHidden/>
              </w:rPr>
              <w:fldChar w:fldCharType="begin"/>
            </w:r>
            <w:r>
              <w:rPr>
                <w:webHidden/>
              </w:rPr>
              <w:instrText xml:space="preserve">PAGEREF _Toc241654348 \h</w:instrText>
            </w:r>
            <w:r>
              <w:rPr>
                <w:webHidden/>
              </w:rPr>
              <w:fldChar w:fldCharType="separate"/>
            </w:r>
            <w:r>
              <w:rPr>
                <w:rStyle w:val="Style15"/>
                <w:vanish w:val="false"/>
              </w:rPr>
              <w:tab/>
              <w:t>9</w:t>
            </w:r>
            <w:r>
              <w:rPr>
                <w:webHidden/>
              </w:rPr>
              <w:fldChar w:fldCharType="end"/>
            </w:r>
          </w:hyperlink>
        </w:p>
        <w:p>
          <w:pPr>
            <w:pStyle w:val="TOC1"/>
            <w:tabs>
              <w:tab w:val="clear" w:pos="709"/>
              <w:tab w:val="right" w:pos="9911" w:leader="dot"/>
            </w:tabs>
            <w:rPr>
              <w:rFonts w:ascii="Calibri" w:hAnsi="Calibri" w:eastAsia="" w:cs="" w:asciiTheme="minorHAnsi" w:cstheme="minorBidi" w:eastAsiaTheme="minorEastAsia" w:hAnsiTheme="minorHAnsi"/>
              <w:b w:val="false"/>
              <w:color w:val="auto"/>
              <w:sz w:val="22"/>
              <w:szCs w:val="22"/>
            </w:rPr>
          </w:pPr>
          <w:hyperlink w:anchor="_Toc241654349">
            <w:r>
              <w:rPr>
                <w:webHidden/>
              </w:rPr>
              <w:fldChar w:fldCharType="begin"/>
            </w:r>
            <w:r>
              <w:rPr>
                <w:webHidden/>
              </w:rPr>
              <w:instrText xml:space="preserve">PAGEREF _Toc241654349 \h</w:instrText>
            </w:r>
            <w:r>
              <w:rPr>
                <w:webHidden/>
              </w:rPr>
              <w:fldChar w:fldCharType="separate"/>
            </w:r>
            <w:r>
              <w:rPr>
                <w:webHidden/>
                <w:rStyle w:val="Style15"/>
                <w:vanish w:val="false"/>
              </w:rPr>
              <w:t>Таблица 4. Требования к качеству услуг</w:t>
              <w:tab/>
              <w:t>9</w:t>
            </w:r>
            <w:r>
              <w:rPr>
                <w:webHidden/>
              </w:rPr>
              <w:fldChar w:fldCharType="end"/>
            </w:r>
          </w:hyperlink>
        </w:p>
        <w:p>
          <w:pPr>
            <w:pStyle w:val="TOC1"/>
            <w:tabs>
              <w:tab w:val="clear" w:pos="709"/>
              <w:tab w:val="left" w:pos="560" w:leader="none"/>
              <w:tab w:val="right" w:pos="9911" w:leader="dot"/>
            </w:tabs>
            <w:rPr>
              <w:rFonts w:ascii="Calibri" w:hAnsi="Calibri" w:eastAsia="" w:cs="" w:asciiTheme="minorHAnsi" w:cstheme="minorBidi" w:eastAsiaTheme="minorEastAsia" w:hAnsiTheme="minorHAnsi"/>
              <w:b w:val="false"/>
              <w:color w:val="auto"/>
              <w:sz w:val="22"/>
              <w:szCs w:val="22"/>
            </w:rPr>
          </w:pPr>
          <w:hyperlink w:anchor="_Toc241654350">
            <w:r>
              <w:rPr>
                <w:webHidden/>
                <w:rStyle w:val="Style15"/>
                <w:vanish w:val="false"/>
              </w:rPr>
              <w:t>3.</w:t>
            </w:r>
            <w:r>
              <w:rPr>
                <w:rStyle w:val="Style15"/>
                <w:rFonts w:eastAsia="" w:cs="" w:ascii="Calibri" w:hAnsi="Calibri" w:asciiTheme="minorHAnsi" w:cstheme="minorBidi" w:eastAsiaTheme="minorEastAsia" w:hAnsiTheme="minorHAnsi"/>
                <w:b w:val="false"/>
                <w:color w:val="auto"/>
                <w:sz w:val="22"/>
                <w:szCs w:val="22"/>
              </w:rPr>
              <w:tab/>
            </w:r>
            <w:r>
              <w:rPr>
                <w:rStyle w:val="Style15"/>
              </w:rPr>
              <w:t>Требования к документации по ценообразованию на этапе закупки.</w:t>
            </w:r>
            <w:r>
              <w:rPr>
                <w:webHidden/>
              </w:rPr>
              <w:fldChar w:fldCharType="begin"/>
            </w:r>
            <w:r>
              <w:rPr>
                <w:webHidden/>
              </w:rPr>
              <w:instrText xml:space="preserve">PAGEREF _Toc241654350 \h</w:instrText>
            </w:r>
            <w:r>
              <w:rPr>
                <w:webHidden/>
              </w:rPr>
              <w:fldChar w:fldCharType="separate"/>
            </w:r>
            <w:r>
              <w:rPr>
                <w:rStyle w:val="Style15"/>
                <w:vanish w:val="false"/>
              </w:rPr>
              <w:tab/>
              <w:t>30</w:t>
            </w:r>
            <w:r>
              <w:rPr>
                <w:webHidden/>
              </w:rPr>
              <w:fldChar w:fldCharType="end"/>
            </w:r>
          </w:hyperlink>
        </w:p>
        <w:p>
          <w:pPr>
            <w:pStyle w:val="TOC1"/>
            <w:tabs>
              <w:tab w:val="clear" w:pos="709"/>
              <w:tab w:val="left" w:pos="560" w:leader="none"/>
              <w:tab w:val="right" w:pos="9911" w:leader="dot"/>
            </w:tabs>
            <w:rPr>
              <w:rFonts w:ascii="Calibri" w:hAnsi="Calibri" w:eastAsia="" w:cs="" w:asciiTheme="minorHAnsi" w:cstheme="minorBidi" w:eastAsiaTheme="minorEastAsia" w:hAnsiTheme="minorHAnsi"/>
              <w:b w:val="false"/>
              <w:color w:val="auto"/>
              <w:sz w:val="22"/>
              <w:szCs w:val="22"/>
            </w:rPr>
          </w:pPr>
          <w:hyperlink w:anchor="_Toc241654351">
            <w:r>
              <w:rPr>
                <w:webHidden/>
                <w:rStyle w:val="Style15"/>
                <w:vanish w:val="false"/>
                <w:lang w:bidi="ru-RU"/>
              </w:rPr>
              <w:t>4.</w:t>
            </w:r>
            <w:r>
              <w:rPr>
                <w:rStyle w:val="Style15"/>
                <w:rFonts w:eastAsia="" w:cs="" w:ascii="Calibri" w:hAnsi="Calibri" w:asciiTheme="minorHAnsi" w:cstheme="minorBidi" w:eastAsiaTheme="minorEastAsia" w:hAnsiTheme="minorHAnsi"/>
                <w:b w:val="false"/>
                <w:color w:val="auto"/>
                <w:sz w:val="22"/>
                <w:szCs w:val="22"/>
              </w:rPr>
              <w:tab/>
            </w:r>
            <w:r>
              <w:rPr>
                <w:rStyle w:val="Style15"/>
                <w:lang w:bidi="ru-RU"/>
              </w:rPr>
              <w:t>Приложения</w:t>
            </w:r>
            <w:r>
              <w:rPr>
                <w:webHidden/>
              </w:rPr>
              <w:fldChar w:fldCharType="begin"/>
            </w:r>
            <w:r>
              <w:rPr>
                <w:webHidden/>
              </w:rPr>
              <w:instrText xml:space="preserve">PAGEREF _Toc241654351 \h</w:instrText>
            </w:r>
            <w:r>
              <w:rPr>
                <w:webHidden/>
              </w:rPr>
              <w:fldChar w:fldCharType="separate"/>
            </w:r>
            <w:r>
              <w:rPr>
                <w:rStyle w:val="Style15"/>
                <w:vanish w:val="false"/>
              </w:rPr>
              <w:tab/>
              <w:t>31</w:t>
            </w:r>
            <w:r>
              <w:rPr>
                <w:webHidden/>
              </w:rPr>
              <w:fldChar w:fldCharType="end"/>
            </w:r>
          </w:hyperlink>
          <w:r>
            <w:rPr>
              <w:rStyle w:val="Style15"/>
              <w:vanish w:val="false"/>
            </w:rPr>
            <w:fldChar w:fldCharType="end"/>
          </w:r>
        </w:p>
      </w:sdtContent>
    </w:sdt>
    <w:p>
      <w:pPr>
        <w:pStyle w:val="TOC1"/>
        <w:tabs>
          <w:tab w:val="clear" w:pos="709"/>
          <w:tab w:val="left" w:pos="560" w:leader="none"/>
          <w:tab w:val="right" w:pos="9911" w:leader="dot"/>
        </w:tabs>
        <w:rPr>
          <w:rFonts w:eastAsia="" w:eastAsiaTheme="minorEastAsia"/>
          <w:b w:val="false"/>
          <w:color w:val="auto"/>
          <w:szCs w:val="24"/>
        </w:rPr>
      </w:pPr>
      <w:r>
        <w:rPr>
          <w:rFonts w:eastAsia="" w:eastAsiaTheme="minorEastAsia"/>
          <w:b w:val="false"/>
          <w:color w:val="auto"/>
          <w:szCs w:val="24"/>
        </w:rPr>
      </w:r>
    </w:p>
    <w:p>
      <w:pPr>
        <w:pStyle w:val="TOC1"/>
        <w:tabs>
          <w:tab w:val="clear" w:pos="709"/>
          <w:tab w:val="left" w:pos="560" w:leader="none"/>
          <w:tab w:val="right" w:pos="9911" w:leader="dot"/>
        </w:tabs>
        <w:rPr>
          <w:rFonts w:eastAsia="" w:eastAsiaTheme="minorEastAsia"/>
          <w:b w:val="false"/>
          <w:color w:val="auto"/>
          <w:szCs w:val="24"/>
        </w:rPr>
      </w:pPr>
      <w:r>
        <w:rPr>
          <w:rFonts w:eastAsia="" w:eastAsiaTheme="minorEastAsia"/>
          <w:b w:val="false"/>
          <w:color w:val="auto"/>
          <w:szCs w:val="24"/>
        </w:rPr>
      </w:r>
    </w:p>
    <w:p>
      <w:pPr>
        <w:pStyle w:val="TOC2"/>
        <w:tabs>
          <w:tab w:val="clear" w:pos="709"/>
          <w:tab w:val="right" w:pos="9911" w:leader="dot"/>
        </w:tabs>
        <w:rPr>
          <w:rFonts w:ascii="Times New Roman" w:hAnsi="Times New Roman" w:eastAsia="" w:eastAsiaTheme="minorEastAsia"/>
          <w:color w:val="auto"/>
          <w:sz w:val="24"/>
          <w:szCs w:val="24"/>
        </w:rPr>
      </w:pPr>
      <w:r>
        <w:rPr>
          <w:rFonts w:eastAsia="" w:eastAsiaTheme="minorEastAsia" w:ascii="Times New Roman" w:hAnsi="Times New Roman"/>
          <w:color w:val="auto"/>
          <w:sz w:val="24"/>
          <w:szCs w:val="24"/>
        </w:rPr>
      </w:r>
    </w:p>
    <w:p>
      <w:pPr>
        <w:pStyle w:val="Normal"/>
        <w:keepNext w:val="true"/>
        <w:numPr>
          <w:ilvl w:val="0"/>
          <w:numId w:val="0"/>
        </w:numPr>
        <w:spacing w:lineRule="auto" w:line="240" w:before="120" w:after="60"/>
        <w:ind w:hanging="0" w:left="0"/>
        <w:outlineLvl w:val="1"/>
        <w:rPr>
          <w:rFonts w:ascii="Times New Roman" w:hAnsi="Times New Roman"/>
          <w:sz w:val="24"/>
          <w:szCs w:val="24"/>
        </w:rPr>
      </w:pPr>
      <w:r>
        <w:rPr>
          <w:rFonts w:ascii="Times New Roman" w:hAnsi="Times New Roman"/>
          <w:sz w:val="24"/>
          <w:szCs w:val="24"/>
        </w:rPr>
      </w:r>
      <w:r>
        <w:br w:type="page"/>
      </w:r>
    </w:p>
    <w:p>
      <w:pPr>
        <w:pStyle w:val="Normal"/>
        <w:keepNext w:val="true"/>
        <w:keepLines/>
        <w:numPr>
          <w:ilvl w:val="0"/>
          <w:numId w:val="1"/>
        </w:numPr>
        <w:spacing w:lineRule="auto" w:line="240" w:before="120" w:after="60"/>
        <w:ind w:hanging="357" w:left="357"/>
        <w:jc w:val="center"/>
        <w:outlineLvl w:val="0"/>
        <w:rPr>
          <w:rFonts w:ascii="Times New Roman" w:hAnsi="Times New Roman"/>
          <w:caps/>
          <w:sz w:val="24"/>
          <w:szCs w:val="24"/>
        </w:rPr>
      </w:pPr>
      <w:bookmarkStart w:id="2" w:name="_Toc241654338"/>
      <w:r>
        <w:rPr>
          <w:rFonts w:ascii="Times New Roman" w:hAnsi="Times New Roman"/>
          <w:sz w:val="24"/>
          <w:szCs w:val="24"/>
        </w:rPr>
        <w:t>Общие сведения</w:t>
      </w:r>
      <w:bookmarkEnd w:id="2"/>
    </w:p>
    <w:p>
      <w:pPr>
        <w:pStyle w:val="Normal"/>
        <w:keepNext w:val="true"/>
        <w:numPr>
          <w:ilvl w:val="1"/>
          <w:numId w:val="1"/>
        </w:numPr>
        <w:spacing w:lineRule="auto" w:line="240" w:before="120" w:after="60"/>
        <w:outlineLvl w:val="3"/>
        <w:rPr>
          <w:rFonts w:ascii="Times New Roman" w:hAnsi="Times New Roman"/>
          <w:b/>
          <w:bCs/>
          <w:sz w:val="24"/>
          <w:szCs w:val="24"/>
        </w:rPr>
      </w:pPr>
      <w:bookmarkStart w:id="3" w:name="_Toc241654339"/>
      <w:r>
        <w:rPr>
          <w:rFonts w:ascii="Times New Roman" w:hAnsi="Times New Roman"/>
          <w:b/>
          <w:bCs/>
          <w:sz w:val="24"/>
          <w:szCs w:val="24"/>
        </w:rPr>
        <w:t>Обозначения и сокращения</w:t>
      </w:r>
      <w:bookmarkEnd w:id="3"/>
    </w:p>
    <w:p>
      <w:pPr>
        <w:pStyle w:val="Normal"/>
        <w:keepNext w:val="true"/>
        <w:keepLines/>
        <w:spacing w:lineRule="auto" w:line="240" w:before="0" w:after="0"/>
        <w:jc w:val="both"/>
        <w:rPr>
          <w:rFonts w:ascii="Times New Roman" w:hAnsi="Times New Roman"/>
          <w:sz w:val="24"/>
          <w:szCs w:val="24"/>
        </w:rPr>
      </w:pPr>
      <w:r>
        <w:rPr>
          <w:rFonts w:ascii="Times New Roman" w:hAnsi="Times New Roman"/>
          <w:sz w:val="24"/>
          <w:szCs w:val="24"/>
        </w:rPr>
      </w:r>
    </w:p>
    <w:tbl>
      <w:tblPr>
        <w:tblW w:w="969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600"/>
        <w:gridCol w:w="7093"/>
      </w:tblGrid>
      <w:tr>
        <w:trPr/>
        <w:tc>
          <w:tcPr>
            <w:tcW w:w="26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Термин</w:t>
            </w:r>
          </w:p>
        </w:tc>
        <w:tc>
          <w:tcPr>
            <w:tcW w:w="70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Определение</w:t>
            </w:r>
          </w:p>
        </w:tc>
      </w:tr>
      <w:tr>
        <w:trPr>
          <w:trHeight w:val="339"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Заказчик</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АО «ТК РусГидро»</w:t>
            </w:r>
          </w:p>
        </w:tc>
      </w:tr>
      <w:tr>
        <w:trPr>
          <w:trHeight w:val="415"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Исполнитель</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Организация, заключившая договор оказания услуг</w:t>
            </w:r>
          </w:p>
        </w:tc>
      </w:tr>
      <w:tr>
        <w:trPr>
          <w:trHeight w:val="704"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Системы, БП + УУ, ЗУП, УАТ</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bookmarkStart w:id="4" w:name="OLE_LINK11"/>
            <w:bookmarkStart w:id="5" w:name="OLE_LINK10"/>
            <w:r>
              <w:rPr>
                <w:rFonts w:ascii="Times New Roman" w:hAnsi="Times New Roman"/>
                <w:sz w:val="24"/>
                <w:szCs w:val="24"/>
              </w:rPr>
              <w:t>«1С:Бухгалтерия предприятия КОРП 3.0» «БИТ.Финанс.Управленческий учет», «1С:Зарплата и управление персоналом 3.1»</w:t>
            </w:r>
            <w:bookmarkEnd w:id="4"/>
            <w:bookmarkEnd w:id="5"/>
            <w:r>
              <w:rPr>
                <w:rFonts w:ascii="Times New Roman" w:hAnsi="Times New Roman"/>
                <w:sz w:val="24"/>
                <w:szCs w:val="24"/>
              </w:rPr>
              <w:t>, интеграция «1С:Управление автотранспортом ПРОФ» в части передачи данных о доходах и расходах на транспортное средство</w:t>
            </w:r>
          </w:p>
        </w:tc>
      </w:tr>
      <w:tr>
        <w:trPr>
          <w:trHeight w:val="977"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Информационная система</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Консолидированный набор технологических компонентов, сервисов и ресурсов, реализующих функции, необходимые для предоставления бизнес–услуг</w:t>
            </w:r>
          </w:p>
        </w:tc>
      </w:tr>
      <w:tr>
        <w:trPr>
          <w:trHeight w:val="978"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Информационный ресурс</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Компоненты информационной инфраструктуры, являющиеся частью информационных систем или обеспечивающие их функционирование</w:t>
            </w:r>
          </w:p>
        </w:tc>
      </w:tr>
      <w:tr>
        <w:trPr>
          <w:trHeight w:val="70"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Инфраструктурный сервис</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Технологический сервис в информационной инфраструктуре, необходимый для функционирования других технологических элементов и систем (служба каталогов (AD), сеть, DNS и т.д.)</w:t>
            </w:r>
          </w:p>
        </w:tc>
      </w:tr>
      <w:tr>
        <w:trPr>
          <w:trHeight w:val="709"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Обходное решение</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Процедура, позволяющая пользователю продолжить получение информационных услуг в случае возникновения инцидентов</w:t>
            </w:r>
          </w:p>
        </w:tc>
      </w:tr>
      <w:tr>
        <w:trPr>
          <w:trHeight w:val="704"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КСА СПП</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Комплекс средств автоматизации службы поддержки пользователей</w:t>
            </w:r>
          </w:p>
        </w:tc>
      </w:tr>
      <w:tr>
        <w:trPr>
          <w:trHeight w:val="403"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ЧТЗ</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Частное техническое задание</w:t>
            </w:r>
          </w:p>
        </w:tc>
      </w:tr>
      <w:tr>
        <w:trPr>
          <w:trHeight w:val="423"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РВЧТЗ</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Рабочая версия частного технического задания</w:t>
            </w:r>
          </w:p>
        </w:tc>
      </w:tr>
      <w:tr>
        <w:trPr>
          <w:trHeight w:val="420"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Группа ИТ</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Группа информационных технологий</w:t>
            </w:r>
          </w:p>
        </w:tc>
      </w:tr>
      <w:tr>
        <w:trPr>
          <w:trHeight w:val="399"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НСИ</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Нормативно-справочная информация</w:t>
            </w:r>
          </w:p>
        </w:tc>
      </w:tr>
      <w:tr>
        <w:trPr>
          <w:trHeight w:val="419"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ПТО</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Плановое техническое обслуживание</w:t>
            </w:r>
          </w:p>
        </w:tc>
      </w:tr>
      <w:tr>
        <w:trPr>
          <w:trHeight w:val="425" w:hRule="atLeast"/>
        </w:trPr>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ГСМ</w:t>
            </w:r>
          </w:p>
        </w:tc>
        <w:tc>
          <w:tcPr>
            <w:tcW w:w="70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Горюче-смазочные материалы</w:t>
            </w:r>
          </w:p>
        </w:tc>
      </w:tr>
    </w:tbl>
    <w:p>
      <w:pPr>
        <w:pStyle w:val="Normal"/>
        <w:keepNext w:val="true"/>
        <w:keepLines/>
        <w:spacing w:lineRule="auto" w:line="240" w:before="0" w:after="0"/>
        <w:jc w:val="both"/>
        <w:rPr>
          <w:rFonts w:ascii="Times New Roman" w:hAnsi="Times New Roman"/>
          <w:sz w:val="24"/>
          <w:szCs w:val="24"/>
        </w:rPr>
      </w:pPr>
      <w:r>
        <w:rPr>
          <w:rFonts w:ascii="Times New Roman" w:hAnsi="Times New Roman"/>
          <w:sz w:val="24"/>
          <w:szCs w:val="24"/>
        </w:rPr>
      </w:r>
    </w:p>
    <w:p>
      <w:pPr>
        <w:pStyle w:val="Normal"/>
        <w:keepNext w:val="true"/>
        <w:keepLines/>
        <w:spacing w:lineRule="auto" w:line="240" w:before="0" w:after="0"/>
        <w:rPr>
          <w:rFonts w:ascii="Times New Roman" w:hAnsi="Times New Roman"/>
          <w:sz w:val="24"/>
          <w:szCs w:val="24"/>
        </w:rPr>
      </w:pPr>
      <w:r>
        <w:rPr>
          <w:rFonts w:ascii="Times New Roman" w:hAnsi="Times New Roman"/>
          <w:sz w:val="24"/>
          <w:szCs w:val="24"/>
        </w:rPr>
      </w:r>
      <w:r>
        <w:br w:type="page"/>
      </w:r>
    </w:p>
    <w:p>
      <w:pPr>
        <w:pStyle w:val="Normal"/>
        <w:keepNext w:val="true"/>
        <w:numPr>
          <w:ilvl w:val="1"/>
          <w:numId w:val="1"/>
        </w:numPr>
        <w:spacing w:lineRule="auto" w:line="240" w:before="120" w:after="60"/>
        <w:outlineLvl w:val="3"/>
        <w:rPr>
          <w:rFonts w:ascii="Times New Roman" w:hAnsi="Times New Roman"/>
          <w:b/>
          <w:bCs/>
          <w:sz w:val="24"/>
          <w:szCs w:val="24"/>
        </w:rPr>
      </w:pPr>
      <w:bookmarkStart w:id="6" w:name="_Toc241654340"/>
      <w:r>
        <w:rPr>
          <w:rFonts w:ascii="Times New Roman" w:hAnsi="Times New Roman"/>
          <w:b/>
          <w:bCs/>
          <w:sz w:val="24"/>
          <w:szCs w:val="24"/>
        </w:rPr>
        <w:t>Наименование закупаемой услуги</w:t>
      </w:r>
      <w:bookmarkEnd w:id="6"/>
    </w:p>
    <w:p>
      <w:pPr>
        <w:pStyle w:val="Normal"/>
        <w:keepNext w:val="true"/>
        <w:keepLines/>
        <w:spacing w:lineRule="auto" w:line="240" w:before="0" w:after="0"/>
        <w:jc w:val="both"/>
        <w:rPr>
          <w:rFonts w:ascii="Times New Roman" w:hAnsi="Times New Roman"/>
          <w:sz w:val="24"/>
          <w:szCs w:val="24"/>
        </w:rPr>
      </w:pPr>
      <w:r>
        <w:rPr>
          <w:rFonts w:ascii="Times New Roman" w:hAnsi="Times New Roman"/>
          <w:sz w:val="24"/>
          <w:szCs w:val="24"/>
        </w:rPr>
        <w:t>ОКПД 2: 62.01 — Услуги по сопровождению компьютерных систем («1С: Бухгалтерия предприятия КОРП + БИТ.ФИНАНС.УУ», «1С: Зарплата и управление персоналом», в том числе интеграции с «1С: Управление автотранспортом ПРОФ») для нужд АО «ТК РусГидро».</w:t>
      </w:r>
    </w:p>
    <w:p>
      <w:pPr>
        <w:pStyle w:val="Normal"/>
        <w:keepNext w:val="true"/>
        <w:numPr>
          <w:ilvl w:val="1"/>
          <w:numId w:val="1"/>
        </w:numPr>
        <w:spacing w:lineRule="auto" w:line="240" w:before="240" w:after="60"/>
        <w:ind w:hanging="431" w:left="431"/>
        <w:outlineLvl w:val="3"/>
        <w:rPr>
          <w:rFonts w:ascii="Times New Roman" w:hAnsi="Times New Roman"/>
          <w:b/>
          <w:bCs/>
          <w:sz w:val="24"/>
          <w:szCs w:val="24"/>
        </w:rPr>
      </w:pPr>
      <w:bookmarkStart w:id="7" w:name="_Toc241654341"/>
      <w:r>
        <w:rPr>
          <w:rFonts w:ascii="Times New Roman" w:hAnsi="Times New Roman"/>
          <w:b/>
          <w:bCs/>
          <w:sz w:val="24"/>
          <w:szCs w:val="24"/>
        </w:rPr>
        <w:t>Цель и задачи оказания услуг</w:t>
      </w:r>
      <w:bookmarkEnd w:id="7"/>
      <w:r>
        <w:rPr>
          <w:rFonts w:ascii="Times New Roman" w:hAnsi="Times New Roman"/>
          <w:b/>
          <w:bCs/>
          <w:sz w:val="24"/>
          <w:szCs w:val="24"/>
        </w:rPr>
        <w:t xml:space="preserve"> </w:t>
      </w:r>
    </w:p>
    <w:p>
      <w:pPr>
        <w:pStyle w:val="Normal"/>
        <w:widowControl w:val="false"/>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Целями сопровождения системы являются:</w:t>
      </w:r>
    </w:p>
    <w:p>
      <w:pPr>
        <w:pStyle w:val="Normal"/>
        <w:widowControl w:val="false"/>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Обеспечение работоспособности и производительности Системы заданным параметрам.</w:t>
      </w:r>
    </w:p>
    <w:p>
      <w:pPr>
        <w:pStyle w:val="Normal"/>
        <w:widowControl w:val="false"/>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Обеспечение поддержки пользователей Системы.</w:t>
      </w:r>
    </w:p>
    <w:p>
      <w:pPr>
        <w:pStyle w:val="Normal"/>
        <w:widowControl w:val="false"/>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Осуществление настройки Системы по заявкам Заказчика.</w:t>
      </w:r>
    </w:p>
    <w:p>
      <w:pPr>
        <w:pStyle w:val="Normal"/>
        <w:widowControl w:val="false"/>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Перечень задач в рамках обеспечения работоспособности и производительности Системы:</w:t>
      </w:r>
    </w:p>
    <w:p>
      <w:pPr>
        <w:pStyle w:val="Normal"/>
        <w:widowControl w:val="false"/>
        <w:numPr>
          <w:ilvl w:val="0"/>
          <w:numId w:val="2"/>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Выполнение процедур штатного обслуживания (регламентно-профилактических работ) согласно Регламенту штатного обслуживания Системы с ведением журнала выполненных работ.</w:t>
      </w:r>
    </w:p>
    <w:p>
      <w:pPr>
        <w:pStyle w:val="Normal"/>
        <w:widowControl w:val="false"/>
        <w:numPr>
          <w:ilvl w:val="0"/>
          <w:numId w:val="2"/>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Проведение «Ремонтно-восстановительных работ».</w:t>
      </w:r>
    </w:p>
    <w:p>
      <w:pPr>
        <w:pStyle w:val="Normal"/>
        <w:widowControl w:val="false"/>
        <w:numPr>
          <w:ilvl w:val="0"/>
          <w:numId w:val="2"/>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Обеспечение накопления и анализа данных об ошибках, сбоях и отказах Системы в процессе эксплуатации с последующим предоставлением отчетности Заказчику с указанием выполненного комплексом мероприятий для устранения и предотвращения повторного возникновения ошибок, сбоев и отказов Системы.</w:t>
      </w:r>
    </w:p>
    <w:p>
      <w:pPr>
        <w:pStyle w:val="Normal"/>
        <w:widowControl w:val="false"/>
        <w:numPr>
          <w:ilvl w:val="0"/>
          <w:numId w:val="2"/>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Обеспечение заданного режима обслуживания и квалификации обслуживающего персонала.</w:t>
      </w:r>
    </w:p>
    <w:p>
      <w:pPr>
        <w:pStyle w:val="Normal"/>
        <w:widowControl w:val="false"/>
        <w:numPr>
          <w:ilvl w:val="0"/>
          <w:numId w:val="2"/>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Обеспечение заданного коэффициента готовности Системы (компонентов), характеризующего долю времени, в течение которого система (компоненты) работоспособна.</w:t>
      </w:r>
    </w:p>
    <w:p>
      <w:pPr>
        <w:pStyle w:val="Normal"/>
        <w:widowControl w:val="false"/>
        <w:numPr>
          <w:ilvl w:val="0"/>
          <w:numId w:val="2"/>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Исправление ошибок в работе Системы, выявленных в результате мониторинга системы, анализа обращений пользователей, проблем и нештатных ситуаций.</w:t>
      </w:r>
    </w:p>
    <w:p>
      <w:pPr>
        <w:pStyle w:val="Normal"/>
        <w:widowControl w:val="false"/>
        <w:numPr>
          <w:ilvl w:val="0"/>
          <w:numId w:val="2"/>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Обновление эксплуатационной документации.</w:t>
      </w:r>
    </w:p>
    <w:p>
      <w:pPr>
        <w:pStyle w:val="Normal"/>
        <w:widowControl w:val="false"/>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Перечень задач в рамках обеспечения поддержки пользователей Системы:</w:t>
      </w:r>
    </w:p>
    <w:p>
      <w:pPr>
        <w:pStyle w:val="Normal"/>
        <w:widowControl w:val="false"/>
        <w:numPr>
          <w:ilvl w:val="0"/>
          <w:numId w:val="3"/>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Консультационная поддержка Заказчика (в т.ч. пользователей Системы Заказчика) по вопросам работоспособности Системы.</w:t>
      </w:r>
    </w:p>
    <w:p>
      <w:pPr>
        <w:pStyle w:val="Normal"/>
        <w:widowControl w:val="false"/>
        <w:numPr>
          <w:ilvl w:val="0"/>
          <w:numId w:val="3"/>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Устранение отказов и сбоев в работе Системы, выявленных в процессе эксплуатации.</w:t>
      </w:r>
    </w:p>
    <w:p>
      <w:pPr>
        <w:pStyle w:val="Normal"/>
        <w:widowControl w:val="false"/>
        <w:numPr>
          <w:ilvl w:val="0"/>
          <w:numId w:val="3"/>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Выполнение запросов на обслуживание пользователей Системы (регистрация пользователей, управление правами и привилегиями пользователей Системы, предоставление сервисов Системы, управление компонентами Системы).</w:t>
      </w:r>
    </w:p>
    <w:p>
      <w:pPr>
        <w:pStyle w:val="Normal"/>
        <w:widowControl w:val="false"/>
        <w:numPr>
          <w:ilvl w:val="0"/>
          <w:numId w:val="3"/>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Функциональное администрирование Системы (оказание методологической поддержки пользователям Системы).</w:t>
      </w:r>
    </w:p>
    <w:p>
      <w:pPr>
        <w:pStyle w:val="Normal"/>
        <w:widowControl w:val="false"/>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r>
    </w:p>
    <w:p>
      <w:pPr>
        <w:pStyle w:val="Normal"/>
        <w:widowControl w:val="false"/>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Перечень задач в рамках осуществления настройки Системы по заявкам Заказчика:</w:t>
      </w:r>
    </w:p>
    <w:p>
      <w:pPr>
        <w:pStyle w:val="Normal"/>
        <w:widowControl w:val="false"/>
        <w:numPr>
          <w:ilvl w:val="0"/>
          <w:numId w:val="4"/>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Сопровождение (осуществление функции куратора проекта) и проведение дополнительных настроек Системы;</w:t>
      </w:r>
    </w:p>
    <w:p>
      <w:pPr>
        <w:pStyle w:val="Normal"/>
        <w:widowControl w:val="false"/>
        <w:numPr>
          <w:ilvl w:val="0"/>
          <w:numId w:val="4"/>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Выполнение доработок Системы без изменения основной функциональности;</w:t>
      </w:r>
    </w:p>
    <w:p>
      <w:pPr>
        <w:pStyle w:val="Normal"/>
        <w:widowControl w:val="false"/>
        <w:numPr>
          <w:ilvl w:val="0"/>
          <w:numId w:val="4"/>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 xml:space="preserve">Проведение анализа необходимости внесения изменений в Систему с последующей выдачей рекомендаций Заказчику; </w:t>
      </w:r>
    </w:p>
    <w:p>
      <w:pPr>
        <w:pStyle w:val="Normal"/>
        <w:widowControl w:val="false"/>
        <w:numPr>
          <w:ilvl w:val="0"/>
          <w:numId w:val="4"/>
        </w:numPr>
        <w:tabs>
          <w:tab w:val="clear" w:pos="709"/>
          <w:tab w:val="left" w:pos="426" w:leader="none"/>
        </w:tabs>
        <w:spacing w:lineRule="auto" w:line="240" w:before="120" w:after="240"/>
        <w:jc w:val="both"/>
        <w:rPr>
          <w:rFonts w:ascii="Times New Roman" w:hAnsi="Times New Roman"/>
          <w:sz w:val="24"/>
          <w:szCs w:val="24"/>
        </w:rPr>
      </w:pPr>
      <w:r>
        <w:rPr>
          <w:rFonts w:ascii="Times New Roman" w:hAnsi="Times New Roman"/>
          <w:sz w:val="24"/>
          <w:szCs w:val="24"/>
        </w:rPr>
        <w:t>Формирование и согласование с ЧТЗ в случае необходимости внесение изменений/незначительных доработок в Систему, исправления возникших ошибок. В ЧТЗ Исполнителем описывается: суть ошибки/изменения, проявление ошибки, влияние на Систему, предлагаемое решение с оценкой трудоемкости и рисков.</w:t>
      </w:r>
    </w:p>
    <w:p>
      <w:pPr>
        <w:pStyle w:val="ListParagraph"/>
        <w:widowControl w:val="false"/>
        <w:numPr>
          <w:ilvl w:val="1"/>
          <w:numId w:val="1"/>
        </w:numPr>
        <w:tabs>
          <w:tab w:val="clear" w:pos="709"/>
          <w:tab w:val="left" w:pos="426" w:leader="none"/>
        </w:tabs>
        <w:spacing w:before="120" w:after="240"/>
        <w:contextualSpacing/>
        <w:jc w:val="both"/>
        <w:rPr>
          <w:b/>
          <w:bCs/>
          <w:szCs w:val="24"/>
        </w:rPr>
      </w:pPr>
      <w:bookmarkStart w:id="8" w:name="_Toc54643698"/>
      <w:bookmarkStart w:id="9" w:name="_Toc46743508"/>
      <w:r>
        <w:rPr>
          <w:b/>
          <w:bCs/>
          <w:szCs w:val="24"/>
        </w:rPr>
        <w:t>Существующее положение</w:t>
      </w:r>
      <w:bookmarkEnd w:id="9"/>
      <w:r>
        <w:rPr>
          <w:b/>
          <w:bCs/>
          <w:szCs w:val="24"/>
        </w:rPr>
        <w:t xml:space="preserve"> </w:t>
      </w:r>
      <w:bookmarkEnd w:id="8"/>
    </w:p>
    <w:p>
      <w:pPr>
        <w:pStyle w:val="Normal"/>
        <w:widowControl w:val="false"/>
        <w:tabs>
          <w:tab w:val="clear" w:pos="709"/>
          <w:tab w:val="left" w:pos="426" w:leader="none"/>
        </w:tabs>
        <w:spacing w:lineRule="auto" w:line="240" w:before="120" w:after="240"/>
        <w:ind w:firstLine="426"/>
        <w:jc w:val="both"/>
        <w:rPr>
          <w:rFonts w:ascii="Times New Roman" w:hAnsi="Times New Roman"/>
          <w:sz w:val="24"/>
          <w:szCs w:val="24"/>
        </w:rPr>
      </w:pPr>
      <w:r>
        <w:rPr>
          <w:rFonts w:ascii="Times New Roman" w:hAnsi="Times New Roman"/>
          <w:sz w:val="24"/>
          <w:szCs w:val="24"/>
        </w:rPr>
        <w:t>Услуги по сопровождению компьютерных систем:</w:t>
      </w:r>
    </w:p>
    <w:p>
      <w:pPr>
        <w:pStyle w:val="ListParagraph"/>
        <w:widowControl w:val="false"/>
        <w:numPr>
          <w:ilvl w:val="0"/>
          <w:numId w:val="19"/>
        </w:numPr>
        <w:tabs>
          <w:tab w:val="clear" w:pos="709"/>
          <w:tab w:val="left" w:pos="426" w:leader="none"/>
        </w:tabs>
        <w:spacing w:before="120" w:after="240"/>
        <w:contextualSpacing/>
        <w:rPr>
          <w:szCs w:val="24"/>
        </w:rPr>
      </w:pPr>
      <w:r>
        <w:rPr>
          <w:szCs w:val="24"/>
        </w:rPr>
        <w:t>«1С: Бухгалтерия предприятия КОРП + БИТ.ФИНАНС.УУ»;</w:t>
      </w:r>
    </w:p>
    <w:p>
      <w:pPr>
        <w:pStyle w:val="ListParagraph"/>
        <w:widowControl w:val="false"/>
        <w:numPr>
          <w:ilvl w:val="0"/>
          <w:numId w:val="19"/>
        </w:numPr>
        <w:spacing w:before="120" w:after="240"/>
        <w:contextualSpacing/>
        <w:rPr>
          <w:szCs w:val="24"/>
        </w:rPr>
      </w:pPr>
      <w:r>
        <w:rPr>
          <w:szCs w:val="24"/>
        </w:rPr>
        <w:t>«1С: Зарплата и управление персоналом»;</w:t>
      </w:r>
    </w:p>
    <w:p>
      <w:pPr>
        <w:pStyle w:val="ListParagraph"/>
        <w:widowControl w:val="false"/>
        <w:numPr>
          <w:ilvl w:val="0"/>
          <w:numId w:val="19"/>
        </w:numPr>
        <w:spacing w:before="120" w:after="240"/>
        <w:contextualSpacing/>
        <w:rPr>
          <w:szCs w:val="24"/>
        </w:rPr>
      </w:pPr>
      <w:r>
        <w:rPr>
          <w:szCs w:val="24"/>
        </w:rPr>
        <w:t>Интеграция «1С: Зарплата и управление персоналом» с «1С: Управление автотранспортом ПРОФ»);</w:t>
      </w:r>
    </w:p>
    <w:p>
      <w:pPr>
        <w:pStyle w:val="ListParagraph"/>
        <w:widowControl w:val="false"/>
        <w:numPr>
          <w:ilvl w:val="0"/>
          <w:numId w:val="19"/>
        </w:numPr>
        <w:spacing w:before="120" w:after="240"/>
        <w:contextualSpacing/>
        <w:rPr>
          <w:szCs w:val="24"/>
        </w:rPr>
      </w:pPr>
      <w:r>
        <w:rPr>
          <w:szCs w:val="24"/>
        </w:rPr>
        <w:t>«1С: Управление автотранспортом ПРОФ».</w:t>
      </w:r>
    </w:p>
    <w:p>
      <w:pPr>
        <w:pStyle w:val="Normal"/>
        <w:widowControl w:val="false"/>
        <w:tabs>
          <w:tab w:val="clear" w:pos="709"/>
          <w:tab w:val="left" w:pos="426" w:leader="none"/>
        </w:tabs>
        <w:spacing w:lineRule="auto" w:line="240" w:before="120" w:after="240"/>
        <w:jc w:val="both"/>
        <w:rPr>
          <w:rFonts w:ascii="Times New Roman" w:hAnsi="Times New Roman"/>
          <w:b/>
          <w:bCs/>
          <w:sz w:val="24"/>
          <w:szCs w:val="24"/>
        </w:rPr>
      </w:pPr>
      <w:bookmarkStart w:id="10" w:name="__RefHeading___Toc39287_920840378"/>
      <w:bookmarkStart w:id="11" w:name="_Toc54643699"/>
      <w:bookmarkEnd w:id="10"/>
      <w:r>
        <w:rPr>
          <w:rFonts w:ascii="Times New Roman" w:hAnsi="Times New Roman"/>
          <w:b/>
          <w:bCs/>
          <w:sz w:val="24"/>
          <w:szCs w:val="24"/>
        </w:rPr>
        <w:t>Таблица 1. Перечень объектов заказчика</w:t>
      </w:r>
      <w:bookmarkEnd w:id="11"/>
      <w:r>
        <w:rPr>
          <w:rFonts w:ascii="Times New Roman" w:hAnsi="Times New Roman"/>
          <w:b/>
          <w:bCs/>
          <w:sz w:val="24"/>
          <w:szCs w:val="24"/>
        </w:rPr>
        <w:t xml:space="preserve"> </w:t>
      </w:r>
    </w:p>
    <w:tbl>
      <w:tblPr>
        <w:tblW w:w="9918" w:type="dxa"/>
        <w:jc w:val="left"/>
        <w:tblInd w:w="113" w:type="dxa"/>
        <w:tblLayout w:type="fixed"/>
        <w:tblCellMar>
          <w:top w:w="0" w:type="dxa"/>
          <w:left w:w="108" w:type="dxa"/>
          <w:bottom w:w="0" w:type="dxa"/>
          <w:right w:w="108" w:type="dxa"/>
        </w:tblCellMar>
        <w:tblLook w:val="0000" w:noHBand="0" w:noVBand="0" w:firstColumn="0" w:lastRow="0" w:lastColumn="0" w:firstRow="0"/>
      </w:tblPr>
      <w:tblGrid>
        <w:gridCol w:w="562"/>
        <w:gridCol w:w="2297"/>
        <w:gridCol w:w="3087"/>
        <w:gridCol w:w="2410"/>
        <w:gridCol w:w="1562"/>
      </w:tblGrid>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п/п</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Наименование объекта</w:t>
            </w:r>
          </w:p>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r>
          </w:p>
        </w:tc>
        <w:tc>
          <w:tcPr>
            <w:tcW w:w="30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 xml:space="preserve">Расположение объекта </w:t>
              <w:br/>
              <w:t>(место оказания услуг)</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 xml:space="preserve">Наименование основного средства </w:t>
              <w:br/>
              <w:t>(в отношении которого оказываются услуги)</w:t>
            </w:r>
          </w:p>
        </w:tc>
        <w:tc>
          <w:tcPr>
            <w:tcW w:w="1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Примечания</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b/>
                <w:bCs/>
                <w:sz w:val="24"/>
                <w:szCs w:val="24"/>
              </w:rPr>
            </w:pPr>
            <w:r>
              <w:rPr>
                <w:rFonts w:ascii="Times New Roman" w:hAnsi="Times New Roman"/>
                <w:b/>
                <w:bCs/>
                <w:sz w:val="24"/>
                <w:szCs w:val="24"/>
              </w:rPr>
              <w:t>1</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b/>
                <w:bCs/>
                <w:sz w:val="24"/>
                <w:szCs w:val="24"/>
              </w:rPr>
            </w:pPr>
            <w:r>
              <w:rPr>
                <w:rFonts w:ascii="Times New Roman" w:hAnsi="Times New Roman"/>
                <w:b/>
                <w:bCs/>
                <w:sz w:val="24"/>
                <w:szCs w:val="24"/>
              </w:rPr>
              <w:t>2</w:t>
            </w:r>
          </w:p>
        </w:tc>
        <w:tc>
          <w:tcPr>
            <w:tcW w:w="30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b/>
                <w:bCs/>
                <w:sz w:val="24"/>
                <w:szCs w:val="24"/>
              </w:rPr>
            </w:pPr>
            <w:r>
              <w:rPr>
                <w:rFonts w:ascii="Times New Roman" w:hAnsi="Times New Roman"/>
                <w:b/>
                <w:bCs/>
                <w:sz w:val="24"/>
                <w:szCs w:val="24"/>
              </w:rPr>
              <w:t>3</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b/>
                <w:bCs/>
                <w:sz w:val="24"/>
                <w:szCs w:val="24"/>
              </w:rPr>
            </w:pPr>
            <w:r>
              <w:rPr>
                <w:rFonts w:ascii="Times New Roman" w:hAnsi="Times New Roman"/>
                <w:b/>
                <w:bCs/>
                <w:sz w:val="24"/>
                <w:szCs w:val="24"/>
              </w:rPr>
              <w:t>4</w:t>
            </w:r>
          </w:p>
        </w:tc>
        <w:tc>
          <w:tcPr>
            <w:tcW w:w="1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b/>
                <w:bCs/>
                <w:sz w:val="24"/>
                <w:szCs w:val="24"/>
              </w:rPr>
            </w:pPr>
            <w:r>
              <w:rPr>
                <w:rFonts w:ascii="Times New Roman" w:hAnsi="Times New Roman"/>
                <w:b/>
                <w:bCs/>
                <w:sz w:val="24"/>
                <w:szCs w:val="24"/>
              </w:rPr>
              <w:t>5</w:t>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rPr>
                <w:szCs w:val="24"/>
                <w:shd w:fill="FFFF00" w:val="clear"/>
              </w:rPr>
            </w:pPr>
            <w:r>
              <w:rPr>
                <w:szCs w:val="24"/>
                <w:shd w:fill="FFFF00" w:val="clear"/>
              </w:rPr>
            </w:r>
          </w:p>
        </w:tc>
        <w:tc>
          <w:tcPr>
            <w:tcW w:w="22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Исполнительный аппарат АО «ТК РусГидро»</w:t>
            </w:r>
          </w:p>
        </w:tc>
        <w:tc>
          <w:tcPr>
            <w:tcW w:w="30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690003, Российская Федерация, г. Владивосток, ул. Станюковича, д. 1</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Компьютерные системы 1С для нужд АО «ТК РусГидро»</w:t>
            </w:r>
          </w:p>
        </w:tc>
        <w:tc>
          <w:tcPr>
            <w:tcW w:w="15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jc w:val="center"/>
              <w:rPr>
                <w:rFonts w:ascii="Times New Roman" w:hAnsi="Times New Roman"/>
                <w:sz w:val="24"/>
                <w:szCs w:val="24"/>
              </w:rPr>
            </w:pPr>
            <w:r>
              <w:rPr>
                <w:rFonts w:ascii="Times New Roman" w:hAnsi="Times New Roman"/>
                <w:sz w:val="24"/>
                <w:szCs w:val="24"/>
              </w:rPr>
              <w:t>-</w:t>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rPr>
                <w:szCs w:val="24"/>
                <w:shd w:fill="FFFF00" w:val="clear"/>
              </w:rPr>
            </w:pPr>
            <w:r>
              <w:rPr>
                <w:szCs w:val="24"/>
                <w:shd w:fill="FFFF00" w:val="clear"/>
              </w:rPr>
            </w:r>
          </w:p>
        </w:tc>
        <w:tc>
          <w:tcPr>
            <w:tcW w:w="22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Центральный филиал АО «ТК РусГидро»</w:t>
            </w:r>
          </w:p>
        </w:tc>
        <w:tc>
          <w:tcPr>
            <w:tcW w:w="30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141342, Российская Федерация, Московская область, Сергиево-Посадский район, пос. Богородское, д. 100</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Компьютерные системы 1С для нужд АО «ТК РусГидро»</w:t>
            </w:r>
          </w:p>
        </w:tc>
        <w:tc>
          <w:tcPr>
            <w:tcW w:w="15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w:t>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rPr>
                <w:szCs w:val="24"/>
                <w:shd w:fill="FFFF00" w:val="clear"/>
              </w:rPr>
            </w:pPr>
            <w:r>
              <w:rPr>
                <w:szCs w:val="24"/>
                <w:shd w:fill="FFFF00" w:val="clear"/>
              </w:rPr>
            </w:r>
          </w:p>
        </w:tc>
        <w:tc>
          <w:tcPr>
            <w:tcW w:w="22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Южный филиал АО «ТК РусГидро»</w:t>
            </w:r>
          </w:p>
        </w:tc>
        <w:tc>
          <w:tcPr>
            <w:tcW w:w="30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357100, Российская Федерация, Ставропольский край, г.  Невинномысск, ул. Водопроводная, д. 360а</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Компьютерные системы 1С для нужд АО «ТК РусГидро»</w:t>
            </w:r>
          </w:p>
        </w:tc>
        <w:tc>
          <w:tcPr>
            <w:tcW w:w="15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w:t>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rPr>
                <w:szCs w:val="24"/>
                <w:shd w:fill="FFFF00" w:val="clear"/>
              </w:rPr>
            </w:pPr>
            <w:r>
              <w:rPr>
                <w:szCs w:val="24"/>
                <w:shd w:fill="FFFF00" w:val="clear"/>
              </w:rPr>
            </w:r>
          </w:p>
        </w:tc>
        <w:tc>
          <w:tcPr>
            <w:tcW w:w="22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Приволжский филиал АО «ТК РусГидро»</w:t>
            </w:r>
          </w:p>
        </w:tc>
        <w:tc>
          <w:tcPr>
            <w:tcW w:w="30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445350, Российская Федерация, Самарская обл., г. Жигулевск, Московское шоссе, 2</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Компьютерные системы 1С для нужд АО «ТК РусГидро»</w:t>
            </w:r>
          </w:p>
        </w:tc>
        <w:tc>
          <w:tcPr>
            <w:tcW w:w="15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w:t>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rPr>
                <w:szCs w:val="24"/>
                <w:shd w:fill="FFFF00" w:val="clear"/>
              </w:rPr>
            </w:pPr>
            <w:r>
              <w:rPr>
                <w:szCs w:val="24"/>
                <w:shd w:fill="FFFF00" w:val="clear"/>
              </w:rPr>
            </w:r>
          </w:p>
        </w:tc>
        <w:tc>
          <w:tcPr>
            <w:tcW w:w="22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Саяно-Шушенский филиал АО «ТК РусГидро»</w:t>
            </w:r>
          </w:p>
        </w:tc>
        <w:tc>
          <w:tcPr>
            <w:tcW w:w="30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655619, Российская Федерация, Республика Хакасия, г.  Саяногорск, рп. Черемушки, Саяно-Шушенская ГЭС</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Компьютерные системы 1С для нужд АО «ТК РусГидро»</w:t>
            </w:r>
          </w:p>
        </w:tc>
        <w:tc>
          <w:tcPr>
            <w:tcW w:w="15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w:t>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rPr>
                <w:szCs w:val="24"/>
                <w:shd w:fill="FFFF00" w:val="clear"/>
              </w:rPr>
            </w:pPr>
            <w:r>
              <w:rPr>
                <w:szCs w:val="24"/>
                <w:shd w:fill="FFFF00" w:val="clear"/>
              </w:rPr>
            </w:r>
          </w:p>
        </w:tc>
        <w:tc>
          <w:tcPr>
            <w:tcW w:w="22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Дальневосточный филиал АО «ТК РусГидро»</w:t>
            </w:r>
          </w:p>
        </w:tc>
        <w:tc>
          <w:tcPr>
            <w:tcW w:w="30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680021, Хабаровский край, Хабаровск город, Ленинградская улица, дом 46</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Компьютерные системы 1С для нужд АО «ТК РусГидро»</w:t>
            </w:r>
          </w:p>
        </w:tc>
        <w:tc>
          <w:tcPr>
            <w:tcW w:w="15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w:t>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rPr>
                <w:szCs w:val="24"/>
                <w:shd w:fill="FFFF00" w:val="clear"/>
              </w:rPr>
            </w:pPr>
            <w:r>
              <w:rPr>
                <w:szCs w:val="24"/>
                <w:shd w:fill="FFFF00" w:val="clear"/>
              </w:rPr>
            </w:r>
          </w:p>
        </w:tc>
        <w:tc>
          <w:tcPr>
            <w:tcW w:w="22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Владивостокское представительство АО «ТК РусГидро»</w:t>
            </w:r>
          </w:p>
        </w:tc>
        <w:tc>
          <w:tcPr>
            <w:tcW w:w="30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690090, Российская Федерация, г. Владивосток, ул. Западная, д. 39</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Компьютерные системы 1С для нужд АО «ТК РусГидро»</w:t>
            </w:r>
          </w:p>
        </w:tc>
        <w:tc>
          <w:tcPr>
            <w:tcW w:w="15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w:t>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rPr>
                <w:szCs w:val="24"/>
                <w:shd w:fill="FFFF00" w:val="clear"/>
              </w:rPr>
            </w:pPr>
            <w:r>
              <w:rPr>
                <w:szCs w:val="24"/>
                <w:shd w:fill="FFFF00" w:val="clear"/>
              </w:rPr>
            </w:r>
          </w:p>
        </w:tc>
        <w:tc>
          <w:tcPr>
            <w:tcW w:w="22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Камчатский филиал АО «ТК РусГидро»</w:t>
            </w:r>
          </w:p>
        </w:tc>
        <w:tc>
          <w:tcPr>
            <w:tcW w:w="30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6830032, Российская Федерация, Камчатский край, г. Петропавловск-Камчатский, ул. Пограничная, д. 14</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Компьютерные системы 1С для нужд АО «ТК РусГидро»</w:t>
            </w:r>
          </w:p>
        </w:tc>
        <w:tc>
          <w:tcPr>
            <w:tcW w:w="15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lineRule="auto" w:line="240" w:before="120" w:after="240"/>
              <w:rPr>
                <w:rFonts w:ascii="Times New Roman" w:hAnsi="Times New Roman"/>
                <w:sz w:val="24"/>
                <w:szCs w:val="24"/>
              </w:rPr>
            </w:pPr>
            <w:r>
              <w:rPr>
                <w:rFonts w:ascii="Times New Roman" w:hAnsi="Times New Roman"/>
                <w:sz w:val="24"/>
                <w:szCs w:val="24"/>
              </w:rPr>
              <w:t>-</w:t>
            </w:r>
          </w:p>
        </w:tc>
      </w:tr>
    </w:tbl>
    <w:p>
      <w:pPr>
        <w:pStyle w:val="ListParagraph"/>
        <w:widowControl w:val="false"/>
        <w:numPr>
          <w:ilvl w:val="1"/>
          <w:numId w:val="1"/>
        </w:numPr>
        <w:tabs>
          <w:tab w:val="clear" w:pos="709"/>
          <w:tab w:val="left" w:pos="1134" w:leader="none"/>
        </w:tabs>
        <w:spacing w:before="120" w:after="240"/>
        <w:ind w:firstLine="277" w:left="720"/>
        <w:contextualSpacing/>
        <w:rPr>
          <w:szCs w:val="24"/>
        </w:rPr>
      </w:pPr>
      <w:bookmarkStart w:id="12" w:name="_Hlk49857604"/>
      <w:bookmarkStart w:id="13" w:name="_Toc46743509"/>
      <w:bookmarkStart w:id="14" w:name="_Toc54643700"/>
      <w:r>
        <w:rPr>
          <w:szCs w:val="24"/>
        </w:rPr>
        <w:t xml:space="preserve">Информация в отношении исполнения договора, </w:t>
      </w:r>
      <w:bookmarkStart w:id="15" w:name="_Hlk46492347"/>
      <w:r>
        <w:rPr>
          <w:szCs w:val="24"/>
        </w:rPr>
        <w:t xml:space="preserve">которая должна быть учтена при подготовке заявки </w:t>
      </w:r>
      <w:bookmarkEnd w:id="15"/>
      <w:r>
        <w:rPr>
          <w:szCs w:val="24"/>
        </w:rPr>
        <w:t>(в том числе перечень ресурсов, услуг и документов, предоставляемых заказчиком на этапе исполнения договора)</w:t>
      </w:r>
      <w:bookmarkEnd w:id="12"/>
      <w:bookmarkEnd w:id="13"/>
      <w:bookmarkEnd w:id="14"/>
      <w:r>
        <w:rPr>
          <w:szCs w:val="24"/>
        </w:rPr>
        <w:t>.</w:t>
      </w:r>
    </w:p>
    <w:p>
      <w:pPr>
        <w:pStyle w:val="ListParagraph"/>
        <w:widowControl w:val="false"/>
        <w:tabs>
          <w:tab w:val="clear" w:pos="709"/>
          <w:tab w:val="left" w:pos="1134" w:leader="none"/>
        </w:tabs>
        <w:spacing w:before="120" w:after="240"/>
        <w:contextualSpacing/>
        <w:rPr>
          <w:rStyle w:val="Style11"/>
          <w:i w:val="false"/>
          <w:i w:val="false"/>
          <w:szCs w:val="24"/>
          <w:shd w:fill="auto" w:val="clear"/>
        </w:rPr>
      </w:pPr>
      <w:r>
        <w:rPr>
          <w:i w:val="false"/>
          <w:szCs w:val="24"/>
          <w:shd w:fill="auto" w:val="clear"/>
        </w:rPr>
      </w:r>
    </w:p>
    <w:p>
      <w:pPr>
        <w:pStyle w:val="ListParagraph"/>
        <w:widowControl w:val="false"/>
        <w:tabs>
          <w:tab w:val="clear" w:pos="709"/>
          <w:tab w:val="left" w:pos="1134" w:leader="none"/>
        </w:tabs>
        <w:spacing w:before="120" w:after="240"/>
        <w:contextualSpacing/>
        <w:rPr>
          <w:szCs w:val="24"/>
        </w:rPr>
      </w:pPr>
      <w:r>
        <w:rPr>
          <w:rStyle w:val="Style11"/>
          <w:i w:val="false"/>
          <w:szCs w:val="24"/>
          <w:shd w:fill="auto" w:val="clear"/>
        </w:rPr>
        <w:t xml:space="preserve"> </w:t>
      </w:r>
      <w:r>
        <w:rPr>
          <w:rStyle w:val="Style11"/>
          <w:b w:val="false"/>
          <w:i w:val="false"/>
          <w:szCs w:val="24"/>
          <w:shd w:fill="auto" w:val="clear"/>
        </w:rPr>
        <w:t>Подконтрольные организации АО «ТК РусГидро»:</w:t>
      </w:r>
    </w:p>
    <w:p>
      <w:pPr>
        <w:pStyle w:val="ListParagraph"/>
        <w:widowControl w:val="false"/>
        <w:numPr>
          <w:ilvl w:val="0"/>
          <w:numId w:val="20"/>
        </w:numPr>
        <w:tabs>
          <w:tab w:val="clear" w:pos="709"/>
          <w:tab w:val="left" w:pos="426" w:leader="none"/>
        </w:tabs>
        <w:spacing w:before="120" w:after="240"/>
        <w:ind w:hanging="284" w:left="284"/>
        <w:contextualSpacing/>
        <w:rPr>
          <w:rStyle w:val="Style11"/>
          <w:b w:val="false"/>
          <w:i w:val="false"/>
          <w:i w:val="false"/>
          <w:szCs w:val="24"/>
          <w:shd w:fill="auto" w:val="clear"/>
        </w:rPr>
      </w:pPr>
      <w:r>
        <w:rPr>
          <w:rStyle w:val="Style11"/>
          <w:b w:val="false"/>
          <w:i w:val="false"/>
          <w:szCs w:val="24"/>
          <w:shd w:fill="auto" w:val="clear"/>
        </w:rPr>
        <w:t>Исполнительный аппарат АО «ТК РусГидро» 690003, Российская Федерация, г. Владивосток, ул. Станюковича, д. 1</w:t>
      </w:r>
    </w:p>
    <w:p>
      <w:pPr>
        <w:pStyle w:val="ListParagraph"/>
        <w:widowControl w:val="false"/>
        <w:numPr>
          <w:ilvl w:val="0"/>
          <w:numId w:val="20"/>
        </w:numPr>
        <w:tabs>
          <w:tab w:val="clear" w:pos="709"/>
          <w:tab w:val="left" w:pos="426" w:leader="none"/>
        </w:tabs>
        <w:spacing w:before="120" w:after="240"/>
        <w:ind w:hanging="284" w:left="284"/>
        <w:contextualSpacing/>
        <w:rPr>
          <w:rStyle w:val="Style11"/>
          <w:b w:val="false"/>
          <w:i w:val="false"/>
          <w:i w:val="false"/>
          <w:szCs w:val="24"/>
          <w:shd w:fill="auto" w:val="clear"/>
        </w:rPr>
      </w:pPr>
      <w:r>
        <w:rPr>
          <w:rStyle w:val="Style11"/>
          <w:b w:val="false"/>
          <w:i w:val="false"/>
          <w:szCs w:val="24"/>
          <w:shd w:fill="auto" w:val="clear"/>
        </w:rPr>
        <w:t>Центральный филиал АО «ТК РусГидро» 141342, Российская Федерация, Московская область, Сергиево-Посадский район, пос. Богородское, д. 100</w:t>
      </w:r>
    </w:p>
    <w:p>
      <w:pPr>
        <w:pStyle w:val="ListParagraph"/>
        <w:widowControl w:val="false"/>
        <w:numPr>
          <w:ilvl w:val="0"/>
          <w:numId w:val="20"/>
        </w:numPr>
        <w:tabs>
          <w:tab w:val="clear" w:pos="709"/>
          <w:tab w:val="left" w:pos="426" w:leader="none"/>
        </w:tabs>
        <w:spacing w:before="120" w:after="240"/>
        <w:ind w:hanging="284" w:left="284"/>
        <w:contextualSpacing/>
        <w:rPr>
          <w:rStyle w:val="Style11"/>
          <w:b w:val="false"/>
          <w:i w:val="false"/>
          <w:i w:val="false"/>
          <w:szCs w:val="24"/>
          <w:shd w:fill="auto" w:val="clear"/>
        </w:rPr>
      </w:pPr>
      <w:r>
        <w:rPr>
          <w:rStyle w:val="Style11"/>
          <w:b w:val="false"/>
          <w:i w:val="false"/>
          <w:szCs w:val="24"/>
          <w:shd w:fill="auto" w:val="clear"/>
        </w:rPr>
        <w:t>Южный филиал АО «ТК РусГидро»</w:t>
        <w:tab/>
        <w:t>357100, Российская Федерация, Ставропольский край, г.  Невинномысск, ул. Водопроводная, д. 360а</w:t>
      </w:r>
    </w:p>
    <w:p>
      <w:pPr>
        <w:pStyle w:val="ListParagraph"/>
        <w:widowControl w:val="false"/>
        <w:numPr>
          <w:ilvl w:val="0"/>
          <w:numId w:val="20"/>
        </w:numPr>
        <w:tabs>
          <w:tab w:val="clear" w:pos="709"/>
          <w:tab w:val="left" w:pos="426" w:leader="none"/>
        </w:tabs>
        <w:spacing w:before="120" w:after="240"/>
        <w:ind w:hanging="284" w:left="284"/>
        <w:contextualSpacing/>
        <w:rPr>
          <w:rStyle w:val="Style11"/>
          <w:b w:val="false"/>
          <w:i w:val="false"/>
          <w:i w:val="false"/>
          <w:szCs w:val="24"/>
          <w:shd w:fill="auto" w:val="clear"/>
        </w:rPr>
      </w:pPr>
      <w:r>
        <w:rPr>
          <w:rStyle w:val="Style11"/>
          <w:b w:val="false"/>
          <w:i w:val="false"/>
          <w:szCs w:val="24"/>
          <w:shd w:fill="auto" w:val="clear"/>
        </w:rPr>
        <w:t>Приволжский филиал АО «ТК РусГидро»</w:t>
        <w:tab/>
        <w:t>445350, Российская Федерация, Самарская обл., г. Жигулевск, Московское шоссе, 2</w:t>
      </w:r>
    </w:p>
    <w:p>
      <w:pPr>
        <w:pStyle w:val="ListParagraph"/>
        <w:widowControl w:val="false"/>
        <w:numPr>
          <w:ilvl w:val="0"/>
          <w:numId w:val="20"/>
        </w:numPr>
        <w:tabs>
          <w:tab w:val="clear" w:pos="709"/>
          <w:tab w:val="left" w:pos="426" w:leader="none"/>
        </w:tabs>
        <w:spacing w:before="120" w:after="240"/>
        <w:ind w:hanging="284" w:left="284"/>
        <w:contextualSpacing/>
        <w:rPr>
          <w:rStyle w:val="Style11"/>
          <w:b w:val="false"/>
          <w:i w:val="false"/>
          <w:i w:val="false"/>
          <w:szCs w:val="24"/>
          <w:shd w:fill="auto" w:val="clear"/>
        </w:rPr>
      </w:pPr>
      <w:r>
        <w:rPr>
          <w:rStyle w:val="Style11"/>
          <w:b w:val="false"/>
          <w:i w:val="false"/>
          <w:szCs w:val="24"/>
          <w:shd w:fill="auto" w:val="clear"/>
        </w:rPr>
        <w:t>Саяно-Шушенский филиал АО «ТК РусГидро»</w:t>
        <w:tab/>
        <w:t>655619, Российская Федерация, Республика Хакасия, г.  Саяногорск, рп. Черемушки, Саяно-Шушенская ГЭС</w:t>
      </w:r>
    </w:p>
    <w:p>
      <w:pPr>
        <w:pStyle w:val="ListParagraph"/>
        <w:widowControl w:val="false"/>
        <w:numPr>
          <w:ilvl w:val="0"/>
          <w:numId w:val="20"/>
        </w:numPr>
        <w:tabs>
          <w:tab w:val="clear" w:pos="709"/>
          <w:tab w:val="left" w:pos="426" w:leader="none"/>
        </w:tabs>
        <w:spacing w:before="120" w:after="240"/>
        <w:ind w:hanging="284" w:left="284"/>
        <w:contextualSpacing/>
        <w:rPr>
          <w:rStyle w:val="Style11"/>
          <w:b w:val="false"/>
          <w:i w:val="false"/>
          <w:i w:val="false"/>
          <w:szCs w:val="24"/>
          <w:shd w:fill="auto" w:val="clear"/>
        </w:rPr>
      </w:pPr>
      <w:r>
        <w:rPr>
          <w:rStyle w:val="Style11"/>
          <w:b w:val="false"/>
          <w:i w:val="false"/>
          <w:szCs w:val="24"/>
          <w:shd w:fill="auto" w:val="clear"/>
        </w:rPr>
        <w:t>Дальневосточный филиал АО «ТК РусГидро»</w:t>
        <w:tab/>
        <w:t>680021, Хабаровский край, Хабаровск город, Ленинградская улица, дом 46</w:t>
      </w:r>
    </w:p>
    <w:p>
      <w:pPr>
        <w:pStyle w:val="ListParagraph"/>
        <w:widowControl w:val="false"/>
        <w:numPr>
          <w:ilvl w:val="0"/>
          <w:numId w:val="20"/>
        </w:numPr>
        <w:tabs>
          <w:tab w:val="clear" w:pos="709"/>
          <w:tab w:val="left" w:pos="426" w:leader="none"/>
        </w:tabs>
        <w:spacing w:before="120" w:after="240"/>
        <w:ind w:hanging="284" w:left="284"/>
        <w:contextualSpacing/>
        <w:rPr>
          <w:rStyle w:val="Style11"/>
          <w:b w:val="false"/>
          <w:i w:val="false"/>
          <w:i w:val="false"/>
          <w:szCs w:val="24"/>
          <w:shd w:fill="auto" w:val="clear"/>
        </w:rPr>
      </w:pPr>
      <w:r>
        <w:rPr>
          <w:rStyle w:val="Style11"/>
          <w:b w:val="false"/>
          <w:i w:val="false"/>
          <w:szCs w:val="24"/>
          <w:shd w:fill="auto" w:val="clear"/>
        </w:rPr>
        <w:t>Владивостокское представительство АО «ТК РусГидро»</w:t>
        <w:tab/>
        <w:t>690090, Российская Федерация, г. Владивосток, ул. Западная, д. 39</w:t>
      </w:r>
    </w:p>
    <w:p>
      <w:pPr>
        <w:pStyle w:val="ListParagraph"/>
        <w:widowControl w:val="false"/>
        <w:numPr>
          <w:ilvl w:val="0"/>
          <w:numId w:val="20"/>
        </w:numPr>
        <w:tabs>
          <w:tab w:val="clear" w:pos="709"/>
          <w:tab w:val="left" w:pos="426" w:leader="none"/>
        </w:tabs>
        <w:spacing w:before="120" w:after="240"/>
        <w:ind w:hanging="284" w:left="284"/>
        <w:contextualSpacing/>
        <w:rPr>
          <w:rStyle w:val="Style11"/>
          <w:b w:val="false"/>
          <w:i w:val="false"/>
          <w:i w:val="false"/>
          <w:szCs w:val="24"/>
          <w:shd w:fill="auto" w:val="clear"/>
        </w:rPr>
      </w:pPr>
      <w:r>
        <w:rPr>
          <w:rStyle w:val="Style11"/>
          <w:b w:val="false"/>
          <w:i w:val="false"/>
          <w:szCs w:val="24"/>
          <w:shd w:fill="auto" w:val="clear"/>
        </w:rPr>
        <w:t>Камчатский филиал АО «ТК РусГидро»</w:t>
        <w:tab/>
        <w:t>6830032, Российская Федерация, Камчатский край, г. Петропавловск-Камчатский, ул. Пограничная, д. 14</w:t>
      </w:r>
    </w:p>
    <w:p>
      <w:pPr>
        <w:pStyle w:val="Normal"/>
        <w:keepNext w:val="true"/>
        <w:keepLines/>
        <w:numPr>
          <w:ilvl w:val="0"/>
          <w:numId w:val="1"/>
        </w:numPr>
        <w:spacing w:lineRule="auto" w:line="240" w:before="120" w:after="60"/>
        <w:ind w:hanging="357" w:left="357"/>
        <w:jc w:val="center"/>
        <w:outlineLvl w:val="0"/>
        <w:rPr>
          <w:rFonts w:ascii="Times New Roman" w:hAnsi="Times New Roman"/>
          <w:b/>
          <w:bCs/>
          <w:sz w:val="24"/>
          <w:szCs w:val="24"/>
        </w:rPr>
      </w:pPr>
      <w:bookmarkStart w:id="16" w:name="_Toc241654342"/>
      <w:r>
        <w:rPr>
          <w:rFonts w:ascii="Times New Roman" w:hAnsi="Times New Roman"/>
          <w:b/>
          <w:bCs/>
          <w:sz w:val="24"/>
          <w:szCs w:val="24"/>
        </w:rPr>
        <w:t>Требования к услуге</w:t>
      </w:r>
      <w:bookmarkEnd w:id="16"/>
    </w:p>
    <w:p>
      <w:pPr>
        <w:pStyle w:val="Normal"/>
        <w:keepNext w:val="true"/>
        <w:numPr>
          <w:ilvl w:val="1"/>
          <w:numId w:val="1"/>
        </w:numPr>
        <w:spacing w:lineRule="auto" w:line="240" w:before="120" w:after="60"/>
        <w:outlineLvl w:val="3"/>
        <w:rPr>
          <w:rFonts w:ascii="Times New Roman" w:hAnsi="Times New Roman"/>
          <w:b/>
          <w:bCs/>
          <w:sz w:val="24"/>
          <w:szCs w:val="24"/>
        </w:rPr>
      </w:pPr>
      <w:bookmarkStart w:id="17" w:name="_Toc241654343"/>
      <w:r>
        <w:rPr>
          <w:rFonts w:ascii="Times New Roman" w:hAnsi="Times New Roman"/>
          <w:b/>
          <w:bCs/>
          <w:sz w:val="24"/>
          <w:szCs w:val="24"/>
        </w:rPr>
        <w:t>Требования к объемам и срокам оказания услуг</w:t>
      </w:r>
      <w:bookmarkEnd w:id="17"/>
    </w:p>
    <w:p>
      <w:pPr>
        <w:pStyle w:val="Normal"/>
        <w:keepNext w:val="true"/>
        <w:numPr>
          <w:ilvl w:val="0"/>
          <w:numId w:val="0"/>
        </w:numPr>
        <w:spacing w:lineRule="auto" w:line="240" w:before="120" w:after="60"/>
        <w:ind w:firstLine="432" w:left="0"/>
        <w:outlineLvl w:val="3"/>
        <w:rPr>
          <w:rFonts w:ascii="Times New Roman" w:hAnsi="Times New Roman"/>
          <w:b/>
          <w:bCs/>
          <w:sz w:val="24"/>
          <w:szCs w:val="24"/>
        </w:rPr>
      </w:pPr>
      <w:bookmarkStart w:id="18" w:name="_Toc241654344"/>
      <w:r>
        <w:rPr>
          <w:rFonts w:ascii="Times New Roman" w:hAnsi="Times New Roman"/>
          <w:b/>
          <w:bCs/>
          <w:sz w:val="24"/>
          <w:szCs w:val="24"/>
        </w:rPr>
        <w:t xml:space="preserve">2.1.1 </w:t>
      </w:r>
      <w:bookmarkStart w:id="19" w:name="_Toc54643704"/>
      <w:r>
        <w:rPr>
          <w:rFonts w:ascii="Times New Roman" w:hAnsi="Times New Roman"/>
          <w:b/>
          <w:bCs/>
          <w:sz w:val="24"/>
          <w:szCs w:val="24"/>
        </w:rPr>
        <w:t>Требования к перечню и объему услуг</w:t>
      </w:r>
      <w:bookmarkEnd w:id="18"/>
      <w:bookmarkEnd w:id="19"/>
    </w:p>
    <w:p>
      <w:pPr>
        <w:pStyle w:val="Heading1"/>
        <w:keepLines/>
        <w:numPr>
          <w:ilvl w:val="0"/>
          <w:numId w:val="0"/>
        </w:numPr>
        <w:spacing w:before="240" w:after="60"/>
        <w:ind w:hanging="0" w:left="0"/>
        <w:rPr>
          <w:sz w:val="24"/>
          <w:szCs w:val="24"/>
        </w:rPr>
      </w:pPr>
      <w:bookmarkStart w:id="20" w:name="_Toc54643705"/>
      <w:bookmarkStart w:id="21" w:name="_Toc241654345"/>
      <w:bookmarkStart w:id="22" w:name="_Toc51339695"/>
      <w:r>
        <w:rPr>
          <w:sz w:val="24"/>
          <w:szCs w:val="24"/>
        </w:rPr>
        <w:t xml:space="preserve">Таблица 2. Перечень </w:t>
      </w:r>
      <w:bookmarkEnd w:id="22"/>
      <w:r>
        <w:rPr>
          <w:sz w:val="24"/>
          <w:szCs w:val="24"/>
        </w:rPr>
        <w:t>и объем оказываемых услуг</w:t>
      </w:r>
      <w:bookmarkEnd w:id="20"/>
      <w:bookmarkEnd w:id="21"/>
    </w:p>
    <w:p>
      <w:pPr>
        <w:pStyle w:val="Normal"/>
        <w:widowControl w:val="false"/>
        <w:tabs>
          <w:tab w:val="clear" w:pos="709"/>
          <w:tab w:val="left" w:pos="426" w:leader="none"/>
        </w:tabs>
        <w:spacing w:lineRule="auto" w:line="240" w:before="120" w:after="120"/>
        <w:ind w:firstLine="142"/>
        <w:rPr>
          <w:rFonts w:ascii="Times New Roman" w:hAnsi="Times New Roman"/>
          <w:sz w:val="24"/>
          <w:szCs w:val="24"/>
          <w:shd w:fill="FFFF99" w:val="clear"/>
        </w:rPr>
      </w:pPr>
      <w:r>
        <w:rPr>
          <w:rFonts w:ascii="Times New Roman" w:hAnsi="Times New Roman"/>
          <w:sz w:val="24"/>
          <w:szCs w:val="24"/>
          <w:shd w:fill="FFFF99" w:val="clear"/>
        </w:rPr>
      </w:r>
    </w:p>
    <w:tbl>
      <w:tblPr>
        <w:tblW w:w="9810" w:type="dxa"/>
        <w:jc w:val="left"/>
        <w:tblInd w:w="221" w:type="dxa"/>
        <w:tblLayout w:type="fixed"/>
        <w:tblCellMar>
          <w:top w:w="0" w:type="dxa"/>
          <w:left w:w="108" w:type="dxa"/>
          <w:bottom w:w="0" w:type="dxa"/>
          <w:right w:w="108" w:type="dxa"/>
        </w:tblCellMar>
        <w:tblLook w:val="04a0" w:noHBand="0" w:noVBand="1" w:firstColumn="1" w:lastRow="0" w:lastColumn="0" w:firstRow="1"/>
      </w:tblPr>
      <w:tblGrid>
        <w:gridCol w:w="849"/>
        <w:gridCol w:w="4849"/>
        <w:gridCol w:w="1992"/>
        <w:gridCol w:w="2119"/>
      </w:tblGrid>
      <w:tr>
        <w:trPr/>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п/п</w:t>
            </w:r>
          </w:p>
        </w:tc>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Наименование услуг / этапа услуг</w:t>
            </w:r>
          </w:p>
        </w:tc>
        <w:tc>
          <w:tcPr>
            <w:tcW w:w="199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Единица измерения</w:t>
            </w:r>
          </w:p>
        </w:tc>
        <w:tc>
          <w:tcPr>
            <w:tcW w:w="211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Количество</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w:t>
            </w:r>
          </w:p>
        </w:tc>
        <w:tc>
          <w:tcPr>
            <w:tcW w:w="484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w:t>
            </w:r>
          </w:p>
        </w:tc>
        <w:tc>
          <w:tcPr>
            <w:tcW w:w="1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3</w:t>
            </w:r>
          </w:p>
        </w:tc>
        <w:tc>
          <w:tcPr>
            <w:tcW w:w="21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4</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spacing w:lineRule="auto" w:line="240" w:before="0" w:after="0"/>
              <w:contextualSpacing/>
              <w:rPr>
                <w:rFonts w:ascii="Times New Roman" w:hAnsi="Times New Roman"/>
                <w:sz w:val="24"/>
                <w:szCs w:val="24"/>
              </w:rPr>
            </w:pPr>
            <w:r>
              <w:rPr>
                <w:rFonts w:ascii="Times New Roman" w:hAnsi="Times New Roman"/>
                <w:sz w:val="24"/>
                <w:szCs w:val="24"/>
              </w:rPr>
            </w:r>
          </w:p>
        </w:tc>
        <w:tc>
          <w:tcPr>
            <w:tcW w:w="4849"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0" w:after="0"/>
              <w:rPr>
                <w:rFonts w:ascii="Times New Roman" w:hAnsi="Times New Roman"/>
                <w:sz w:val="24"/>
                <w:szCs w:val="24"/>
              </w:rPr>
            </w:pPr>
            <w:r>
              <w:rPr>
                <w:rFonts w:ascii="Times New Roman" w:hAnsi="Times New Roman"/>
                <w:sz w:val="24"/>
                <w:szCs w:val="24"/>
              </w:rPr>
              <w:t>ОКПД 2: 62.01 — Услуги по сопровождению компьютерных систем («1С: Бухгалтерия предприятия КОРП + БИТ.ФИНАНС.УУ»,«1С: Зарплата и управление персоналом», в том числе интеграции с «1С: Управление автотранспортом ПРОФ») для нужд АО «ТК РусГидро»</w:t>
            </w:r>
          </w:p>
        </w:tc>
        <w:tc>
          <w:tcPr>
            <w:tcW w:w="1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условная единица</w:t>
            </w:r>
          </w:p>
        </w:tc>
        <w:tc>
          <w:tcPr>
            <w:tcW w:w="21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w:t>
            </w:r>
          </w:p>
        </w:tc>
      </w:tr>
    </w:tbl>
    <w:p>
      <w:pPr>
        <w:pStyle w:val="Normal"/>
        <w:widowControl w:val="false"/>
        <w:tabs>
          <w:tab w:val="clear" w:pos="709"/>
          <w:tab w:val="left" w:pos="426" w:leader="none"/>
        </w:tabs>
        <w:spacing w:lineRule="auto" w:line="240" w:before="120" w:after="120"/>
        <w:ind w:firstLine="142"/>
        <w:rPr>
          <w:rFonts w:ascii="Times New Roman" w:hAnsi="Times New Roman"/>
          <w:sz w:val="24"/>
          <w:szCs w:val="24"/>
          <w:shd w:fill="FFFF99" w:val="clear"/>
        </w:rPr>
      </w:pPr>
      <w:r>
        <w:rPr>
          <w:rFonts w:ascii="Times New Roman" w:hAnsi="Times New Roman"/>
          <w:sz w:val="24"/>
          <w:szCs w:val="24"/>
          <w:shd w:fill="FFFF99" w:val="clear"/>
        </w:rPr>
      </w:r>
    </w:p>
    <w:p>
      <w:pPr>
        <w:pStyle w:val="Normal"/>
        <w:rPr>
          <w:rFonts w:ascii="Times New Roman" w:hAnsi="Times New Roman"/>
          <w:sz w:val="24"/>
          <w:szCs w:val="24"/>
          <w:shd w:fill="FFFF99" w:val="clear"/>
        </w:rPr>
      </w:pPr>
      <w:r>
        <w:rPr>
          <w:rFonts w:ascii="Times New Roman" w:hAnsi="Times New Roman"/>
          <w:sz w:val="24"/>
          <w:szCs w:val="24"/>
          <w:shd w:fill="FFFF99" w:val="clear"/>
        </w:rPr>
      </w:r>
      <w:r>
        <w:br w:type="page"/>
      </w:r>
    </w:p>
    <w:p>
      <w:pPr>
        <w:pStyle w:val="ListParagraph"/>
        <w:keepNext w:val="true"/>
        <w:numPr>
          <w:ilvl w:val="2"/>
          <w:numId w:val="22"/>
        </w:numPr>
        <w:spacing w:before="120" w:after="60"/>
        <w:contextualSpacing/>
        <w:outlineLvl w:val="2"/>
        <w:rPr>
          <w:b/>
          <w:bCs/>
          <w:szCs w:val="24"/>
        </w:rPr>
      </w:pPr>
      <w:bookmarkStart w:id="23" w:name="_Toc241654346"/>
      <w:r>
        <w:rPr>
          <w:b/>
          <w:bCs/>
          <w:szCs w:val="24"/>
        </w:rPr>
        <w:t>Требования к срокам оказания услуг</w:t>
      </w:r>
      <w:bookmarkEnd w:id="23"/>
    </w:p>
    <w:p>
      <w:pPr>
        <w:pStyle w:val="Normal"/>
        <w:keepNext w:val="true"/>
        <w:keepLines/>
        <w:numPr>
          <w:ilvl w:val="0"/>
          <w:numId w:val="0"/>
        </w:numPr>
        <w:spacing w:lineRule="auto" w:line="240" w:before="240" w:after="60"/>
        <w:ind w:hanging="0" w:left="0"/>
        <w:outlineLvl w:val="0"/>
        <w:rPr>
          <w:rFonts w:ascii="Times New Roman" w:hAnsi="Times New Roman"/>
          <w:b/>
          <w:bCs/>
          <w:sz w:val="24"/>
          <w:szCs w:val="24"/>
        </w:rPr>
      </w:pPr>
      <w:bookmarkStart w:id="24" w:name="_Toc241654347"/>
      <w:r>
        <w:rPr>
          <w:rFonts w:ascii="Times New Roman" w:hAnsi="Times New Roman"/>
          <w:b/>
          <w:bCs/>
          <w:sz w:val="24"/>
          <w:szCs w:val="24"/>
        </w:rPr>
        <w:t xml:space="preserve">Таблица 3. </w:t>
      </w:r>
      <w:bookmarkStart w:id="25" w:name="_Hlk50465284"/>
      <w:r>
        <w:rPr>
          <w:rFonts w:ascii="Times New Roman" w:hAnsi="Times New Roman"/>
          <w:b/>
          <w:bCs/>
          <w:sz w:val="24"/>
          <w:szCs w:val="24"/>
        </w:rPr>
        <w:t xml:space="preserve">Требования к срокам </w:t>
      </w:r>
      <w:bookmarkEnd w:id="25"/>
      <w:r>
        <w:rPr>
          <w:rFonts w:ascii="Times New Roman" w:hAnsi="Times New Roman"/>
          <w:b/>
          <w:bCs/>
          <w:sz w:val="24"/>
          <w:szCs w:val="24"/>
        </w:rPr>
        <w:t>оказания услуг</w:t>
      </w:r>
      <w:bookmarkEnd w:id="24"/>
    </w:p>
    <w:p>
      <w:pPr>
        <w:pStyle w:val="Normal"/>
        <w:widowControl w:val="false"/>
        <w:tabs>
          <w:tab w:val="clear" w:pos="709"/>
          <w:tab w:val="left" w:pos="426" w:leader="none"/>
        </w:tabs>
        <w:spacing w:lineRule="auto" w:line="240" w:before="120" w:after="120"/>
        <w:jc w:val="both"/>
        <w:rPr>
          <w:rFonts w:ascii="Times New Roman" w:hAnsi="Times New Roman"/>
          <w:sz w:val="24"/>
          <w:szCs w:val="24"/>
          <w:shd w:fill="FFFF99" w:val="clear"/>
        </w:rPr>
      </w:pPr>
      <w:r>
        <w:rPr>
          <w:rFonts w:ascii="Times New Roman" w:hAnsi="Times New Roman"/>
          <w:sz w:val="24"/>
          <w:szCs w:val="24"/>
          <w:shd w:fill="FFFF99" w:val="clear"/>
        </w:rPr>
      </w:r>
    </w:p>
    <w:tbl>
      <w:tblPr>
        <w:tblW w:w="9776"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698"/>
        <w:gridCol w:w="4973"/>
        <w:gridCol w:w="2126"/>
        <w:gridCol w:w="1978"/>
      </w:tblGrid>
      <w:tr>
        <w:trPr/>
        <w:tc>
          <w:tcPr>
            <w:tcW w:w="6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п/п</w:t>
            </w:r>
          </w:p>
        </w:tc>
        <w:tc>
          <w:tcPr>
            <w:tcW w:w="49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Наименование услуг/ этапа услуг</w:t>
            </w:r>
          </w:p>
        </w:tc>
        <w:tc>
          <w:tcPr>
            <w:tcW w:w="212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Требования к началу срока оказания услуг/ этапа услуг</w:t>
            </w:r>
          </w:p>
        </w:tc>
        <w:tc>
          <w:tcPr>
            <w:tcW w:w="19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Требования к окончанию срока оказания услуг / этапа услуг</w:t>
            </w:r>
          </w:p>
        </w:tc>
      </w:tr>
      <w:tr>
        <w:trPr/>
        <w:tc>
          <w:tcPr>
            <w:tcW w:w="6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w:t>
            </w:r>
          </w:p>
        </w:tc>
        <w:tc>
          <w:tcPr>
            <w:tcW w:w="4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0" w:after="40"/>
              <w:ind w:left="57" w:right="57"/>
              <w:jc w:val="center"/>
              <w:rPr>
                <w:rFonts w:ascii="Times New Roman" w:hAnsi="Times New Roman"/>
                <w:sz w:val="24"/>
                <w:szCs w:val="24"/>
              </w:rPr>
            </w:pPr>
            <w:r>
              <w:rPr>
                <w:rFonts w:ascii="Times New Roman" w:hAnsi="Times New Roman"/>
                <w:sz w:val="24"/>
                <w:szCs w:val="24"/>
              </w:rPr>
              <w:t>3</w:t>
            </w:r>
          </w:p>
        </w:tc>
        <w:tc>
          <w:tcPr>
            <w:tcW w:w="19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0" w:after="40"/>
              <w:ind w:left="57" w:right="57"/>
              <w:jc w:val="center"/>
              <w:rPr>
                <w:rFonts w:ascii="Times New Roman" w:hAnsi="Times New Roman"/>
                <w:sz w:val="24"/>
                <w:szCs w:val="24"/>
              </w:rPr>
            </w:pPr>
            <w:r>
              <w:rPr>
                <w:rFonts w:ascii="Times New Roman" w:hAnsi="Times New Roman"/>
                <w:sz w:val="24"/>
                <w:szCs w:val="24"/>
              </w:rPr>
              <w:t>4</w:t>
            </w:r>
          </w:p>
        </w:tc>
      </w:tr>
      <w:tr>
        <w:trPr/>
        <w:tc>
          <w:tcPr>
            <w:tcW w:w="698"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6"/>
              </w:numPr>
              <w:spacing w:lineRule="auto" w:line="240" w:before="0" w:after="0"/>
              <w:contextualSpacing/>
              <w:rPr>
                <w:rFonts w:ascii="Times New Roman" w:hAnsi="Times New Roman"/>
                <w:sz w:val="24"/>
                <w:szCs w:val="24"/>
              </w:rPr>
            </w:pPr>
            <w:r>
              <w:rPr>
                <w:rFonts w:ascii="Times New Roman" w:hAnsi="Times New Roman"/>
                <w:sz w:val="24"/>
                <w:szCs w:val="24"/>
              </w:rPr>
            </w:r>
          </w:p>
        </w:tc>
        <w:tc>
          <w:tcPr>
            <w:tcW w:w="4973"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0" w:after="0"/>
              <w:rPr>
                <w:rFonts w:ascii="Times New Roman" w:hAnsi="Times New Roman"/>
                <w:sz w:val="24"/>
                <w:szCs w:val="24"/>
              </w:rPr>
            </w:pPr>
            <w:r>
              <w:rPr>
                <w:rFonts w:ascii="Times New Roman" w:hAnsi="Times New Roman"/>
                <w:sz w:val="24"/>
                <w:szCs w:val="24"/>
              </w:rPr>
              <w:t>ОКПД 2: 62.01 — Услуги по сопровождению компьютерных систем («1С: Бухгалтерия предприятия КОРП + БИТ.ФИНАНС.УУ»,«1С: Зарплата и управление персоналом», в том числе интеграции с «1С: Управление автотранспортом ПРОФ») для нужд АО «ТК РусГидро»</w:t>
            </w:r>
          </w:p>
        </w:tc>
        <w:tc>
          <w:tcPr>
            <w:tcW w:w="212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01.01.2027</w:t>
            </w:r>
          </w:p>
        </w:tc>
        <w:tc>
          <w:tcPr>
            <w:tcW w:w="19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31.12.2027</w:t>
            </w:r>
          </w:p>
        </w:tc>
      </w:tr>
    </w:tbl>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100" w:charSpace="24576"/>
        </w:sectPr>
      </w:pPr>
    </w:p>
    <w:p>
      <w:pPr>
        <w:pStyle w:val="Normal"/>
        <w:keepNext w:val="true"/>
        <w:numPr>
          <w:ilvl w:val="1"/>
          <w:numId w:val="1"/>
        </w:numPr>
        <w:spacing w:lineRule="auto" w:line="240" w:before="120" w:after="60"/>
        <w:outlineLvl w:val="3"/>
        <w:rPr>
          <w:rFonts w:ascii="Times New Roman" w:hAnsi="Times New Roman"/>
          <w:b/>
          <w:sz w:val="24"/>
          <w:szCs w:val="24"/>
        </w:rPr>
      </w:pPr>
      <w:bookmarkStart w:id="26" w:name="_Toc241654348"/>
      <w:r>
        <w:rPr>
          <w:rFonts w:ascii="Times New Roman" w:hAnsi="Times New Roman"/>
          <w:b/>
          <w:sz w:val="24"/>
          <w:szCs w:val="24"/>
        </w:rPr>
        <w:t>Требования к качеству услуг</w:t>
      </w:r>
      <w:bookmarkEnd w:id="26"/>
    </w:p>
    <w:p>
      <w:pPr>
        <w:pStyle w:val="Normal"/>
        <w:keepNext w:val="true"/>
        <w:keepLines/>
        <w:numPr>
          <w:ilvl w:val="0"/>
          <w:numId w:val="0"/>
        </w:numPr>
        <w:spacing w:lineRule="auto" w:line="240" w:before="240" w:after="60"/>
        <w:ind w:hanging="0" w:left="0"/>
        <w:outlineLvl w:val="0"/>
        <w:rPr>
          <w:rFonts w:ascii="Times New Roman" w:hAnsi="Times New Roman"/>
          <w:b/>
          <w:sz w:val="24"/>
          <w:szCs w:val="24"/>
        </w:rPr>
      </w:pPr>
      <w:bookmarkStart w:id="27" w:name="_Toc241654349"/>
      <w:r>
        <w:rPr>
          <w:rFonts w:ascii="Times New Roman" w:hAnsi="Times New Roman"/>
          <w:b/>
          <w:sz w:val="24"/>
          <w:szCs w:val="24"/>
        </w:rPr>
        <w:t>Таблица 4. Требования к качеству услуг</w:t>
      </w:r>
      <w:bookmarkEnd w:id="27"/>
      <w:r>
        <w:rPr>
          <w:rFonts w:ascii="Times New Roman" w:hAnsi="Times New Roman"/>
          <w:b/>
          <w:sz w:val="24"/>
          <w:szCs w:val="24"/>
        </w:rPr>
        <w:t xml:space="preserve"> </w:t>
      </w:r>
    </w:p>
    <w:p>
      <w:pPr>
        <w:pStyle w:val="Normal"/>
        <w:rPr>
          <w:rFonts w:ascii="Times New Roman" w:hAnsi="Times New Roman"/>
          <w:sz w:val="24"/>
          <w:szCs w:val="24"/>
          <w:shd w:fill="FFFF99" w:val="clear"/>
        </w:rPr>
      </w:pPr>
      <w:r>
        <w:rPr>
          <w:rFonts w:ascii="Times New Roman" w:hAnsi="Times New Roman"/>
          <w:b/>
          <w:bCs/>
          <w:sz w:val="24"/>
          <w:szCs w:val="24"/>
        </w:rPr>
        <w:t xml:space="preserve">Наименование услуг/этапа услуг ( позиция № 1 Таблицы 2):  </w:t>
      </w:r>
      <w:r>
        <w:rPr>
          <w:rFonts w:ascii="Times New Roman" w:hAnsi="Times New Roman"/>
          <w:bCs/>
          <w:sz w:val="24"/>
          <w:szCs w:val="24"/>
        </w:rPr>
        <w:t>62.01: Услуги по сопровождению компьютерных систем («1С: Бухгалтерия предприятия КОРП + БИТ.ФИНАНС.УУ», «1С: Зарплата и управление персоналом», в том числе интеграции с «1С: Управление автотранспортом ПРОФ») для нужд АО «ТК РусГидро» .</w:t>
      </w:r>
    </w:p>
    <w:tbl>
      <w:tblPr>
        <w:tblStyle w:val="aff5"/>
        <w:tblW w:w="16020" w:type="dxa"/>
        <w:jc w:val="left"/>
        <w:tblInd w:w="-431" w:type="dxa"/>
        <w:tblLayout w:type="fixed"/>
        <w:tblCellMar>
          <w:top w:w="0" w:type="dxa"/>
          <w:left w:w="108" w:type="dxa"/>
          <w:bottom w:w="0" w:type="dxa"/>
          <w:right w:w="108" w:type="dxa"/>
        </w:tblCellMar>
        <w:tblLook w:val="04a0" w:noHBand="0" w:noVBand="1" w:firstColumn="1" w:lastRow="0" w:lastColumn="0" w:firstRow="1"/>
      </w:tblPr>
      <w:tblGrid>
        <w:gridCol w:w="1134"/>
        <w:gridCol w:w="2787"/>
        <w:gridCol w:w="7704"/>
        <w:gridCol w:w="1985"/>
        <w:gridCol w:w="1133"/>
        <w:gridCol w:w="1276"/>
      </w:tblGrid>
      <w:tr>
        <w:trPr/>
        <w:tc>
          <w:tcPr>
            <w:tcW w:w="1134" w:type="dxa"/>
            <w:vMerge w:val="restart"/>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 xml:space="preserve">№ </w:t>
            </w:r>
            <w:r>
              <w:rPr>
                <w:rFonts w:eastAsia="Times New Roman" w:cs="Times New Roman" w:ascii="Times New Roman" w:hAnsi="Times New Roman"/>
                <w:color w:val="000000"/>
                <w:kern w:val="0"/>
                <w:sz w:val="24"/>
                <w:szCs w:val="24"/>
                <w:lang w:val="ru-RU" w:eastAsia="ru-RU" w:bidi="ar-SA"/>
              </w:rPr>
              <w:t>п/п</w:t>
            </w:r>
          </w:p>
        </w:tc>
        <w:tc>
          <w:tcPr>
            <w:tcW w:w="2787" w:type="dxa"/>
            <w:vMerge w:val="restart"/>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Наименование параметра</w:t>
            </w:r>
          </w:p>
        </w:tc>
        <w:tc>
          <w:tcPr>
            <w:tcW w:w="7704" w:type="dxa"/>
            <w:vMerge w:val="restart"/>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Требование заказчика</w:t>
            </w:r>
          </w:p>
        </w:tc>
        <w:tc>
          <w:tcPr>
            <w:tcW w:w="3118" w:type="dxa"/>
            <w:gridSpan w:val="2"/>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Способ подтверждения участником соответствия требованиям</w:t>
            </w:r>
          </w:p>
        </w:tc>
        <w:tc>
          <w:tcPr>
            <w:tcW w:w="1276" w:type="dxa"/>
            <w:tcBorders/>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Предложение участника по характеристикам и параметрам</w:t>
            </w:r>
          </w:p>
        </w:tc>
      </w:tr>
      <w:tr>
        <w:trPr/>
        <w:tc>
          <w:tcPr>
            <w:tcW w:w="1134" w:type="dxa"/>
            <w:vMerge w:val="continue"/>
            <w:tcBorders/>
            <w:vAlign w:val="center"/>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2787" w:type="dxa"/>
            <w:vMerge w:val="continue"/>
            <w:tcBorders/>
            <w:vAlign w:val="center"/>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7704" w:type="dxa"/>
            <w:vMerge w:val="continue"/>
            <w:tcBorders/>
            <w:vAlign w:val="center"/>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985" w:type="dxa"/>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Согласие с требованием/ указание характеристик</w:t>
            </w:r>
          </w:p>
        </w:tc>
        <w:tc>
          <w:tcPr>
            <w:tcW w:w="1133" w:type="dxa"/>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Предоставление подтверждающего документа или иной способ подтверждения</w:t>
            </w:r>
          </w:p>
        </w:tc>
        <w:tc>
          <w:tcPr>
            <w:tcW w:w="1276" w:type="dxa"/>
            <w:tcBorders/>
          </w:tcPr>
          <w:p>
            <w:pPr>
              <w:pStyle w:val="Normal"/>
              <w:widowControl/>
              <w:suppressAutoHyphens w:val="true"/>
              <w:spacing w:lineRule="auto" w:line="240" w:before="0" w:after="0"/>
              <w:jc w:val="center"/>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1</w:t>
            </w:r>
          </w:p>
        </w:tc>
        <w:tc>
          <w:tcPr>
            <w:tcW w:w="2787" w:type="dxa"/>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2</w:t>
            </w:r>
          </w:p>
        </w:tc>
        <w:tc>
          <w:tcPr>
            <w:tcW w:w="7704" w:type="dxa"/>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3</w:t>
            </w:r>
          </w:p>
        </w:tc>
        <w:tc>
          <w:tcPr>
            <w:tcW w:w="1985" w:type="dxa"/>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4</w:t>
            </w:r>
          </w:p>
        </w:tc>
        <w:tc>
          <w:tcPr>
            <w:tcW w:w="1133" w:type="dxa"/>
            <w:tcBorders/>
            <w:vAlign w:val="center"/>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5</w:t>
            </w:r>
          </w:p>
        </w:tc>
        <w:tc>
          <w:tcPr>
            <w:tcW w:w="1276" w:type="dxa"/>
            <w:tcBorders/>
          </w:tcPr>
          <w:p>
            <w:pPr>
              <w:pStyle w:val="Normal"/>
              <w:widowControl/>
              <w:suppressAutoHyphens w:val="true"/>
              <w:spacing w:lineRule="auto" w:line="240" w:before="0" w:after="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6</w:t>
            </w:r>
          </w:p>
        </w:tc>
      </w:tr>
      <w:tr>
        <w:trPr/>
        <w:tc>
          <w:tcPr>
            <w:tcW w:w="1134" w:type="dxa"/>
            <w:tcBorders/>
            <w:vAlign w:val="center"/>
          </w:tcPr>
          <w:p>
            <w:pPr>
              <w:pStyle w:val="ListParagraph"/>
              <w:widowControl/>
              <w:numPr>
                <w:ilvl w:val="3"/>
                <w:numId w:val="20"/>
              </w:numPr>
              <w:suppressAutoHyphens w:val="true"/>
              <w:spacing w:before="60" w:after="60"/>
              <w:ind w:hanging="2423" w:left="2880"/>
              <w:contextualSpacing/>
              <w:jc w:val="left"/>
              <w:rPr>
                <w:szCs w:val="24"/>
              </w:rPr>
            </w:pPr>
            <w:r>
              <w:rPr>
                <w:szCs w:val="24"/>
              </w:rPr>
            </w:r>
          </w:p>
        </w:tc>
        <w:tc>
          <w:tcPr>
            <w:tcW w:w="10491" w:type="dxa"/>
            <w:gridSpan w:val="2"/>
            <w:tcBorders/>
            <w:vAlign w:val="center"/>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оказанию услуг</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c>
          <w:tcPr>
            <w:tcW w:w="1134" w:type="dxa"/>
            <w:tcBorders/>
            <w:vAlign w:val="center"/>
          </w:tcPr>
          <w:p>
            <w:pPr>
              <w:pStyle w:val="ListParagraph"/>
              <w:widowControl/>
              <w:numPr>
                <w:ilvl w:val="1"/>
                <w:numId w:val="6"/>
              </w:numPr>
              <w:suppressAutoHyphens w:val="true"/>
              <w:spacing w:before="60" w:after="60"/>
              <w:contextualSpacing/>
              <w:jc w:val="center"/>
              <w:rPr>
                <w:szCs w:val="24"/>
              </w:rPr>
            </w:pPr>
            <w:r>
              <w:rPr>
                <w:szCs w:val="24"/>
              </w:rPr>
            </w:r>
          </w:p>
        </w:tc>
        <w:tc>
          <w:tcPr>
            <w:tcW w:w="10491" w:type="dxa"/>
            <w:gridSpan w:val="2"/>
            <w:tcBorders/>
            <w:vAlign w:val="center"/>
          </w:tcPr>
          <w:p>
            <w:pPr>
              <w:pStyle w:val="Normal"/>
              <w:widowControl/>
              <w:suppressAutoHyphens w:val="true"/>
              <w:spacing w:lineRule="auto" w:line="240" w:before="60" w:after="6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Общие требования к оказанию услуг</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rHeight w:val="1723" w:hRule="atLeast"/>
        </w:trPr>
        <w:tc>
          <w:tcPr>
            <w:tcW w:w="1134" w:type="dxa"/>
            <w:tcBorders/>
            <w:vAlign w:val="center"/>
          </w:tcPr>
          <w:p>
            <w:pPr>
              <w:pStyle w:val="ListParagraph"/>
              <w:widowControl/>
              <w:numPr>
                <w:ilvl w:val="1"/>
                <w:numId w:val="6"/>
              </w:numPr>
              <w:suppressAutoHyphens w:val="true"/>
              <w:spacing w:before="60" w:after="60"/>
              <w:contextualSpacing/>
              <w:jc w:val="left"/>
              <w:rPr>
                <w:szCs w:val="24"/>
              </w:rPr>
            </w:pPr>
            <w:r>
              <w:rPr>
                <w:szCs w:val="24"/>
              </w:rPr>
            </w:r>
          </w:p>
        </w:tc>
        <w:tc>
          <w:tcPr>
            <w:tcW w:w="2787"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Услуги, оказываемые Исполнителем в рамках технической поддержки системы</w:t>
            </w:r>
          </w:p>
        </w:tc>
        <w:tc>
          <w:tcPr>
            <w:tcW w:w="7704" w:type="dxa"/>
            <w:tcBorders/>
          </w:tcPr>
          <w:p>
            <w:pPr>
              <w:pStyle w:val="211"/>
              <w:widowControl/>
              <w:numPr>
                <w:ilvl w:val="0"/>
                <w:numId w:val="0"/>
              </w:numPr>
              <w:suppressAutoHyphens w:val="true"/>
              <w:spacing w:before="0" w:after="0"/>
              <w:ind w:hanging="0" w:left="-1"/>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Принятие и обработка обращений пользователей Заказчика в КСА СПП;</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Предоставление инструкций и консультирование Заказчика и пользователей Заказчика по вопросам установки и настройке Системы и ее компонентов;</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Проведение установки обновлений ПО Системы;</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Восстановление Системы после фатальных сбоев и аварий;</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Предоставление Заказчику и пользователям Заказчика технической информации по функциональности Системы, в рамках пользовательской документации;</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Анализ и решение Проблем, выявленных в процессе эксплуатации Системы, с последующим формированием базы знаний «известных ошибок» по их устранению;</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Консультации Заказчика по возможностям Системы;</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Решение обращений пользователей Заказчика, касающихся работоспособности Системы и ее компонентов, поступивших через КСА СПП;</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Решение обращений Заказчика пользователей Заказчика, связанных с дополнительной настройкой Системы и ее компонентов;</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Планирование, согласование с Заказчиком и проведение доработок    Системы без изменения основной функциональности;</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 xml:space="preserve"> </w:t>
            </w:r>
            <w:r>
              <w:rPr>
                <w:rFonts w:eastAsia="Times New Roman" w:cs="Times New Roman" w:ascii="Times New Roman" w:hAnsi="Times New Roman"/>
                <w:b w:val="false"/>
                <w:color w:val="000000"/>
                <w:kern w:val="0"/>
                <w:szCs w:val="24"/>
                <w:lang w:val="ru-RU" w:eastAsia="ru-RU" w:bidi="ar-SA"/>
              </w:rPr>
              <w:t>Разработка и применение предложений по альтернативной настройке и применению (workaround) и/или предоставление исправлений (патчей), устраняющих выявленную Проблему.</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Внесение изменений в проект системы, расширяющих функциональность и улучшающих эксплуатационные характеристики;</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Контроль состояния системы;</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Внесение изменений в конфигурацию и настройка системы без изменения основной функциональности;</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Документирование конфигурации и состояния системы;</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Выполнение сервисных запросов пользователей системы;</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Выявление причин возникновения неисправностей и сбоев системы;</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Внесение изменений в проектные решения системы в целях восстановления штатной конфигурации и режима функционирования;</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Оперативное восстановление функционирования системы штатными мерами, предусмотренными проектными решениями;</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Оказание начальной поддержки, консультаций и технической помощи пользователям системы</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985" w:type="dxa"/>
            <w:vMerge w:val="restart"/>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0" w:after="60"/>
              <w:ind w:hanging="0" w:left="0"/>
              <w:jc w:val="left"/>
              <w:outlineLvl w:val="2"/>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ListParagraph"/>
              <w:widowControl/>
              <w:numPr>
                <w:ilvl w:val="1"/>
                <w:numId w:val="6"/>
              </w:numPr>
              <w:suppressAutoHyphens w:val="true"/>
              <w:spacing w:before="60" w:after="60"/>
              <w:contextualSpacing/>
              <w:jc w:val="left"/>
              <w:rPr>
                <w:szCs w:val="24"/>
              </w:rPr>
            </w:pPr>
            <w:r>
              <w:rPr>
                <w:szCs w:val="24"/>
              </w:rPr>
            </w:r>
          </w:p>
        </w:tc>
        <w:tc>
          <w:tcPr>
            <w:tcW w:w="2787"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Автоматизируемые процессы</w:t>
            </w:r>
          </w:p>
        </w:tc>
        <w:tc>
          <w:tcPr>
            <w:tcW w:w="7704" w:type="dxa"/>
            <w:tcBorders/>
          </w:tcPr>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Бухгалтерский и налоговый учет</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Расчет зарплаты, налогов и взносов</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Кадровый учет</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Управленческий учет, планирование и бюджетирование</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Учет доходов и затрат на транспортные средства в рамках существующей аналитики БП+УУ</w:t>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ListParagraph"/>
              <w:widowControl/>
              <w:numPr>
                <w:ilvl w:val="1"/>
                <w:numId w:val="6"/>
              </w:numPr>
              <w:suppressAutoHyphens w:val="true"/>
              <w:spacing w:before="60" w:after="60"/>
              <w:contextualSpacing/>
              <w:jc w:val="left"/>
              <w:rPr>
                <w:szCs w:val="24"/>
              </w:rPr>
            </w:pPr>
            <w:r>
              <w:rPr>
                <w:szCs w:val="24"/>
              </w:rPr>
            </w:r>
          </w:p>
        </w:tc>
        <w:tc>
          <w:tcPr>
            <w:tcW w:w="2787"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Организационный охват (типы организаций – пользователей Услуги)</w:t>
            </w:r>
          </w:p>
        </w:tc>
        <w:tc>
          <w:tcPr>
            <w:tcW w:w="7704" w:type="dxa"/>
            <w:tcBorders/>
          </w:tcPr>
          <w:p>
            <w:pPr>
              <w:pStyle w:val="Normal"/>
              <w:widowControl/>
              <w:suppressAutoHyphens w:val="true"/>
              <w:spacing w:lineRule="auto" w:line="240" w:before="0" w:after="0"/>
              <w:jc w:val="left"/>
              <w:rPr>
                <w:rFonts w:ascii="Times New Roman" w:hAnsi="Times New Roman"/>
                <w:sz w:val="24"/>
                <w:szCs w:val="24"/>
              </w:rPr>
            </w:pPr>
            <w:bookmarkStart w:id="28" w:name="_Toc209783457"/>
            <w:bookmarkStart w:id="29" w:name="_Toc181193770"/>
            <w:bookmarkStart w:id="30" w:name="_Toc181193864"/>
            <w:bookmarkStart w:id="31" w:name="OLE_LINK13"/>
            <w:bookmarkStart w:id="32" w:name="OLE_LINK12"/>
            <w:r>
              <w:rPr>
                <w:rFonts w:eastAsia="Times New Roman" w:cs="Times New Roman" w:ascii="Times New Roman" w:hAnsi="Times New Roman"/>
                <w:color w:val="000000"/>
                <w:kern w:val="0"/>
                <w:sz w:val="24"/>
                <w:szCs w:val="24"/>
                <w:lang w:val="ru-RU" w:eastAsia="ru-RU" w:bidi="ar-SA"/>
              </w:rPr>
              <w:t xml:space="preserve">В рамках настоящих технических требований производится сопровождение следующих объектов автоматизации по </w:t>
            </w:r>
            <w:bookmarkEnd w:id="31"/>
            <w:bookmarkEnd w:id="32"/>
            <w:r>
              <w:rPr>
                <w:rFonts w:eastAsia="Times New Roman" w:cs="Times New Roman" w:ascii="Times New Roman" w:hAnsi="Times New Roman"/>
                <w:color w:val="000000"/>
                <w:kern w:val="0"/>
                <w:sz w:val="24"/>
                <w:szCs w:val="24"/>
                <w:lang w:val="ru-RU" w:eastAsia="ru-RU" w:bidi="ar-SA"/>
              </w:rPr>
              <w:t>бухгалтерскому и налоговому учету, учету затрат на транспортные средства, учету кадров и расчету зарплаты:</w:t>
            </w:r>
            <w:bookmarkEnd w:id="28"/>
            <w:bookmarkEnd w:id="29"/>
            <w:bookmarkEnd w:id="30"/>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Исполнительный аппарат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bookmarkStart w:id="33" w:name="OLE_LINK17"/>
            <w:bookmarkStart w:id="34" w:name="OLE_LINK18"/>
            <w:bookmarkStart w:id="35" w:name="OLE_LINK16"/>
            <w:bookmarkStart w:id="36" w:name="OLE_LINK19"/>
            <w:bookmarkStart w:id="37" w:name="OLE_LINK20"/>
            <w:bookmarkStart w:id="38" w:name="OLE_LINK15"/>
            <w:bookmarkStart w:id="39" w:name="OLE_LINK14"/>
            <w:bookmarkEnd w:id="38"/>
            <w:bookmarkEnd w:id="39"/>
            <w:r>
              <w:rPr>
                <w:rFonts w:eastAsia="Times New Roman" w:cs="Times New Roman" w:ascii="Times New Roman" w:hAnsi="Times New Roman"/>
                <w:color w:val="000000"/>
                <w:kern w:val="0"/>
                <w:sz w:val="24"/>
                <w:szCs w:val="24"/>
                <w:lang w:val="ru-RU" w:eastAsia="ru-RU" w:bidi="ar-SA"/>
              </w:rPr>
              <w:t>Дальневосточный филиал АО «ТК РусГидро»</w:t>
            </w:r>
            <w:bookmarkEnd w:id="33"/>
            <w:bookmarkEnd w:id="34"/>
            <w:bookmarkEnd w:id="35"/>
            <w:bookmarkEnd w:id="36"/>
            <w:bookmarkEnd w:id="37"/>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Владивостокское представительство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Саяно-Шушенский филиал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Приволжский филиал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Южный филиал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Центральный филиал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Камчатский филиал АО «ТК РусГидро»</w:t>
            </w:r>
          </w:p>
          <w:p>
            <w:pPr>
              <w:pStyle w:val="Normal"/>
              <w:widowControl/>
              <w:suppressAutoHyphens w:val="true"/>
              <w:spacing w:lineRule="auto" w:line="240" w:before="0" w:after="0"/>
              <w:jc w:val="both"/>
              <w:rPr>
                <w:rFonts w:ascii="Times New Roman" w:hAnsi="Times New Roman"/>
                <w:sz w:val="24"/>
                <w:szCs w:val="24"/>
              </w:rPr>
            </w:pPr>
            <w:r>
              <w:rPr>
                <w:rFonts w:ascii="Times New Roman" w:hAnsi="Times New Roman"/>
                <w:sz w:val="24"/>
                <w:szCs w:val="24"/>
              </w:rPr>
            </w:r>
          </w:p>
          <w:p>
            <w:pPr>
              <w:pStyle w:val="Normal"/>
              <w:widowControl/>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 рамках настоящих технических требований производится сопровождение следующих объектов автоматизации по бюджетированию:</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Исполнительный аппарат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Дальневосточный филиал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Владивостокское представительство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Саяно-Шушенский филиал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Приволжский филиал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Южный филиал АО «ТК РусГидро»Центральный филиал АО «ТК РусГидро»</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Камчатский филиал АО «ТК РусГидро»</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r>
      <w:tr>
        <w:trPr>
          <w:trHeight w:val="3297" w:hRule="atLeast"/>
        </w:trPr>
        <w:tc>
          <w:tcPr>
            <w:tcW w:w="1134" w:type="dxa"/>
            <w:tcBorders/>
            <w:vAlign w:val="center"/>
          </w:tcPr>
          <w:p>
            <w:pPr>
              <w:pStyle w:val="ListParagraph"/>
              <w:widowControl/>
              <w:numPr>
                <w:ilvl w:val="1"/>
                <w:numId w:val="6"/>
              </w:numPr>
              <w:suppressAutoHyphens w:val="true"/>
              <w:spacing w:before="60" w:after="60"/>
              <w:contextualSpacing/>
              <w:jc w:val="left"/>
              <w:rPr>
                <w:szCs w:val="24"/>
              </w:rPr>
            </w:pPr>
            <w:r>
              <w:rPr>
                <w:szCs w:val="24"/>
              </w:rPr>
            </w:r>
          </w:p>
        </w:tc>
        <w:tc>
          <w:tcPr>
            <w:tcW w:w="2787"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Количество и виды пользователей и особенности работы пользователей с Системой</w:t>
            </w:r>
          </w:p>
        </w:tc>
        <w:tc>
          <w:tcPr>
            <w:tcW w:w="7704" w:type="dxa"/>
            <w:tcBorders/>
          </w:tcPr>
          <w:tbl>
            <w:tblPr>
              <w:tblW w:w="741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736"/>
              <w:gridCol w:w="2694"/>
              <w:gridCol w:w="1985"/>
            </w:tblGrid>
            <w:tr>
              <w:trPr>
                <w:trHeight w:val="401" w:hRule="atLeast"/>
              </w:trPr>
              <w:tc>
                <w:tcPr>
                  <w:tcW w:w="27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sz w:val="24"/>
                      <w:szCs w:val="24"/>
                    </w:rPr>
                  </w:pPr>
                  <w:r>
                    <w:rPr>
                      <w:rFonts w:ascii="Times New Roman" w:hAnsi="Times New Roman"/>
                      <w:sz w:val="24"/>
                      <w:szCs w:val="24"/>
                    </w:rPr>
                    <w:t>Система/подсистема</w:t>
                  </w:r>
                </w:p>
              </w:tc>
              <w:tc>
                <w:tcPr>
                  <w:tcW w:w="26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sz w:val="24"/>
                      <w:szCs w:val="24"/>
                    </w:rPr>
                  </w:pPr>
                  <w:r>
                    <w:rPr>
                      <w:rFonts w:ascii="Times New Roman" w:hAnsi="Times New Roman"/>
                      <w:sz w:val="24"/>
                      <w:szCs w:val="24"/>
                    </w:rPr>
                    <w:t>Организационная единица</w:t>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sz w:val="24"/>
                      <w:szCs w:val="24"/>
                    </w:rPr>
                  </w:pPr>
                  <w:r>
                    <w:rPr>
                      <w:rFonts w:ascii="Times New Roman" w:hAnsi="Times New Roman"/>
                      <w:sz w:val="24"/>
                      <w:szCs w:val="24"/>
                    </w:rPr>
                    <w:t>Количество пользователей</w:t>
                  </w:r>
                </w:p>
              </w:tc>
            </w:tr>
            <w:tr>
              <w:trPr>
                <w:trHeight w:val="845" w:hRule="atLeast"/>
              </w:trPr>
              <w:tc>
                <w:tcPr>
                  <w:tcW w:w="27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211"/>
                    <w:widowControl w:val="false"/>
                    <w:numPr>
                      <w:ilvl w:val="0"/>
                      <w:numId w:val="0"/>
                    </w:numPr>
                    <w:ind w:hanging="0" w:left="0"/>
                    <w:jc w:val="center"/>
                    <w:rPr>
                      <w:rFonts w:ascii="Times New Roman" w:hAnsi="Times New Roman"/>
                      <w:b w:val="false"/>
                      <w:szCs w:val="24"/>
                    </w:rPr>
                  </w:pPr>
                  <w:bookmarkStart w:id="40" w:name="OLE_LINK25"/>
                  <w:bookmarkStart w:id="41" w:name="OLE_LINK26"/>
                  <w:r>
                    <w:rPr>
                      <w:rFonts w:ascii="Times New Roman" w:hAnsi="Times New Roman"/>
                      <w:b w:val="false"/>
                      <w:szCs w:val="24"/>
                    </w:rPr>
                    <w:t>1С:Бухгалтерия предприятия КОРП</w:t>
                  </w:r>
                  <w:bookmarkEnd w:id="40"/>
                  <w:bookmarkEnd w:id="41"/>
                </w:p>
              </w:tc>
              <w:tc>
                <w:tcPr>
                  <w:tcW w:w="26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211"/>
                    <w:widowControl w:val="false"/>
                    <w:numPr>
                      <w:ilvl w:val="0"/>
                      <w:numId w:val="0"/>
                    </w:numPr>
                    <w:ind w:hanging="0" w:left="0"/>
                    <w:jc w:val="center"/>
                    <w:rPr>
                      <w:rFonts w:ascii="Times New Roman" w:hAnsi="Times New Roman"/>
                      <w:b w:val="false"/>
                      <w:szCs w:val="24"/>
                    </w:rPr>
                  </w:pPr>
                  <w:r>
                    <w:rPr>
                      <w:rFonts w:ascii="Times New Roman" w:hAnsi="Times New Roman"/>
                      <w:b w:val="false"/>
                      <w:szCs w:val="24"/>
                    </w:rPr>
                    <w:t>Исполнительный аппарат, Филиалы АО «ТК РусГидро»</w:t>
                  </w:r>
                </w:p>
              </w:tc>
              <w:tc>
                <w:tcPr>
                  <w:tcW w:w="19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211"/>
                    <w:widowControl w:val="false"/>
                    <w:numPr>
                      <w:ilvl w:val="0"/>
                      <w:numId w:val="0"/>
                    </w:numPr>
                    <w:ind w:hanging="0" w:left="0"/>
                    <w:jc w:val="center"/>
                    <w:rPr>
                      <w:rFonts w:ascii="Times New Roman" w:hAnsi="Times New Roman"/>
                      <w:b w:val="false"/>
                      <w:szCs w:val="24"/>
                    </w:rPr>
                  </w:pPr>
                  <w:r>
                    <w:rPr>
                      <w:rFonts w:ascii="Times New Roman" w:hAnsi="Times New Roman"/>
                      <w:b w:val="false"/>
                      <w:szCs w:val="24"/>
                    </w:rPr>
                    <w:t>28</w:t>
                  </w:r>
                </w:p>
              </w:tc>
            </w:tr>
            <w:tr>
              <w:trPr>
                <w:trHeight w:val="845" w:hRule="atLeast"/>
              </w:trPr>
              <w:tc>
                <w:tcPr>
                  <w:tcW w:w="27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211"/>
                    <w:widowControl w:val="false"/>
                    <w:numPr>
                      <w:ilvl w:val="0"/>
                      <w:numId w:val="0"/>
                    </w:numPr>
                    <w:ind w:hanging="0" w:left="0"/>
                    <w:jc w:val="center"/>
                    <w:rPr>
                      <w:rFonts w:ascii="Times New Roman" w:hAnsi="Times New Roman"/>
                      <w:b w:val="false"/>
                      <w:szCs w:val="24"/>
                    </w:rPr>
                  </w:pPr>
                  <w:bookmarkStart w:id="42" w:name="_Hlk419758471"/>
                  <w:bookmarkEnd w:id="42"/>
                  <w:r>
                    <w:rPr>
                      <w:rFonts w:ascii="Times New Roman" w:hAnsi="Times New Roman"/>
                      <w:b w:val="false"/>
                      <w:szCs w:val="24"/>
                    </w:rPr>
                    <w:t>1С:</w:t>
                  </w:r>
                  <w:bookmarkStart w:id="43" w:name="OLE_LINK30"/>
                  <w:bookmarkStart w:id="44" w:name="OLE_LINK29"/>
                  <w:r>
                    <w:rPr>
                      <w:rFonts w:ascii="Times New Roman" w:hAnsi="Times New Roman"/>
                      <w:b w:val="false"/>
                      <w:szCs w:val="24"/>
                    </w:rPr>
                    <w:t>Зарплата и управление персоналом</w:t>
                  </w:r>
                  <w:bookmarkEnd w:id="43"/>
                  <w:bookmarkEnd w:id="44"/>
                </w:p>
              </w:tc>
              <w:tc>
                <w:tcPr>
                  <w:tcW w:w="26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211"/>
                    <w:widowControl w:val="false"/>
                    <w:numPr>
                      <w:ilvl w:val="0"/>
                      <w:numId w:val="0"/>
                    </w:numPr>
                    <w:ind w:hanging="0" w:left="0"/>
                    <w:jc w:val="center"/>
                    <w:rPr>
                      <w:rFonts w:ascii="Times New Roman" w:hAnsi="Times New Roman"/>
                      <w:b w:val="false"/>
                      <w:szCs w:val="24"/>
                    </w:rPr>
                  </w:pPr>
                  <w:r>
                    <w:rPr>
                      <w:rFonts w:ascii="Times New Roman" w:hAnsi="Times New Roman"/>
                      <w:b w:val="false"/>
                      <w:szCs w:val="24"/>
                    </w:rPr>
                    <w:t>Исполнительный аппарат, Филиалы АО «ТК РусГидро»</w:t>
                  </w:r>
                </w:p>
              </w:tc>
              <w:tc>
                <w:tcPr>
                  <w:tcW w:w="19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211"/>
                    <w:widowControl w:val="false"/>
                    <w:numPr>
                      <w:ilvl w:val="0"/>
                      <w:numId w:val="0"/>
                    </w:numPr>
                    <w:ind w:hanging="0" w:left="0"/>
                    <w:jc w:val="center"/>
                    <w:rPr>
                      <w:rFonts w:ascii="Times New Roman" w:hAnsi="Times New Roman"/>
                      <w:b w:val="false"/>
                      <w:szCs w:val="24"/>
                    </w:rPr>
                  </w:pPr>
                  <w:r>
                    <w:rPr>
                      <w:rFonts w:ascii="Times New Roman" w:hAnsi="Times New Roman"/>
                      <w:b w:val="false"/>
                      <w:szCs w:val="24"/>
                    </w:rPr>
                    <w:t>59</w:t>
                  </w:r>
                </w:p>
              </w:tc>
            </w:tr>
            <w:tr>
              <w:trPr>
                <w:trHeight w:val="845" w:hRule="atLeast"/>
              </w:trPr>
              <w:tc>
                <w:tcPr>
                  <w:tcW w:w="27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211"/>
                    <w:widowControl w:val="false"/>
                    <w:numPr>
                      <w:ilvl w:val="0"/>
                      <w:numId w:val="0"/>
                    </w:numPr>
                    <w:ind w:hanging="0" w:left="0"/>
                    <w:jc w:val="center"/>
                    <w:rPr>
                      <w:rFonts w:ascii="Times New Roman" w:hAnsi="Times New Roman"/>
                      <w:b w:val="false"/>
                      <w:szCs w:val="24"/>
                    </w:rPr>
                  </w:pPr>
                  <w:bookmarkStart w:id="45" w:name="OLE_LINK32"/>
                  <w:bookmarkStart w:id="46" w:name="OLE_LINK31"/>
                  <w:bookmarkStart w:id="47" w:name="OLE_LINK33"/>
                  <w:bookmarkStart w:id="48" w:name="_Hlk419758496"/>
                  <w:bookmarkEnd w:id="48"/>
                  <w:r>
                    <w:rPr>
                      <w:rFonts w:ascii="Times New Roman" w:hAnsi="Times New Roman"/>
                      <w:b w:val="false"/>
                      <w:szCs w:val="24"/>
                    </w:rPr>
                    <w:t>БИТ.Финанс.Управленческий учет</w:t>
                  </w:r>
                  <w:bookmarkEnd w:id="45"/>
                  <w:bookmarkEnd w:id="46"/>
                  <w:bookmarkEnd w:id="47"/>
                </w:p>
              </w:tc>
              <w:tc>
                <w:tcPr>
                  <w:tcW w:w="26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211"/>
                    <w:widowControl w:val="false"/>
                    <w:numPr>
                      <w:ilvl w:val="0"/>
                      <w:numId w:val="0"/>
                    </w:numPr>
                    <w:ind w:hanging="0" w:left="0"/>
                    <w:jc w:val="center"/>
                    <w:rPr>
                      <w:rFonts w:ascii="Times New Roman" w:hAnsi="Times New Roman"/>
                      <w:b w:val="false"/>
                      <w:szCs w:val="24"/>
                    </w:rPr>
                  </w:pPr>
                  <w:r>
                    <w:rPr>
                      <w:rFonts w:ascii="Times New Roman" w:hAnsi="Times New Roman"/>
                      <w:b w:val="false"/>
                      <w:szCs w:val="24"/>
                    </w:rPr>
                    <w:t>Исполнительный аппарат, Филиалы АО «ТК РусГидро»</w:t>
                  </w:r>
                </w:p>
              </w:tc>
              <w:tc>
                <w:tcPr>
                  <w:tcW w:w="19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211"/>
                    <w:widowControl w:val="false"/>
                    <w:numPr>
                      <w:ilvl w:val="0"/>
                      <w:numId w:val="0"/>
                    </w:numPr>
                    <w:ind w:hanging="0" w:left="0"/>
                    <w:jc w:val="center"/>
                    <w:rPr>
                      <w:rFonts w:ascii="Times New Roman" w:hAnsi="Times New Roman"/>
                      <w:b w:val="false"/>
                      <w:szCs w:val="24"/>
                    </w:rPr>
                  </w:pPr>
                  <w:r>
                    <w:rPr>
                      <w:rFonts w:ascii="Times New Roman" w:hAnsi="Times New Roman"/>
                      <w:b w:val="false"/>
                      <w:szCs w:val="24"/>
                    </w:rPr>
                    <w:t>130</w:t>
                  </w:r>
                </w:p>
              </w:tc>
            </w:tr>
          </w:tbl>
          <w:p>
            <w:pPr>
              <w:pStyle w:val="Normal"/>
              <w:widowControl w:val="false"/>
              <w:spacing w:before="0" w:after="160"/>
              <w:rPr>
                <w:rFonts w:ascii="Times New Roman" w:hAnsi="Times New Roman"/>
                <w:sz w:val="24"/>
                <w:szCs w:val="24"/>
              </w:rPr>
            </w:pPr>
            <w:r>
              <w:rPr>
                <w:rFonts w:ascii="Times New Roman" w:hAnsi="Times New Roman"/>
                <w:sz w:val="24"/>
                <w:szCs w:val="24"/>
              </w:rPr>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suppressAutoHyphens w:val="true"/>
              <w:spacing w:before="60" w:after="60"/>
              <w:ind w:left="360"/>
              <w:jc w:val="left"/>
              <w:rPr>
                <w:rFonts w:ascii="Times New Roman" w:hAnsi="Times New Roman"/>
                <w:sz w:val="24"/>
                <w:szCs w:val="24"/>
              </w:rPr>
            </w:pPr>
            <w:r>
              <w:rPr>
                <w:rFonts w:ascii="Times New Roman" w:hAnsi="Times New Roman"/>
                <w:sz w:val="24"/>
                <w:szCs w:val="24"/>
              </w:rPr>
            </w:r>
          </w:p>
        </w:tc>
        <w:tc>
          <w:tcPr>
            <w:tcW w:w="10491" w:type="dxa"/>
            <w:gridSpan w:val="2"/>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Состав и описание системы</w:t>
            </w:r>
          </w:p>
          <w:p>
            <w:pPr>
              <w:pStyle w:val="Normal"/>
              <w:keepNext w:val="true"/>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Состав программно-технических средств Системы:</w:t>
            </w:r>
          </w:p>
          <w:tbl>
            <w:tblPr>
              <w:tblW w:w="1020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66"/>
              <w:gridCol w:w="2266"/>
              <w:gridCol w:w="2155"/>
              <w:gridCol w:w="1532"/>
              <w:gridCol w:w="1703"/>
              <w:gridCol w:w="1982"/>
            </w:tblGrid>
            <w:tr>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п/п</w:t>
                  </w:r>
                </w:p>
              </w:tc>
              <w:tc>
                <w:tcPr>
                  <w:tcW w:w="22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Класс ИТ-актива/элемент Системы</w:t>
                  </w:r>
                </w:p>
              </w:tc>
              <w:tc>
                <w:tcPr>
                  <w:tcW w:w="21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Наименование ИТ-актива/аппаратная платформа</w:t>
                  </w:r>
                </w:p>
              </w:tc>
              <w:tc>
                <w:tcPr>
                  <w:tcW w:w="15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Программная платформа</w:t>
                  </w:r>
                </w:p>
              </w:tc>
              <w:tc>
                <w:tcPr>
                  <w:tcW w:w="17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Прикладное ПО*</w:t>
                  </w:r>
                </w:p>
              </w:tc>
              <w:tc>
                <w:tcPr>
                  <w:tcW w:w="19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spacing w:lineRule="auto" w:line="240" w:before="0" w:after="0"/>
                    <w:jc w:val="center"/>
                    <w:rPr>
                      <w:rFonts w:ascii="Times New Roman" w:hAnsi="Times New Roman"/>
                      <w:sz w:val="24"/>
                      <w:szCs w:val="24"/>
                    </w:rPr>
                  </w:pPr>
                  <w:r>
                    <w:rPr>
                      <w:rFonts w:ascii="Times New Roman" w:hAnsi="Times New Roman"/>
                      <w:sz w:val="24"/>
                      <w:szCs w:val="24"/>
                    </w:rPr>
                    <w:t>Ответственный за ИТ-актив</w:t>
                  </w:r>
                </w:p>
              </w:tc>
            </w:tr>
            <w:tr>
              <w:trPr>
                <w:trHeight w:val="1636"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284" w:leader="none"/>
                    </w:tabs>
                    <w:spacing w:lineRule="auto" w:line="240" w:before="0" w:after="0"/>
                    <w:jc w:val="center"/>
                    <w:rPr>
                      <w:rFonts w:ascii="Times New Roman" w:hAnsi="Times New Roman"/>
                      <w:sz w:val="24"/>
                      <w:szCs w:val="24"/>
                    </w:rPr>
                  </w:pPr>
                  <w:r>
                    <w:rPr>
                      <w:rFonts w:ascii="Times New Roman" w:hAnsi="Times New Roman"/>
                      <w:sz w:val="24"/>
                      <w:szCs w:val="24"/>
                    </w:rPr>
                    <w:t>1</w:t>
                  </w:r>
                </w:p>
              </w:tc>
              <w:tc>
                <w:tcPr>
                  <w:tcW w:w="22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1С: Бухгалтерия предприятия КОРП</w:t>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БИТ.Финанс.Управленческий учет</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БП</w:t>
                  </w:r>
                </w:p>
              </w:tc>
              <w:tc>
                <w:tcPr>
                  <w:tcW w:w="1532" w:type="dxa"/>
                  <w:tcBorders>
                    <w:top w:val="single" w:sz="4" w:space="0" w:color="000000"/>
                    <w:left w:val="single" w:sz="4" w:space="0" w:color="1F497D"/>
                    <w:bottom w:val="single" w:sz="4" w:space="0" w:color="000000"/>
                    <w:right w:val="single" w:sz="4" w:space="0" w:color="000000"/>
                  </w:tcBorders>
                  <w:vAlign w:val="center"/>
                </w:tcPr>
                <w:p>
                  <w:pPr>
                    <w:pStyle w:val="Normal"/>
                    <w:widowControl w:val="false"/>
                    <w:spacing w:lineRule="auto" w:line="240" w:before="0" w:after="0"/>
                    <w:ind w:left="-108" w:right="-108"/>
                    <w:jc w:val="center"/>
                    <w:rPr>
                      <w:rFonts w:ascii="Times New Roman" w:hAnsi="Times New Roman"/>
                      <w:sz w:val="24"/>
                      <w:szCs w:val="24"/>
                    </w:rPr>
                  </w:pPr>
                  <w:r>
                    <w:rPr>
                      <w:rFonts w:ascii="Times New Roman" w:hAnsi="Times New Roman"/>
                      <w:sz w:val="24"/>
                      <w:szCs w:val="24"/>
                    </w:rPr>
                    <w:t>Microsoft Windows Server 2008R2</w:t>
                  </w:r>
                </w:p>
              </w:tc>
              <w:tc>
                <w:tcPr>
                  <w:tcW w:w="1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1С:Предприятие 8.3,</w:t>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MS SQL</w:t>
                  </w:r>
                </w:p>
              </w:tc>
              <w:tc>
                <w:tcPr>
                  <w:tcW w:w="1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bookmarkStart w:id="49" w:name="_Hlk419758614"/>
                  <w:r>
                    <w:rPr>
                      <w:rFonts w:ascii="Times New Roman" w:hAnsi="Times New Roman"/>
                      <w:sz w:val="24"/>
                      <w:szCs w:val="24"/>
                    </w:rPr>
                    <w:t>Исполнитель</w:t>
                  </w:r>
                  <w:bookmarkEnd w:id="49"/>
                </w:p>
              </w:tc>
            </w:tr>
            <w:tr>
              <w:trPr/>
              <w:tc>
                <w:tcPr>
                  <w:tcW w:w="566" w:type="dxa"/>
                  <w:tcBorders>
                    <w:top w:val="single" w:sz="4" w:space="0" w:color="000000"/>
                    <w:left w:val="single" w:sz="4" w:space="0" w:color="000000"/>
                    <w:right w:val="single" w:sz="4" w:space="0" w:color="000000"/>
                  </w:tcBorders>
                  <w:vAlign w:val="center"/>
                </w:tcPr>
                <w:p>
                  <w:pPr>
                    <w:pStyle w:val="Normal"/>
                    <w:widowControl w:val="false"/>
                    <w:tabs>
                      <w:tab w:val="clear" w:pos="709"/>
                      <w:tab w:val="left" w:pos="284" w:leader="none"/>
                    </w:tabs>
                    <w:spacing w:lineRule="auto" w:line="240" w:before="0" w:after="0"/>
                    <w:jc w:val="center"/>
                    <w:rPr>
                      <w:rFonts w:ascii="Times New Roman" w:hAnsi="Times New Roman"/>
                      <w:sz w:val="24"/>
                      <w:szCs w:val="24"/>
                    </w:rPr>
                  </w:pPr>
                  <w:r>
                    <w:rPr>
                      <w:rFonts w:ascii="Times New Roman" w:hAnsi="Times New Roman"/>
                      <w:sz w:val="24"/>
                      <w:szCs w:val="24"/>
                    </w:rPr>
                    <w:t>2</w:t>
                  </w:r>
                </w:p>
              </w:tc>
              <w:tc>
                <w:tcPr>
                  <w:tcW w:w="2266" w:type="dxa"/>
                  <w:tcBorders>
                    <w:top w:val="single" w:sz="4" w:space="0" w:color="000000"/>
                    <w:left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1С: Зарплата и управление персоналом</w:t>
                  </w:r>
                </w:p>
              </w:tc>
              <w:tc>
                <w:tcPr>
                  <w:tcW w:w="2155" w:type="dxa"/>
                  <w:tcBorders>
                    <w:top w:val="single" w:sz="4" w:space="0" w:color="000000"/>
                    <w:left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ЗУП</w:t>
                  </w:r>
                </w:p>
              </w:tc>
              <w:tc>
                <w:tcPr>
                  <w:tcW w:w="1532" w:type="dxa"/>
                  <w:tcBorders>
                    <w:top w:val="single" w:sz="4" w:space="0" w:color="000000"/>
                    <w:left w:val="single" w:sz="4" w:space="0" w:color="1F497D"/>
                    <w:right w:val="single" w:sz="4" w:space="0" w:color="000000"/>
                  </w:tcBorders>
                  <w:vAlign w:val="center"/>
                </w:tcPr>
                <w:p>
                  <w:pPr>
                    <w:pStyle w:val="Normal"/>
                    <w:widowControl w:val="false"/>
                    <w:spacing w:lineRule="auto" w:line="240" w:before="0" w:after="0"/>
                    <w:ind w:left="-108" w:right="-108"/>
                    <w:jc w:val="center"/>
                    <w:rPr>
                      <w:rFonts w:ascii="Times New Roman" w:hAnsi="Times New Roman"/>
                      <w:sz w:val="24"/>
                      <w:szCs w:val="24"/>
                    </w:rPr>
                  </w:pPr>
                  <w:r>
                    <w:rPr>
                      <w:rFonts w:ascii="Times New Roman" w:hAnsi="Times New Roman"/>
                      <w:sz w:val="24"/>
                      <w:szCs w:val="24"/>
                    </w:rPr>
                    <w:t>Microsoft Windows Server 2008R2</w:t>
                  </w:r>
                </w:p>
              </w:tc>
              <w:tc>
                <w:tcPr>
                  <w:tcW w:w="1703" w:type="dxa"/>
                  <w:tcBorders>
                    <w:top w:val="single" w:sz="4" w:space="0" w:color="000000"/>
                    <w:left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1С:Предприятие 8.3,</w:t>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MS SQL</w:t>
                  </w:r>
                </w:p>
              </w:tc>
              <w:tc>
                <w:tcPr>
                  <w:tcW w:w="1982" w:type="dxa"/>
                  <w:tcBorders>
                    <w:top w:val="single" w:sz="4" w:space="0" w:color="000000"/>
                    <w:left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Исполнитель</w:t>
                  </w:r>
                </w:p>
              </w:tc>
            </w:tr>
          </w:tbl>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985"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1"/>
                <w:numId w:val="6"/>
              </w:numPr>
              <w:suppressAutoHyphens w:val="true"/>
              <w:spacing w:lineRule="auto" w:line="240" w:before="60" w:after="60"/>
              <w:ind w:firstLine="142" w:left="-117"/>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tcPr>
          <w:p>
            <w:pPr>
              <w:pStyle w:val="Normal"/>
              <w:widowControl w:val="false"/>
              <w:tabs>
                <w:tab w:val="clear" w:pos="709"/>
                <w:tab w:val="left" w:pos="426" w:leader="none"/>
              </w:tabs>
              <w:suppressAutoHyphens w:val="true"/>
              <w:spacing w:lineRule="auto" w:line="240" w:before="6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способам оказания услуг</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способам оказания Услуги</w:t>
            </w:r>
          </w:p>
        </w:tc>
        <w:tc>
          <w:tcPr>
            <w:tcW w:w="7704"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Услуга оказывается всеми необходимыми и имеющимися средствами и способами взаимодействия между Исполнителем и Заказчиком</w:t>
            </w:r>
          </w:p>
        </w:tc>
        <w:tc>
          <w:tcPr>
            <w:tcW w:w="1985"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1"/>
                <w:numId w:val="6"/>
              </w:numPr>
              <w:suppressAutoHyphens w:val="true"/>
              <w:spacing w:lineRule="auto" w:line="240" w:before="60" w:after="60"/>
              <w:ind w:firstLine="142" w:left="-117"/>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vAlign w:val="center"/>
          </w:tcPr>
          <w:p>
            <w:pPr>
              <w:pStyle w:val="Normal"/>
              <w:widowControl/>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процедурам оказания услуг</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rHeight w:val="2301" w:hRule="atLeast"/>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составу услуг по сопровождению системы</w:t>
            </w:r>
          </w:p>
        </w:tc>
        <w:tc>
          <w:tcPr>
            <w:tcW w:w="7704" w:type="dxa"/>
            <w:tcBorders/>
          </w:tcPr>
          <w:p>
            <w:pPr>
              <w:pStyle w:val="Normal"/>
              <w:widowControl w:val="false"/>
              <w:tabs>
                <w:tab w:val="clear" w:pos="709"/>
                <w:tab w:val="left" w:pos="0" w:leader="none"/>
              </w:tabs>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 целях контроля результативности процесса оказания услуг техническая поддержка условно подразделяется на решение четырех групп обращений:</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инциденты - события, не являющиеся частью нормальной работы Системы (ошибки, в том числе и «ошибки пользователя») (далее - Инцидент);</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стандартные запросы на обслуживание/информацию – запросы на проведение каких-либо стандартных процедур по обслуживанию Системы или на получение консультации по использованию Системы, обучение пользователей (далее - СЗНО);</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изменения – запросы на доработку Системы без изменения основной функциональности;</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проблемы - неизвестная причина одного или нескольких инцидентов.</w:t>
            </w:r>
          </w:p>
          <w:p>
            <w:pPr>
              <w:pStyle w:val="Normal"/>
              <w:widowControl w:val="false"/>
              <w:tabs>
                <w:tab w:val="clear" w:pos="709"/>
                <w:tab w:val="left" w:pos="0" w:leader="none"/>
              </w:tabs>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ab/>
              <w:t>Все работы по штатному и аварийному обслуживанию должны документироваться в специальном журнале за подписью ответственного сотрудника Исполнителя, проводившего работы.</w:t>
            </w:r>
          </w:p>
          <w:p>
            <w:pPr>
              <w:pStyle w:val="Normal"/>
              <w:widowControl w:val="false"/>
              <w:tabs>
                <w:tab w:val="clear" w:pos="709"/>
                <w:tab w:val="left" w:pos="0" w:leader="none"/>
              </w:tabs>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ab/>
              <w:t>Исполнитель должен оказывать услуги в соответствии с принятыми в АО «ТК РусГидро» Положениями, Регламентами, технической и проектной документацией, фирменной документацией на изделия и системы.</w:t>
            </w:r>
          </w:p>
          <w:p>
            <w:pPr>
              <w:pStyle w:val="Normal"/>
              <w:widowControl w:val="false"/>
              <w:tabs>
                <w:tab w:val="clear" w:pos="709"/>
                <w:tab w:val="left" w:pos="0" w:leader="none"/>
              </w:tabs>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ab/>
              <w:t>В случае оказания услуг, связанных с заменой или модификацией элемента ИТ-инфраструктуры, работы должны осуществляться в рамках процесса управления изменениями АО «ТК РусГидро» в соответствии с утвержденным документом, регламентирующим процесс (Регламент, Положение). Сотрудники Исполнителя участвуют в деятельности процесса, исполняя роли инициатора запроса на изменение и координатора релиза. Услуги оказываются только после регистрации и согласования запроса на изменение посредством КСА СПП. По результатам оказания услуг должна быть обновлена информация об актуальной конфигурации элемента ИТ-инфраструктуры в конфигурационной базе данных КСА СПП.</w:t>
            </w:r>
          </w:p>
          <w:p>
            <w:pPr>
              <w:pStyle w:val="ListParagraph"/>
              <w:widowControl/>
              <w:tabs>
                <w:tab w:val="left" w:pos="709" w:leader="none"/>
              </w:tabs>
              <w:suppressAutoHyphens w:val="true"/>
              <w:spacing w:before="0" w:after="0"/>
              <w:ind w:left="0"/>
              <w:contextualSpacing w:val="false"/>
              <w:jc w:val="both"/>
              <w:rPr>
                <w:szCs w:val="24"/>
              </w:rPr>
            </w:pPr>
            <w:bookmarkStart w:id="50" w:name="_Toc209783458"/>
            <w:bookmarkStart w:id="51" w:name="_Toc181193771"/>
            <w:bookmarkStart w:id="52" w:name="_Toc181193865"/>
            <w:r>
              <w:rPr>
                <w:rFonts w:eastAsia="Times New Roman" w:cs="Times New Roman"/>
                <w:color w:val="000000"/>
                <w:kern w:val="0"/>
                <w:szCs w:val="24"/>
                <w:lang w:val="ru-RU" w:eastAsia="ru-RU" w:bidi="ar-SA"/>
              </w:rPr>
              <w:t>Требования к организации взаимодействия</w:t>
            </w:r>
            <w:bookmarkEnd w:id="50"/>
            <w:bookmarkEnd w:id="51"/>
            <w:bookmarkEnd w:id="52"/>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p>
            <w:pPr>
              <w:pStyle w:val="ListParagraph"/>
              <w:widowControl/>
              <w:tabs>
                <w:tab w:val="left" w:pos="709" w:leader="none"/>
              </w:tabs>
              <w:suppressAutoHyphens w:val="true"/>
              <w:spacing w:before="0" w:after="0"/>
              <w:ind w:left="0"/>
              <w:contextualSpacing w:val="false"/>
              <w:jc w:val="both"/>
              <w:rPr>
                <w:szCs w:val="24"/>
              </w:rPr>
            </w:pPr>
            <w:r>
              <w:rPr>
                <w:rFonts w:eastAsia="Times New Roman" w:cs="Times New Roman"/>
                <w:color w:val="000000"/>
                <w:kern w:val="0"/>
                <w:szCs w:val="24"/>
                <w:lang w:val="ru-RU" w:eastAsia="ru-RU" w:bidi="ar-SA"/>
              </w:rPr>
              <w:tab/>
              <w:t>Взаимодействие представителей Заказчика и Исполнителя осуществляется через КСА СПП Заказчика, а также помимо этого лично, по телефону либо посредством электронной почты.</w:t>
            </w:r>
          </w:p>
          <w:p>
            <w:pPr>
              <w:pStyle w:val="ListParagraph"/>
              <w:widowControl/>
              <w:tabs>
                <w:tab w:val="left" w:pos="709" w:leader="none"/>
              </w:tabs>
              <w:suppressAutoHyphens w:val="true"/>
              <w:spacing w:before="0" w:after="0"/>
              <w:ind w:left="0"/>
              <w:contextualSpacing w:val="false"/>
              <w:jc w:val="both"/>
              <w:rPr>
                <w:szCs w:val="24"/>
              </w:rPr>
            </w:pPr>
            <w:r>
              <w:rPr>
                <w:rFonts w:eastAsia="Times New Roman" w:cs="Times New Roman"/>
                <w:color w:val="000000"/>
                <w:kern w:val="0"/>
                <w:szCs w:val="24"/>
                <w:lang w:val="ru-RU" w:eastAsia="ru-RU" w:bidi="ar-SA"/>
              </w:rPr>
              <w:tab/>
              <w:t>Заявка подается пользователями в произвольной форме, и должна содержать следующую информацию:</w:t>
            </w:r>
          </w:p>
          <w:p>
            <w:pPr>
              <w:pStyle w:val="-11"/>
              <w:widowControl/>
              <w:numPr>
                <w:ilvl w:val="0"/>
                <w:numId w:val="10"/>
              </w:numPr>
              <w:tabs>
                <w:tab w:val="clear" w:pos="1080"/>
                <w:tab w:val="left" w:pos="709" w:leader="none"/>
                <w:tab w:val="left" w:pos="2345" w:leader="none"/>
              </w:tabs>
              <w:suppressAutoHyphens w:val="true"/>
              <w:spacing w:lineRule="auto" w:line="240" w:before="0" w:after="0"/>
              <w:ind w:firstLine="248" w:left="0"/>
              <w:jc w:val="both"/>
              <w:rPr>
                <w:szCs w:val="24"/>
              </w:rPr>
            </w:pPr>
            <w:r>
              <w:rPr>
                <w:rFonts w:eastAsia="Times New Roman" w:cs="Times New Roman"/>
                <w:color w:val="000000"/>
                <w:kern w:val="0"/>
                <w:szCs w:val="24"/>
                <w:lang w:val="ru-RU" w:eastAsia="ru-RU" w:bidi="ar-SA"/>
              </w:rPr>
              <w:t>Ф.И.О., номер телефона, местоположения пользователя, адрес электронной почты пользователя Заказчика;</w:t>
            </w:r>
          </w:p>
          <w:p>
            <w:pPr>
              <w:pStyle w:val="-11"/>
              <w:widowControl/>
              <w:numPr>
                <w:ilvl w:val="0"/>
                <w:numId w:val="10"/>
              </w:numPr>
              <w:tabs>
                <w:tab w:val="clear" w:pos="1080"/>
                <w:tab w:val="left" w:pos="709" w:leader="none"/>
                <w:tab w:val="left" w:pos="2345" w:leader="none"/>
              </w:tabs>
              <w:suppressAutoHyphens w:val="true"/>
              <w:spacing w:lineRule="auto" w:line="240" w:before="0" w:after="0"/>
              <w:ind w:firstLine="248" w:left="0"/>
              <w:jc w:val="both"/>
              <w:rPr>
                <w:szCs w:val="24"/>
              </w:rPr>
            </w:pPr>
            <w:r>
              <w:rPr>
                <w:rFonts w:eastAsia="Times New Roman" w:cs="Times New Roman"/>
                <w:color w:val="000000"/>
                <w:kern w:val="0"/>
                <w:szCs w:val="24"/>
                <w:lang w:val="ru-RU" w:eastAsia="ru-RU" w:bidi="ar-SA"/>
              </w:rPr>
              <w:t>Полное описание возникшей ситуации, при необходимости содержащее копии экранных форм, сообщения об ошибках и т.п.</w:t>
            </w:r>
          </w:p>
          <w:p>
            <w:pPr>
              <w:pStyle w:val="ListParagraph"/>
              <w:widowControl/>
              <w:tabs>
                <w:tab w:val="left" w:pos="709" w:leader="none"/>
              </w:tabs>
              <w:suppressAutoHyphens w:val="true"/>
              <w:spacing w:before="0" w:after="0"/>
              <w:ind w:left="0"/>
              <w:contextualSpacing w:val="false"/>
              <w:jc w:val="both"/>
              <w:rPr>
                <w:szCs w:val="24"/>
              </w:rPr>
            </w:pPr>
            <w:r>
              <w:rPr>
                <w:rFonts w:eastAsia="Times New Roman" w:cs="Times New Roman"/>
                <w:color w:val="000000"/>
                <w:kern w:val="0"/>
                <w:szCs w:val="24"/>
                <w:lang w:val="ru-RU" w:eastAsia="ru-RU" w:bidi="ar-SA"/>
              </w:rPr>
              <w:tab/>
              <w:t>При возникновении у Заказчика и/или пользователей Заказчика инцидента, проблемы, аварии, вопроса или предложения при эксплуатации Системы, Заказчик уведомляет об этом Исполнителя путем направления обращения (здесь и далее под Обращением понимается заявка пользователя Заказчика, зафиксированная в КСА СПП, на проведение технической поддержки) на соответствующую группу специалистов Исполнителей в КСА СПП (заполнив поле «Группа специалистов»).</w:t>
            </w:r>
          </w:p>
          <w:p>
            <w:pPr>
              <w:pStyle w:val="ListParagraph"/>
              <w:widowControl/>
              <w:tabs>
                <w:tab w:val="left" w:pos="709" w:leader="none"/>
              </w:tabs>
              <w:suppressAutoHyphens w:val="true"/>
              <w:spacing w:before="0" w:after="0"/>
              <w:ind w:left="0"/>
              <w:contextualSpacing w:val="false"/>
              <w:jc w:val="both"/>
              <w:rPr>
                <w:szCs w:val="24"/>
              </w:rPr>
            </w:pPr>
            <w:r>
              <w:rPr>
                <w:rFonts w:eastAsia="Times New Roman" w:cs="Times New Roman"/>
                <w:color w:val="000000"/>
                <w:kern w:val="0"/>
                <w:szCs w:val="24"/>
                <w:lang w:val="ru-RU" w:eastAsia="ru-RU" w:bidi="ar-SA"/>
              </w:rPr>
              <w:tab/>
              <w:t>По факту выяснения причины, вызвавшей Обращение (совместно с контактным лицом Заказчика и пользователем Заказчика) Исполнитель незамедлительно фиксирует данную информацию в описании к Обращению.</w:t>
            </w:r>
          </w:p>
          <w:p>
            <w:pPr>
              <w:pStyle w:val="-11"/>
              <w:widowControl/>
              <w:numPr>
                <w:ilvl w:val="0"/>
                <w:numId w:val="11"/>
              </w:numPr>
              <w:tabs>
                <w:tab w:val="clear" w:pos="1080"/>
                <w:tab w:val="left" w:pos="709" w:leader="none"/>
                <w:tab w:val="left" w:pos="2345" w:leader="none"/>
              </w:tabs>
              <w:suppressAutoHyphens w:val="true"/>
              <w:spacing w:lineRule="auto" w:line="240" w:before="0" w:after="0"/>
              <w:ind w:firstLine="567" w:left="0"/>
              <w:jc w:val="both"/>
              <w:rPr>
                <w:szCs w:val="24"/>
              </w:rPr>
            </w:pPr>
            <w:r>
              <w:rPr>
                <w:rFonts w:eastAsia="Times New Roman" w:cs="Times New Roman"/>
                <w:color w:val="000000"/>
                <w:kern w:val="0"/>
                <w:szCs w:val="24"/>
                <w:lang w:val="ru-RU" w:eastAsia="ru-RU" w:bidi="ar-SA"/>
              </w:rPr>
              <w:tab/>
              <w:t>Решение о необходимых действиях для устранения Инцидента, выполнения СЗНО принимается специалистами Исполнителя на основании Обращения по вышеописанному регламенту. Исполнитель в обязательном порядке уведомляет Заказчика о принятом решении. Для этого Исполнитель описывает решение в Обращении.</w:t>
            </w:r>
          </w:p>
          <w:p>
            <w:pPr>
              <w:pStyle w:val="ListParagraph"/>
              <w:widowControl/>
              <w:tabs>
                <w:tab w:val="left" w:pos="709" w:leader="none"/>
              </w:tabs>
              <w:suppressAutoHyphens w:val="true"/>
              <w:spacing w:before="0" w:after="0"/>
              <w:ind w:left="0"/>
              <w:contextualSpacing w:val="false"/>
              <w:jc w:val="both"/>
              <w:rPr>
                <w:szCs w:val="24"/>
              </w:rPr>
            </w:pPr>
            <w:r>
              <w:rPr>
                <w:rFonts w:eastAsia="Times New Roman" w:cs="Times New Roman"/>
                <w:color w:val="000000"/>
                <w:kern w:val="0"/>
                <w:szCs w:val="24"/>
                <w:lang w:val="ru-RU" w:eastAsia="ru-RU" w:bidi="ar-SA"/>
              </w:rPr>
              <w:tab/>
              <w:t>Обращение считается закрытым с момента восстановления работоспособности Системы, выполнения СЗНО.</w:t>
            </w:r>
          </w:p>
          <w:p>
            <w:pPr>
              <w:pStyle w:val="ListParagraph"/>
              <w:widowControl/>
              <w:tabs>
                <w:tab w:val="left" w:pos="709" w:leader="none"/>
              </w:tabs>
              <w:suppressAutoHyphens w:val="true"/>
              <w:spacing w:before="0" w:after="0"/>
              <w:ind w:left="0"/>
              <w:contextualSpacing w:val="false"/>
              <w:jc w:val="both"/>
              <w:rPr>
                <w:szCs w:val="24"/>
              </w:rPr>
            </w:pPr>
            <w:r>
              <w:rPr>
                <w:rFonts w:eastAsia="Times New Roman" w:cs="Times New Roman"/>
                <w:color w:val="000000"/>
                <w:kern w:val="0"/>
                <w:szCs w:val="24"/>
                <w:lang w:val="ru-RU" w:eastAsia="ru-RU" w:bidi="ar-SA"/>
              </w:rPr>
              <w:tab/>
              <w:t>В случае, если в ходе процесса по устранению технической проблемы по обращению было выявлено, что проблема связана с другими сервисами, не входящими в зону ответственности по данному сервису, сроки и процесс устранения могут быть изменены.</w:t>
            </w:r>
          </w:p>
          <w:p>
            <w:pPr>
              <w:pStyle w:val="ListParagraph"/>
              <w:widowControl/>
              <w:tabs>
                <w:tab w:val="left" w:pos="709" w:leader="none"/>
              </w:tabs>
              <w:suppressAutoHyphens w:val="true"/>
              <w:spacing w:before="0" w:after="0"/>
              <w:ind w:left="0"/>
              <w:contextualSpacing w:val="false"/>
              <w:jc w:val="both"/>
              <w:rPr>
                <w:szCs w:val="24"/>
              </w:rPr>
            </w:pPr>
            <w:r>
              <w:rPr>
                <w:rFonts w:eastAsia="Times New Roman" w:cs="Times New Roman"/>
                <w:color w:val="000000"/>
                <w:kern w:val="0"/>
                <w:szCs w:val="24"/>
                <w:lang w:val="ru-RU" w:eastAsia="ru-RU" w:bidi="ar-SA"/>
              </w:rPr>
              <w:tab/>
              <w:t>Контрольное время закрытия Обращения не должно превышать установленного времени в пункте 1.3.11.</w:t>
            </w:r>
          </w:p>
          <w:p>
            <w:pPr>
              <w:pStyle w:val="ListParagraph"/>
              <w:widowControl/>
              <w:tabs>
                <w:tab w:val="left" w:pos="709" w:leader="none"/>
              </w:tabs>
              <w:suppressAutoHyphens w:val="true"/>
              <w:spacing w:before="0" w:after="0"/>
              <w:ind w:left="0"/>
              <w:contextualSpacing w:val="false"/>
              <w:jc w:val="both"/>
              <w:rPr>
                <w:szCs w:val="24"/>
              </w:rPr>
            </w:pPr>
            <w:r>
              <w:rPr>
                <w:rFonts w:eastAsia="Times New Roman" w:cs="Times New Roman"/>
                <w:color w:val="000000"/>
                <w:kern w:val="0"/>
                <w:szCs w:val="24"/>
                <w:lang w:val="ru-RU" w:eastAsia="ru-RU" w:bidi="ar-SA"/>
              </w:rPr>
              <w:tab/>
              <w:t>Все техническое обслуживание, проводимое Исполнителем по собственной инициативе по согласованию с Заказчиком, или по заявке, полученной лично, по телефону либо посредством электронной почты, должно быть описано в системе КСА СПП указанным выше способом.</w:t>
            </w:r>
          </w:p>
          <w:p>
            <w:pPr>
              <w:pStyle w:val="ListParagraph"/>
              <w:widowControl/>
              <w:tabs>
                <w:tab w:val="left" w:pos="709" w:leader="none"/>
              </w:tabs>
              <w:suppressAutoHyphens w:val="true"/>
              <w:spacing w:before="0" w:after="0"/>
              <w:ind w:left="0"/>
              <w:contextualSpacing w:val="false"/>
              <w:jc w:val="both"/>
              <w:rPr>
                <w:szCs w:val="24"/>
              </w:rPr>
            </w:pPr>
            <w:r>
              <w:rPr>
                <w:rFonts w:eastAsia="Times New Roman" w:cs="Times New Roman"/>
                <w:color w:val="000000"/>
                <w:kern w:val="0"/>
                <w:szCs w:val="24"/>
                <w:lang w:val="ru-RU" w:eastAsia="ru-RU" w:bidi="ar-SA"/>
              </w:rPr>
              <w:tab/>
              <w:t>Организация поддержки пользователей Системы должна проводиться в соответствии с действующими в организации Заказчика регламентами.</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c>
          <w:tcPr>
            <w:tcW w:w="1985" w:type="dxa"/>
            <w:vMerge w:val="restart"/>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Консультационная поддержка Заказчика</w:t>
            </w:r>
          </w:p>
        </w:tc>
        <w:tc>
          <w:tcPr>
            <w:tcW w:w="7704" w:type="dxa"/>
            <w:tcBorders/>
          </w:tcPr>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Консультации по вопросам работоспособности Системы;</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Консультации по вопросам конфигурирования и эксплуатации оборудования и программного обеспечения системы.</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Консультации по проведению превентивных мер для недопущения аварийных ситуаций на оборудовании и программном обеспечении системы.</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Консультации по диагностике и локализации возникшей неисправности на оборудовании и программном обеспечении системы.</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Консультации по вопросам расширения и модернизации оборудования и программного обеспечения системы.</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Другие технические вопросы, связанные с функционированием оборудования и программного обеспечения системы.</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В задачу консультирования в том числе входит:</w:t>
            </w:r>
          </w:p>
          <w:p>
            <w:pPr>
              <w:pStyle w:val="Normal"/>
              <w:widowControl w:val="false"/>
              <w:numPr>
                <w:ilvl w:val="0"/>
                <w:numId w:val="12"/>
              </w:numPr>
              <w:tabs>
                <w:tab w:val="clear" w:pos="709"/>
                <w:tab w:val="left" w:pos="993" w:leader="none"/>
              </w:tabs>
              <w:suppressAutoHyphens w:val="true"/>
              <w:spacing w:lineRule="auto" w:line="240" w:before="0" w:after="120"/>
              <w:ind w:firstLine="556"/>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-уточнение функций и характеристик Системы и программного обеспечения, из которого она состоит;</w:t>
            </w:r>
          </w:p>
          <w:p>
            <w:pPr>
              <w:pStyle w:val="Normal"/>
              <w:widowControl w:val="false"/>
              <w:numPr>
                <w:ilvl w:val="0"/>
                <w:numId w:val="12"/>
              </w:numPr>
              <w:tabs>
                <w:tab w:val="clear" w:pos="709"/>
                <w:tab w:val="left" w:pos="993" w:leader="none"/>
              </w:tabs>
              <w:suppressAutoHyphens w:val="true"/>
              <w:spacing w:lineRule="auto" w:line="240" w:before="0" w:after="120"/>
              <w:ind w:firstLine="556"/>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-разъяснение технической документации на Систему, инструкций и руководств пользователя.</w:t>
            </w:r>
          </w:p>
          <w:p>
            <w:pPr>
              <w:pStyle w:val="211"/>
              <w:widowControl/>
              <w:numPr>
                <w:ilvl w:val="2"/>
                <w:numId w:val="8"/>
              </w:numPr>
              <w:suppressAutoHyphens w:val="true"/>
              <w:spacing w:before="0" w:after="0"/>
              <w:ind w:hanging="710" w:left="709"/>
              <w:jc w:val="left"/>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Общий объем работ по консультационной поддержке Заказчика должен составлять не менее 120 часов в месяц.</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Устранение отказов и сбоев в работе Системы, выявленных в процессе эксплуатации</w:t>
            </w:r>
          </w:p>
        </w:tc>
        <w:tc>
          <w:tcPr>
            <w:tcW w:w="7704" w:type="dxa"/>
            <w:tcBorders/>
          </w:tcPr>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В ходе эксплуатации Системы, силами Исполнителя проводится анализ, диагностика, локализация и устранение ошибок, отказов и сбоев в ее работе, вызванных:</w:t>
            </w:r>
          </w:p>
          <w:p>
            <w:pPr>
              <w:pStyle w:val="Normal"/>
              <w:widowControl w:val="false"/>
              <w:numPr>
                <w:ilvl w:val="0"/>
                <w:numId w:val="12"/>
              </w:numPr>
              <w:tabs>
                <w:tab w:val="clear" w:pos="709"/>
                <w:tab w:val="left" w:pos="993" w:leader="none"/>
              </w:tabs>
              <w:suppressAutoHyphens w:val="true"/>
              <w:spacing w:lineRule="auto" w:line="240" w:before="0" w:after="120"/>
              <w:ind w:firstLine="556"/>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аппаратными сбоями технических средств;</w:t>
            </w:r>
          </w:p>
          <w:p>
            <w:pPr>
              <w:pStyle w:val="Normal"/>
              <w:widowControl w:val="false"/>
              <w:numPr>
                <w:ilvl w:val="0"/>
                <w:numId w:val="12"/>
              </w:numPr>
              <w:tabs>
                <w:tab w:val="clear" w:pos="709"/>
                <w:tab w:val="left" w:pos="993" w:leader="none"/>
              </w:tabs>
              <w:suppressAutoHyphens w:val="true"/>
              <w:spacing w:lineRule="auto" w:line="240" w:before="0" w:after="120"/>
              <w:ind w:firstLine="556"/>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программным обеспечением, установленным на технических средствах;</w:t>
            </w:r>
          </w:p>
          <w:p>
            <w:pPr>
              <w:pStyle w:val="Normal"/>
              <w:widowControl w:val="false"/>
              <w:numPr>
                <w:ilvl w:val="0"/>
                <w:numId w:val="12"/>
              </w:numPr>
              <w:tabs>
                <w:tab w:val="clear" w:pos="709"/>
                <w:tab w:val="left" w:pos="993" w:leader="none"/>
              </w:tabs>
              <w:suppressAutoHyphens w:val="true"/>
              <w:spacing w:lineRule="auto" w:line="240" w:before="0" w:after="120"/>
              <w:ind w:firstLine="556"/>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иными ошибками, выявленными в процессе эксплуатации.</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Устранение инцидентов, связанных с проблемами в работе клиентского программного обеспечения должно выполняться на рабочих местах пользователей.</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Исполнителем устраняются выявленные ошибки функционала, архитектуры Системы, путем конфигурирования Системы и обязательной последующей актуализацией документации.</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Проведение «Регламентно-профилактических работ»</w:t>
            </w:r>
          </w:p>
        </w:tc>
        <w:tc>
          <w:tcPr>
            <w:tcW w:w="7704" w:type="dxa"/>
            <w:tcBorders/>
          </w:tcPr>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«Регламентные профилактические работы» проводятся на оборудовании и программном обеспечении Заказчика услуг с целью поддержки работоспособности и продления сроков его эксплуатации, оптимизации настроек конфигураций и программного обеспечения, а также устранение выявленных диагностикой проблем.</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Исполнитель проводит «Регламентные профилактические работы» в соответствии с Планом-графиком проведения «Регламентных профилактических работ». План-график проведения «Работ» составляется Заказчиком в течение 20 дней после подписания Договора.</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Выполнение «Регламентных профилактических работ» фиксируется Исполнителем в КСА СПП Заказчика с указанием содержания, даты их выполнения и перечня ИТ-активов, на которых проводятся работы.</w:t>
            </w:r>
          </w:p>
          <w:p>
            <w:pPr>
              <w:pStyle w:val="211"/>
              <w:widowControl/>
              <w:numPr>
                <w:ilvl w:val="2"/>
                <w:numId w:val="8"/>
              </w:numPr>
              <w:suppressAutoHyphens w:val="true"/>
              <w:spacing w:before="0" w:after="0"/>
              <w:ind w:hanging="720" w:left="735"/>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Исполнитель проводит «Регламентные профилактические работы» с учетом рекомендаций, указанных в технической и эксплуатационной документации обслуживаемых ИТ-активов. Состав «Регламентных профилактических работ» представлен в Приложении №1.</w:t>
            </w:r>
          </w:p>
          <w:p>
            <w:pPr>
              <w:pStyle w:val="211"/>
              <w:widowControl/>
              <w:numPr>
                <w:ilvl w:val="2"/>
                <w:numId w:val="8"/>
              </w:numPr>
              <w:suppressAutoHyphens w:val="true"/>
              <w:spacing w:before="0" w:after="0"/>
              <w:ind w:hanging="710" w:left="709"/>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Описание состава «Регламентных профилактических работ» и периодичность их выполнения приведена в Приложение № 1 настоящих ТТ.</w:t>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Сопровождение и проведение дополнительных настроек Системы</w:t>
            </w:r>
          </w:p>
        </w:tc>
        <w:tc>
          <w:tcPr>
            <w:tcW w:w="7704"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 ходе оказания услуг сопровождения Системы, Исполнитель по запросам Заказчика проводит необходимую дополнительную настройку Системы и ее компонентов.</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 рамках оказания услуг по дополнительной настройке Системы, выполнение которых планируется параллельно и в ходе ее эксплуатации, Исполнитель выполняет роль руководителя проекта со стороны Заказчика, координирует работы подрядчиков по доработке Системы, осуществляет контроль сроков и качества оказываемых услуг.</w:t>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Мониторинг состояния системы</w:t>
            </w:r>
          </w:p>
        </w:tc>
        <w:tc>
          <w:tcPr>
            <w:tcW w:w="7704"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Мониторинг работоспособности аппаратной составляющей, на которой функционирует Система, осуществляется 24 часа в сутки силами ответственных исполнителей Заказчика. В случае обнаружения отклонений от заданных параметров, ответственный представитель Заказчика немедленно уведомляет ответственных представителей Исполнителя для проведения восстановительных работ силами Исполнителя. Период времени на восстановление работоспособности Системы после аварийного состояния не должен превышать 4 часов при обеспечении работоспособности аппаратной части, сетевой инфраструктуры и системного программного обеспечения.</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Исполнитель контролирует работоспособность следующих сервисов:</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 менеджер лицензий 1С;</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 сервер 1С: Предприятия;</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 компонента защиты БИТ.Финанс.Управленческий учет;</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 SQL-сервер.</w:t>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rHeight w:val="90" w:hRule="atLeast"/>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Восстановление работоспособности системы</w:t>
            </w:r>
          </w:p>
        </w:tc>
        <w:tc>
          <w:tcPr>
            <w:tcW w:w="7704"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Срок восстановления работоспособности и ее компонентов не должен превышать 4 часов при обеспечении работоспособности системы удалённого доступа, аппаратной части, сетевой инфраструктуры и системного программного обеспечения.</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Восстановление системы должно проводиться в соответствии с нормативно-методической документацией Заказчика.</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 случае аварийного восстановления срок восстановления определяется в соответствии с регламентами Заказчика.</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После восстановления системы должен быть проведен анализ причин аварии и оценка исполнения процедур восстановления, вся информацию должна быть занесена в систему Axios в соответствии с нормативно-методической документацией Заказчика.</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Сотрудники 1 линии сопровождения должны быть оповещены о прекращении услуги в связи с аварией по электронной почте в течение 30 минут с момента обнаружения аварийной ситуации.</w:t>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rHeight w:val="90" w:hRule="atLeast"/>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Обслуживание пользователей/обработка обращений</w:t>
            </w:r>
          </w:p>
        </w:tc>
        <w:tc>
          <w:tcPr>
            <w:tcW w:w="7704"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 контур ответственности обслуживания пользователей Исполнителя входит:</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r>
              <w:rPr>
                <w:rFonts w:eastAsia="Times New Roman" w:cs="Times New Roman" w:ascii="Times New Roman" w:hAnsi="Times New Roman"/>
                <w:color w:val="000000"/>
                <w:kern w:val="0"/>
                <w:sz w:val="24"/>
                <w:szCs w:val="24"/>
                <w:lang w:val="ru-RU" w:eastAsia="ru-RU" w:bidi="ar-SA"/>
              </w:rPr>
              <w:tab/>
              <w:t>все ошибки, регистрируемые пользователями в Системе;</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r>
              <w:rPr>
                <w:rFonts w:eastAsia="Times New Roman" w:cs="Times New Roman" w:ascii="Times New Roman" w:hAnsi="Times New Roman"/>
                <w:color w:val="000000"/>
                <w:kern w:val="0"/>
                <w:sz w:val="24"/>
                <w:szCs w:val="24"/>
                <w:lang w:val="ru-RU" w:eastAsia="ru-RU" w:bidi="ar-SA"/>
              </w:rPr>
              <w:tab/>
              <w:t>все несоответствия работы Системы соответствующим бизнес-процессам, принятым у Заказчика.</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Прием заявок по инцидентам, связанным с частичной или полной неработоспособностью Системы, через систему КСА СПП Заказчика в результате эскалации инцидента со стороны сотрудников Службы Поддержки Пользователей (СПП) АО «ТК РусГидро».</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Обработка заявок по инцидентам, поступающих в систему КСА СПП Заказчика, связанных с ошибками и сбоями прикладного программного обеспечения Системы, приводящими к невозможности выполнения системой ее основных функций. Исправление ошибок и сбоев производится в соответствии с приоритетом инцидента, указанным в соглашении об уровне услуг:</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r>
              <w:rPr>
                <w:rFonts w:eastAsia="Times New Roman" w:cs="Times New Roman" w:ascii="Times New Roman" w:hAnsi="Times New Roman"/>
                <w:color w:val="000000"/>
                <w:kern w:val="0"/>
                <w:sz w:val="24"/>
                <w:szCs w:val="24"/>
                <w:lang w:val="ru-RU" w:eastAsia="ru-RU" w:bidi="ar-SA"/>
              </w:rPr>
              <w:tab/>
              <w:t>В случае сбоев, не повлекших необходимость внесения изменений в прикладное ПО Системы и изменения компонентов ландшафта Системы, должна производиться оперативная ликвидация сбоя. После проведения работ по ликвидации сбоя — предоставление информации о сущности сбоя и выполненных мероприятиях в систему Axios Assist Заказчика.</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r>
              <w:rPr>
                <w:rFonts w:eastAsia="Times New Roman" w:cs="Times New Roman" w:ascii="Times New Roman" w:hAnsi="Times New Roman"/>
                <w:color w:val="000000"/>
                <w:kern w:val="0"/>
                <w:sz w:val="24"/>
                <w:szCs w:val="24"/>
                <w:lang w:val="ru-RU" w:eastAsia="ru-RU" w:bidi="ar-SA"/>
              </w:rPr>
              <w:tab/>
              <w:t>В случае сбоев и ошибок, повлекших необходимость внесения изменений в прикладное ПО — подготовка Исполнителем документа, фиксирующего суть ошибки, ее проявление, влияние на систему, а также предлагаемое решение с оценкой трудоемкости и рисков. По истечении согласованного с Заказчиком периода должно быть составлено ЧТЗ на следующее обновление Системы, в котором должна быть агрегирована вышеуказанная информация по всем ошибкам и сбоям, выявленным за период. ЧТЗ должно быть согласовано со стороны функционального заказчика и Группы ИТ. Изменения должны вноситься в прикладное ПО Системы в соответствии с согласованным ЧТЗ, в рамках ближайшего обновления ПО Системы.</w:t>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rHeight w:val="90" w:hRule="atLeast"/>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по реализации доработок Системы без изменения основной функциональности</w:t>
            </w:r>
          </w:p>
        </w:tc>
        <w:tc>
          <w:tcPr>
            <w:tcW w:w="7704"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Внесение доработок в Систему инициируется обращениями, зарегистрированными в КСА СПП. Обращение должно быть классифицировано как ошибка или доработка. Инициаторами обращений могут выступать пользователи системы, Представители функционального заказчика, руководитель и специалисты Группы ИТ. На основании обращения в КСА СПП создается запрос на изменение. Запрос на изменение должен быть согласован с Руководителем Группы ИТ и Ответственным за модифицируемую подсистему Представителем функционального заказчика.</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При получении на реализацию запроса на изменение, Исполнитель должен произвести анализ объема требуемых изменений. В случае необходимости исправления ошибки, проанализировать имеющиеся технические проекты по данному вопросу, выявить причину ошибки, разработать рабочий вариант ЧТЗ.</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Процедура согласования ЧТЗ осуществляется через непосредственное подписание/утверждения документа всеми согласующими сторонами.</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 случае непосредственного подписания/утверждения документа Представитель функционального заказчика по модифицируемой подсистеме передает скан-копию утвержденного (подписанного) ЧТЗ Исполнителю.</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 ЧТЗ в обязательном порядке должны быть отражены: суть изменений, их влияние на Систему, предлагаемое решение с оценкой трудоемкости и рисков.</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Объем работ по доработке системы на основании запросов Заказчика должен составлять не менее 263 часов в месяц.</w:t>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rHeight w:val="90" w:hRule="atLeast"/>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и мероприятия по обновлению системы</w:t>
            </w:r>
          </w:p>
        </w:tc>
        <w:tc>
          <w:tcPr>
            <w:tcW w:w="7704"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Исполнитель в течение срока действия договора осуществляет установку по мере выпуска производителем новых версий ПО, патчей, обеспечивающих работоспособность приложения.</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Исполнитель в течение срока действия договора обеспечивает внесение изменений в ПО Системы для обеспечения соответствия изменениям в требованиях законодательства.</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Регулярные обновления не должны выполняться чаще, чем 1 раз в 2 недели.</w:t>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rHeight w:val="1454" w:hRule="atLeast"/>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уровню предоставления услуги</w:t>
            </w:r>
          </w:p>
        </w:tc>
        <w:tc>
          <w:tcPr>
            <w:tcW w:w="7704" w:type="dxa"/>
            <w:tcBorders/>
          </w:tcPr>
          <w:p>
            <w:pPr>
              <w:pStyle w:val="311"/>
              <w:widowControl/>
              <w:numPr>
                <w:ilvl w:val="0"/>
                <w:numId w:val="0"/>
              </w:numPr>
              <w:tabs>
                <w:tab w:val="left" w:pos="360" w:leader="none"/>
                <w:tab w:val="left" w:pos="567" w:leader="none"/>
              </w:tabs>
              <w:suppressAutoHyphens w:val="true"/>
              <w:spacing w:before="0" w:after="120"/>
              <w:ind w:hanging="0" w:left="0"/>
              <w:jc w:val="left"/>
              <w:rPr>
                <w:rFonts w:ascii="Times New Roman" w:hAnsi="Times New Roman"/>
                <w:szCs w:val="24"/>
              </w:rPr>
            </w:pPr>
            <w:r>
              <w:rPr>
                <w:rFonts w:eastAsia="Times New Roman" w:cs="Times New Roman" w:ascii="Times New Roman" w:hAnsi="Times New Roman"/>
                <w:color w:val="000000"/>
                <w:kern w:val="0"/>
                <w:szCs w:val="24"/>
                <w:lang w:val="ru-RU" w:eastAsia="ru-RU" w:bidi="ar-SA"/>
              </w:rPr>
              <w:t>Уровни предоставления услуги</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Определены следующие уровни поддержки услуги:</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 Базовый;</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 VIP.</w:t>
            </w:r>
          </w:p>
          <w:p>
            <w:pPr>
              <w:pStyle w:val="311"/>
              <w:widowControl/>
              <w:numPr>
                <w:ilvl w:val="0"/>
                <w:numId w:val="0"/>
              </w:numPr>
              <w:tabs>
                <w:tab w:val="left" w:pos="360" w:leader="none"/>
                <w:tab w:val="left" w:pos="567" w:leader="none"/>
              </w:tabs>
              <w:suppressAutoHyphens w:val="true"/>
              <w:spacing w:before="0" w:after="120"/>
              <w:ind w:hanging="0" w:left="0"/>
              <w:jc w:val="left"/>
              <w:rPr>
                <w:rFonts w:ascii="Times New Roman" w:hAnsi="Times New Roman"/>
                <w:szCs w:val="24"/>
              </w:rPr>
            </w:pPr>
            <w:r>
              <w:rPr>
                <w:rFonts w:eastAsia="Times New Roman" w:cs="Times New Roman" w:ascii="Times New Roman" w:hAnsi="Times New Roman"/>
                <w:color w:val="000000"/>
                <w:kern w:val="0"/>
                <w:szCs w:val="24"/>
                <w:lang w:val="ru-RU" w:eastAsia="ru-RU" w:bidi="ar-SA"/>
              </w:rPr>
              <w:t>Критерии определения приоритетов обращений на обслуживание при регистрации:</w:t>
            </w:r>
          </w:p>
          <w:tbl>
            <w:tblPr>
              <w:tblW w:w="74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466"/>
              <w:gridCol w:w="1985"/>
            </w:tblGrid>
            <w:tr>
              <w:trPr/>
              <w:tc>
                <w:tcPr>
                  <w:tcW w:w="5466" w:type="dxa"/>
                  <w:tcBorders>
                    <w:top w:val="single" w:sz="4" w:space="0" w:color="000000"/>
                    <w:left w:val="single" w:sz="4" w:space="0" w:color="000000"/>
                    <w:bottom w:val="single" w:sz="4" w:space="0" w:color="000000"/>
                    <w:right w:val="single" w:sz="4" w:space="0" w:color="000000"/>
                  </w:tcBorders>
                </w:tcPr>
                <w:p>
                  <w:pPr>
                    <w:pStyle w:val="Tabletext1"/>
                    <w:widowControl w:val="false"/>
                    <w:spacing w:lineRule="auto" w:line="240" w:before="0" w:after="120"/>
                    <w:ind w:hanging="240" w:left="680"/>
                    <w:jc w:val="center"/>
                    <w:rPr>
                      <w:sz w:val="24"/>
                      <w:szCs w:val="24"/>
                    </w:rPr>
                  </w:pPr>
                  <w:r>
                    <w:rPr>
                      <w:sz w:val="24"/>
                      <w:szCs w:val="24"/>
                    </w:rPr>
                    <w:t>Критерии классификации срочности обращения пользователя</w:t>
                  </w:r>
                </w:p>
              </w:tc>
              <w:tc>
                <w:tcPr>
                  <w:tcW w:w="1985" w:type="dxa"/>
                  <w:tcBorders>
                    <w:top w:val="single" w:sz="4" w:space="0" w:color="000000"/>
                    <w:left w:val="single" w:sz="4" w:space="0" w:color="000000"/>
                    <w:bottom w:val="single" w:sz="4" w:space="0" w:color="000000"/>
                    <w:right w:val="single" w:sz="4" w:space="0" w:color="000000"/>
                  </w:tcBorders>
                </w:tcPr>
                <w:p>
                  <w:pPr>
                    <w:pStyle w:val="Tabletext1"/>
                    <w:keepNext w:val="true"/>
                    <w:widowControl w:val="false"/>
                    <w:spacing w:lineRule="auto" w:line="240" w:before="0" w:after="120"/>
                    <w:ind w:firstLine="12"/>
                    <w:jc w:val="center"/>
                    <w:rPr>
                      <w:sz w:val="24"/>
                      <w:szCs w:val="24"/>
                    </w:rPr>
                  </w:pPr>
                  <w:r>
                    <w:rPr>
                      <w:sz w:val="24"/>
                      <w:szCs w:val="24"/>
                    </w:rPr>
                    <w:t>Кодовое название</w:t>
                  </w:r>
                </w:p>
              </w:tc>
            </w:tr>
            <w:tr>
              <w:trPr/>
              <w:tc>
                <w:tcPr>
                  <w:tcW w:w="5466" w:type="dxa"/>
                  <w:tcBorders>
                    <w:top w:val="single" w:sz="4" w:space="0" w:color="000000"/>
                    <w:left w:val="single" w:sz="4" w:space="0" w:color="000000"/>
                    <w:bottom w:val="single" w:sz="4" w:space="0" w:color="000000"/>
                    <w:right w:val="single" w:sz="4" w:space="0" w:color="000000"/>
                  </w:tcBorders>
                </w:tcPr>
                <w:p>
                  <w:pPr>
                    <w:pStyle w:val="Tabletext1"/>
                    <w:keepNext w:val="true"/>
                    <w:widowControl w:val="false"/>
                    <w:spacing w:lineRule="auto" w:line="240" w:before="0" w:after="120"/>
                    <w:ind w:hanging="22" w:left="142"/>
                    <w:jc w:val="both"/>
                    <w:rPr>
                      <w:sz w:val="24"/>
                      <w:szCs w:val="24"/>
                    </w:rPr>
                  </w:pPr>
                  <w:r>
                    <w:rPr>
                      <w:sz w:val="24"/>
                      <w:szCs w:val="24"/>
                    </w:rPr>
                    <w:t>Функциональность критична для бизнеса (недоступность приложения несет угрозу непрерывности бизнеса)</w:t>
                  </w:r>
                </w:p>
              </w:tc>
              <w:tc>
                <w:tcPr>
                  <w:tcW w:w="1985" w:type="dxa"/>
                  <w:tcBorders>
                    <w:top w:val="single" w:sz="4" w:space="0" w:color="000000"/>
                    <w:left w:val="single" w:sz="4" w:space="0" w:color="000000"/>
                    <w:bottom w:val="single" w:sz="4" w:space="0" w:color="000000"/>
                    <w:right w:val="single" w:sz="4" w:space="0" w:color="000000"/>
                  </w:tcBorders>
                </w:tcPr>
                <w:p>
                  <w:pPr>
                    <w:pStyle w:val="Tabletext1"/>
                    <w:widowControl w:val="false"/>
                    <w:spacing w:lineRule="auto" w:line="240" w:before="0" w:after="120"/>
                    <w:ind w:hanging="34" w:left="34"/>
                    <w:jc w:val="center"/>
                    <w:rPr>
                      <w:sz w:val="24"/>
                      <w:szCs w:val="24"/>
                    </w:rPr>
                  </w:pPr>
                  <w:r>
                    <w:rPr>
                      <w:sz w:val="24"/>
                      <w:szCs w:val="24"/>
                    </w:rPr>
                    <w:t>Особый (VIP)</w:t>
                  </w:r>
                </w:p>
              </w:tc>
            </w:tr>
            <w:tr>
              <w:trPr/>
              <w:tc>
                <w:tcPr>
                  <w:tcW w:w="5466" w:type="dxa"/>
                  <w:tcBorders>
                    <w:top w:val="single" w:sz="4" w:space="0" w:color="000000"/>
                    <w:left w:val="single" w:sz="4" w:space="0" w:color="000000"/>
                    <w:bottom w:val="single" w:sz="4" w:space="0" w:color="000000"/>
                    <w:right w:val="single" w:sz="4" w:space="0" w:color="000000"/>
                  </w:tcBorders>
                </w:tcPr>
                <w:p>
                  <w:pPr>
                    <w:pStyle w:val="Tabletext1"/>
                    <w:keepNext w:val="true"/>
                    <w:widowControl w:val="false"/>
                    <w:spacing w:lineRule="auto" w:line="240" w:before="0" w:after="120"/>
                    <w:ind w:hanging="22" w:left="142"/>
                    <w:jc w:val="both"/>
                    <w:rPr>
                      <w:sz w:val="24"/>
                      <w:szCs w:val="24"/>
                    </w:rPr>
                  </w:pPr>
                  <w:r>
                    <w:rPr>
                      <w:sz w:val="24"/>
                      <w:szCs w:val="24"/>
                    </w:rPr>
                    <w:t>Функциональность не критична для бизнеса (непрерывность бизнеса не зависит от доступности приложения)</w:t>
                  </w:r>
                </w:p>
              </w:tc>
              <w:tc>
                <w:tcPr>
                  <w:tcW w:w="1985" w:type="dxa"/>
                  <w:tcBorders>
                    <w:top w:val="single" w:sz="4" w:space="0" w:color="000000"/>
                    <w:left w:val="single" w:sz="4" w:space="0" w:color="000000"/>
                    <w:bottom w:val="single" w:sz="4" w:space="0" w:color="000000"/>
                    <w:right w:val="single" w:sz="4" w:space="0" w:color="000000"/>
                  </w:tcBorders>
                </w:tcPr>
                <w:p>
                  <w:pPr>
                    <w:pStyle w:val="Tabletext1"/>
                    <w:widowControl w:val="false"/>
                    <w:spacing w:lineRule="auto" w:line="240" w:before="0" w:after="120"/>
                    <w:ind w:hanging="34" w:left="34"/>
                    <w:jc w:val="center"/>
                    <w:rPr>
                      <w:sz w:val="24"/>
                      <w:szCs w:val="24"/>
                    </w:rPr>
                  </w:pPr>
                  <w:r>
                    <w:rPr>
                      <w:sz w:val="24"/>
                      <w:szCs w:val="24"/>
                    </w:rPr>
                    <w:t>Базовый</w:t>
                  </w:r>
                </w:p>
              </w:tc>
            </w:tr>
          </w:tbl>
          <w:p>
            <w:pPr>
              <w:pStyle w:val="Normal"/>
              <w:widowControl/>
              <w:suppressAutoHyphens w:val="true"/>
              <w:spacing w:lineRule="auto" w:line="240" w:before="0" w:after="120"/>
              <w:jc w:val="left"/>
              <w:rPr>
                <w:rFonts w:ascii="Times New Roman" w:hAnsi="Times New Roman"/>
                <w:sz w:val="24"/>
                <w:szCs w:val="24"/>
              </w:rPr>
            </w:pPr>
            <w:r>
              <w:rPr>
                <w:rFonts w:ascii="Times New Roman" w:hAnsi="Times New Roman"/>
                <w:sz w:val="24"/>
                <w:szCs w:val="24"/>
              </w:rPr>
            </w:r>
          </w:p>
          <w:tbl>
            <w:tblPr>
              <w:tblW w:w="750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034"/>
              <w:gridCol w:w="1470"/>
            </w:tblGrid>
            <w:tr>
              <w:trPr>
                <w:tblHeader w:val="true"/>
              </w:trPr>
              <w:tc>
                <w:tcPr>
                  <w:tcW w:w="6034" w:type="dxa"/>
                  <w:tcBorders>
                    <w:top w:val="single" w:sz="4" w:space="0" w:color="000000"/>
                    <w:left w:val="single" w:sz="4" w:space="0" w:color="000000"/>
                    <w:bottom w:val="single" w:sz="4" w:space="0" w:color="000000"/>
                    <w:right w:val="single" w:sz="4" w:space="0" w:color="000000"/>
                  </w:tcBorders>
                </w:tcPr>
                <w:p>
                  <w:pPr>
                    <w:pStyle w:val="Tabletext1"/>
                    <w:keepNext w:val="true"/>
                    <w:widowControl w:val="false"/>
                    <w:spacing w:lineRule="auto" w:line="240" w:before="0" w:after="120"/>
                    <w:ind w:hanging="240" w:left="680"/>
                    <w:jc w:val="center"/>
                    <w:rPr>
                      <w:sz w:val="24"/>
                      <w:szCs w:val="24"/>
                    </w:rPr>
                  </w:pPr>
                  <w:r>
                    <w:rPr>
                      <w:sz w:val="24"/>
                      <w:szCs w:val="24"/>
                    </w:rPr>
                    <w:t>Критерии классификации приоритетов обращения пользователя</w:t>
                  </w:r>
                </w:p>
              </w:tc>
              <w:tc>
                <w:tcPr>
                  <w:tcW w:w="1470" w:type="dxa"/>
                  <w:tcBorders>
                    <w:top w:val="single" w:sz="4" w:space="0" w:color="000000"/>
                    <w:left w:val="single" w:sz="4" w:space="0" w:color="000000"/>
                    <w:bottom w:val="single" w:sz="4" w:space="0" w:color="000000"/>
                    <w:right w:val="single" w:sz="4" w:space="0" w:color="000000"/>
                  </w:tcBorders>
                </w:tcPr>
                <w:p>
                  <w:pPr>
                    <w:pStyle w:val="Tabletext1"/>
                    <w:keepNext w:val="true"/>
                    <w:widowControl w:val="false"/>
                    <w:spacing w:lineRule="auto" w:line="240" w:before="0" w:after="120"/>
                    <w:ind w:firstLine="12"/>
                    <w:jc w:val="center"/>
                    <w:rPr>
                      <w:sz w:val="24"/>
                      <w:szCs w:val="24"/>
                    </w:rPr>
                  </w:pPr>
                  <w:r>
                    <w:rPr>
                      <w:sz w:val="24"/>
                      <w:szCs w:val="24"/>
                    </w:rPr>
                    <w:t>Кодовое название</w:t>
                  </w:r>
                </w:p>
              </w:tc>
            </w:tr>
            <w:tr>
              <w:trPr>
                <w:tblHeader w:val="true"/>
              </w:trPr>
              <w:tc>
                <w:tcPr>
                  <w:tcW w:w="6034" w:type="dxa"/>
                  <w:tcBorders>
                    <w:top w:val="single" w:sz="4" w:space="0" w:color="000000"/>
                    <w:left w:val="single" w:sz="4" w:space="0" w:color="000000"/>
                    <w:bottom w:val="single" w:sz="4" w:space="0" w:color="000000"/>
                    <w:right w:val="single" w:sz="4" w:space="0" w:color="000000"/>
                  </w:tcBorders>
                </w:tcPr>
                <w:p>
                  <w:pPr>
                    <w:pStyle w:val="Tabletext1"/>
                    <w:keepNext w:val="true"/>
                    <w:widowControl w:val="false"/>
                    <w:spacing w:lineRule="auto" w:line="240" w:before="0" w:after="120"/>
                    <w:ind w:hanging="22" w:left="142"/>
                    <w:jc w:val="both"/>
                    <w:rPr>
                      <w:sz w:val="24"/>
                      <w:szCs w:val="24"/>
                    </w:rPr>
                  </w:pPr>
                  <w:r>
                    <w:rPr>
                      <w:sz w:val="24"/>
                      <w:szCs w:val="24"/>
                    </w:rPr>
                    <w:t>Серьезный инцидент, ведущий к невозможности выполнения операций в системе без видимого временного решения.</w:t>
                  </w:r>
                </w:p>
              </w:tc>
              <w:tc>
                <w:tcPr>
                  <w:tcW w:w="1470" w:type="dxa"/>
                  <w:tcBorders>
                    <w:top w:val="single" w:sz="4" w:space="0" w:color="000000"/>
                    <w:left w:val="single" w:sz="4" w:space="0" w:color="000000"/>
                    <w:bottom w:val="single" w:sz="4" w:space="0" w:color="000000"/>
                    <w:right w:val="single" w:sz="4" w:space="0" w:color="000000"/>
                  </w:tcBorders>
                </w:tcPr>
                <w:p>
                  <w:pPr>
                    <w:pStyle w:val="Tabletext1"/>
                    <w:widowControl w:val="false"/>
                    <w:spacing w:lineRule="auto" w:line="240" w:before="0" w:after="120"/>
                    <w:ind w:hanging="34" w:left="34"/>
                    <w:jc w:val="center"/>
                    <w:rPr>
                      <w:sz w:val="24"/>
                      <w:szCs w:val="24"/>
                    </w:rPr>
                  </w:pPr>
                  <w:r>
                    <w:rPr>
                      <w:sz w:val="24"/>
                      <w:szCs w:val="24"/>
                    </w:rPr>
                    <w:t>Высокий</w:t>
                  </w:r>
                </w:p>
              </w:tc>
            </w:tr>
            <w:tr>
              <w:trPr/>
              <w:tc>
                <w:tcPr>
                  <w:tcW w:w="6034" w:type="dxa"/>
                  <w:tcBorders>
                    <w:top w:val="single" w:sz="4" w:space="0" w:color="000000"/>
                    <w:left w:val="single" w:sz="4" w:space="0" w:color="000000"/>
                    <w:bottom w:val="single" w:sz="4" w:space="0" w:color="000000"/>
                    <w:right w:val="single" w:sz="4" w:space="0" w:color="000000"/>
                  </w:tcBorders>
                </w:tcPr>
                <w:p>
                  <w:pPr>
                    <w:pStyle w:val="Tabletext1"/>
                    <w:keepNext w:val="true"/>
                    <w:widowControl w:val="false"/>
                    <w:spacing w:lineRule="auto" w:line="240" w:before="0" w:after="120"/>
                    <w:ind w:hanging="22" w:left="142"/>
                    <w:jc w:val="both"/>
                    <w:rPr>
                      <w:sz w:val="24"/>
                      <w:szCs w:val="24"/>
                    </w:rPr>
                  </w:pPr>
                  <w:r>
                    <w:rPr>
                      <w:sz w:val="24"/>
                      <w:szCs w:val="24"/>
                    </w:rPr>
                    <w:t>Проблема не останавливает работу системы в целом, но часть функций работает некорректно.</w:t>
                  </w:r>
                </w:p>
              </w:tc>
              <w:tc>
                <w:tcPr>
                  <w:tcW w:w="1470" w:type="dxa"/>
                  <w:tcBorders>
                    <w:top w:val="single" w:sz="4" w:space="0" w:color="000000"/>
                    <w:left w:val="single" w:sz="4" w:space="0" w:color="000000"/>
                    <w:bottom w:val="single" w:sz="4" w:space="0" w:color="000000"/>
                    <w:right w:val="single" w:sz="4" w:space="0" w:color="000000"/>
                  </w:tcBorders>
                </w:tcPr>
                <w:p>
                  <w:pPr>
                    <w:pStyle w:val="Tabletext1"/>
                    <w:widowControl w:val="false"/>
                    <w:spacing w:lineRule="auto" w:line="240" w:before="0" w:after="120"/>
                    <w:ind w:hanging="34" w:left="34"/>
                    <w:jc w:val="center"/>
                    <w:rPr>
                      <w:sz w:val="24"/>
                      <w:szCs w:val="24"/>
                    </w:rPr>
                  </w:pPr>
                  <w:r>
                    <w:rPr>
                      <w:sz w:val="24"/>
                      <w:szCs w:val="24"/>
                    </w:rPr>
                    <w:t>Средний</w:t>
                  </w:r>
                </w:p>
              </w:tc>
            </w:tr>
            <w:tr>
              <w:trPr/>
              <w:tc>
                <w:tcPr>
                  <w:tcW w:w="6034" w:type="dxa"/>
                  <w:tcBorders>
                    <w:top w:val="single" w:sz="4" w:space="0" w:color="000000"/>
                    <w:left w:val="single" w:sz="4" w:space="0" w:color="000000"/>
                    <w:bottom w:val="single" w:sz="4" w:space="0" w:color="000000"/>
                    <w:right w:val="single" w:sz="4" w:space="0" w:color="000000"/>
                  </w:tcBorders>
                </w:tcPr>
                <w:p>
                  <w:pPr>
                    <w:pStyle w:val="Tabletext1"/>
                    <w:keepNext w:val="true"/>
                    <w:widowControl w:val="false"/>
                    <w:spacing w:lineRule="auto" w:line="240" w:before="0" w:after="120"/>
                    <w:ind w:hanging="22" w:left="142"/>
                    <w:jc w:val="both"/>
                    <w:rPr>
                      <w:sz w:val="24"/>
                      <w:szCs w:val="24"/>
                    </w:rPr>
                  </w:pPr>
                  <w:r>
                    <w:rPr>
                      <w:sz w:val="24"/>
                      <w:szCs w:val="24"/>
                    </w:rPr>
                    <w:t>Проблема, влияющая на удобство работы с системой, снижающая эффективность ее использования.</w:t>
                  </w:r>
                </w:p>
              </w:tc>
              <w:tc>
                <w:tcPr>
                  <w:tcW w:w="1470" w:type="dxa"/>
                  <w:tcBorders>
                    <w:top w:val="single" w:sz="4" w:space="0" w:color="000000"/>
                    <w:left w:val="single" w:sz="4" w:space="0" w:color="000000"/>
                    <w:bottom w:val="single" w:sz="4" w:space="0" w:color="000000"/>
                    <w:right w:val="single" w:sz="4" w:space="0" w:color="000000"/>
                  </w:tcBorders>
                </w:tcPr>
                <w:p>
                  <w:pPr>
                    <w:pStyle w:val="Tabletext1"/>
                    <w:widowControl w:val="false"/>
                    <w:spacing w:lineRule="auto" w:line="240" w:before="0" w:after="120"/>
                    <w:ind w:hanging="34" w:left="34"/>
                    <w:jc w:val="center"/>
                    <w:rPr>
                      <w:sz w:val="24"/>
                      <w:szCs w:val="24"/>
                    </w:rPr>
                  </w:pPr>
                  <w:r>
                    <w:rPr>
                      <w:sz w:val="24"/>
                      <w:szCs w:val="24"/>
                    </w:rPr>
                    <w:t>Низкий</w:t>
                  </w:r>
                </w:p>
              </w:tc>
            </w:tr>
            <w:tr>
              <w:trPr/>
              <w:tc>
                <w:tcPr>
                  <w:tcW w:w="6034" w:type="dxa"/>
                  <w:tcBorders>
                    <w:top w:val="single" w:sz="4" w:space="0" w:color="000000"/>
                    <w:left w:val="single" w:sz="4" w:space="0" w:color="000000"/>
                    <w:bottom w:val="single" w:sz="4" w:space="0" w:color="000000"/>
                    <w:right w:val="single" w:sz="4" w:space="0" w:color="000000"/>
                  </w:tcBorders>
                </w:tcPr>
                <w:p>
                  <w:pPr>
                    <w:pStyle w:val="Tabletext1"/>
                    <w:keepNext w:val="true"/>
                    <w:widowControl w:val="false"/>
                    <w:spacing w:lineRule="auto" w:line="240" w:before="0" w:after="120"/>
                    <w:ind w:hanging="22" w:left="142"/>
                    <w:jc w:val="both"/>
                    <w:rPr>
                      <w:sz w:val="24"/>
                      <w:szCs w:val="24"/>
                    </w:rPr>
                  </w:pPr>
                  <w:r>
                    <w:rPr>
                      <w:sz w:val="24"/>
                      <w:szCs w:val="24"/>
                    </w:rPr>
                    <w:t>Проблема, не влияющая на удобство работы с системой, не снижающая эффективность ее использования, либо консультация.</w:t>
                  </w:r>
                </w:p>
              </w:tc>
              <w:tc>
                <w:tcPr>
                  <w:tcW w:w="1470" w:type="dxa"/>
                  <w:tcBorders>
                    <w:top w:val="single" w:sz="4" w:space="0" w:color="000000"/>
                    <w:left w:val="single" w:sz="4" w:space="0" w:color="000000"/>
                    <w:bottom w:val="single" w:sz="4" w:space="0" w:color="000000"/>
                    <w:right w:val="single" w:sz="4" w:space="0" w:color="000000"/>
                  </w:tcBorders>
                </w:tcPr>
                <w:p>
                  <w:pPr>
                    <w:pStyle w:val="Tabletext1"/>
                    <w:widowControl w:val="false"/>
                    <w:spacing w:lineRule="auto" w:line="240" w:before="0" w:after="120"/>
                    <w:ind w:hanging="34" w:left="34"/>
                    <w:jc w:val="center"/>
                    <w:rPr>
                      <w:sz w:val="24"/>
                      <w:szCs w:val="24"/>
                    </w:rPr>
                  </w:pPr>
                  <w:r>
                    <w:rPr>
                      <w:sz w:val="24"/>
                      <w:szCs w:val="24"/>
                    </w:rPr>
                    <w:t>Нет влияния</w:t>
                  </w:r>
                </w:p>
              </w:tc>
            </w:tr>
          </w:tbl>
          <w:p>
            <w:pPr>
              <w:pStyle w:val="311"/>
              <w:widowControl/>
              <w:numPr>
                <w:ilvl w:val="0"/>
                <w:numId w:val="0"/>
              </w:numPr>
              <w:tabs>
                <w:tab w:val="left" w:pos="360" w:leader="none"/>
                <w:tab w:val="left" w:pos="567" w:leader="none"/>
              </w:tabs>
              <w:suppressAutoHyphens w:val="true"/>
              <w:spacing w:before="0" w:after="120"/>
              <w:ind w:hanging="0" w:left="0"/>
              <w:jc w:val="left"/>
              <w:rPr>
                <w:rFonts w:ascii="Times New Roman" w:hAnsi="Times New Roman"/>
                <w:szCs w:val="24"/>
              </w:rPr>
            </w:pPr>
            <w:r>
              <w:rPr>
                <w:rFonts w:ascii="Times New Roman" w:hAnsi="Times New Roman"/>
                <w:szCs w:val="24"/>
              </w:rPr>
            </w:r>
          </w:p>
          <w:p>
            <w:pPr>
              <w:pStyle w:val="311"/>
              <w:widowControl/>
              <w:numPr>
                <w:ilvl w:val="0"/>
                <w:numId w:val="0"/>
              </w:numPr>
              <w:tabs>
                <w:tab w:val="left" w:pos="360" w:leader="none"/>
                <w:tab w:val="left" w:pos="567" w:leader="none"/>
              </w:tabs>
              <w:suppressAutoHyphens w:val="true"/>
              <w:spacing w:before="0" w:after="120"/>
              <w:ind w:hanging="0" w:left="0"/>
              <w:jc w:val="left"/>
              <w:rPr>
                <w:rFonts w:ascii="Times New Roman" w:hAnsi="Times New Roman"/>
                <w:szCs w:val="24"/>
              </w:rPr>
            </w:pPr>
            <w:r>
              <w:rPr>
                <w:rFonts w:eastAsia="Times New Roman" w:cs="Times New Roman" w:ascii="Times New Roman" w:hAnsi="Times New Roman"/>
                <w:color w:val="000000"/>
                <w:kern w:val="0"/>
                <w:szCs w:val="24"/>
                <w:lang w:val="ru-RU" w:eastAsia="ru-RU" w:bidi="ar-SA"/>
              </w:rPr>
              <w:t>Доступность</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Согласованная доступность данной услуги: 96%</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При этом не допускается последовательная недоступность услуги более чем 4 часа подряд. Доступность услуги рассчитывается по формуле:</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Доступность = ((7 * 24 – СЕРВИСНЫЙ ИНТЕРВАЛ) – ОБЩЕЕ ВРЕМЯ НЕДОСТУПНОСТИ) / (7 * 24 – СЕРВИСНЫЙ ИНТЕРВАЛ)</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СЕРВИСНЫЙ ИНТЕРВАЛ – см. п. 4.</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ОБЩЕЕ ВРЕМЯ НЕДОСТУПНОСТИ рассчитывается на основании данных КСА СПП.</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Ошибки пользователей не являются причиной недоступности услуги.</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Общее время недоступности услуги не включает в себя простой по причине недоступности других услуг, от которых зависит предоставление данной услуги.</w:t>
            </w:r>
          </w:p>
          <w:p>
            <w:pPr>
              <w:pStyle w:val="ListBullet"/>
              <w:widowControl/>
              <w:numPr>
                <w:ilvl w:val="0"/>
                <w:numId w:val="0"/>
              </w:numPr>
              <w:suppressAutoHyphens w:val="true"/>
              <w:spacing w:lineRule="auto" w:line="240" w:before="0" w:after="120"/>
              <w:ind w:hanging="0" w:left="0"/>
              <w:contextualSpacing/>
              <w:rPr>
                <w:szCs w:val="24"/>
              </w:rPr>
            </w:pPr>
            <w:r>
              <w:rPr>
                <w:rFonts w:eastAsia="Times New Roman" w:cs="Times New Roman"/>
                <w:color w:val="000000"/>
                <w:kern w:val="0"/>
                <w:szCs w:val="24"/>
                <w:lang w:val="ru-RU" w:eastAsia="ru-RU" w:bidi="ar-SA"/>
              </w:rPr>
              <w:t>Период времени для восстановления работоспособности Системы и её компонентов после аварийного состояния не должен превышать 4 часов при обеспечении работоспособности системы удалённого доступа, аппаратной части, сетевой инфраструктуры и системного программного обеспечения.</w:t>
            </w:r>
          </w:p>
          <w:p>
            <w:pPr>
              <w:pStyle w:val="311"/>
              <w:widowControl/>
              <w:numPr>
                <w:ilvl w:val="0"/>
                <w:numId w:val="0"/>
              </w:numPr>
              <w:tabs>
                <w:tab w:val="left" w:pos="360" w:leader="none"/>
                <w:tab w:val="left" w:pos="567" w:leader="none"/>
              </w:tabs>
              <w:suppressAutoHyphens w:val="true"/>
              <w:spacing w:before="0" w:after="120"/>
              <w:ind w:hanging="0" w:left="0"/>
              <w:jc w:val="left"/>
              <w:rPr>
                <w:rFonts w:ascii="Times New Roman" w:hAnsi="Times New Roman"/>
                <w:szCs w:val="24"/>
              </w:rPr>
            </w:pPr>
            <w:r>
              <w:rPr>
                <w:rFonts w:eastAsia="Times New Roman" w:cs="Times New Roman" w:ascii="Times New Roman" w:hAnsi="Times New Roman"/>
                <w:color w:val="000000"/>
                <w:kern w:val="0"/>
                <w:szCs w:val="24"/>
                <w:lang w:val="ru-RU" w:eastAsia="ru-RU" w:bidi="ar-SA"/>
              </w:rPr>
              <w:t>Поддержка услуги</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Поддержка услуг заключается в приеме обращений пользователей.</w:t>
            </w:r>
          </w:p>
          <w:p>
            <w:pPr>
              <w:pStyle w:val="ListBullet"/>
              <w:widowControl/>
              <w:numPr>
                <w:ilvl w:val="0"/>
                <w:numId w:val="0"/>
              </w:numPr>
              <w:suppressAutoHyphens w:val="true"/>
              <w:spacing w:lineRule="auto" w:line="240" w:before="0" w:after="120"/>
              <w:ind w:hanging="0" w:left="0"/>
              <w:contextualSpacing/>
              <w:rPr>
                <w:szCs w:val="24"/>
              </w:rPr>
            </w:pPr>
            <w:r>
              <w:rPr>
                <w:rFonts w:eastAsia="Times New Roman" w:cs="Times New Roman"/>
                <w:color w:val="000000"/>
                <w:kern w:val="0"/>
                <w:szCs w:val="24"/>
                <w:lang w:val="ru-RU" w:eastAsia="ru-RU" w:bidi="ar-SA"/>
              </w:rPr>
              <w:t>Поддержка услуг предоставляется с 8:00 до 18:00 по месту нахождения объектов автоматизации пять дней в неделю, исключая праздничные дни.</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Исполнительный аппарат АО «ТК РусГидро» (GMT+10) Владивосток, Приморский край</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Дальневосточный филиал АО «ТК РусГидро» (GMT+10) Хабаровск, Хабаровский край</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Владивостокское представительство АО «ТК РусГидро» (GMT+10) Владивосток, Приморский край</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Саяно-Шушенский филиал АО «ТК РусГидро (GMT+7) Саяногорск, Республика Хакасия</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Приволжский филиал АО «ТК РусГидро» (GMT+4) Жигулёвск, Самарская область</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Южный филиал АО «ТК РусГидро» (GMT+3) Пятигорск, Ставропольский край</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Центральный филиал АО «ТК РусГидро» (GMT+3) пос. Богородское, Московская область</w:t>
            </w:r>
          </w:p>
          <w:p>
            <w:pPr>
              <w:pStyle w:val="Normal"/>
              <w:widowControl/>
              <w:numPr>
                <w:ilvl w:val="0"/>
                <w:numId w:val="9"/>
              </w:numPr>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Камчатский филиал АО «ТК РусГидро» (GMT+12) Петропавловск-Камчатский, Камчатский край</w:t>
            </w:r>
          </w:p>
          <w:p>
            <w:pPr>
              <w:pStyle w:val="ListBullet"/>
              <w:widowControl/>
              <w:numPr>
                <w:ilvl w:val="0"/>
                <w:numId w:val="0"/>
              </w:numPr>
              <w:suppressAutoHyphens w:val="true"/>
              <w:spacing w:lineRule="auto" w:line="240" w:before="0" w:after="120"/>
              <w:ind w:hanging="0" w:left="0"/>
              <w:contextualSpacing/>
              <w:rPr>
                <w:szCs w:val="24"/>
              </w:rPr>
            </w:pPr>
            <w:r>
              <w:rPr>
                <w:szCs w:val="24"/>
              </w:rPr>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Время реакции для любого типа запроса составляет не более 60 мин.</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Время реакции означает время, за которое запрос пользователя будет зарегистрирован и назначен на специалиста, ответственного за исполнение запроса. При этом пользователю будет отправлено соответствующее оповещение по электронной почте.</w:t>
            </w:r>
          </w:p>
          <w:p>
            <w:pPr>
              <w:pStyle w:val="311"/>
              <w:widowControl/>
              <w:numPr>
                <w:ilvl w:val="0"/>
                <w:numId w:val="0"/>
              </w:numPr>
              <w:tabs>
                <w:tab w:val="left" w:pos="360" w:leader="none"/>
                <w:tab w:val="left" w:pos="567" w:leader="none"/>
              </w:tabs>
              <w:suppressAutoHyphens w:val="true"/>
              <w:spacing w:before="0" w:after="120"/>
              <w:ind w:hanging="0" w:left="0"/>
              <w:jc w:val="left"/>
              <w:rPr>
                <w:rFonts w:ascii="Times New Roman" w:hAnsi="Times New Roman"/>
                <w:szCs w:val="24"/>
              </w:rPr>
            </w:pPr>
            <w:r>
              <w:rPr>
                <w:rFonts w:eastAsia="Times New Roman" w:cs="Times New Roman" w:ascii="Times New Roman" w:hAnsi="Times New Roman"/>
                <w:color w:val="000000"/>
                <w:kern w:val="0"/>
                <w:szCs w:val="24"/>
                <w:lang w:val="ru-RU" w:eastAsia="ru-RU" w:bidi="ar-SA"/>
              </w:rPr>
              <w:t>Устранение инцидентов</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Время устранения инцидентов, препятствующих получению услуги, определено в следующей таблице:</w:t>
            </w:r>
          </w:p>
          <w:tbl>
            <w:tblPr>
              <w:tblW w:w="71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73"/>
              <w:gridCol w:w="2550"/>
              <w:gridCol w:w="3546"/>
            </w:tblGrid>
            <w:tr>
              <w:trPr>
                <w:tblHeader w:val="true"/>
              </w:trPr>
              <w:tc>
                <w:tcPr>
                  <w:tcW w:w="10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Уровень</w:t>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Срочность</w:t>
                  </w:r>
                </w:p>
              </w:tc>
              <w:tc>
                <w:tcPr>
                  <w:tcW w:w="35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Срок</w:t>
                  </w:r>
                  <w:r>
                    <w:rPr>
                      <w:rStyle w:val="FootnoteReference"/>
                      <w:rFonts w:ascii="Times New Roman" w:hAnsi="Times New Roman"/>
                      <w:sz w:val="24"/>
                      <w:szCs w:val="24"/>
                    </w:rPr>
                    <w:footnoteReference w:id="2"/>
                  </w:r>
                </w:p>
              </w:tc>
            </w:tr>
            <w:tr>
              <w:trPr>
                <w:trHeight w:val="60" w:hRule="atLeast"/>
              </w:trPr>
              <w:tc>
                <w:tcPr>
                  <w:tcW w:w="107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Базовый</w:t>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Нет</w:t>
                  </w:r>
                </w:p>
              </w:tc>
              <w:tc>
                <w:tcPr>
                  <w:tcW w:w="35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ind w:hanging="34" w:left="34"/>
                    <w:jc w:val="both"/>
                    <w:rPr>
                      <w:rFonts w:ascii="Times New Roman" w:hAnsi="Times New Roman"/>
                      <w:sz w:val="24"/>
                      <w:szCs w:val="24"/>
                    </w:rPr>
                  </w:pPr>
                  <w:r>
                    <w:rPr>
                      <w:rFonts w:ascii="Times New Roman" w:hAnsi="Times New Roman"/>
                      <w:sz w:val="24"/>
                      <w:szCs w:val="24"/>
                    </w:rPr>
                    <w:t>40 часов</w:t>
                  </w:r>
                </w:p>
              </w:tc>
            </w:tr>
            <w:tr>
              <w:trPr>
                <w:trHeight w:val="60" w:hRule="atLeast"/>
              </w:trPr>
              <w:tc>
                <w:tcPr>
                  <w:tcW w:w="107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 w:val="24"/>
                      <w:szCs w:val="24"/>
                    </w:rPr>
                  </w:pPr>
                  <w:r>
                    <w:rPr>
                      <w:rFonts w:ascii="Times New Roman" w:hAnsi="Times New Roman"/>
                      <w:sz w:val="24"/>
                      <w:szCs w:val="24"/>
                    </w:rPr>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Низкая</w:t>
                  </w:r>
                </w:p>
              </w:tc>
              <w:tc>
                <w:tcPr>
                  <w:tcW w:w="35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24 часа</w:t>
                  </w:r>
                </w:p>
              </w:tc>
            </w:tr>
            <w:tr>
              <w:trPr>
                <w:trHeight w:val="60" w:hRule="atLeast"/>
              </w:trPr>
              <w:tc>
                <w:tcPr>
                  <w:tcW w:w="107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 w:val="24"/>
                      <w:szCs w:val="24"/>
                    </w:rPr>
                  </w:pPr>
                  <w:r>
                    <w:rPr>
                      <w:rFonts w:ascii="Times New Roman" w:hAnsi="Times New Roman"/>
                      <w:sz w:val="24"/>
                      <w:szCs w:val="24"/>
                    </w:rPr>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Средняя</w:t>
                  </w:r>
                </w:p>
              </w:tc>
              <w:tc>
                <w:tcPr>
                  <w:tcW w:w="35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4 часа</w:t>
                  </w:r>
                </w:p>
              </w:tc>
            </w:tr>
            <w:tr>
              <w:trPr>
                <w:trHeight w:val="60" w:hRule="atLeast"/>
              </w:trPr>
              <w:tc>
                <w:tcPr>
                  <w:tcW w:w="107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 w:val="24"/>
                      <w:szCs w:val="24"/>
                    </w:rPr>
                  </w:pPr>
                  <w:r>
                    <w:rPr>
                      <w:rFonts w:ascii="Times New Roman" w:hAnsi="Times New Roman"/>
                      <w:sz w:val="24"/>
                      <w:szCs w:val="24"/>
                    </w:rPr>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Высокая</w:t>
                  </w:r>
                </w:p>
              </w:tc>
              <w:tc>
                <w:tcPr>
                  <w:tcW w:w="35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1 час</w:t>
                  </w:r>
                </w:p>
              </w:tc>
            </w:tr>
            <w:tr>
              <w:trPr>
                <w:trHeight w:val="60" w:hRule="atLeast"/>
              </w:trPr>
              <w:tc>
                <w:tcPr>
                  <w:tcW w:w="107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VIP</w:t>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Нет</w:t>
                  </w:r>
                </w:p>
              </w:tc>
              <w:tc>
                <w:tcPr>
                  <w:tcW w:w="35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8 часов</w:t>
                  </w:r>
                </w:p>
              </w:tc>
            </w:tr>
            <w:tr>
              <w:trPr>
                <w:trHeight w:val="60" w:hRule="atLeast"/>
              </w:trPr>
              <w:tc>
                <w:tcPr>
                  <w:tcW w:w="107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 w:val="24"/>
                      <w:szCs w:val="24"/>
                    </w:rPr>
                  </w:pPr>
                  <w:r>
                    <w:rPr>
                      <w:rFonts w:ascii="Times New Roman" w:hAnsi="Times New Roman"/>
                      <w:sz w:val="24"/>
                      <w:szCs w:val="24"/>
                    </w:rPr>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Низкая</w:t>
                  </w:r>
                </w:p>
              </w:tc>
              <w:tc>
                <w:tcPr>
                  <w:tcW w:w="35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4 часа</w:t>
                  </w:r>
                </w:p>
              </w:tc>
            </w:tr>
            <w:tr>
              <w:trPr>
                <w:trHeight w:val="60" w:hRule="atLeast"/>
              </w:trPr>
              <w:tc>
                <w:tcPr>
                  <w:tcW w:w="107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 w:val="24"/>
                      <w:szCs w:val="24"/>
                    </w:rPr>
                  </w:pPr>
                  <w:r>
                    <w:rPr>
                      <w:rFonts w:ascii="Times New Roman" w:hAnsi="Times New Roman"/>
                      <w:sz w:val="24"/>
                      <w:szCs w:val="24"/>
                    </w:rPr>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Средняя</w:t>
                  </w:r>
                </w:p>
              </w:tc>
              <w:tc>
                <w:tcPr>
                  <w:tcW w:w="35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30 мин</w:t>
                  </w:r>
                </w:p>
              </w:tc>
            </w:tr>
            <w:tr>
              <w:trPr>
                <w:trHeight w:val="60" w:hRule="atLeast"/>
              </w:trPr>
              <w:tc>
                <w:tcPr>
                  <w:tcW w:w="107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 w:val="24"/>
                      <w:szCs w:val="24"/>
                    </w:rPr>
                  </w:pPr>
                  <w:r>
                    <w:rPr>
                      <w:rFonts w:ascii="Times New Roman" w:hAnsi="Times New Roman"/>
                      <w:sz w:val="24"/>
                      <w:szCs w:val="24"/>
                    </w:rPr>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Высокая</w:t>
                  </w:r>
                </w:p>
              </w:tc>
              <w:tc>
                <w:tcPr>
                  <w:tcW w:w="35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30 мин</w:t>
                  </w:r>
                </w:p>
              </w:tc>
            </w:tr>
          </w:tbl>
          <w:p>
            <w:pPr>
              <w:pStyle w:val="311"/>
              <w:widowControl/>
              <w:numPr>
                <w:ilvl w:val="0"/>
                <w:numId w:val="0"/>
              </w:numPr>
              <w:tabs>
                <w:tab w:val="left" w:pos="360" w:leader="none"/>
                <w:tab w:val="left" w:pos="567" w:leader="none"/>
              </w:tabs>
              <w:suppressAutoHyphens w:val="true"/>
              <w:spacing w:before="0" w:after="120"/>
              <w:ind w:hanging="0" w:left="0"/>
              <w:jc w:val="left"/>
              <w:rPr>
                <w:rFonts w:ascii="Times New Roman" w:hAnsi="Times New Roman"/>
                <w:szCs w:val="24"/>
              </w:rPr>
            </w:pPr>
            <w:r>
              <w:rPr>
                <w:rFonts w:eastAsia="Times New Roman" w:cs="Times New Roman" w:ascii="Times New Roman" w:hAnsi="Times New Roman"/>
                <w:color w:val="000000"/>
                <w:kern w:val="0"/>
                <w:szCs w:val="24"/>
                <w:lang w:val="ru-RU" w:eastAsia="ru-RU" w:bidi="ar-SA"/>
              </w:rPr>
              <w:t>Запросы на обслуживание</w:t>
            </w:r>
          </w:p>
          <w:tbl>
            <w:tblPr>
              <w:tblW w:w="70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356"/>
              <w:gridCol w:w="2670"/>
            </w:tblGrid>
            <w:tr>
              <w:trPr>
                <w:tblHeader w:val="true"/>
              </w:trPr>
              <w:tc>
                <w:tcPr>
                  <w:tcW w:w="4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Уровень</w:t>
                  </w:r>
                </w:p>
              </w:tc>
              <w:tc>
                <w:tcPr>
                  <w:tcW w:w="26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Срок1</w:t>
                  </w:r>
                </w:p>
              </w:tc>
            </w:tr>
            <w:tr>
              <w:trPr>
                <w:trHeight w:val="301" w:hRule="atLeast"/>
              </w:trPr>
              <w:tc>
                <w:tcPr>
                  <w:tcW w:w="4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Базовый</w:t>
                  </w:r>
                </w:p>
              </w:tc>
              <w:tc>
                <w:tcPr>
                  <w:tcW w:w="26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24 часа</w:t>
                  </w:r>
                </w:p>
              </w:tc>
            </w:tr>
            <w:tr>
              <w:trPr>
                <w:trHeight w:val="163" w:hRule="atLeast"/>
              </w:trPr>
              <w:tc>
                <w:tcPr>
                  <w:tcW w:w="4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VIP</w:t>
                  </w:r>
                </w:p>
              </w:tc>
              <w:tc>
                <w:tcPr>
                  <w:tcW w:w="26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4 часа</w:t>
                  </w:r>
                </w:p>
              </w:tc>
            </w:tr>
          </w:tbl>
          <w:p>
            <w:pPr>
              <w:pStyle w:val="311"/>
              <w:widowControl/>
              <w:numPr>
                <w:ilvl w:val="0"/>
                <w:numId w:val="0"/>
              </w:numPr>
              <w:tabs>
                <w:tab w:val="left" w:pos="360" w:leader="none"/>
                <w:tab w:val="left" w:pos="567" w:leader="none"/>
              </w:tabs>
              <w:suppressAutoHyphens w:val="true"/>
              <w:spacing w:before="0" w:after="120"/>
              <w:ind w:hanging="0" w:left="0"/>
              <w:jc w:val="left"/>
              <w:rPr>
                <w:rFonts w:ascii="Times New Roman" w:hAnsi="Times New Roman"/>
                <w:szCs w:val="24"/>
              </w:rPr>
            </w:pPr>
            <w:r>
              <w:rPr>
                <w:rFonts w:eastAsia="Times New Roman" w:cs="Times New Roman" w:ascii="Times New Roman" w:hAnsi="Times New Roman"/>
                <w:color w:val="000000"/>
                <w:kern w:val="0"/>
                <w:szCs w:val="24"/>
                <w:lang w:val="ru-RU" w:eastAsia="ru-RU" w:bidi="ar-SA"/>
              </w:rPr>
              <w:t>Запросы на информацию</w:t>
            </w:r>
          </w:p>
          <w:tbl>
            <w:tblPr>
              <w:tblW w:w="70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356"/>
              <w:gridCol w:w="2670"/>
            </w:tblGrid>
            <w:tr>
              <w:trPr>
                <w:tblHeader w:val="true"/>
              </w:trPr>
              <w:tc>
                <w:tcPr>
                  <w:tcW w:w="4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Уровень</w:t>
                  </w:r>
                </w:p>
              </w:tc>
              <w:tc>
                <w:tcPr>
                  <w:tcW w:w="26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Срок1</w:t>
                  </w:r>
                </w:p>
              </w:tc>
            </w:tr>
            <w:tr>
              <w:trPr>
                <w:trHeight w:val="301" w:hRule="atLeast"/>
              </w:trPr>
              <w:tc>
                <w:tcPr>
                  <w:tcW w:w="4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Базовый</w:t>
                  </w:r>
                </w:p>
              </w:tc>
              <w:tc>
                <w:tcPr>
                  <w:tcW w:w="26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4 часа</w:t>
                  </w:r>
                </w:p>
              </w:tc>
            </w:tr>
            <w:tr>
              <w:trPr>
                <w:trHeight w:val="264" w:hRule="atLeast"/>
              </w:trPr>
              <w:tc>
                <w:tcPr>
                  <w:tcW w:w="4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VIP</w:t>
                  </w:r>
                </w:p>
              </w:tc>
              <w:tc>
                <w:tcPr>
                  <w:tcW w:w="26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jc w:val="both"/>
                    <w:rPr>
                      <w:rFonts w:ascii="Times New Roman" w:hAnsi="Times New Roman"/>
                      <w:sz w:val="24"/>
                      <w:szCs w:val="24"/>
                    </w:rPr>
                  </w:pPr>
                  <w:r>
                    <w:rPr>
                      <w:rFonts w:ascii="Times New Roman" w:hAnsi="Times New Roman"/>
                      <w:sz w:val="24"/>
                      <w:szCs w:val="24"/>
                    </w:rPr>
                    <w:t>1 час</w:t>
                  </w:r>
                </w:p>
              </w:tc>
            </w:tr>
          </w:tbl>
          <w:p>
            <w:pPr>
              <w:pStyle w:val="Normal"/>
              <w:widowControl/>
              <w:suppressAutoHyphens w:val="true"/>
              <w:spacing w:lineRule="auto" w:line="240" w:before="0" w:after="120"/>
              <w:jc w:val="both"/>
              <w:rPr>
                <w:rFonts w:ascii="Times New Roman" w:hAnsi="Times New Roman"/>
                <w:sz w:val="24"/>
                <w:szCs w:val="24"/>
              </w:rPr>
            </w:pPr>
            <w:r>
              <w:rPr>
                <w:rFonts w:ascii="Times New Roman" w:hAnsi="Times New Roman"/>
                <w:sz w:val="24"/>
                <w:szCs w:val="24"/>
              </w:rPr>
            </w:r>
          </w:p>
          <w:p>
            <w:pPr>
              <w:pStyle w:val="311"/>
              <w:widowControl/>
              <w:numPr>
                <w:ilvl w:val="0"/>
                <w:numId w:val="0"/>
              </w:numPr>
              <w:tabs>
                <w:tab w:val="left" w:pos="360" w:leader="none"/>
                <w:tab w:val="left" w:pos="567" w:leader="none"/>
              </w:tabs>
              <w:suppressAutoHyphens w:val="true"/>
              <w:spacing w:before="0" w:after="120"/>
              <w:ind w:hanging="0" w:left="0"/>
              <w:jc w:val="left"/>
              <w:rPr>
                <w:rFonts w:ascii="Times New Roman" w:hAnsi="Times New Roman"/>
                <w:szCs w:val="24"/>
              </w:rPr>
            </w:pPr>
            <w:r>
              <w:rPr>
                <w:rFonts w:eastAsia="Times New Roman" w:cs="Times New Roman" w:ascii="Times New Roman" w:hAnsi="Times New Roman"/>
                <w:color w:val="000000"/>
                <w:kern w:val="0"/>
                <w:szCs w:val="24"/>
                <w:lang w:val="ru-RU" w:eastAsia="ru-RU" w:bidi="ar-SA"/>
              </w:rPr>
              <w:t>Требования к «регламентным работам»</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Допускается проведение плановых «Регламентных работ» (влияющих на доступность услуги) в период с 18:00 до 02:00 по московскому времени не более чем 1 раз в неделю. По возможности такие работы следует проводить в выходные или праздничные дни.</w:t>
            </w:r>
          </w:p>
          <w:p>
            <w:pPr>
              <w:pStyle w:val="ListBullet"/>
              <w:widowControl/>
              <w:numPr>
                <w:ilvl w:val="0"/>
                <w:numId w:val="0"/>
              </w:numPr>
              <w:suppressAutoHyphens w:val="true"/>
              <w:spacing w:lineRule="auto" w:line="240" w:before="0" w:after="120"/>
              <w:ind w:hanging="0" w:left="0"/>
              <w:contextualSpacing/>
              <w:rPr>
                <w:szCs w:val="24"/>
              </w:rPr>
            </w:pPr>
            <w:r>
              <w:rPr>
                <w:rFonts w:eastAsia="Times New Roman" w:cs="Times New Roman"/>
                <w:color w:val="000000"/>
                <w:kern w:val="0"/>
                <w:szCs w:val="24"/>
                <w:lang w:val="ru-RU" w:eastAsia="ru-RU" w:bidi="ar-SA"/>
              </w:rPr>
              <w:t>При проведении «Регламентных и профилактических работ» максимальное время простоя и период снижения объёма и качества предоставления услуг должно составлять не более 6 часов в нерабочее время АО «ТК РусГидро». «Регламентные работы» должны проводиться во время технологического окна.</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Исполнитель услуги обязан согласовывать все плановые «Регламентные работы» с Заказчиком не менее чем за 1 день до проведения работ. Исполнитель обязан предупредить Заказчика по электронной почте и согласовать недоступность. Исполнитель обязуется предупреждать всех пользователей данной услуги, на которых окажут влияние данные работы, не менее чем за 24 часа до проведения соответствующих работ. Оповещение пользователей производится по электронной почте.</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 случае необходимости проведения экстренных сервисных работ Исполнитель обязан согласовать их с Заказчиком не менее чем за 2 часа. Исполнитель обязан предупредить Заказчика по электронной почте и согласовать недоступность. Исполнитель обязуется оповестить всех пользователей данной услуги, на которых окажут влияние данные работы, не менее чем за 2 часа до проведения соответствующих работ. Оповещение пользователей производится по электронной почте.</w:t>
            </w:r>
          </w:p>
          <w:p>
            <w:pPr>
              <w:pStyle w:val="311"/>
              <w:widowControl/>
              <w:numPr>
                <w:ilvl w:val="0"/>
                <w:numId w:val="0"/>
              </w:numPr>
              <w:tabs>
                <w:tab w:val="left" w:pos="360" w:leader="none"/>
                <w:tab w:val="left" w:pos="567" w:leader="none"/>
              </w:tabs>
              <w:suppressAutoHyphens w:val="true"/>
              <w:spacing w:before="0" w:after="120"/>
              <w:ind w:hanging="0" w:left="0"/>
              <w:jc w:val="left"/>
              <w:rPr>
                <w:rFonts w:ascii="Times New Roman" w:hAnsi="Times New Roman"/>
                <w:szCs w:val="24"/>
              </w:rPr>
            </w:pPr>
            <w:r>
              <w:rPr>
                <w:rFonts w:eastAsia="Times New Roman" w:cs="Times New Roman" w:ascii="Times New Roman" w:hAnsi="Times New Roman"/>
                <w:color w:val="000000"/>
                <w:kern w:val="0"/>
                <w:szCs w:val="24"/>
                <w:lang w:val="ru-RU" w:eastAsia="ru-RU" w:bidi="ar-SA"/>
              </w:rPr>
              <w:t>Показатель качества услуги</w:t>
            </w:r>
          </w:p>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Показатели качества предоставления услуги должны удовлетворять следующим условиям:</w:t>
            </w:r>
          </w:p>
          <w:p>
            <w:pPr>
              <w:pStyle w:val="Caption11"/>
              <w:widowControl/>
              <w:numPr>
                <w:ilvl w:val="0"/>
                <w:numId w:val="21"/>
              </w:numPr>
              <w:suppressAutoHyphens w:val="true"/>
              <w:jc w:val="left"/>
              <w:rPr>
                <w:rFonts w:ascii="Times New Roman" w:hAnsi="Times New Roman" w:cs="Times New Roman"/>
                <w:i w:val="false"/>
                <w:i w:val="false"/>
              </w:rPr>
            </w:pPr>
            <w:bookmarkStart w:id="53" w:name="_Toc181193772"/>
            <w:bookmarkStart w:id="54" w:name="_Toc209783459"/>
            <w:bookmarkStart w:id="55" w:name="_Toc181193866"/>
            <w:r>
              <w:rPr>
                <w:rFonts w:eastAsia="Times New Roman" w:cs="Times New Roman" w:ascii="Times New Roman" w:hAnsi="Times New Roman"/>
                <w:i w:val="false"/>
                <w:color w:val="000000"/>
                <w:kern w:val="0"/>
                <w:lang w:val="ru-RU" w:eastAsia="ru-RU" w:bidi="ar-SA"/>
              </w:rPr>
              <w:t>Показатель «Качество предоставления ИТ-услуг» должен иметь значение не ниже 80%</w:t>
            </w:r>
            <w:bookmarkEnd w:id="53"/>
            <w:bookmarkEnd w:id="54"/>
            <w:bookmarkEnd w:id="55"/>
          </w:p>
          <w:p>
            <w:pPr>
              <w:pStyle w:val="Caption11"/>
              <w:widowControl/>
              <w:numPr>
                <w:ilvl w:val="0"/>
                <w:numId w:val="21"/>
              </w:numPr>
              <w:suppressAutoHyphens w:val="true"/>
              <w:jc w:val="left"/>
              <w:rPr>
                <w:rFonts w:ascii="Times New Roman" w:hAnsi="Times New Roman" w:cs="Times New Roman"/>
                <w:i w:val="false"/>
                <w:i w:val="false"/>
              </w:rPr>
            </w:pPr>
            <w:bookmarkStart w:id="56" w:name="_Toc209783460"/>
            <w:bookmarkStart w:id="57" w:name="_Toc181193773"/>
            <w:bookmarkStart w:id="58" w:name="_Toc181193867"/>
            <w:r>
              <w:rPr>
                <w:rFonts w:eastAsia="Times New Roman" w:cs="Times New Roman" w:ascii="Times New Roman" w:hAnsi="Times New Roman"/>
                <w:i w:val="false"/>
                <w:color w:val="000000"/>
                <w:kern w:val="0"/>
                <w:lang w:val="ru-RU" w:eastAsia="ru-RU" w:bidi="ar-SA"/>
              </w:rPr>
              <w:t>Показатель «Доля своевременно решенных нештатных ситуаций (НШС)» должен иметь значение не ниже 95%</w:t>
            </w:r>
            <w:bookmarkEnd w:id="56"/>
            <w:bookmarkEnd w:id="57"/>
            <w:bookmarkEnd w:id="58"/>
          </w:p>
          <w:p>
            <w:pPr>
              <w:pStyle w:val="Caption11"/>
              <w:widowControl/>
              <w:numPr>
                <w:ilvl w:val="0"/>
                <w:numId w:val="21"/>
              </w:numPr>
              <w:suppressAutoHyphens w:val="true"/>
              <w:jc w:val="left"/>
              <w:rPr>
                <w:rFonts w:ascii="Times New Roman" w:hAnsi="Times New Roman" w:cs="Times New Roman"/>
                <w:i w:val="false"/>
                <w:i w:val="false"/>
              </w:rPr>
            </w:pPr>
            <w:bookmarkStart w:id="59" w:name="_Toc209783461"/>
            <w:bookmarkStart w:id="60" w:name="_Toc181193774"/>
            <w:bookmarkStart w:id="61" w:name="_Toc181193868"/>
            <w:r>
              <w:rPr>
                <w:rFonts w:eastAsia="Times New Roman" w:cs="Times New Roman" w:ascii="Times New Roman" w:hAnsi="Times New Roman"/>
                <w:i w:val="false"/>
                <w:color w:val="000000"/>
                <w:kern w:val="0"/>
                <w:lang w:val="ru-RU" w:eastAsia="ru-RU" w:bidi="ar-SA"/>
              </w:rPr>
              <w:t>Показатель «Доля своевременно реализованных RFC» должен иметь значение не ниже 95%</w:t>
            </w:r>
            <w:bookmarkEnd w:id="59"/>
            <w:bookmarkEnd w:id="60"/>
            <w:bookmarkEnd w:id="61"/>
          </w:p>
          <w:p>
            <w:pPr>
              <w:pStyle w:val="Caption11"/>
              <w:widowControl/>
              <w:numPr>
                <w:ilvl w:val="0"/>
                <w:numId w:val="21"/>
              </w:numPr>
              <w:suppressAutoHyphens w:val="true"/>
              <w:jc w:val="left"/>
              <w:rPr>
                <w:rFonts w:ascii="Times New Roman" w:hAnsi="Times New Roman" w:cs="Times New Roman"/>
                <w:i w:val="false"/>
                <w:i w:val="false"/>
              </w:rPr>
            </w:pPr>
            <w:bookmarkStart w:id="62" w:name="_Toc181193775"/>
            <w:bookmarkStart w:id="63" w:name="_Toc209783462"/>
            <w:bookmarkStart w:id="64" w:name="_Toc181193869"/>
            <w:r>
              <w:rPr>
                <w:rFonts w:eastAsia="Times New Roman" w:cs="Times New Roman" w:ascii="Times New Roman" w:hAnsi="Times New Roman"/>
                <w:i w:val="false"/>
                <w:color w:val="000000"/>
                <w:kern w:val="0"/>
                <w:lang w:val="ru-RU" w:eastAsia="ru-RU" w:bidi="ar-SA"/>
              </w:rPr>
              <w:t>Показатель «Отсутствие неавторизованных RFC» должен иметь значение 0</w:t>
            </w:r>
            <w:bookmarkEnd w:id="62"/>
            <w:bookmarkEnd w:id="63"/>
            <w:bookmarkEnd w:id="64"/>
          </w:p>
          <w:p>
            <w:pPr>
              <w:pStyle w:val="Caption11"/>
              <w:widowControl/>
              <w:numPr>
                <w:ilvl w:val="0"/>
                <w:numId w:val="21"/>
              </w:numPr>
              <w:suppressAutoHyphens w:val="true"/>
              <w:spacing w:before="120" w:after="120"/>
              <w:jc w:val="left"/>
              <w:rPr>
                <w:rFonts w:eastAsia="Times New Roman"/>
                <w:color w:val="000000"/>
                <w:kern w:val="0"/>
                <w:lang w:val="ru-RU" w:eastAsia="ru-RU" w:bidi="ar-SA"/>
              </w:rPr>
            </w:pPr>
            <w:bookmarkStart w:id="65" w:name="_Toc209783463"/>
            <w:bookmarkStart w:id="66" w:name="_Toc181193776"/>
            <w:bookmarkStart w:id="67" w:name="_Toc181193870"/>
            <w:r>
              <w:rPr>
                <w:rFonts w:eastAsia="Times New Roman" w:cs="Times New Roman" w:ascii="Times New Roman" w:hAnsi="Times New Roman"/>
                <w:i w:val="false"/>
                <w:color w:val="000000"/>
                <w:kern w:val="0"/>
                <w:lang w:val="ru-RU" w:eastAsia="ru-RU" w:bidi="ar-SA"/>
              </w:rPr>
              <w:t>Показатель «Доля своевременно решенных проблем» должен иметь значение не ниже 95%</w:t>
            </w:r>
            <w:bookmarkEnd w:id="65"/>
            <w:bookmarkEnd w:id="66"/>
            <w:bookmarkEnd w:id="67"/>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1"/>
                <w:numId w:val="6"/>
              </w:numPr>
              <w:suppressAutoHyphens w:val="true"/>
              <w:spacing w:lineRule="auto" w:line="240" w:before="60" w:after="60"/>
              <w:ind w:firstLine="142" w:left="-117"/>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vAlign w:val="center"/>
          </w:tcPr>
          <w:p>
            <w:pPr>
              <w:pStyle w:val="Normal"/>
              <w:widowControl/>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применяемым при оказании услуг оборудованию и материалам</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для выполнения возложенных на Исполнителя задач</w:t>
            </w:r>
          </w:p>
        </w:tc>
        <w:tc>
          <w:tcPr>
            <w:tcW w:w="7704"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Для выполнения возложенных на Исполнителя задач и функций он должен быть обеспечен необходимыми ресурсами, в том числе экономически обоснованными и квалифицированными трудовыми ресурсами, материально-техническими средствами, материалами, методической литературой.</w:t>
            </w:r>
          </w:p>
        </w:tc>
        <w:tc>
          <w:tcPr>
            <w:tcW w:w="1985"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1"/>
                <w:numId w:val="6"/>
              </w:numPr>
              <w:suppressAutoHyphens w:val="true"/>
              <w:spacing w:lineRule="auto" w:line="240" w:before="60" w:after="60"/>
              <w:ind w:firstLine="142" w:left="-117"/>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персоналу исполнителя</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tcPr>
          <w:p>
            <w:pPr>
              <w:pStyle w:val="Normal"/>
              <w:widowControl/>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К оказанию услуг по сопровождению системы, в качестве Исполнителя, допускаются компании, обладающие следующими квалификацией, опытом и компетенциями:</w:t>
            </w:r>
          </w:p>
          <w:p>
            <w:pPr>
              <w:pStyle w:val="211"/>
              <w:widowControl/>
              <w:numPr>
                <w:ilvl w:val="2"/>
                <w:numId w:val="8"/>
              </w:numPr>
              <w:suppressAutoHyphens w:val="true"/>
              <w:spacing w:before="0" w:after="0"/>
              <w:ind w:hanging="0" w:left="0"/>
              <w:jc w:val="both"/>
              <w:rPr>
                <w:rFonts w:ascii="Times New Roman" w:hAnsi="Times New Roman"/>
                <w:szCs w:val="24"/>
                <w:shd w:fill="FFFF00" w:val="clear"/>
              </w:rPr>
            </w:pPr>
            <w:r>
              <w:rPr>
                <w:rFonts w:eastAsia="Times New Roman" w:cs="Times New Roman" w:ascii="Times New Roman" w:hAnsi="Times New Roman"/>
                <w:b w:val="false"/>
                <w:color w:val="000000"/>
                <w:kern w:val="0"/>
                <w:szCs w:val="24"/>
                <w:lang w:val="ru-RU" w:eastAsia="ru-RU" w:bidi="ar-SA"/>
              </w:rPr>
              <w:t>Наличие собственной службы технической поддержки, функционирующей в режиме 12/5 в центральном регионе России.</w:t>
            </w:r>
            <w:r>
              <w:rPr>
                <w:rFonts w:eastAsia="Times New Roman" w:cs="Times New Roman" w:ascii="Times New Roman" w:hAnsi="Times New Roman"/>
                <w:color w:val="000000"/>
                <w:kern w:val="0"/>
                <w:szCs w:val="24"/>
                <w:shd w:fill="FFFF00" w:val="clear"/>
                <w:lang w:val="ru-RU" w:eastAsia="ru-RU" w:bidi="ar-SA"/>
              </w:rPr>
              <w:t xml:space="preserve"> </w:t>
            </w:r>
          </w:p>
          <w:p>
            <w:pPr>
              <w:pStyle w:val="211"/>
              <w:widowControl/>
              <w:numPr>
                <w:ilvl w:val="2"/>
                <w:numId w:val="8"/>
              </w:numPr>
              <w:suppressAutoHyphens w:val="true"/>
              <w:spacing w:before="0" w:after="0"/>
              <w:ind w:hanging="0" w:left="0"/>
              <w:jc w:val="both"/>
              <w:rPr>
                <w:rFonts w:ascii="Times New Roman" w:hAnsi="Times New Roman"/>
                <w:b w:val="false"/>
                <w:szCs w:val="24"/>
              </w:rPr>
            </w:pPr>
            <w:r>
              <w:rPr>
                <w:rFonts w:eastAsia="Times New Roman" w:cs="Times New Roman" w:ascii="Times New Roman" w:hAnsi="Times New Roman"/>
                <w:b w:val="false"/>
                <w:color w:val="000000"/>
                <w:kern w:val="0"/>
                <w:szCs w:val="24"/>
                <w:lang w:val="ru-RU" w:eastAsia="ru-RU" w:bidi="ar-SA"/>
              </w:rPr>
              <w:t>Наличие квалифицированной команды, в том числе проектного менеджера, разработчиков ПО, консультантов для реализации проекта в установленные требованиями сроки. Наличие необходимых ресурсов подтверждается справками об образовании и опыте работы соответствующих специалистов Участника.</w:t>
            </w:r>
          </w:p>
          <w:p>
            <w:pPr>
              <w:pStyle w:val="211"/>
              <w:widowControl/>
              <w:numPr>
                <w:ilvl w:val="0"/>
                <w:numId w:val="0"/>
              </w:numPr>
              <w:suppressAutoHyphens w:val="true"/>
              <w:spacing w:before="0" w:after="0"/>
              <w:ind w:hanging="0" w:left="0"/>
              <w:jc w:val="both"/>
              <w:rPr>
                <w:rFonts w:ascii="Times New Roman" w:hAnsi="Times New Roman"/>
                <w:b w:val="false"/>
                <w:szCs w:val="24"/>
                <w:highlight w:val="yellow"/>
              </w:rPr>
            </w:pPr>
            <w:r>
              <w:rPr>
                <w:rFonts w:eastAsia="Times New Roman" w:cs="Times New Roman" w:ascii="Times New Roman" w:hAnsi="Times New Roman"/>
                <w:b w:val="false"/>
                <w:color w:val="000000"/>
                <w:kern w:val="0"/>
                <w:szCs w:val="24"/>
                <w:lang w:val="ru-RU" w:eastAsia="ru-RU" w:bidi="ar-SA"/>
              </w:rPr>
              <w:t>Исполнитель должен иметь сертифицированных в фирме «1С» специалистов-разработчиков, консультантов. Наличие ресурсов подтверждается справками и копиями сертификатов (1С: Специалист по платформе «1С: Предприятие 8») соответствующих специалистов.</w:t>
            </w:r>
          </w:p>
        </w:tc>
        <w:tc>
          <w:tcPr>
            <w:tcW w:w="1985"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формированию команды Исполнителя</w:t>
            </w:r>
          </w:p>
        </w:tc>
        <w:tc>
          <w:tcPr>
            <w:tcW w:w="7704"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Состав команды Исполнителя, выполняющей обслуживание, должен быть согласован с Заказчиком. Любой специалист команды Исполнителя должен быть выведен из команды при наличии мотивированного требования от Заказчика.</w:t>
            </w:r>
          </w:p>
        </w:tc>
        <w:tc>
          <w:tcPr>
            <w:tcW w:w="1985" w:type="dxa"/>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0"/>
                <w:numId w:val="6"/>
              </w:numPr>
              <w:suppressAutoHyphens w:val="true"/>
              <w:spacing w:lineRule="auto" w:line="240" w:before="60" w:after="60"/>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vAlign w:val="center"/>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результатам услуг</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c>
          <w:tcPr>
            <w:tcW w:w="1134" w:type="dxa"/>
            <w:tcBorders/>
            <w:vAlign w:val="center"/>
          </w:tcPr>
          <w:p>
            <w:pPr>
              <w:pStyle w:val="Normal"/>
              <w:widowControl/>
              <w:numPr>
                <w:ilvl w:val="1"/>
                <w:numId w:val="6"/>
              </w:numPr>
              <w:suppressAutoHyphens w:val="true"/>
              <w:spacing w:lineRule="auto" w:line="240" w:before="60" w:after="60"/>
              <w:ind w:firstLine="142" w:left="-117"/>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vAlign w:val="center"/>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Общие требования к результатам услуг</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объему оказываемых услуг</w:t>
            </w:r>
          </w:p>
        </w:tc>
        <w:tc>
          <w:tcPr>
            <w:tcW w:w="7704"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Услуга должна быть оказана в полном объеме, в течение всего срока, указанного в Таблице 3 настоящих Технических требований.</w:t>
            </w:r>
          </w:p>
        </w:tc>
        <w:tc>
          <w:tcPr>
            <w:tcW w:w="1985"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1"/>
                <w:numId w:val="6"/>
              </w:numPr>
              <w:suppressAutoHyphens w:val="true"/>
              <w:spacing w:lineRule="auto" w:line="240" w:before="60" w:after="60"/>
              <w:ind w:firstLine="142" w:left="-117"/>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vAlign w:val="center"/>
          </w:tcPr>
          <w:p>
            <w:pPr>
              <w:pStyle w:val="Normal"/>
              <w:widowControl/>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безопасности использования результата оказания услуг</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информационной безопасности</w:t>
            </w:r>
          </w:p>
        </w:tc>
        <w:tc>
          <w:tcPr>
            <w:tcW w:w="7704" w:type="dxa"/>
            <w:tcBorders/>
          </w:tcPr>
          <w:p>
            <w:pPr>
              <w:pStyle w:val="Normal"/>
              <w:widowControl w:val="false"/>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информационной безопасности должны обеспечиваться на всех стадиях жизненного цикла систем, с учетом всех сторон, вовлеченных в процессы жизненного цикла (разработчиков заказчиков, поставщиков продуктов и услуг, эксплуатирующих и надзорных подразделений Общества).</w:t>
            </w:r>
          </w:p>
          <w:p>
            <w:pPr>
              <w:pStyle w:val="Normal"/>
              <w:widowControl w:val="false"/>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Необходимо обеспечить интеграцию системы с существующей инфраструктурой комплексной системы управления информационной безопасностью и другими системами обеспечения безопасности информации.</w:t>
            </w:r>
          </w:p>
        </w:tc>
        <w:tc>
          <w:tcPr>
            <w:tcW w:w="1985"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1"/>
                <w:numId w:val="6"/>
              </w:numPr>
              <w:suppressAutoHyphens w:val="true"/>
              <w:spacing w:lineRule="auto" w:line="240" w:before="60" w:after="60"/>
              <w:ind w:firstLine="142" w:left="-117"/>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vAlign w:val="center"/>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приемке результата оказания услуг</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приемке результата оказанных услуг</w:t>
            </w:r>
          </w:p>
        </w:tc>
        <w:tc>
          <w:tcPr>
            <w:tcW w:w="7704"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Приемка результата оказанных услуг осуществляется по Акту об оказанных услугах. Отчетный период равен календарному месяцу.</w:t>
            </w:r>
          </w:p>
        </w:tc>
        <w:tc>
          <w:tcPr>
            <w:tcW w:w="1985" w:type="dxa"/>
            <w:vMerge w:val="restart"/>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контролю качества</w:t>
            </w:r>
          </w:p>
        </w:tc>
        <w:tc>
          <w:tcPr>
            <w:tcW w:w="7704"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Основной показатель качества технического обслуживания – коэффициент готовности системы (компонентов), характеризующий долю времени, в течение которого система (компоненты) работоспособна. Увеличение коэффициента готовности системы достигается путем сокращения простоев оборудования из-за профилактических и ремонтно-восстановительных работ.</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Контроль качества осуществляется посредством запроса у Исполнителя отчетов по качеству предоставления услуг.</w:t>
            </w:r>
          </w:p>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отчетам и их формам определяет Заказчик, и согласует с Исполнителем.</w:t>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Порядок контроля и приемки системы после внесения изменений.</w:t>
            </w:r>
          </w:p>
        </w:tc>
        <w:tc>
          <w:tcPr>
            <w:tcW w:w="7704"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Проведение изменений системы производится в соответствии с имеющимися у Заказчика нормативно-методическими документами, регламентирующими проведение изменений.</w:t>
            </w:r>
          </w:p>
        </w:tc>
        <w:tc>
          <w:tcPr>
            <w:tcW w:w="1985" w:type="dxa"/>
            <w:vMerge w:val="continue"/>
            <w:tcBorders/>
          </w:tcPr>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val="false"/>
              <w:tabs>
                <w:tab w:val="clear" w:pos="709"/>
                <w:tab w:val="left" w:pos="426" w:leader="none"/>
              </w:tabs>
              <w:suppressAutoHyphens w:val="true"/>
              <w:spacing w:lineRule="auto" w:line="240" w:before="60" w:after="0"/>
              <w:jc w:val="left"/>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1"/>
                <w:numId w:val="6"/>
              </w:numPr>
              <w:suppressAutoHyphens w:val="true"/>
              <w:spacing w:lineRule="auto" w:line="240" w:before="60" w:after="60"/>
              <w:ind w:firstLine="142" w:left="-117"/>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vAlign w:val="center"/>
          </w:tcPr>
          <w:p>
            <w:pPr>
              <w:pStyle w:val="Normal"/>
              <w:widowControl/>
              <w:suppressAutoHyphens w:val="true"/>
              <w:spacing w:lineRule="auto" w:line="240" w:before="6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документации, описывающей результат оказания услуг</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c>
          <w:tcPr>
            <w:tcW w:w="1134" w:type="dxa"/>
            <w:tcBorders/>
            <w:vAlign w:val="center"/>
          </w:tcPr>
          <w:p>
            <w:pPr>
              <w:pStyle w:val="Normal"/>
              <w:widowControl/>
              <w:numPr>
                <w:ilvl w:val="2"/>
                <w:numId w:val="6"/>
              </w:numPr>
              <w:suppressAutoHyphens w:val="true"/>
              <w:spacing w:lineRule="auto" w:line="240" w:before="60" w:after="60"/>
              <w:ind w:hanging="1199" w:left="1224"/>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Документирование/обновление эксплуатационной документации</w:t>
            </w:r>
          </w:p>
        </w:tc>
        <w:tc>
          <w:tcPr>
            <w:tcW w:w="7704" w:type="dxa"/>
            <w:tcBorders/>
            <w:vAlign w:val="center"/>
          </w:tcPr>
          <w:p>
            <w:pPr>
              <w:pStyle w:val="Normal"/>
              <w:widowControl/>
              <w:suppressAutoHyphens w:val="true"/>
              <w:spacing w:lineRule="auto" w:line="240" w:before="0" w:after="120"/>
              <w:ind w:firstLine="708"/>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При необходимости внесение изменений в эксплуатационную документацию по результатам устранения отказов и сбоев/изменений функционала или настроек. Если при проведении технической поддержки происходит изменение в существующей согласованной конфигурации Системы, Исполнитель оформляет внесенные изменения в соответствующую эксплуатационную документацию.</w:t>
            </w:r>
          </w:p>
          <w:p>
            <w:pPr>
              <w:pStyle w:val="Normal"/>
              <w:widowControl/>
              <w:suppressAutoHyphens w:val="true"/>
              <w:spacing w:lineRule="auto" w:line="240" w:before="0" w:after="120"/>
              <w:ind w:firstLine="708"/>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В рамках поддержки Системы при необходимости должно производиться обновление документации, по результатам устранения отказов и сбоев, в следующем составе:</w:t>
            </w:r>
          </w:p>
          <w:p>
            <w:pPr>
              <w:pStyle w:val="Normal"/>
              <w:widowControl/>
              <w:numPr>
                <w:ilvl w:val="0"/>
                <w:numId w:val="13"/>
              </w:numPr>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Технический проект;</w:t>
            </w:r>
          </w:p>
          <w:p>
            <w:pPr>
              <w:pStyle w:val="Normal"/>
              <w:widowControl/>
              <w:numPr>
                <w:ilvl w:val="0"/>
                <w:numId w:val="13"/>
              </w:numPr>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Руководство пользователя;</w:t>
            </w:r>
          </w:p>
          <w:p>
            <w:pPr>
              <w:pStyle w:val="Normal"/>
              <w:widowControl/>
              <w:numPr>
                <w:ilvl w:val="0"/>
                <w:numId w:val="13"/>
              </w:numPr>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Руководство администратора;</w:t>
            </w:r>
          </w:p>
          <w:p>
            <w:pPr>
              <w:pStyle w:val="Normal"/>
              <w:widowControl/>
              <w:numPr>
                <w:ilvl w:val="0"/>
                <w:numId w:val="13"/>
              </w:numPr>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Регламент штатного обслуживания;</w:t>
            </w:r>
          </w:p>
          <w:p>
            <w:pPr>
              <w:pStyle w:val="Normal"/>
              <w:widowControl/>
              <w:numPr>
                <w:ilvl w:val="0"/>
                <w:numId w:val="13"/>
              </w:numPr>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Регламент аварийного обслуживания;</w:t>
            </w:r>
          </w:p>
          <w:p>
            <w:pPr>
              <w:pStyle w:val="Normal"/>
              <w:widowControl/>
              <w:numPr>
                <w:ilvl w:val="0"/>
                <w:numId w:val="13"/>
              </w:numPr>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Регламент резервного копирования;</w:t>
            </w:r>
          </w:p>
          <w:p>
            <w:pPr>
              <w:pStyle w:val="Normal"/>
              <w:widowControl/>
              <w:numPr>
                <w:ilvl w:val="0"/>
                <w:numId w:val="13"/>
              </w:numPr>
              <w:suppressAutoHyphens w:val="true"/>
              <w:spacing w:lineRule="auto" w:line="240" w:before="0" w:after="12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Руководство диспетчера службы поддержки;</w:t>
            </w:r>
          </w:p>
          <w:p>
            <w:pPr>
              <w:pStyle w:val="Normal"/>
              <w:widowControl/>
              <w:suppressAutoHyphens w:val="true"/>
              <w:spacing w:lineRule="auto" w:line="240" w:before="0" w:after="120"/>
              <w:ind w:firstLine="708"/>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Обязательному документированию так же подлежат следующие работы:</w:t>
            </w:r>
          </w:p>
          <w:p>
            <w:pPr>
              <w:pStyle w:val="Normal"/>
              <w:widowControl/>
              <w:suppressAutoHyphens w:val="true"/>
              <w:spacing w:lineRule="auto" w:line="240" w:before="0" w:after="120"/>
              <w:ind w:firstLine="708"/>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 описание вносимых изменений в конфигурацию и внешние исполняемые файлы 1С</w:t>
            </w:r>
          </w:p>
        </w:tc>
        <w:tc>
          <w:tcPr>
            <w:tcW w:w="1985"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p>
            <w:pPr>
              <w:pStyle w:val="Normal"/>
              <w:widowControl/>
              <w:suppressAutoHyphens w:val="true"/>
              <w:spacing w:lineRule="auto" w:line="240" w:before="0" w:after="0"/>
              <w:jc w:val="left"/>
              <w:rPr>
                <w:rFonts w:ascii="Times New Roman" w:hAnsi="Times New Roman"/>
                <w:sz w:val="24"/>
                <w:szCs w:val="24"/>
              </w:rPr>
            </w:pPr>
            <w:r>
              <w:rPr>
                <w:rFonts w:ascii="Times New Roman" w:hAnsi="Times New Roman"/>
                <w:sz w:val="24"/>
                <w:szCs w:val="24"/>
              </w:rPr>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r>
        <w:trPr/>
        <w:tc>
          <w:tcPr>
            <w:tcW w:w="1134" w:type="dxa"/>
            <w:tcBorders/>
            <w:vAlign w:val="center"/>
          </w:tcPr>
          <w:p>
            <w:pPr>
              <w:pStyle w:val="Normal"/>
              <w:widowControl/>
              <w:numPr>
                <w:ilvl w:val="0"/>
                <w:numId w:val="6"/>
              </w:numPr>
              <w:suppressAutoHyphens w:val="true"/>
              <w:spacing w:lineRule="auto" w:line="240" w:before="60" w:after="60"/>
              <w:contextualSpacing/>
              <w:jc w:val="center"/>
              <w:rPr>
                <w:rFonts w:ascii="Times New Roman" w:hAnsi="Times New Roman"/>
                <w:sz w:val="24"/>
                <w:szCs w:val="24"/>
              </w:rPr>
            </w:pPr>
            <w:r>
              <w:rPr>
                <w:rFonts w:ascii="Times New Roman" w:hAnsi="Times New Roman"/>
                <w:sz w:val="24"/>
                <w:szCs w:val="24"/>
              </w:rPr>
            </w:r>
          </w:p>
        </w:tc>
        <w:tc>
          <w:tcPr>
            <w:tcW w:w="10491" w:type="dxa"/>
            <w:gridSpan w:val="2"/>
            <w:tcBorders/>
            <w:vAlign w:val="center"/>
          </w:tcPr>
          <w:p>
            <w:pPr>
              <w:pStyle w:val="Normal"/>
              <w:widowControl/>
              <w:suppressAutoHyphens w:val="true"/>
              <w:spacing w:lineRule="auto" w:line="240" w:before="4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c>
          <w:tcPr>
            <w:tcW w:w="1985"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133"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c>
          <w:tcPr>
            <w:tcW w:w="1276" w:type="dxa"/>
            <w:tcBorders/>
          </w:tcPr>
          <w:p>
            <w:pPr>
              <w:pStyle w:val="Normal"/>
              <w:keepNext w:val="true"/>
              <w:widowControl/>
              <w:suppressAutoHyphens w:val="true"/>
              <w:spacing w:lineRule="auto" w:line="240" w:before="60" w:after="60"/>
              <w:jc w:val="center"/>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w:t>
            </w:r>
          </w:p>
        </w:tc>
      </w:tr>
      <w:tr>
        <w:trPr>
          <w:trHeight w:val="337" w:hRule="atLeast"/>
        </w:trPr>
        <w:tc>
          <w:tcPr>
            <w:tcW w:w="1134" w:type="dxa"/>
            <w:tcBorders/>
            <w:vAlign w:val="center"/>
          </w:tcPr>
          <w:p>
            <w:pPr>
              <w:pStyle w:val="Normal"/>
              <w:widowControl/>
              <w:suppressAutoHyphens w:val="true"/>
              <w:spacing w:lineRule="auto" w:line="240" w:before="60" w:after="60"/>
              <w:ind w:left="720"/>
              <w:contextualSpacing/>
              <w:jc w:val="center"/>
              <w:rPr>
                <w:rFonts w:ascii="Times New Roman" w:hAnsi="Times New Roman"/>
                <w:sz w:val="24"/>
                <w:szCs w:val="24"/>
              </w:rPr>
            </w:pPr>
            <w:r>
              <w:rPr>
                <w:rFonts w:ascii="Times New Roman" w:hAnsi="Times New Roman"/>
                <w:sz w:val="24"/>
                <w:szCs w:val="24"/>
              </w:rPr>
            </w:r>
          </w:p>
        </w:tc>
        <w:tc>
          <w:tcPr>
            <w:tcW w:w="2787" w:type="dxa"/>
            <w:tcBorders/>
          </w:tcPr>
          <w:p>
            <w:pPr>
              <w:pStyle w:val="Normal"/>
              <w:widowControl w:val="false"/>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Требования к соблюдению положений нормативной и иной обязательной для Исполнителя документации, определяемой видами услуг</w:t>
            </w:r>
          </w:p>
        </w:tc>
        <w:tc>
          <w:tcPr>
            <w:tcW w:w="7704"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Исполнитель в ходе оказания услуги соблюдает требования положений нормативной и иной обязательной для исполнителя документации, определяемой данной услугой.</w:t>
            </w:r>
          </w:p>
          <w:p>
            <w:pPr>
              <w:pStyle w:val="Normal"/>
              <w:widowControl w:val="false"/>
              <w:suppressAutoHyphens w:val="true"/>
              <w:spacing w:lineRule="auto" w:line="240" w:before="0" w:after="0"/>
              <w:jc w:val="both"/>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При необходимости Исполнитель производит внесение изменений в эксплуатационную документацию по результатам устранения отказов и сбоев. Если при проведении технического сопровождения какой-либо системы Комплекса происходит изменение в существующей согласованной конфигурации системы Комплекса, Исполнитель оформляет внесенные изменения в соответствующую эксплуатационную документацию с указанием в листе изменений даты и причины внесения.</w:t>
            </w:r>
          </w:p>
          <w:p>
            <w:pPr>
              <w:pStyle w:val="Normal"/>
              <w:widowControl w:val="false"/>
              <w:numPr>
                <w:ilvl w:val="0"/>
                <w:numId w:val="14"/>
              </w:numPr>
              <w:suppressAutoHyphens w:val="true"/>
              <w:spacing w:lineRule="auto" w:line="240" w:before="0" w:after="0"/>
              <w:ind w:hanging="284" w:left="315"/>
              <w:jc w:val="both"/>
              <w:rPr>
                <w:rFonts w:ascii="Times New Roman" w:hAnsi="Times New Roman"/>
                <w:sz w:val="24"/>
                <w:szCs w:val="24"/>
              </w:rPr>
            </w:pPr>
            <w:r>
              <w:rPr>
                <w:rFonts w:ascii="Times New Roman" w:hAnsi="Times New Roman"/>
                <w:sz w:val="24"/>
                <w:szCs w:val="24"/>
              </w:rPr>
            </w:r>
          </w:p>
        </w:tc>
        <w:tc>
          <w:tcPr>
            <w:tcW w:w="1985" w:type="dxa"/>
            <w:tcBorders/>
          </w:tcPr>
          <w:p>
            <w:pPr>
              <w:pStyle w:val="Normal"/>
              <w:widowControl/>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tc>
        <w:tc>
          <w:tcPr>
            <w:tcW w:w="1133"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c>
          <w:tcPr>
            <w:tcW w:w="1276" w:type="dxa"/>
            <w:tcBorders/>
          </w:tcPr>
          <w:p>
            <w:pPr>
              <w:pStyle w:val="Normal"/>
              <w:widowControl/>
              <w:numPr>
                <w:ilvl w:val="0"/>
                <w:numId w:val="0"/>
              </w:numPr>
              <w:suppressAutoHyphens w:val="true"/>
              <w:spacing w:lineRule="auto" w:line="240" w:before="60" w:after="60"/>
              <w:ind w:hanging="0" w:left="0"/>
              <w:jc w:val="left"/>
              <w:outlineLvl w:val="2"/>
              <w:rPr>
                <w:rFonts w:ascii="Times New Roman" w:hAnsi="Times New Roman"/>
                <w:sz w:val="24"/>
                <w:szCs w:val="24"/>
              </w:rPr>
            </w:pPr>
            <w:r>
              <w:rPr>
                <w:rFonts w:ascii="Times New Roman" w:hAnsi="Times New Roman"/>
                <w:sz w:val="24"/>
                <w:szCs w:val="24"/>
              </w:rPr>
            </w:r>
          </w:p>
        </w:tc>
      </w:tr>
    </w:tbl>
    <w:p>
      <w:pPr>
        <w:sectPr>
          <w:headerReference w:type="even" r:id="rId5"/>
          <w:headerReference w:type="default" r:id="rId6"/>
          <w:headerReference w:type="first" r:id="rId7"/>
          <w:footnotePr>
            <w:numFmt w:val="decimal"/>
          </w:footnotePr>
          <w:type w:val="nextPage"/>
          <w:pgSz w:orient="landscape" w:w="16838" w:h="11906"/>
          <w:pgMar w:left="992" w:right="567" w:gutter="0" w:header="680" w:top="851" w:footer="0" w:bottom="851"/>
          <w:pgNumType w:fmt="decimal"/>
          <w:formProt w:val="false"/>
          <w:titlePg/>
          <w:textDirection w:val="lrTb"/>
          <w:docGrid w:type="default" w:linePitch="100" w:charSpace="24576"/>
        </w:sectPr>
      </w:pPr>
    </w:p>
    <w:p>
      <w:pPr>
        <w:pStyle w:val="ListParagraph"/>
        <w:keepNext w:val="true"/>
        <w:keepLines/>
        <w:numPr>
          <w:ilvl w:val="0"/>
          <w:numId w:val="17"/>
        </w:numPr>
        <w:spacing w:before="120" w:after="60"/>
        <w:contextualSpacing/>
        <w:jc w:val="center"/>
        <w:outlineLvl w:val="0"/>
        <w:rPr>
          <w:szCs w:val="24"/>
        </w:rPr>
      </w:pPr>
      <w:bookmarkStart w:id="68" w:name="_Toc241654350"/>
      <w:r>
        <w:rPr>
          <w:szCs w:val="24"/>
        </w:rPr>
        <w:t>Требования к документации по ценообразованию на этапе закупки.</w:t>
      </w:r>
      <w:bookmarkEnd w:id="68"/>
    </w:p>
    <w:p>
      <w:pPr>
        <w:pStyle w:val="ListParagraph"/>
        <w:keepNext w:val="true"/>
        <w:keepLines/>
        <w:numPr>
          <w:ilvl w:val="0"/>
          <w:numId w:val="0"/>
        </w:numPr>
        <w:spacing w:before="120" w:after="60"/>
        <w:ind w:hanging="0" w:left="360"/>
        <w:contextualSpacing/>
        <w:outlineLvl w:val="0"/>
        <w:rPr>
          <w:szCs w:val="24"/>
        </w:rPr>
      </w:pPr>
      <w:r>
        <w:rPr>
          <w:szCs w:val="24"/>
        </w:rPr>
      </w:r>
    </w:p>
    <w:p>
      <w:pPr>
        <w:pStyle w:val="ListParagraph"/>
        <w:numPr>
          <w:ilvl w:val="1"/>
          <w:numId w:val="17"/>
        </w:numPr>
        <w:rPr>
          <w:szCs w:val="24"/>
        </w:rPr>
      </w:pPr>
      <w:r>
        <w:rPr>
          <w:szCs w:val="24"/>
        </w:rPr>
        <w:t xml:space="preserve">В обоснование стоимости своей заявки Участник предоставляет Коммерческое предложение по форме, приведенной в Документации о закупке </w:t>
      </w:r>
    </w:p>
    <w:p>
      <w:pPr>
        <w:pStyle w:val="120"/>
        <w:numPr>
          <w:ilvl w:val="1"/>
          <w:numId w:val="17"/>
        </w:numPr>
        <w:tabs>
          <w:tab w:val="clear" w:pos="709"/>
          <w:tab w:val="left" w:pos="1312" w:leader="none"/>
        </w:tabs>
        <w:spacing w:before="0" w:after="120"/>
        <w:jc w:val="both"/>
        <w:rPr>
          <w:i w:val="false"/>
          <w:i w:val="false"/>
          <w:sz w:val="24"/>
          <w:szCs w:val="24"/>
        </w:rPr>
      </w:pPr>
      <w:r>
        <w:rPr>
          <w:i w:val="false"/>
          <w:sz w:val="24"/>
          <w:szCs w:val="24"/>
          <w:lang w:bidi="ru-RU"/>
        </w:rPr>
        <w:t>Стоимость за единицу услуги должна включать в себя налоги, сборы, пошлины и другие обязательные платежи, предусмотренные Проектом договора (Приложение №2 к Документации о закупке).</w:t>
      </w:r>
    </w:p>
    <w:p>
      <w:pPr>
        <w:pStyle w:val="120"/>
        <w:numPr>
          <w:ilvl w:val="1"/>
          <w:numId w:val="17"/>
        </w:numPr>
        <w:tabs>
          <w:tab w:val="clear" w:pos="709"/>
          <w:tab w:val="left" w:pos="1312" w:leader="none"/>
        </w:tabs>
        <w:spacing w:before="0" w:after="120"/>
        <w:jc w:val="both"/>
        <w:rPr>
          <w:i w:val="false"/>
          <w:i w:val="false"/>
          <w:sz w:val="24"/>
          <w:szCs w:val="24"/>
          <w:lang w:bidi="ru-RU"/>
        </w:rPr>
      </w:pPr>
      <w:r>
        <w:rPr>
          <w:i w:val="false"/>
          <w:sz w:val="24"/>
          <w:szCs w:val="24"/>
          <w:lang w:bidi="ru-RU"/>
        </w:rPr>
        <w:t>Дополнительные документы по ценообразованию в состав заявки Участника не включаются.</w:t>
      </w:r>
    </w:p>
    <w:p>
      <w:pPr>
        <w:pStyle w:val="ListParagraph"/>
        <w:ind w:left="1080"/>
        <w:rPr>
          <w:szCs w:val="24"/>
        </w:rPr>
      </w:pPr>
      <w:r>
        <w:rPr>
          <w:szCs w:val="24"/>
        </w:rPr>
      </w:r>
    </w:p>
    <w:p>
      <w:pPr>
        <w:pStyle w:val="ListParagraph"/>
        <w:ind w:left="0"/>
        <w:rPr>
          <w:caps/>
          <w:szCs w:val="24"/>
        </w:rPr>
      </w:pPr>
      <w:r>
        <w:rPr>
          <w:caps/>
          <w:szCs w:val="24"/>
        </w:rPr>
      </w:r>
      <w:r>
        <w:br w:type="page"/>
      </w:r>
    </w:p>
    <w:p>
      <w:pPr>
        <w:pStyle w:val="121"/>
        <w:keepNext w:val="true"/>
        <w:keepLines/>
        <w:numPr>
          <w:ilvl w:val="0"/>
          <w:numId w:val="18"/>
        </w:numPr>
        <w:tabs>
          <w:tab w:val="clear" w:pos="709"/>
          <w:tab w:val="left" w:pos="392" w:leader="none"/>
        </w:tabs>
        <w:spacing w:before="0" w:after="60"/>
        <w:rPr>
          <w:sz w:val="24"/>
          <w:szCs w:val="24"/>
        </w:rPr>
      </w:pPr>
      <w:bookmarkStart w:id="69" w:name="bookmark38"/>
      <w:bookmarkStart w:id="70" w:name="_Toc241654351"/>
      <w:r>
        <w:rPr>
          <w:sz w:val="24"/>
          <w:szCs w:val="24"/>
          <w:lang w:bidi="ru-RU"/>
        </w:rPr>
        <w:t>Приложения</w:t>
      </w:r>
      <w:bookmarkEnd w:id="69"/>
      <w:bookmarkEnd w:id="70"/>
    </w:p>
    <w:p>
      <w:pPr>
        <w:pStyle w:val="Normal"/>
        <w:tabs>
          <w:tab w:val="clear" w:pos="709"/>
          <w:tab w:val="left" w:pos="851" w:leader="none"/>
        </w:tabs>
        <w:spacing w:before="0" w:after="120"/>
        <w:jc w:val="right"/>
        <w:rPr>
          <w:rFonts w:ascii="Times New Roman" w:hAnsi="Times New Roman"/>
          <w:caps/>
          <w:sz w:val="24"/>
          <w:szCs w:val="24"/>
        </w:rPr>
      </w:pPr>
      <w:r>
        <w:rPr>
          <w:rFonts w:ascii="Times New Roman" w:hAnsi="Times New Roman"/>
          <w:caps/>
          <w:sz w:val="24"/>
          <w:szCs w:val="24"/>
        </w:rPr>
      </w:r>
    </w:p>
    <w:p>
      <w:pPr>
        <w:pStyle w:val="Normal"/>
        <w:tabs>
          <w:tab w:val="clear" w:pos="709"/>
          <w:tab w:val="left" w:pos="851" w:leader="none"/>
        </w:tabs>
        <w:spacing w:lineRule="auto" w:line="240" w:before="0" w:after="0"/>
        <w:jc w:val="right"/>
        <w:rPr>
          <w:rFonts w:ascii="Times New Roman" w:hAnsi="Times New Roman"/>
          <w:sz w:val="24"/>
          <w:szCs w:val="24"/>
        </w:rPr>
      </w:pPr>
      <w:r>
        <w:rPr>
          <w:rFonts w:ascii="Times New Roman" w:hAnsi="Times New Roman"/>
          <w:sz w:val="24"/>
          <w:szCs w:val="24"/>
        </w:rPr>
        <w:t>Приложение №1</w:t>
      </w:r>
    </w:p>
    <w:p>
      <w:pPr>
        <w:pStyle w:val="Normal"/>
        <w:tabs>
          <w:tab w:val="clear" w:pos="709"/>
          <w:tab w:val="left" w:pos="851" w:leader="none"/>
        </w:tabs>
        <w:spacing w:lineRule="auto" w:line="240" w:before="0" w:after="0"/>
        <w:jc w:val="right"/>
        <w:rPr>
          <w:rFonts w:ascii="Times New Roman" w:hAnsi="Times New Roman"/>
          <w:sz w:val="24"/>
          <w:szCs w:val="24"/>
        </w:rPr>
      </w:pPr>
      <w:r>
        <w:rPr>
          <w:rFonts w:ascii="Times New Roman" w:hAnsi="Times New Roman"/>
          <w:sz w:val="24"/>
          <w:szCs w:val="24"/>
        </w:rPr>
        <w:t>к Техническим требованиям</w:t>
      </w:r>
    </w:p>
    <w:p>
      <w:pPr>
        <w:pStyle w:val="Normal"/>
        <w:rPr>
          <w:rFonts w:ascii="Times New Roman" w:hAnsi="Times New Roman"/>
          <w:sz w:val="24"/>
          <w:szCs w:val="24"/>
        </w:rPr>
      </w:pPr>
      <w:r>
        <w:rPr>
          <w:rFonts w:ascii="Times New Roman" w:hAnsi="Times New Roman"/>
          <w:sz w:val="24"/>
          <w:szCs w:val="24"/>
        </w:rPr>
      </w:r>
    </w:p>
    <w:p>
      <w:pPr>
        <w:pStyle w:val="Normal"/>
        <w:spacing w:before="0" w:after="240"/>
        <w:jc w:val="center"/>
        <w:rPr>
          <w:rFonts w:ascii="Times New Roman" w:hAnsi="Times New Roman"/>
          <w:sz w:val="24"/>
          <w:szCs w:val="24"/>
        </w:rPr>
      </w:pPr>
      <w:r>
        <w:rPr>
          <w:rFonts w:ascii="Times New Roman" w:hAnsi="Times New Roman"/>
          <w:sz w:val="24"/>
          <w:szCs w:val="24"/>
        </w:rPr>
        <w:t>Состав «Регламентных профилактических работ»</w:t>
      </w:r>
    </w:p>
    <w:tbl>
      <w:tblPr>
        <w:tblW w:w="9639" w:type="dxa"/>
        <w:jc w:val="left"/>
        <w:tblInd w:w="79" w:type="dxa"/>
        <w:tblLayout w:type="fixed"/>
        <w:tblCellMar>
          <w:top w:w="0" w:type="dxa"/>
          <w:left w:w="108" w:type="dxa"/>
          <w:bottom w:w="0" w:type="dxa"/>
          <w:right w:w="108" w:type="dxa"/>
        </w:tblCellMar>
        <w:tblLook w:val="04a0" w:noHBand="0" w:noVBand="1" w:firstColumn="1" w:lastRow="0" w:lastColumn="0" w:firstRow="1"/>
      </w:tblPr>
      <w:tblGrid>
        <w:gridCol w:w="2464"/>
        <w:gridCol w:w="4014"/>
        <w:gridCol w:w="3161"/>
      </w:tblGrid>
      <w:tr>
        <w:trPr>
          <w:tblHeader w:val="true"/>
          <w:trHeight w:val="557" w:hRule="atLeast"/>
        </w:trPr>
        <w:tc>
          <w:tcPr>
            <w:tcW w:w="24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Объект обслуживания</w:t>
            </w:r>
          </w:p>
        </w:tc>
        <w:tc>
          <w:tcPr>
            <w:tcW w:w="40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Работы</w:t>
            </w:r>
          </w:p>
        </w:tc>
        <w:tc>
          <w:tcPr>
            <w:tcW w:w="3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Периодичность</w:t>
            </w:r>
          </w:p>
        </w:tc>
      </w:tr>
      <w:tr>
        <w:trPr>
          <w:trHeight w:val="531" w:hRule="atLeast"/>
        </w:trPr>
        <w:tc>
          <w:tcPr>
            <w:tcW w:w="246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БП + УУ</w:t>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ЗУП</w:t>
            </w:r>
          </w:p>
        </w:tc>
        <w:tc>
          <w:tcPr>
            <w:tcW w:w="40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Проверка доступности сервиса</w:t>
            </w:r>
          </w:p>
        </w:tc>
        <w:tc>
          <w:tcPr>
            <w:tcW w:w="3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будни</w:t>
            </w:r>
          </w:p>
        </w:tc>
      </w:tr>
      <w:tr>
        <w:trPr>
          <w:trHeight w:val="267" w:hRule="atLeast"/>
        </w:trPr>
        <w:tc>
          <w:tcPr>
            <w:tcW w:w="246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rPr>
                <w:rFonts w:ascii="Times New Roman" w:hAnsi="Times New Roman"/>
                <w:sz w:val="24"/>
                <w:szCs w:val="24"/>
              </w:rPr>
            </w:pPr>
            <w:r>
              <w:rPr>
                <w:rFonts w:ascii="Times New Roman" w:hAnsi="Times New Roman"/>
                <w:sz w:val="24"/>
                <w:szCs w:val="24"/>
              </w:rPr>
            </w:r>
          </w:p>
        </w:tc>
        <w:tc>
          <w:tcPr>
            <w:tcW w:w="40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Проверка наличия достаточного объема свободной памяти на серверах</w:t>
            </w:r>
          </w:p>
        </w:tc>
        <w:tc>
          <w:tcPr>
            <w:tcW w:w="3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будни</w:t>
            </w:r>
          </w:p>
        </w:tc>
      </w:tr>
      <w:tr>
        <w:trPr>
          <w:trHeight w:val="267" w:hRule="atLeast"/>
        </w:trPr>
        <w:tc>
          <w:tcPr>
            <w:tcW w:w="246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rPr>
                <w:rFonts w:ascii="Times New Roman" w:hAnsi="Times New Roman"/>
                <w:sz w:val="24"/>
                <w:szCs w:val="24"/>
              </w:rPr>
            </w:pPr>
            <w:r>
              <w:rPr>
                <w:rFonts w:ascii="Times New Roman" w:hAnsi="Times New Roman"/>
                <w:sz w:val="24"/>
                <w:szCs w:val="24"/>
              </w:rPr>
            </w:r>
          </w:p>
        </w:tc>
        <w:tc>
          <w:tcPr>
            <w:tcW w:w="40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Удаление помеченных элементов справочников и проведение анализа правильности отражения первичных операций</w:t>
            </w:r>
          </w:p>
        </w:tc>
        <w:tc>
          <w:tcPr>
            <w:tcW w:w="3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будни</w:t>
            </w:r>
          </w:p>
        </w:tc>
      </w:tr>
      <w:tr>
        <w:trPr>
          <w:trHeight w:val="1174" w:hRule="atLeast"/>
        </w:trPr>
        <w:tc>
          <w:tcPr>
            <w:tcW w:w="246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rPr>
                <w:rFonts w:ascii="Times New Roman" w:hAnsi="Times New Roman"/>
                <w:sz w:val="24"/>
                <w:szCs w:val="24"/>
              </w:rPr>
            </w:pPr>
            <w:r>
              <w:rPr>
                <w:rFonts w:ascii="Times New Roman" w:hAnsi="Times New Roman"/>
                <w:sz w:val="24"/>
                <w:szCs w:val="24"/>
              </w:rPr>
            </w:r>
          </w:p>
        </w:tc>
        <w:tc>
          <w:tcPr>
            <w:tcW w:w="40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Проверка наличия доступности лицензионных ключей на сервере</w:t>
            </w:r>
          </w:p>
        </w:tc>
        <w:tc>
          <w:tcPr>
            <w:tcW w:w="3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будни</w:t>
            </w:r>
          </w:p>
        </w:tc>
      </w:tr>
    </w:tbl>
    <w:p>
      <w:pPr>
        <w:pStyle w:val="118"/>
        <w:numPr>
          <w:ilvl w:val="0"/>
          <w:numId w:val="0"/>
        </w:numPr>
        <w:ind w:hanging="0" w:left="0"/>
        <w:jc w:val="right"/>
        <w:rPr>
          <w:rFonts w:ascii="Times New Roman" w:hAnsi="Times New Roman"/>
          <w:b w:val="false"/>
          <w:sz w:val="24"/>
          <w:szCs w:val="24"/>
        </w:rPr>
      </w:pPr>
      <w:r>
        <w:rPr>
          <w:rFonts w:ascii="Times New Roman" w:hAnsi="Times New Roman"/>
          <w:b w:val="false"/>
          <w:sz w:val="24"/>
          <w:szCs w:val="24"/>
        </w:rPr>
      </w:r>
    </w:p>
    <w:p>
      <w:pPr>
        <w:pStyle w:val="118"/>
        <w:numPr>
          <w:ilvl w:val="0"/>
          <w:numId w:val="0"/>
        </w:numPr>
        <w:ind w:hanging="0" w:left="0"/>
        <w:jc w:val="left"/>
        <w:rPr>
          <w:rFonts w:ascii="Times New Roman" w:hAnsi="Times New Roman"/>
          <w:b w:val="false"/>
          <w:sz w:val="24"/>
          <w:szCs w:val="24"/>
        </w:rPr>
      </w:pPr>
      <w:r>
        <w:rPr>
          <w:rFonts w:ascii="Times New Roman" w:hAnsi="Times New Roman"/>
          <w:b w:val="false"/>
          <w:sz w:val="24"/>
          <w:szCs w:val="24"/>
        </w:rPr>
      </w:r>
    </w:p>
    <w:p>
      <w:pPr>
        <w:pStyle w:val="118"/>
        <w:numPr>
          <w:ilvl w:val="0"/>
          <w:numId w:val="0"/>
        </w:numPr>
        <w:ind w:hanging="0" w:left="0"/>
        <w:jc w:val="left"/>
        <w:rPr>
          <w:rFonts w:ascii="Times New Roman" w:hAnsi="Times New Roman"/>
          <w:b w:val="false"/>
          <w:sz w:val="24"/>
          <w:szCs w:val="24"/>
        </w:rPr>
      </w:pPr>
      <w:r>
        <w:rPr>
          <w:rFonts w:ascii="Times New Roman" w:hAnsi="Times New Roman"/>
          <w:b w:val="false"/>
          <w:sz w:val="24"/>
          <w:szCs w:val="24"/>
        </w:rPr>
      </w:r>
    </w:p>
    <w:p>
      <w:pPr>
        <w:pStyle w:val="118"/>
        <w:numPr>
          <w:ilvl w:val="0"/>
          <w:numId w:val="0"/>
        </w:numPr>
        <w:ind w:hanging="0" w:left="0"/>
        <w:jc w:val="left"/>
        <w:rPr>
          <w:rFonts w:ascii="Times New Roman" w:hAnsi="Times New Roman"/>
          <w:b w:val="false"/>
          <w:sz w:val="24"/>
          <w:szCs w:val="24"/>
        </w:rPr>
      </w:pPr>
      <w:r>
        <w:rPr>
          <w:rFonts w:ascii="Times New Roman" w:hAnsi="Times New Roman"/>
          <w:b w:val="false"/>
          <w:sz w:val="24"/>
          <w:szCs w:val="24"/>
        </w:rPr>
      </w:r>
    </w:p>
    <w:p>
      <w:pPr>
        <w:pStyle w:val="118"/>
        <w:numPr>
          <w:ilvl w:val="0"/>
          <w:numId w:val="0"/>
        </w:numPr>
        <w:ind w:hanging="0" w:left="0"/>
        <w:jc w:val="left"/>
        <w:rPr>
          <w:rFonts w:ascii="Times New Roman" w:hAnsi="Times New Roman"/>
          <w:b w:val="false"/>
          <w:sz w:val="24"/>
          <w:szCs w:val="24"/>
        </w:rPr>
      </w:pPr>
      <w:r>
        <w:rPr>
          <w:rFonts w:ascii="Times New Roman" w:hAnsi="Times New Roman"/>
          <w:b w:val="false"/>
          <w:sz w:val="24"/>
          <w:szCs w:val="24"/>
        </w:rPr>
      </w:r>
    </w:p>
    <w:p>
      <w:pPr>
        <w:pStyle w:val="118"/>
        <w:numPr>
          <w:ilvl w:val="0"/>
          <w:numId w:val="0"/>
        </w:numPr>
        <w:ind w:hanging="0" w:left="0"/>
        <w:jc w:val="left"/>
        <w:rPr>
          <w:rFonts w:ascii="Times New Roman" w:hAnsi="Times New Roman"/>
          <w:b w:val="false"/>
          <w:sz w:val="24"/>
          <w:szCs w:val="24"/>
        </w:rPr>
      </w:pPr>
      <w:r>
        <w:rPr>
          <w:rFonts w:ascii="Times New Roman" w:hAnsi="Times New Roman"/>
          <w:b w:val="false"/>
          <w:sz w:val="24"/>
          <w:szCs w:val="24"/>
        </w:rPr>
      </w:r>
    </w:p>
    <w:p>
      <w:pPr>
        <w:pStyle w:val="118"/>
        <w:numPr>
          <w:ilvl w:val="0"/>
          <w:numId w:val="0"/>
        </w:numPr>
        <w:ind w:hanging="0" w:left="0"/>
        <w:jc w:val="left"/>
        <w:rPr>
          <w:rFonts w:ascii="Times New Roman" w:hAnsi="Times New Roman"/>
          <w:b w:val="false"/>
          <w:sz w:val="24"/>
          <w:szCs w:val="24"/>
        </w:rPr>
      </w:pPr>
      <w:r>
        <w:rPr>
          <w:rFonts w:ascii="Times New Roman" w:hAnsi="Times New Roman"/>
          <w:b w:val="false"/>
          <w:sz w:val="24"/>
          <w:szCs w:val="24"/>
        </w:rPr>
      </w:r>
    </w:p>
    <w:p>
      <w:pPr>
        <w:pStyle w:val="118"/>
        <w:numPr>
          <w:ilvl w:val="0"/>
          <w:numId w:val="0"/>
        </w:numPr>
        <w:ind w:hanging="0" w:left="0"/>
        <w:jc w:val="left"/>
        <w:rPr>
          <w:rFonts w:ascii="Times New Roman" w:hAnsi="Times New Roman"/>
          <w:b w:val="false"/>
          <w:sz w:val="24"/>
          <w:szCs w:val="24"/>
        </w:rPr>
      </w:pPr>
      <w:r>
        <w:rPr>
          <w:rFonts w:ascii="Times New Roman" w:hAnsi="Times New Roman"/>
          <w:b w:val="false"/>
          <w:sz w:val="24"/>
          <w:szCs w:val="24"/>
        </w:rPr>
      </w:r>
    </w:p>
    <w:p>
      <w:pPr>
        <w:pStyle w:val="118"/>
        <w:numPr>
          <w:ilvl w:val="0"/>
          <w:numId w:val="0"/>
        </w:numPr>
        <w:ind w:hanging="0" w:left="0"/>
        <w:jc w:val="left"/>
        <w:rPr>
          <w:rFonts w:ascii="Times New Roman" w:hAnsi="Times New Roman"/>
          <w:b w:val="false"/>
          <w:sz w:val="24"/>
          <w:szCs w:val="24"/>
        </w:rPr>
      </w:pPr>
      <w:r>
        <w:rPr>
          <w:rFonts w:ascii="Times New Roman" w:hAnsi="Times New Roman"/>
          <w:b w:val="false"/>
          <w:sz w:val="24"/>
          <w:szCs w:val="24"/>
        </w:rPr>
      </w:r>
    </w:p>
    <w:sectPr>
      <w:headerReference w:type="even" r:id="rId8"/>
      <w:headerReference w:type="default" r:id="rId9"/>
      <w:headerReference w:type="first" r:id="rId10"/>
      <w:footnotePr>
        <w:numFmt w:val="decimal"/>
      </w:footnotePr>
      <w:type w:val="nextPage"/>
      <w:pgSz w:w="11906" w:h="16838"/>
      <w:pgMar w:left="1134" w:right="851" w:gutter="0" w:header="680" w:top="1134" w:footer="0" w:bottom="992"/>
      <w:pgNumType w:fmt="decimal"/>
      <w:formProt w:val="false"/>
      <w:titlePg/>
      <w:textDirection w:val="lrTb"/>
      <w:docGrid w:type="default" w:linePitch="1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XO Thames">
    <w:charset w:val="01"/>
    <w:family w:val="roman"/>
    <w:pitch w:val="variable"/>
  </w:font>
  <w:font w:name="Cambria">
    <w:charset w:val="01"/>
    <w:family w:val="roman"/>
    <w:pitch w:val="variable"/>
  </w:font>
  <w:font w:name="Segoe U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1"/>
        <w:widowControl w:val="false"/>
        <w:rPr/>
      </w:pPr>
      <w:r>
        <w:rPr>
          <w:rStyle w:val="Style16"/>
        </w:rPr>
        <w:footnoteRef/>
      </w:r>
      <w:r>
        <w:rPr/>
        <w:t xml:space="preserve"> </w:t>
      </w:r>
      <w:r>
        <w:rPr/>
        <w:t>Здесь и далее – речь о рабочих часах, указанных в п. 4</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4" wp14:anchorId="3A99B6E5">
              <wp:simplePos x="0" y="0"/>
              <wp:positionH relativeFrom="margin">
                <wp:align>center</wp:align>
              </wp:positionH>
              <wp:positionV relativeFrom="paragraph">
                <wp:posOffset>635</wp:posOffset>
              </wp:positionV>
              <wp:extent cx="635" cy="635"/>
              <wp:effectExtent l="0" t="0" r="0" b="0"/>
              <wp:wrapSquare wrapText="bothSides"/>
              <wp:docPr id="1" name="Врезка1"/>
              <a:graphic xmlns:a="http://schemas.openxmlformats.org/drawingml/2006/main">
                <a:graphicData uri="http://schemas.microsoft.com/office/word/2010/wordprocessingShape">
                  <wps:wsp>
                    <wps:cNvSpPr/>
                    <wps:spPr>
                      <a:xfrm>
                        <a:off x="0" y="0"/>
                        <a:ext cx="720" cy="720"/>
                      </a:xfrm>
                      <a:prstGeom prst="rect">
                        <a:avLst/>
                      </a:prstGeom>
                      <a:noFill/>
                      <a:ln w="0">
                        <a:noFill/>
                      </a:ln>
                    </wps:spPr>
                    <wps:style>
                      <a:lnRef idx="0"/>
                      <a:fillRef idx="0"/>
                      <a:effectRef idx="0"/>
                      <a:fontRef idx="minor"/>
                    </wps:style>
                    <wps:txbx>
                      <w:txbxContent>
                        <w:p>
                          <w:pPr>
                            <w:pStyle w:val="Header"/>
                            <w:rPr/>
                          </w:pPr>
                          <w:r>
                            <w:rPr/>
                          </w:r>
                        </w:p>
                      </w:txbxContent>
                    </wps:txbx>
                    <wps:bodyPr lIns="0" rIns="0" tIns="0" bIns="0" anchor="t">
                      <a:noAutofit/>
                    </wps:bodyPr>
                  </wps:wsp>
                </a:graphicData>
              </a:graphic>
            </wp:anchor>
          </w:drawing>
        </mc:Choice>
        <mc:Fallback>
          <w:pict>
            <v:rect id="shape_0" ID="Врезка1" path="m0,0l-2147483645,0l-2147483645,-2147483646l0,-2147483646xe" stroked="f" o:allowincell="f" style="position:absolute;margin-left:0pt;margin-top:0.05pt;width:0pt;height:0pt;mso-wrap-style:none;v-text-anchor:middle;mso-position-horizontal:center;mso-position-horizontal-relative:margin" wp14:anchorId="3A99B6E5">
              <v:fill o:detectmouseclick="t" on="false"/>
              <v:stroke color="#3465a4" joinstyle="round" endcap="flat"/>
              <v:textbox>
                <w:txbxContent>
                  <w:p>
                    <w:pPr>
                      <w:pStyle w:val="Header"/>
                      <w:rPr/>
                    </w:pPr>
                    <w:r>
                      <w:rPr/>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8</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2" wp14:anchorId="4327CF03">
              <wp:simplePos x="0" y="0"/>
              <wp:positionH relativeFrom="margin">
                <wp:align>center</wp:align>
              </wp:positionH>
              <wp:positionV relativeFrom="paragraph">
                <wp:posOffset>635</wp:posOffset>
              </wp:positionV>
              <wp:extent cx="635" cy="635"/>
              <wp:effectExtent l="0" t="0" r="0" b="0"/>
              <wp:wrapSquare wrapText="bothSides"/>
              <wp:docPr id="3" name="Picture 1"/>
              <a:graphic xmlns:a="http://schemas.openxmlformats.org/drawingml/2006/main">
                <a:graphicData uri="http://schemas.microsoft.com/office/word/2010/wordprocessingShape">
                  <wps:wsp>
                    <wps:cNvSpPr/>
                    <wps:spPr>
                      <a:xfrm>
                        <a:off x="0" y="0"/>
                        <a:ext cx="720" cy="720"/>
                      </a:xfrm>
                      <a:prstGeom prst="rect">
                        <a:avLst/>
                      </a:prstGeom>
                      <a:noFill/>
                      <a:ln w="0">
                        <a:noFill/>
                      </a:ln>
                    </wps:spPr>
                    <wps:style>
                      <a:lnRef idx="0"/>
                      <a:fillRef idx="0"/>
                      <a:effectRef idx="0"/>
                      <a:fontRef idx="minor"/>
                    </wps:style>
                    <wps:txbx>
                      <w:txbxContent>
                        <w:p>
                          <w:pPr>
                            <w:pStyle w:val="Header"/>
                            <w:rPr/>
                          </w:pPr>
                          <w:r>
                            <w:rPr/>
                          </w:r>
                        </w:p>
                      </w:txbxContent>
                    </wps:txbx>
                    <wps:bodyPr lIns="0" rIns="0" tIns="0" bIns="0" anchor="t">
                      <a:spAutoFit/>
                    </wps:bodyPr>
                  </wps:wsp>
                </a:graphicData>
              </a:graphic>
            </wp:anchor>
          </w:drawing>
        </mc:Choice>
        <mc:Fallback>
          <w:pict>
            <v:rect id="shape_0" ID="Picture 1" path="m0,0l-2147483645,0l-2147483645,-2147483646l0,-2147483646xe" stroked="f" o:allowincell="f" style="position:absolute;margin-left:0pt;margin-top:0.05pt;width:0pt;height:0pt;mso-wrap-style:none;v-text-anchor:middle;mso-position-horizontal:center;mso-position-horizontal-relative:margin" wp14:anchorId="4327CF03">
              <v:fill o:detectmouseclick="t" on="false"/>
              <v:stroke color="#3465a4" joinstyle="round" endcap="flat"/>
              <v:textbox>
                <w:txbxContent>
                  <w:p>
                    <w:pPr>
                      <w:pStyle w:val="Header"/>
                      <w:rPr/>
                    </w:pPr>
                    <w:r>
                      <w:rPr/>
                    </w:r>
                  </w:p>
                </w:txbxContent>
              </v:textbox>
              <w10:wrap type="square"/>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29</w:t>
    </w:r>
    <w:r>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9</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3" wp14:anchorId="082C0259">
              <wp:simplePos x="0" y="0"/>
              <wp:positionH relativeFrom="margin">
                <wp:align>center</wp:align>
              </wp:positionH>
              <wp:positionV relativeFrom="paragraph">
                <wp:posOffset>635</wp:posOffset>
              </wp:positionV>
              <wp:extent cx="635" cy="635"/>
              <wp:effectExtent l="0" t="0" r="0" b="0"/>
              <wp:wrapSquare wrapText="bothSides"/>
              <wp:docPr id="5" name="Picture 2"/>
              <a:graphic xmlns:a="http://schemas.openxmlformats.org/drawingml/2006/main">
                <a:graphicData uri="http://schemas.microsoft.com/office/word/2010/wordprocessingShape">
                  <wps:wsp>
                    <wps:cNvSpPr/>
                    <wps:spPr>
                      <a:xfrm>
                        <a:off x="0" y="0"/>
                        <a:ext cx="720" cy="720"/>
                      </a:xfrm>
                      <a:prstGeom prst="rect">
                        <a:avLst/>
                      </a:prstGeom>
                      <a:noFill/>
                      <a:ln w="0">
                        <a:noFill/>
                      </a:ln>
                    </wps:spPr>
                    <wps:style>
                      <a:lnRef idx="0"/>
                      <a:fillRef idx="0"/>
                      <a:effectRef idx="0"/>
                      <a:fontRef idx="minor"/>
                    </wps:style>
                    <wps:txbx>
                      <w:txbxContent>
                        <w:p>
                          <w:pPr>
                            <w:pStyle w:val="Header"/>
                            <w:rPr/>
                          </w:pPr>
                          <w:r>
                            <w:rPr/>
                          </w:r>
                        </w:p>
                      </w:txbxContent>
                    </wps:txbx>
                    <wps:bodyPr lIns="0" rIns="0" tIns="0" bIns="0" anchor="t">
                      <a:spAutoFit/>
                    </wps:bodyPr>
                  </wps:wsp>
                </a:graphicData>
              </a:graphic>
            </wp:anchor>
          </w:drawing>
        </mc:Choice>
        <mc:Fallback>
          <w:pict>
            <v:rect id="shape_0" ID="Picture 2" path="m0,0l-2147483645,0l-2147483645,-2147483646l0,-2147483646xe" stroked="f" o:allowincell="f" style="position:absolute;margin-left:0pt;margin-top:0.05pt;width:0pt;height:0pt;mso-wrap-style:none;v-text-anchor:middle;mso-position-horizontal:center;mso-position-horizontal-relative:margin" wp14:anchorId="082C0259">
              <v:fill o:detectmouseclick="t" on="false"/>
              <v:stroke color="#3465a4" joinstyle="round" endcap="flat"/>
              <v:textbox>
                <w:txbxContent>
                  <w:p>
                    <w:pPr>
                      <w:pStyle w:val="Header"/>
                      <w:rPr/>
                    </w:pPr>
                    <w:r>
                      <w:rPr/>
                    </w:r>
                  </w:p>
                </w:txbxContent>
              </v:textbox>
              <w10:wrap type="square"/>
            </v:rect>
          </w:pict>
        </mc:Fallback>
      </mc:AlternateConten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31</w: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30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4330" w:hanging="360"/>
      </w:pPr>
      <w:rPr>
        <w:smallCaps w:val="false"/>
        <w:caps w:val="false"/>
        <w:dstrike w:val="false"/>
        <w:strike w:val="false"/>
        <w:sz w:val="24"/>
        <w:spacing w:val="0"/>
        <w:i w:val="false"/>
        <w:u w:val="none"/>
        <w:b/>
        <w:rFonts w:ascii="Times New Roman" w:hAnsi="Times New Roman"/>
        <w:color w:val="000000"/>
      </w:rPr>
    </w:lvl>
    <w:lvl w:ilvl="1">
      <w:start w:val="1"/>
      <w:numFmt w:val="decimal"/>
      <w:lvlText w:val="%1.%2."/>
      <w:lvlJc w:val="left"/>
      <w:pPr>
        <w:tabs>
          <w:tab w:val="num" w:pos="0"/>
        </w:tabs>
        <w:ind w:left="432" w:hanging="432"/>
      </w:pPr>
      <w:rPr>
        <w:sz w:val="24"/>
        <w:i w:val="false"/>
        <w:b/>
      </w:rPr>
    </w:lvl>
    <w:lvl w:ilvl="2">
      <w:start w:val="1"/>
      <w:pStyle w:val="Heading3"/>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sz w:val="24"/>
        <w:b/>
      </w:rPr>
    </w:lvl>
    <w:lvl w:ilvl="1">
      <w:start w:val="1"/>
      <w:numFmt w:val="decimal"/>
      <w:lvlText w:val="%1.%2."/>
      <w:lvlJc w:val="left"/>
      <w:pPr>
        <w:tabs>
          <w:tab w:val="num" w:pos="0"/>
        </w:tabs>
        <w:ind w:left="792" w:hanging="432"/>
      </w:pPr>
      <w:rPr>
        <w:sz w:val="20"/>
        <w:b w:val="false"/>
      </w:rPr>
    </w:lvl>
    <w:lvl w:ilvl="2">
      <w:start w:val="1"/>
      <w:numFmt w:val="decimal"/>
      <w:lvlText w:val="%1.%2.%3."/>
      <w:lvlJc w:val="left"/>
      <w:pPr>
        <w:tabs>
          <w:tab w:val="num" w:pos="0"/>
        </w:tabs>
        <w:ind w:left="1071" w:hanging="504"/>
      </w:pPr>
      <w:rPr>
        <w:sz w:val="20"/>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479" w:hanging="360"/>
      </w:pPr>
      <w:rPr/>
    </w:lvl>
    <w:lvl w:ilvl="1">
      <w:start w:val="1"/>
      <w:numFmt w:val="decimal"/>
      <w:lvlText w:val="%1.%2."/>
      <w:lvlJc w:val="left"/>
      <w:pPr>
        <w:tabs>
          <w:tab w:val="num" w:pos="0"/>
        </w:tabs>
        <w:ind w:left="720" w:hanging="360"/>
      </w:pPr>
      <w:rPr>
        <w:rFonts w:ascii="Times New Roman" w:hAnsi="Times New Roman"/>
      </w:rPr>
    </w:lvl>
    <w:lvl w:ilvl="2">
      <w:start w:val="1"/>
      <w:numFmt w:val="bullet"/>
      <w:lvlText w:val=""/>
      <w:lvlJc w:val="left"/>
      <w:pPr>
        <w:tabs>
          <w:tab w:val="num" w:pos="0"/>
        </w:tabs>
        <w:ind w:left="1080" w:hanging="720"/>
      </w:pPr>
      <w:rPr>
        <w:rFonts w:ascii="Symbol" w:hAnsi="Symbol" w:cs="Symbol" w:hint="default"/>
        <w:b w:val="false"/>
        <w:color w:val="000000"/>
      </w:rPr>
    </w:lvl>
    <w:lvl w:ilvl="3">
      <w:start w:val="1"/>
      <w:numFmt w:val="decimal"/>
      <w:lvlText w:val="%1.%2.%3.%4."/>
      <w:lvlJc w:val="left"/>
      <w:pPr>
        <w:tabs>
          <w:tab w:val="num" w:pos="0"/>
        </w:tabs>
        <w:ind w:left="1080" w:hanging="720"/>
      </w:pPr>
      <w:rPr>
        <w:color w:val="000000"/>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2160" w:hanging="1800"/>
      </w:pPr>
      <w:rPr/>
    </w:lvl>
  </w:abstractNum>
  <w:abstractNum w:abstractNumId="9">
    <w:lvl w:ilvl="0">
      <w:start w:val="1"/>
      <w:numFmt w:val="bullet"/>
      <w:lvlText w:val=""/>
      <w:lvlJc w:val="left"/>
      <w:pPr>
        <w:tabs>
          <w:tab w:val="num" w:pos="765"/>
        </w:tabs>
        <w:ind w:left="765" w:hanging="360"/>
      </w:pPr>
      <w:rPr>
        <w:rFonts w:ascii="Symbol" w:hAnsi="Symbol" w:cs="Symbol" w:hint="default"/>
      </w:rPr>
    </w:lvl>
    <w:lvl w:ilvl="1">
      <w:start w:val="1"/>
      <w:numFmt w:val="bullet"/>
      <w:lvlText w:val="o"/>
      <w:lvlJc w:val="left"/>
      <w:pPr>
        <w:tabs>
          <w:tab w:val="num" w:pos="1485"/>
        </w:tabs>
        <w:ind w:left="1485" w:hanging="360"/>
      </w:pPr>
      <w:rPr>
        <w:rFonts w:ascii="Courier New" w:hAnsi="Courier New" w:cs="Courier New" w:hint="default"/>
      </w:rPr>
    </w:lvl>
    <w:lvl w:ilvl="2">
      <w:start w:val="1"/>
      <w:numFmt w:val="bullet"/>
      <w:lvlText w:val=""/>
      <w:lvlJc w:val="left"/>
      <w:pPr>
        <w:tabs>
          <w:tab w:val="num" w:pos="2205"/>
        </w:tabs>
        <w:ind w:left="2205" w:hanging="360"/>
      </w:pPr>
      <w:rPr>
        <w:rFonts w:ascii="Wingdings" w:hAnsi="Wingdings" w:cs="Wingdings" w:hint="default"/>
      </w:rPr>
    </w:lvl>
    <w:lvl w:ilvl="3">
      <w:start w:val="1"/>
      <w:numFmt w:val="bullet"/>
      <w:lvlText w:val=""/>
      <w:lvlJc w:val="left"/>
      <w:pPr>
        <w:tabs>
          <w:tab w:val="num" w:pos="2925"/>
        </w:tabs>
        <w:ind w:left="2925" w:hanging="360"/>
      </w:pPr>
      <w:rPr>
        <w:rFonts w:ascii="Symbol" w:hAnsi="Symbol" w:cs="Symbol" w:hint="default"/>
      </w:rPr>
    </w:lvl>
    <w:lvl w:ilvl="4">
      <w:start w:val="1"/>
      <w:numFmt w:val="bullet"/>
      <w:lvlText w:val="o"/>
      <w:lvlJc w:val="left"/>
      <w:pPr>
        <w:tabs>
          <w:tab w:val="num" w:pos="3645"/>
        </w:tabs>
        <w:ind w:left="3645" w:hanging="360"/>
      </w:pPr>
      <w:rPr>
        <w:rFonts w:ascii="Courier New" w:hAnsi="Courier New" w:cs="Courier New" w:hint="default"/>
      </w:rPr>
    </w:lvl>
    <w:lvl w:ilvl="5">
      <w:start w:val="1"/>
      <w:numFmt w:val="bullet"/>
      <w:lvlText w:val=""/>
      <w:lvlJc w:val="left"/>
      <w:pPr>
        <w:tabs>
          <w:tab w:val="num" w:pos="4365"/>
        </w:tabs>
        <w:ind w:left="4365" w:hanging="360"/>
      </w:pPr>
      <w:rPr>
        <w:rFonts w:ascii="Wingdings" w:hAnsi="Wingdings" w:cs="Wingdings" w:hint="default"/>
      </w:rPr>
    </w:lvl>
    <w:lvl w:ilvl="6">
      <w:start w:val="1"/>
      <w:numFmt w:val="bullet"/>
      <w:lvlText w:val=""/>
      <w:lvlJc w:val="left"/>
      <w:pPr>
        <w:tabs>
          <w:tab w:val="num" w:pos="5085"/>
        </w:tabs>
        <w:ind w:left="5085" w:hanging="360"/>
      </w:pPr>
      <w:rPr>
        <w:rFonts w:ascii="Symbol" w:hAnsi="Symbol" w:cs="Symbol" w:hint="default"/>
      </w:rPr>
    </w:lvl>
    <w:lvl w:ilvl="7">
      <w:start w:val="1"/>
      <w:numFmt w:val="bullet"/>
      <w:lvlText w:val="o"/>
      <w:lvlJc w:val="left"/>
      <w:pPr>
        <w:tabs>
          <w:tab w:val="num" w:pos="5805"/>
        </w:tabs>
        <w:ind w:left="5805" w:hanging="360"/>
      </w:pPr>
      <w:rPr>
        <w:rFonts w:ascii="Courier New" w:hAnsi="Courier New" w:cs="Courier New" w:hint="default"/>
      </w:rPr>
    </w:lvl>
    <w:lvl w:ilvl="8">
      <w:start w:val="1"/>
      <w:numFmt w:val="bullet"/>
      <w:lvlText w:val=""/>
      <w:lvlJc w:val="left"/>
      <w:pPr>
        <w:tabs>
          <w:tab w:val="num" w:pos="6525"/>
        </w:tabs>
        <w:ind w:left="6525" w:hanging="360"/>
      </w:pPr>
      <w:rPr>
        <w:rFonts w:ascii="Wingdings" w:hAnsi="Wingdings" w:cs="Wingdings" w:hint="default"/>
      </w:rPr>
    </w:lvl>
  </w:abstractNum>
  <w:abstractNum w:abstractNumId="10">
    <w:lvl w:ilvl="0">
      <w:start w:val="1"/>
      <w:numFmt w:val="bullet"/>
      <w:lvlText w:val=""/>
      <w:lvlJc w:val="left"/>
      <w:pPr>
        <w:tabs>
          <w:tab w:val="num" w:pos="0"/>
        </w:tabs>
        <w:ind w:left="1170" w:hanging="360"/>
      </w:pPr>
      <w:rPr>
        <w:rFonts w:ascii="Wingdings" w:hAnsi="Wingdings" w:cs="Wingdings" w:hint="default"/>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11">
    <w:lvl w:ilvl="0">
      <w:numFmt w:val="bullet"/>
      <w:lvlText w:val="-"/>
      <w:lvlJc w:val="left"/>
      <w:pPr>
        <w:tabs>
          <w:tab w:val="num" w:pos="0"/>
        </w:tabs>
        <w:ind w:left="723" w:hanging="363"/>
      </w:pPr>
      <w:rPr>
        <w:rFonts w:ascii="Times New Roman" w:hAnsi="Times New Roman" w:cs="Times New Roman"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4">
    <w:lvl w:ilvl="0">
      <w:start w:val="1"/>
      <w:numFmt w:val="bullet"/>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15">
    <w:lvl w:ilvl="0">
      <w:numFmt w:val="bullet"/>
      <w:lvlText w:val=""/>
      <w:lvlJc w:val="left"/>
      <w:pPr>
        <w:tabs>
          <w:tab w:val="num" w:pos="1298"/>
        </w:tabs>
        <w:ind w:left="907" w:hanging="346"/>
      </w:pPr>
      <w:rPr>
        <w:rFonts w:ascii="Symbol" w:hAnsi="Symbol" w:cs="Symbol"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0"/>
        </w:tabs>
        <w:ind w:left="3479" w:hanging="360"/>
      </w:pPr>
      <w:rPr/>
    </w:lvl>
    <w:lvl w:ilvl="1">
      <w:start w:val="1"/>
      <w:numFmt w:val="decimal"/>
      <w:lvlText w:val="%1.%2."/>
      <w:lvlJc w:val="left"/>
      <w:pPr>
        <w:tabs>
          <w:tab w:val="num" w:pos="0"/>
        </w:tabs>
        <w:ind w:left="720" w:hanging="360"/>
      </w:pPr>
      <w:rPr>
        <w:rFonts w:ascii="Times New Roman" w:hAnsi="Times New Roman"/>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08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2160" w:hanging="1800"/>
      </w:pPr>
      <w:rPr/>
    </w:lvl>
  </w:abstractNum>
  <w:abstractNum w:abstractNumId="17">
    <w:lvl w:ilvl="0">
      <w:start w:val="3"/>
      <w:numFmt w:val="decimal"/>
      <w:lvlText w:val="%1."/>
      <w:lvlJc w:val="left"/>
      <w:pPr>
        <w:tabs>
          <w:tab w:val="num" w:pos="0"/>
        </w:tabs>
        <w:ind w:left="360" w:hanging="360"/>
      </w:pPr>
      <w:rPr>
        <w:sz w:val="24"/>
        <w:b/>
      </w:rPr>
    </w:lvl>
    <w:lvl w:ilvl="1">
      <w:start w:val="1"/>
      <w:numFmt w:val="decimal"/>
      <w:lvlText w:val="%1.%2."/>
      <w:lvlJc w:val="left"/>
      <w:pPr>
        <w:tabs>
          <w:tab w:val="num" w:pos="0"/>
        </w:tabs>
        <w:ind w:left="792" w:hanging="432"/>
      </w:pPr>
      <w:rPr>
        <w:sz w:val="20"/>
        <w:b w:val="false"/>
      </w:rPr>
    </w:lvl>
    <w:lvl w:ilvl="2">
      <w:start w:val="1"/>
      <w:numFmt w:val="decimal"/>
      <w:lvlText w:val="%1.%2.%3."/>
      <w:lvlJc w:val="left"/>
      <w:pPr>
        <w:tabs>
          <w:tab w:val="num" w:pos="0"/>
        </w:tabs>
        <w:ind w:left="1071" w:hanging="504"/>
      </w:pPr>
      <w:rPr>
        <w:sz w:val="20"/>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8">
    <w:lvl w:ilvl="0">
      <w:start w:val="4"/>
      <w:numFmt w:val="decimal"/>
      <w:lvlText w:val="%1."/>
      <w:lvlJc w:val="left"/>
      <w:pPr>
        <w:tabs>
          <w:tab w:val="num" w:pos="0"/>
        </w:tabs>
        <w:ind w:left="0" w:hanging="0"/>
      </w:pPr>
      <w:rPr>
        <w:smallCaps w:val="false"/>
        <w:caps w:val="false"/>
        <w:dstrike w:val="false"/>
        <w:strike w:val="false"/>
        <w:sz w:val="28"/>
        <w:spacing w:val="0"/>
        <w:i w:val="false"/>
        <w:u w:val="none"/>
        <w:b/>
        <w:shd w:fill="auto" w:val="clear"/>
        <w:szCs w:val="28"/>
        <w:iCs w:val="false"/>
        <w:bCs/>
        <w:w w:val="100"/>
        <w:rFonts w:ascii="Times New Roman" w:hAnsi="Times New Roman" w:eastAsia="Times New Roman" w:cs="Times New Roman"/>
        <w:color w:val="000000"/>
        <w:lang w:val="ru-RU" w:eastAsia="ru-RU" w:bidi="ru-RU"/>
      </w:rPr>
    </w:lvl>
    <w:lvl w:ilvl="1">
      <w:start w:val="1"/>
      <w:numFmt w:val="decimal"/>
      <w:lvlText w:val="%1.%2."/>
      <w:lvlJc w:val="left"/>
      <w:pPr>
        <w:tabs>
          <w:tab w:val="num" w:pos="0"/>
        </w:tabs>
        <w:ind w:left="0" w:hanging="0"/>
      </w:pPr>
      <w:rPr>
        <w:smallCaps w:val="false"/>
        <w:caps w:val="false"/>
        <w:dstrike w:val="false"/>
        <w:strike w:val="false"/>
        <w:sz w:val="24"/>
        <w:spacing w:val="0"/>
        <w:i/>
        <w:u w:val="none"/>
        <w:b w:val="false"/>
        <w:shd w:fill="auto" w:val="clear"/>
        <w:szCs w:val="24"/>
        <w:iCs/>
        <w:bCs w:val="false"/>
        <w:w w:val="100"/>
        <w:rFonts w:ascii="Times New Roman" w:hAnsi="Times New Roman" w:eastAsia="Times New Roman" w:cs="Times New Roman"/>
        <w:color w:val="000000"/>
        <w:lang w:val="ru-RU" w:eastAsia="ru-RU" w:bidi="ru-RU"/>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19">
    <w:lvl w:ilvl="0">
      <w:start w:val="1"/>
      <w:numFmt w:val="decimal"/>
      <w:lvlText w:val="%1."/>
      <w:lvlJc w:val="left"/>
      <w:pPr>
        <w:tabs>
          <w:tab w:val="num" w:pos="0"/>
        </w:tabs>
        <w:ind w:left="1146" w:hanging="360"/>
      </w:pPr>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2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2"/>
      <w:numFmt w:val="decimal"/>
      <w:lvlText w:val="%1."/>
      <w:lvlJc w:val="left"/>
      <w:pPr>
        <w:tabs>
          <w:tab w:val="num" w:pos="0"/>
        </w:tabs>
        <w:ind w:left="540" w:hanging="540"/>
      </w:pPr>
      <w:rPr/>
    </w:lvl>
    <w:lvl w:ilvl="1">
      <w:start w:val="1"/>
      <w:numFmt w:val="decimal"/>
      <w:lvlText w:val="%1.%2."/>
      <w:lvlJc w:val="left"/>
      <w:pPr>
        <w:tabs>
          <w:tab w:val="num" w:pos="0"/>
        </w:tabs>
        <w:ind w:left="900" w:hanging="540"/>
      </w:pPr>
      <w:rPr/>
    </w:lvl>
    <w:lvl w:ilvl="2">
      <w:start w:val="2"/>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85"/>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asciiTheme="minorHAnsi" w:hAnsiTheme="minorHAnsi"/>
        <w:color w:val="000000"/>
        <w:sz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link w:val="1"/>
    <w:qFormat/>
    <w:pPr>
      <w:widowControl/>
      <w:suppressAutoHyphens w:val="true"/>
      <w:bidi w:val="0"/>
      <w:spacing w:lineRule="auto" w:line="264" w:before="0" w:after="16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Heading1">
    <w:name w:val="Heading 1"/>
    <w:basedOn w:val="Heading3"/>
    <w:next w:val="Normal"/>
    <w:link w:val="15"/>
    <w:uiPriority w:val="9"/>
    <w:qFormat/>
    <w:pPr>
      <w:numPr>
        <w:ilvl w:val="0"/>
        <w:numId w:val="1"/>
      </w:numPr>
      <w:ind w:hanging="0" w:left="5038"/>
      <w:outlineLvl w:val="0"/>
    </w:pPr>
    <w:rPr>
      <w:sz w:val="28"/>
    </w:rPr>
  </w:style>
  <w:style w:type="paragraph" w:styleId="Heading2">
    <w:name w:val="Heading 2"/>
    <w:basedOn w:val="Heading4"/>
    <w:next w:val="Normal"/>
    <w:link w:val="21"/>
    <w:uiPriority w:val="9"/>
    <w:qFormat/>
    <w:pPr>
      <w:outlineLvl w:val="1"/>
    </w:pPr>
    <w:rPr/>
  </w:style>
  <w:style w:type="paragraph" w:styleId="Heading3">
    <w:name w:val="Heading 3"/>
    <w:basedOn w:val="Normal"/>
    <w:next w:val="Normal"/>
    <w:link w:val="31"/>
    <w:uiPriority w:val="9"/>
    <w:qFormat/>
    <w:pPr>
      <w:keepNext w:val="true"/>
      <w:numPr>
        <w:ilvl w:val="2"/>
        <w:numId w:val="1"/>
      </w:numPr>
      <w:spacing w:lineRule="auto" w:line="240" w:before="120" w:after="60"/>
      <w:outlineLvl w:val="2"/>
    </w:pPr>
    <w:rPr>
      <w:rFonts w:ascii="Times New Roman" w:hAnsi="Times New Roman"/>
      <w:b/>
      <w:sz w:val="24"/>
    </w:rPr>
  </w:style>
  <w:style w:type="paragraph" w:styleId="Heading4">
    <w:name w:val="Heading 4"/>
    <w:basedOn w:val="Heading3"/>
    <w:next w:val="Normal"/>
    <w:link w:val="41"/>
    <w:uiPriority w:val="9"/>
    <w:qFormat/>
    <w:pPr>
      <w:numPr>
        <w:ilvl w:val="0"/>
        <w:numId w:val="0"/>
      </w:numPr>
      <w:ind w:hanging="432" w:left="432"/>
      <w:outlineLvl w:val="3"/>
    </w:pPr>
    <w:rPr/>
  </w:style>
  <w:style w:type="paragraph" w:styleId="Heading5">
    <w:name w:val="Heading 5"/>
    <w:next w:val="Normal"/>
    <w:link w:val="5"/>
    <w:uiPriority w:val="9"/>
    <w:qFormat/>
    <w:pPr>
      <w:widowControl/>
      <w:suppressAutoHyphens w:val="true"/>
      <w:bidi w:val="0"/>
      <w:spacing w:lineRule="auto" w:line="264" w:before="120" w:after="120"/>
      <w:jc w:val="both"/>
      <w:outlineLvl w:val="4"/>
    </w:pPr>
    <w:rPr>
      <w:rFonts w:ascii="XO Thames" w:hAnsi="XO Thames" w:eastAsia="Times New Roman" w:cs="Times New Roman"/>
      <w:b/>
      <w:color w:val="000000"/>
      <w:kern w:val="0"/>
      <w:sz w:val="22"/>
      <w:szCs w:val="20"/>
      <w:lang w:val="ru-RU" w:eastAsia="ru-RU" w:bidi="ar-SA"/>
    </w:rPr>
  </w:style>
  <w:style w:type="character" w:styleId="DefaultParagraphFont" w:default="1">
    <w:name w:val="Default Paragraph Font"/>
    <w:uiPriority w:val="1"/>
    <w:semiHidden/>
    <w:unhideWhenUsed/>
    <w:qFormat/>
    <w:rPr/>
  </w:style>
  <w:style w:type="character" w:styleId="1" w:customStyle="1">
    <w:name w:val="Обычный1"/>
    <w:link w:val="1113"/>
    <w:qFormat/>
    <w:rPr/>
  </w:style>
  <w:style w:type="character" w:styleId="2" w:customStyle="1">
    <w:name w:val="Оглавление 2 Знак"/>
    <w:basedOn w:val="1"/>
    <w:qFormat/>
    <w:rPr/>
  </w:style>
  <w:style w:type="character" w:styleId="4" w:customStyle="1">
    <w:name w:val="Оглавление 4 Знак"/>
    <w:basedOn w:val="1"/>
    <w:qFormat/>
    <w:rPr>
      <w:rFonts w:ascii="Times New Roman" w:hAnsi="Times New Roman"/>
      <w:sz w:val="20"/>
    </w:rPr>
  </w:style>
  <w:style w:type="character" w:styleId="-1" w:customStyle="1">
    <w:name w:val="Список-1"/>
    <w:basedOn w:val="1"/>
    <w:link w:val="-11"/>
    <w:qFormat/>
    <w:rPr>
      <w:rFonts w:ascii="Times New Roman" w:hAnsi="Times New Roman"/>
      <w:sz w:val="24"/>
    </w:rPr>
  </w:style>
  <w:style w:type="character" w:styleId="6" w:customStyle="1">
    <w:name w:val="Оглавление 6 Знак"/>
    <w:qFormat/>
    <w:rPr>
      <w:rFonts w:ascii="XO Thames" w:hAnsi="XO Thames"/>
      <w:sz w:val="28"/>
    </w:rPr>
  </w:style>
  <w:style w:type="character" w:styleId="7" w:customStyle="1">
    <w:name w:val="Оглавление 7 Знак"/>
    <w:qFormat/>
    <w:rPr>
      <w:rFonts w:ascii="XO Thames" w:hAnsi="XO Thames"/>
      <w:sz w:val="28"/>
    </w:rPr>
  </w:style>
  <w:style w:type="character" w:styleId="Default" w:customStyle="1">
    <w:name w:val="Default"/>
    <w:link w:val="Default1"/>
    <w:qFormat/>
    <w:rPr>
      <w:rFonts w:ascii="Times New Roman" w:hAnsi="Times New Roman"/>
      <w:sz w:val="24"/>
    </w:rPr>
  </w:style>
  <w:style w:type="character" w:styleId="3" w:customStyle="1">
    <w:name w:val="Заголовок 3 ДИТ"/>
    <w:basedOn w:val="22"/>
    <w:link w:val="311"/>
    <w:qFormat/>
    <w:rPr>
      <w:rFonts w:ascii="Calibri" w:hAnsi="Calibri"/>
      <w:b w:val="false"/>
      <w:sz w:val="24"/>
    </w:rPr>
  </w:style>
  <w:style w:type="character" w:styleId="Style4" w:customStyle="1">
    <w:name w:val="Текст примечания Знак"/>
    <w:basedOn w:val="1"/>
    <w:link w:val="Annotationtext"/>
    <w:qFormat/>
    <w:rPr>
      <w:sz w:val="20"/>
    </w:rPr>
  </w:style>
  <w:style w:type="character" w:styleId="11" w:customStyle="1">
    <w:name w:val="Гиперссылка1"/>
    <w:basedOn w:val="13"/>
    <w:link w:val="113"/>
    <w:qFormat/>
    <w:rPr>
      <w:color w:val="0000FF"/>
      <w:u w:val="single"/>
    </w:rPr>
  </w:style>
  <w:style w:type="character" w:styleId="Endnote" w:customStyle="1">
    <w:name w:val="Endnote"/>
    <w:link w:val="Endnote1"/>
    <w:qFormat/>
    <w:rPr>
      <w:rFonts w:ascii="XO Thames" w:hAnsi="XO Thames"/>
    </w:rPr>
  </w:style>
  <w:style w:type="character" w:styleId="31" w:customStyle="1">
    <w:name w:val="Заголовок 3 Знак"/>
    <w:basedOn w:val="1"/>
    <w:qFormat/>
    <w:rPr>
      <w:rFonts w:ascii="Times New Roman" w:hAnsi="Times New Roman"/>
      <w:b/>
      <w:sz w:val="24"/>
    </w:rPr>
  </w:style>
  <w:style w:type="character" w:styleId="Style5" w:customStyle="1">
    <w:name w:val="Таблица шапка"/>
    <w:basedOn w:val="1"/>
    <w:link w:val="114"/>
    <w:qFormat/>
    <w:rPr>
      <w:rFonts w:ascii="Times New Roman" w:hAnsi="Times New Roman"/>
    </w:rPr>
  </w:style>
  <w:style w:type="character" w:styleId="12" w:customStyle="1">
    <w:name w:val="Текст пункта раздела Знак1"/>
    <w:link w:val="115"/>
    <w:qFormat/>
    <w:rPr>
      <w:rFonts w:ascii="Cambria" w:hAnsi="Cambria"/>
      <w:b/>
      <w:color w:val="4F81BD"/>
      <w:sz w:val="26"/>
    </w:rPr>
  </w:style>
  <w:style w:type="character" w:styleId="Style6" w:customStyle="1">
    <w:name w:val="Таблица"/>
    <w:basedOn w:val="1"/>
    <w:link w:val="116"/>
    <w:qFormat/>
    <w:rPr>
      <w:rFonts w:ascii="Times New Roman" w:hAnsi="Times New Roman"/>
      <w:b/>
      <w:sz w:val="24"/>
    </w:rPr>
  </w:style>
  <w:style w:type="character" w:styleId="Tabletext" w:customStyle="1">
    <w:name w:val="Table text"/>
    <w:basedOn w:val="1"/>
    <w:link w:val="Tabletext1"/>
    <w:qFormat/>
    <w:rPr>
      <w:rFonts w:ascii="Times New Roman" w:hAnsi="Times New Roman"/>
    </w:rPr>
  </w:style>
  <w:style w:type="character" w:styleId="32" w:customStyle="1">
    <w:name w:val="Оглавление 3 Знак"/>
    <w:basedOn w:val="1"/>
    <w:qFormat/>
    <w:rPr>
      <w:rFonts w:ascii="Times New Roman" w:hAnsi="Times New Roman"/>
      <w:sz w:val="20"/>
    </w:rPr>
  </w:style>
  <w:style w:type="character" w:styleId="Style7" w:customStyle="1">
    <w:name w:val="Текст выноски Знак"/>
    <w:basedOn w:val="1"/>
    <w:link w:val="BalloonText"/>
    <w:qFormat/>
    <w:rPr>
      <w:rFonts w:ascii="Segoe UI" w:hAnsi="Segoe UI"/>
      <w:sz w:val="18"/>
    </w:rPr>
  </w:style>
  <w:style w:type="character" w:styleId="Style8" w:customStyle="1">
    <w:name w:val="Верхний колонтитул Знак"/>
    <w:basedOn w:val="1"/>
    <w:qFormat/>
    <w:rPr>
      <w:rFonts w:ascii="Times New Roman" w:hAnsi="Times New Roman"/>
      <w:sz w:val="24"/>
    </w:rPr>
  </w:style>
  <w:style w:type="character" w:styleId="5" w:customStyle="1">
    <w:name w:val="Заголовок 5 Знак"/>
    <w:qFormat/>
    <w:rPr>
      <w:rFonts w:ascii="XO Thames" w:hAnsi="XO Thames"/>
      <w:b/>
    </w:rPr>
  </w:style>
  <w:style w:type="character" w:styleId="13" w:customStyle="1">
    <w:name w:val="Основной шрифт абзаца1"/>
    <w:link w:val="112"/>
    <w:qFormat/>
    <w:rPr/>
  </w:style>
  <w:style w:type="character" w:styleId="14" w:customStyle="1">
    <w:name w:val="Просмотренная гиперссылка1"/>
    <w:basedOn w:val="13"/>
    <w:link w:val="117"/>
    <w:qFormat/>
    <w:rPr>
      <w:color w:val="954F72" w:themeColor="followedHyperlink"/>
      <w:u w:val="single"/>
    </w:rPr>
  </w:style>
  <w:style w:type="character" w:styleId="15" w:customStyle="1">
    <w:name w:val="Заголовок 1 Знак"/>
    <w:basedOn w:val="31"/>
    <w:qFormat/>
    <w:rPr>
      <w:rFonts w:ascii="Times New Roman" w:hAnsi="Times New Roman"/>
      <w:b/>
      <w:sz w:val="28"/>
    </w:rPr>
  </w:style>
  <w:style w:type="character" w:styleId="Style9" w:customStyle="1">
    <w:name w:val="Маркированный список Знак"/>
    <w:basedOn w:val="Style10"/>
    <w:link w:val="ListBullet"/>
    <w:qFormat/>
    <w:rPr>
      <w:rFonts w:ascii="Times New Roman" w:hAnsi="Times New Roman"/>
      <w:sz w:val="24"/>
    </w:rPr>
  </w:style>
  <w:style w:type="character" w:styleId="Hyperlink">
    <w:name w:val="Hyperlink"/>
    <w:link w:val="24"/>
    <w:uiPriority w:val="99"/>
    <w:rPr>
      <w:color w:val="0000FF"/>
      <w:u w:val="single"/>
    </w:rPr>
  </w:style>
  <w:style w:type="character" w:styleId="Footnote" w:customStyle="1">
    <w:name w:val="Footnote"/>
    <w:basedOn w:val="1"/>
    <w:link w:val="Footnote1"/>
    <w:qFormat/>
    <w:rPr>
      <w:rFonts w:ascii="Times New Roman" w:hAnsi="Times New Roman"/>
      <w:sz w:val="20"/>
    </w:rPr>
  </w:style>
  <w:style w:type="character" w:styleId="16" w:customStyle="1">
    <w:name w:val="Оглавление 1 Знак"/>
    <w:basedOn w:val="1"/>
    <w:qFormat/>
    <w:rPr>
      <w:rFonts w:ascii="Times New Roman" w:hAnsi="Times New Roman"/>
      <w:b/>
      <w:sz w:val="24"/>
    </w:rPr>
  </w:style>
  <w:style w:type="character" w:styleId="HeaderandFooter" w:customStyle="1">
    <w:name w:val="Header and Footer"/>
    <w:qFormat/>
    <w:rPr>
      <w:rFonts w:ascii="XO Thames" w:hAnsi="XO Thames"/>
      <w:sz w:val="28"/>
    </w:rPr>
  </w:style>
  <w:style w:type="character" w:styleId="Style10" w:customStyle="1">
    <w:name w:val="Абзац списка Знак"/>
    <w:basedOn w:val="1"/>
    <w:link w:val="ListParagraph"/>
    <w:qFormat/>
    <w:rPr>
      <w:rFonts w:ascii="Times New Roman" w:hAnsi="Times New Roman"/>
      <w:sz w:val="24"/>
    </w:rPr>
  </w:style>
  <w:style w:type="character" w:styleId="17" w:customStyle="1">
    <w:name w:val="Заголовок 1 ДИТ"/>
    <w:basedOn w:val="1"/>
    <w:link w:val="118"/>
    <w:qFormat/>
    <w:rPr>
      <w:rFonts w:ascii="Calibri" w:hAnsi="Calibri"/>
      <w:b/>
      <w:sz w:val="28"/>
    </w:rPr>
  </w:style>
  <w:style w:type="character" w:styleId="Style11" w:customStyle="1">
    <w:name w:val="комментарий"/>
    <w:link w:val="119"/>
    <w:qFormat/>
    <w:rPr>
      <w:b/>
      <w:i/>
      <w:shd w:fill="FFFF99" w:val="clear"/>
    </w:rPr>
  </w:style>
  <w:style w:type="character" w:styleId="9" w:customStyle="1">
    <w:name w:val="Оглавление 9 Знак"/>
    <w:qFormat/>
    <w:rPr>
      <w:rFonts w:ascii="XO Thames" w:hAnsi="XO Thames"/>
      <w:sz w:val="28"/>
    </w:rPr>
  </w:style>
  <w:style w:type="character" w:styleId="8" w:customStyle="1">
    <w:name w:val="Оглавление 8 Знак"/>
    <w:qFormat/>
    <w:rPr>
      <w:rFonts w:ascii="XO Thames" w:hAnsi="XO Thames"/>
      <w:sz w:val="28"/>
    </w:rPr>
  </w:style>
  <w:style w:type="character" w:styleId="18" w:customStyle="1">
    <w:name w:val="Номер страницы1"/>
    <w:basedOn w:val="13"/>
    <w:link w:val="1110"/>
    <w:qFormat/>
    <w:rPr/>
  </w:style>
  <w:style w:type="character" w:styleId="51" w:customStyle="1">
    <w:name w:val="Оглавление 5 Знак"/>
    <w:qFormat/>
    <w:rPr>
      <w:rFonts w:ascii="XO Thames" w:hAnsi="XO Thames"/>
      <w:sz w:val="28"/>
    </w:rPr>
  </w:style>
  <w:style w:type="character" w:styleId="19" w:customStyle="1">
    <w:name w:val="Знак сноски1"/>
    <w:basedOn w:val="13"/>
    <w:link w:val="1111"/>
    <w:qFormat/>
    <w:rPr>
      <w:vertAlign w:val="superscript"/>
    </w:rPr>
  </w:style>
  <w:style w:type="character" w:styleId="Style12" w:customStyle="1">
    <w:name w:val="Тема примечания Знак"/>
    <w:basedOn w:val="Style4"/>
    <w:link w:val="Annotationsubject"/>
    <w:qFormat/>
    <w:rPr>
      <w:b/>
      <w:sz w:val="20"/>
    </w:rPr>
  </w:style>
  <w:style w:type="character" w:styleId="Style13" w:customStyle="1">
    <w:name w:val="Подзаголовок Знак"/>
    <w:qFormat/>
    <w:rPr>
      <w:rFonts w:ascii="XO Thames" w:hAnsi="XO Thames"/>
      <w:i/>
      <w:sz w:val="24"/>
    </w:rPr>
  </w:style>
  <w:style w:type="character" w:styleId="110" w:customStyle="1">
    <w:name w:val="Знак примечания1"/>
    <w:basedOn w:val="13"/>
    <w:link w:val="1112"/>
    <w:qFormat/>
    <w:rPr>
      <w:sz w:val="16"/>
    </w:rPr>
  </w:style>
  <w:style w:type="character" w:styleId="Style14" w:customStyle="1">
    <w:name w:val="Заголовок Знак"/>
    <w:qFormat/>
    <w:rPr>
      <w:rFonts w:ascii="XO Thames" w:hAnsi="XO Thames"/>
      <w:b/>
      <w:caps/>
      <w:sz w:val="40"/>
    </w:rPr>
  </w:style>
  <w:style w:type="character" w:styleId="41" w:customStyle="1">
    <w:name w:val="Заголовок 4 Знак"/>
    <w:basedOn w:val="31"/>
    <w:qFormat/>
    <w:rPr>
      <w:rFonts w:ascii="Times New Roman" w:hAnsi="Times New Roman"/>
      <w:b/>
      <w:sz w:val="24"/>
    </w:rPr>
  </w:style>
  <w:style w:type="character" w:styleId="21" w:customStyle="1">
    <w:name w:val="Заголовок 2 Знак"/>
    <w:basedOn w:val="41"/>
    <w:qFormat/>
    <w:rPr>
      <w:rFonts w:ascii="Times New Roman" w:hAnsi="Times New Roman"/>
      <w:b/>
      <w:sz w:val="24"/>
    </w:rPr>
  </w:style>
  <w:style w:type="character" w:styleId="22" w:customStyle="1">
    <w:name w:val="Заголовок 2 ДИТ"/>
    <w:basedOn w:val="1"/>
    <w:link w:val="211"/>
    <w:qFormat/>
    <w:rPr>
      <w:rFonts w:ascii="Calibri" w:hAnsi="Calibri"/>
      <w:b/>
      <w:sz w:val="24"/>
    </w:rPr>
  </w:style>
  <w:style w:type="character" w:styleId="Style15" w:customStyle="1">
    <w:name w:val="Ссылка указателя"/>
    <w:qFormat/>
    <w:rPr/>
  </w:style>
  <w:style w:type="character" w:styleId="Style16" w:customStyle="1">
    <w:name w:val="Символ сноски"/>
    <w:qFormat/>
    <w:rPr>
      <w:vertAlign w:val="superscript"/>
    </w:rPr>
  </w:style>
  <w:style w:type="character" w:styleId="FootnoteReference">
    <w:name w:val="Footnote Reference"/>
    <w:rPr>
      <w:vertAlign w:val="superscrip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Annotationreference">
    <w:name w:val="annotation reference"/>
    <w:basedOn w:val="DefaultParagraphFont"/>
    <w:uiPriority w:val="99"/>
    <w:semiHidden/>
    <w:unhideWhenUsed/>
    <w:qFormat/>
    <w:rPr>
      <w:sz w:val="16"/>
      <w:szCs w:val="16"/>
    </w:rPr>
  </w:style>
  <w:style w:type="character" w:styleId="Style18" w:customStyle="1">
    <w:name w:val="Основной текст_"/>
    <w:basedOn w:val="DefaultParagraphFont"/>
    <w:link w:val="120"/>
    <w:qFormat/>
    <w:rsid w:val="003b0471"/>
    <w:rPr>
      <w:rFonts w:ascii="Times New Roman" w:hAnsi="Times New Roman"/>
      <w:i/>
      <w:iCs/>
    </w:rPr>
  </w:style>
  <w:style w:type="character" w:styleId="23" w:customStyle="1">
    <w:name w:val="Колонтитул (2)_"/>
    <w:basedOn w:val="DefaultParagraphFont"/>
    <w:link w:val="25"/>
    <w:qFormat/>
    <w:rsid w:val="003b0471"/>
    <w:rPr>
      <w:rFonts w:ascii="Times New Roman" w:hAnsi="Times New Roman"/>
      <w:sz w:val="20"/>
    </w:rPr>
  </w:style>
  <w:style w:type="character" w:styleId="111" w:customStyle="1">
    <w:name w:val="Заголовок №1_"/>
    <w:basedOn w:val="DefaultParagraphFont"/>
    <w:link w:val="121"/>
    <w:qFormat/>
    <w:rsid w:val="00cb2a99"/>
    <w:rPr>
      <w:rFonts w:ascii="Times New Roman" w:hAnsi="Times New Roman"/>
      <w:b/>
      <w:bCs/>
      <w:sz w:val="28"/>
      <w:szCs w:val="28"/>
    </w:rPr>
  </w:style>
  <w:style w:type="character" w:styleId="Style19" w:customStyle="1">
    <w:name w:val="Нижний колонтитул Знак"/>
    <w:basedOn w:val="DefaultParagraphFont"/>
    <w:uiPriority w:val="99"/>
    <w:qFormat/>
    <w:rsid w:val="00b1297a"/>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next w:val="BodyText"/>
    <w:link w:val="Style14"/>
    <w:uiPriority w:val="10"/>
    <w:qFormat/>
    <w:pPr>
      <w:widowControl/>
      <w:suppressAutoHyphens w:val="true"/>
      <w:bidi w:val="0"/>
      <w:spacing w:lineRule="auto" w:line="264" w:before="567" w:after="567"/>
      <w:jc w:val="center"/>
    </w:pPr>
    <w:rPr>
      <w:rFonts w:ascii="XO Thames" w:hAnsi="XO Thames" w:eastAsia="Times New Roman" w:cs="Times New Roman"/>
      <w:b/>
      <w:caps/>
      <w:color w:val="000000"/>
      <w:kern w:val="0"/>
      <w:sz w:val="40"/>
      <w:szCs w:val="20"/>
      <w:lang w:val="ru-RU" w:eastAsia="ru-RU" w:bidi="ar-SA"/>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rFonts w:cs="Arial Unicode MS"/>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TOC2">
    <w:name w:val="TOC 2"/>
    <w:basedOn w:val="Normal"/>
    <w:next w:val="Normal"/>
    <w:link w:val="2"/>
    <w:uiPriority w:val="39"/>
    <w:pPr>
      <w:spacing w:before="0" w:after="100"/>
      <w:ind w:left="220"/>
    </w:pPr>
    <w:rPr/>
  </w:style>
  <w:style w:type="paragraph" w:styleId="TOC4">
    <w:name w:val="TOC 4"/>
    <w:basedOn w:val="Normal"/>
    <w:next w:val="Normal"/>
    <w:link w:val="4"/>
    <w:uiPriority w:val="39"/>
    <w:pPr>
      <w:tabs>
        <w:tab w:val="clear" w:pos="709"/>
        <w:tab w:val="left" w:pos="1120" w:leader="none"/>
        <w:tab w:val="right" w:pos="9911" w:leader="none"/>
      </w:tabs>
      <w:spacing w:lineRule="auto" w:line="240" w:before="0" w:after="0"/>
      <w:ind w:left="560"/>
    </w:pPr>
    <w:rPr>
      <w:rFonts w:ascii="Times New Roman" w:hAnsi="Times New Roman"/>
      <w:sz w:val="20"/>
    </w:rPr>
  </w:style>
  <w:style w:type="paragraph" w:styleId="-11" w:customStyle="1">
    <w:name w:val="Список-11"/>
    <w:basedOn w:val="Normal"/>
    <w:link w:val="-1"/>
    <w:qFormat/>
    <w:pPr>
      <w:tabs>
        <w:tab w:val="clear" w:pos="709"/>
        <w:tab w:val="left" w:pos="1080" w:leader="none"/>
        <w:tab w:val="left" w:pos="2345" w:leader="none"/>
      </w:tabs>
      <w:spacing w:lineRule="auto" w:line="312" w:before="60" w:after="60"/>
      <w:ind w:hanging="360" w:left="2345"/>
    </w:pPr>
    <w:rPr>
      <w:rFonts w:ascii="Times New Roman" w:hAnsi="Times New Roman"/>
      <w:sz w:val="24"/>
    </w:rPr>
  </w:style>
  <w:style w:type="paragraph" w:styleId="TOC6">
    <w:name w:val="TOC 6"/>
    <w:next w:val="Normal"/>
    <w:link w:val="6"/>
    <w:uiPriority w:val="39"/>
    <w:pPr>
      <w:widowControl/>
      <w:suppressAutoHyphens w:val="true"/>
      <w:bidi w:val="0"/>
      <w:spacing w:lineRule="auto" w:line="264" w:before="0" w:after="160"/>
      <w:ind w:left="1000"/>
      <w:jc w:val="left"/>
    </w:pPr>
    <w:rPr>
      <w:rFonts w:ascii="XO Thames" w:hAnsi="XO Thames" w:eastAsia="Times New Roman" w:cs="Times New Roman"/>
      <w:color w:val="000000"/>
      <w:kern w:val="0"/>
      <w:sz w:val="28"/>
      <w:szCs w:val="20"/>
      <w:lang w:val="ru-RU" w:eastAsia="ru-RU" w:bidi="ar-SA"/>
    </w:rPr>
  </w:style>
  <w:style w:type="paragraph" w:styleId="TOC7">
    <w:name w:val="TOC 7"/>
    <w:next w:val="Normal"/>
    <w:link w:val="7"/>
    <w:uiPriority w:val="39"/>
    <w:pPr>
      <w:widowControl/>
      <w:suppressAutoHyphens w:val="true"/>
      <w:bidi w:val="0"/>
      <w:spacing w:lineRule="auto" w:line="264" w:before="0" w:after="160"/>
      <w:ind w:left="1200"/>
      <w:jc w:val="left"/>
    </w:pPr>
    <w:rPr>
      <w:rFonts w:ascii="XO Thames" w:hAnsi="XO Thames" w:eastAsia="Times New Roman" w:cs="Times New Roman"/>
      <w:color w:val="000000"/>
      <w:kern w:val="0"/>
      <w:sz w:val="28"/>
      <w:szCs w:val="20"/>
      <w:lang w:val="ru-RU" w:eastAsia="ru-RU" w:bidi="ar-SA"/>
    </w:rPr>
  </w:style>
  <w:style w:type="paragraph" w:styleId="Default1" w:customStyle="1">
    <w:name w:val="Default1"/>
    <w:link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112" w:customStyle="1">
    <w:name w:val="Основной шрифт абзаца11"/>
    <w:link w:val="13"/>
    <w:qFormat/>
    <w:pPr>
      <w:widowControl/>
      <w:suppressAutoHyphens w:val="true"/>
      <w:bidi w:val="0"/>
      <w:spacing w:lineRule="auto" w:line="264" w:before="0" w:after="16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311" w:customStyle="1">
    <w:name w:val="Заголовок 3 ДИТ1"/>
    <w:basedOn w:val="211"/>
    <w:link w:val="3"/>
    <w:qFormat/>
    <w:pPr>
      <w:numPr>
        <w:ilvl w:val="2"/>
      </w:numPr>
      <w:tabs>
        <w:tab w:val="clear" w:pos="709"/>
        <w:tab w:val="left" w:pos="360" w:leader="none"/>
      </w:tabs>
      <w:ind w:hanging="504" w:left="1224"/>
    </w:pPr>
    <w:rPr>
      <w:b w:val="false"/>
    </w:rPr>
  </w:style>
  <w:style w:type="paragraph" w:styleId="Annotationtext">
    <w:name w:val="annotation text"/>
    <w:basedOn w:val="Normal"/>
    <w:link w:val="Style4"/>
    <w:qFormat/>
    <w:pPr>
      <w:spacing w:lineRule="auto" w:line="240"/>
    </w:pPr>
    <w:rPr>
      <w:sz w:val="20"/>
    </w:rPr>
  </w:style>
  <w:style w:type="paragraph" w:styleId="113" w:customStyle="1">
    <w:name w:val="Гиперссылка11"/>
    <w:basedOn w:val="112"/>
    <w:link w:val="11"/>
    <w:qFormat/>
    <w:pPr/>
    <w:rPr>
      <w:color w:val="0000FF"/>
      <w:u w:val="single"/>
    </w:rPr>
  </w:style>
  <w:style w:type="paragraph" w:styleId="Endnote1" w:customStyle="1">
    <w:name w:val="Endnote1"/>
    <w:link w:val="Endnote"/>
    <w:qFormat/>
    <w:pPr>
      <w:widowControl/>
      <w:suppressAutoHyphens w:val="true"/>
      <w:bidi w:val="0"/>
      <w:spacing w:lineRule="auto" w:line="264" w:before="0" w:after="160"/>
      <w:ind w:firstLine="851"/>
      <w:jc w:val="both"/>
    </w:pPr>
    <w:rPr>
      <w:rFonts w:ascii="XO Thames" w:hAnsi="XO Thames" w:eastAsia="Times New Roman" w:cs="Times New Roman"/>
      <w:color w:val="000000"/>
      <w:kern w:val="0"/>
      <w:sz w:val="22"/>
      <w:szCs w:val="20"/>
      <w:lang w:val="ru-RU" w:eastAsia="ru-RU" w:bidi="ar-SA"/>
    </w:rPr>
  </w:style>
  <w:style w:type="paragraph" w:styleId="114" w:customStyle="1">
    <w:name w:val="Таблица шапка1"/>
    <w:basedOn w:val="Normal"/>
    <w:link w:val="Style5"/>
    <w:qFormat/>
    <w:pPr>
      <w:keepNext w:val="true"/>
      <w:spacing w:lineRule="auto" w:line="240" w:before="40" w:after="40"/>
      <w:ind w:left="57" w:right="57"/>
    </w:pPr>
    <w:rPr>
      <w:rFonts w:ascii="Times New Roman" w:hAnsi="Times New Roman"/>
    </w:rPr>
  </w:style>
  <w:style w:type="paragraph" w:styleId="115" w:customStyle="1">
    <w:name w:val="Текст пункта раздела Знак11"/>
    <w:link w:val="12"/>
    <w:qFormat/>
    <w:pPr>
      <w:widowControl/>
      <w:suppressAutoHyphens w:val="true"/>
      <w:bidi w:val="0"/>
      <w:spacing w:lineRule="auto" w:line="264" w:before="0" w:after="160"/>
      <w:jc w:val="left"/>
    </w:pPr>
    <w:rPr>
      <w:rFonts w:ascii="Cambria" w:hAnsi="Cambria" w:eastAsia="Times New Roman" w:cs="Times New Roman"/>
      <w:b/>
      <w:color w:val="4F81BD"/>
      <w:kern w:val="0"/>
      <w:sz w:val="26"/>
      <w:szCs w:val="20"/>
      <w:lang w:val="ru-RU" w:eastAsia="ru-RU" w:bidi="ar-SA"/>
    </w:rPr>
  </w:style>
  <w:style w:type="paragraph" w:styleId="116" w:customStyle="1">
    <w:name w:val="Таблица1"/>
    <w:basedOn w:val="Normal"/>
    <w:link w:val="Style6"/>
    <w:qFormat/>
    <w:pPr>
      <w:keepNext w:val="true"/>
      <w:spacing w:lineRule="auto" w:line="240" w:before="60" w:after="60"/>
      <w:jc w:val="center"/>
    </w:pPr>
    <w:rPr>
      <w:rFonts w:ascii="Times New Roman" w:hAnsi="Times New Roman"/>
      <w:b/>
      <w:sz w:val="24"/>
    </w:rPr>
  </w:style>
  <w:style w:type="paragraph" w:styleId="Tabletext1" w:customStyle="1">
    <w:name w:val="Table text1"/>
    <w:basedOn w:val="Normal"/>
    <w:link w:val="Tabletext"/>
    <w:qFormat/>
    <w:pPr>
      <w:spacing w:lineRule="exact" w:line="280" w:before="0" w:after="0"/>
    </w:pPr>
    <w:rPr>
      <w:rFonts w:ascii="Times New Roman" w:hAnsi="Times New Roman"/>
    </w:rPr>
  </w:style>
  <w:style w:type="paragraph" w:styleId="TOC3">
    <w:name w:val="TOC 3"/>
    <w:basedOn w:val="Normal"/>
    <w:next w:val="Normal"/>
    <w:link w:val="32"/>
    <w:uiPriority w:val="39"/>
    <w:pPr>
      <w:spacing w:lineRule="auto" w:line="240" w:before="0" w:after="0"/>
      <w:ind w:left="280"/>
    </w:pPr>
    <w:rPr>
      <w:rFonts w:ascii="Times New Roman" w:hAnsi="Times New Roman"/>
      <w:sz w:val="20"/>
    </w:rPr>
  </w:style>
  <w:style w:type="paragraph" w:styleId="BalloonText">
    <w:name w:val="Balloon Text"/>
    <w:basedOn w:val="Normal"/>
    <w:link w:val="Style7"/>
    <w:qFormat/>
    <w:pPr>
      <w:spacing w:lineRule="auto" w:line="240" w:before="0" w:after="0"/>
    </w:pPr>
    <w:rPr>
      <w:rFonts w:ascii="Segoe UI" w:hAnsi="Segoe UI"/>
      <w:sz w:val="18"/>
    </w:rPr>
  </w:style>
  <w:style w:type="paragraph" w:styleId="Style22" w:customStyle="1">
    <w:name w:val="Колонтитул"/>
    <w:qFormat/>
    <w:pPr>
      <w:widowControl/>
      <w:suppressAutoHyphens w:val="true"/>
      <w:bidi w:val="0"/>
      <w:spacing w:before="0" w:after="160"/>
      <w:jc w:val="both"/>
    </w:pPr>
    <w:rPr>
      <w:rFonts w:ascii="XO Thames" w:hAnsi="XO Thames" w:eastAsia="Times New Roman" w:cs="Times New Roman"/>
      <w:color w:val="000000"/>
      <w:kern w:val="0"/>
      <w:sz w:val="28"/>
      <w:szCs w:val="20"/>
      <w:lang w:val="ru-RU" w:eastAsia="ru-RU" w:bidi="ar-SA"/>
    </w:rPr>
  </w:style>
  <w:style w:type="paragraph" w:styleId="Header">
    <w:name w:val="Header"/>
    <w:basedOn w:val="Normal"/>
    <w:link w:val="Style8"/>
    <w:pPr>
      <w:tabs>
        <w:tab w:val="clear" w:pos="709"/>
        <w:tab w:val="center" w:pos="4677" w:leader="none"/>
        <w:tab w:val="right" w:pos="9355" w:leader="none"/>
      </w:tabs>
      <w:spacing w:lineRule="auto" w:line="240" w:before="0" w:after="0"/>
    </w:pPr>
    <w:rPr>
      <w:rFonts w:ascii="Times New Roman" w:hAnsi="Times New Roman"/>
      <w:sz w:val="24"/>
    </w:rPr>
  </w:style>
  <w:style w:type="paragraph" w:styleId="117" w:customStyle="1">
    <w:name w:val="Просмотренная гиперссылка11"/>
    <w:basedOn w:val="112"/>
    <w:link w:val="14"/>
    <w:qFormat/>
    <w:pPr/>
    <w:rPr>
      <w:color w:val="954F72" w:themeColor="followedHyperlink"/>
      <w:u w:val="single"/>
    </w:rPr>
  </w:style>
  <w:style w:type="paragraph" w:styleId="ListBullet">
    <w:name w:val="List Bullet"/>
    <w:basedOn w:val="ListParagraph"/>
    <w:link w:val="Style9"/>
    <w:qFormat/>
    <w:pPr>
      <w:numPr>
        <w:ilvl w:val="0"/>
        <w:numId w:val="15"/>
      </w:numPr>
      <w:spacing w:lineRule="auto" w:line="276"/>
      <w:jc w:val="both"/>
    </w:pPr>
    <w:rPr/>
  </w:style>
  <w:style w:type="paragraph" w:styleId="24" w:customStyle="1">
    <w:name w:val="Гиперссылка2"/>
    <w:qFormat/>
    <w:pPr>
      <w:widowControl/>
      <w:suppressAutoHyphens w:val="true"/>
      <w:bidi w:val="0"/>
      <w:spacing w:lineRule="auto" w:line="264" w:before="0" w:after="160"/>
      <w:jc w:val="left"/>
    </w:pPr>
    <w:rPr>
      <w:rFonts w:ascii="Calibri" w:hAnsi="Calibri" w:eastAsia="Times New Roman" w:cs="Times New Roman"/>
      <w:color w:val="0000FF"/>
      <w:kern w:val="0"/>
      <w:sz w:val="22"/>
      <w:szCs w:val="20"/>
      <w:u w:val="single"/>
      <w:lang w:val="ru-RU" w:eastAsia="ru-RU" w:bidi="ar-SA"/>
    </w:rPr>
  </w:style>
  <w:style w:type="paragraph" w:styleId="Footnote1" w:customStyle="1">
    <w:name w:val="Footnote1"/>
    <w:basedOn w:val="Normal"/>
    <w:link w:val="Footnote"/>
    <w:qFormat/>
    <w:pPr>
      <w:spacing w:lineRule="auto" w:line="240" w:before="0" w:after="0"/>
    </w:pPr>
    <w:rPr>
      <w:rFonts w:ascii="Times New Roman" w:hAnsi="Times New Roman"/>
      <w:sz w:val="20"/>
    </w:rPr>
  </w:style>
  <w:style w:type="paragraph" w:styleId="TOC1">
    <w:name w:val="TOC 1"/>
    <w:basedOn w:val="Normal"/>
    <w:next w:val="Normal"/>
    <w:link w:val="16"/>
    <w:uiPriority w:val="39"/>
    <w:pPr>
      <w:spacing w:lineRule="auto" w:line="240" w:before="120" w:after="0"/>
    </w:pPr>
    <w:rPr>
      <w:rFonts w:ascii="Times New Roman" w:hAnsi="Times New Roman"/>
      <w:b/>
      <w:sz w:val="24"/>
    </w:rPr>
  </w:style>
  <w:style w:type="paragraph" w:styleId="ListParagraph">
    <w:name w:val="List Paragraph"/>
    <w:basedOn w:val="Normal"/>
    <w:link w:val="Style10"/>
    <w:qFormat/>
    <w:pPr>
      <w:spacing w:lineRule="auto" w:line="240" w:before="0" w:after="0"/>
      <w:ind w:left="720"/>
      <w:contextualSpacing/>
    </w:pPr>
    <w:rPr>
      <w:rFonts w:ascii="Times New Roman" w:hAnsi="Times New Roman"/>
      <w:sz w:val="24"/>
    </w:rPr>
  </w:style>
  <w:style w:type="paragraph" w:styleId="118" w:customStyle="1">
    <w:name w:val="Заголовок 1 ДИТ1"/>
    <w:basedOn w:val="Normal"/>
    <w:link w:val="17"/>
    <w:qFormat/>
    <w:pPr>
      <w:numPr>
        <w:ilvl w:val="0"/>
        <w:numId w:val="16"/>
      </w:numPr>
      <w:spacing w:lineRule="auto" w:line="240" w:before="0" w:after="0"/>
      <w:jc w:val="center"/>
    </w:pPr>
    <w:rPr>
      <w:rFonts w:ascii="Calibri" w:hAnsi="Calibri"/>
      <w:b/>
      <w:sz w:val="28"/>
    </w:rPr>
  </w:style>
  <w:style w:type="paragraph" w:styleId="119" w:customStyle="1">
    <w:name w:val="комментарий1"/>
    <w:link w:val="Style11"/>
    <w:qFormat/>
    <w:pPr>
      <w:widowControl/>
      <w:suppressAutoHyphens w:val="true"/>
      <w:bidi w:val="0"/>
      <w:spacing w:lineRule="auto" w:line="264" w:before="0" w:after="160"/>
      <w:jc w:val="left"/>
    </w:pPr>
    <w:rPr>
      <w:rFonts w:ascii="Calibri" w:hAnsi="Calibri" w:eastAsia="Times New Roman" w:cs="Times New Roman"/>
      <w:b/>
      <w:i/>
      <w:color w:val="000000"/>
      <w:kern w:val="0"/>
      <w:sz w:val="22"/>
      <w:szCs w:val="20"/>
      <w:shd w:fill="FFFF99" w:val="clear"/>
      <w:lang w:val="ru-RU" w:eastAsia="ru-RU" w:bidi="ar-SA"/>
    </w:rPr>
  </w:style>
  <w:style w:type="paragraph" w:styleId="TOC9">
    <w:name w:val="TOC 9"/>
    <w:next w:val="Normal"/>
    <w:link w:val="9"/>
    <w:uiPriority w:val="39"/>
    <w:pPr>
      <w:widowControl/>
      <w:suppressAutoHyphens w:val="true"/>
      <w:bidi w:val="0"/>
      <w:spacing w:lineRule="auto" w:line="264" w:before="0" w:after="160"/>
      <w:ind w:left="1600"/>
      <w:jc w:val="left"/>
    </w:pPr>
    <w:rPr>
      <w:rFonts w:ascii="XO Thames" w:hAnsi="XO Thames" w:eastAsia="Times New Roman" w:cs="Times New Roman"/>
      <w:color w:val="000000"/>
      <w:kern w:val="0"/>
      <w:sz w:val="28"/>
      <w:szCs w:val="20"/>
      <w:lang w:val="ru-RU" w:eastAsia="ru-RU" w:bidi="ar-SA"/>
    </w:rPr>
  </w:style>
  <w:style w:type="paragraph" w:styleId="TOC8">
    <w:name w:val="TOC 8"/>
    <w:next w:val="Normal"/>
    <w:link w:val="8"/>
    <w:uiPriority w:val="39"/>
    <w:pPr>
      <w:widowControl/>
      <w:suppressAutoHyphens w:val="true"/>
      <w:bidi w:val="0"/>
      <w:spacing w:lineRule="auto" w:line="264" w:before="0" w:after="160"/>
      <w:ind w:left="1400"/>
      <w:jc w:val="left"/>
    </w:pPr>
    <w:rPr>
      <w:rFonts w:ascii="XO Thames" w:hAnsi="XO Thames" w:eastAsia="Times New Roman" w:cs="Times New Roman"/>
      <w:color w:val="000000"/>
      <w:kern w:val="0"/>
      <w:sz w:val="28"/>
      <w:szCs w:val="20"/>
      <w:lang w:val="ru-RU" w:eastAsia="ru-RU" w:bidi="ar-SA"/>
    </w:rPr>
  </w:style>
  <w:style w:type="paragraph" w:styleId="1110" w:customStyle="1">
    <w:name w:val="Номер страницы11"/>
    <w:basedOn w:val="112"/>
    <w:link w:val="18"/>
    <w:qFormat/>
    <w:pPr/>
    <w:rPr/>
  </w:style>
  <w:style w:type="paragraph" w:styleId="TOC5">
    <w:name w:val="TOC 5"/>
    <w:next w:val="Normal"/>
    <w:link w:val="51"/>
    <w:uiPriority w:val="39"/>
    <w:pPr>
      <w:widowControl/>
      <w:suppressAutoHyphens w:val="true"/>
      <w:bidi w:val="0"/>
      <w:spacing w:lineRule="auto" w:line="264" w:before="0" w:after="160"/>
      <w:ind w:left="800"/>
      <w:jc w:val="left"/>
    </w:pPr>
    <w:rPr>
      <w:rFonts w:ascii="XO Thames" w:hAnsi="XO Thames" w:eastAsia="Times New Roman" w:cs="Times New Roman"/>
      <w:color w:val="000000"/>
      <w:kern w:val="0"/>
      <w:sz w:val="28"/>
      <w:szCs w:val="20"/>
      <w:lang w:val="ru-RU" w:eastAsia="ru-RU" w:bidi="ar-SA"/>
    </w:rPr>
  </w:style>
  <w:style w:type="paragraph" w:styleId="1111" w:customStyle="1">
    <w:name w:val="Знак сноски11"/>
    <w:basedOn w:val="112"/>
    <w:link w:val="19"/>
    <w:qFormat/>
    <w:pPr/>
    <w:rPr>
      <w:vertAlign w:val="superscript"/>
    </w:rPr>
  </w:style>
  <w:style w:type="paragraph" w:styleId="Annotationsubject">
    <w:name w:val="annotation subject"/>
    <w:basedOn w:val="Annotationtext"/>
    <w:next w:val="Annotationtext"/>
    <w:link w:val="Style12"/>
    <w:qFormat/>
    <w:pPr/>
    <w:rPr>
      <w:b/>
    </w:rPr>
  </w:style>
  <w:style w:type="paragraph" w:styleId="Subtitle">
    <w:name w:val="Subtitle"/>
    <w:next w:val="Normal"/>
    <w:link w:val="Style13"/>
    <w:uiPriority w:val="11"/>
    <w:qFormat/>
    <w:pPr>
      <w:widowControl/>
      <w:suppressAutoHyphens w:val="true"/>
      <w:bidi w:val="0"/>
      <w:spacing w:lineRule="auto" w:line="264" w:before="0" w:after="160"/>
      <w:jc w:val="both"/>
    </w:pPr>
    <w:rPr>
      <w:rFonts w:ascii="XO Thames" w:hAnsi="XO Thames" w:eastAsia="Times New Roman" w:cs="Times New Roman"/>
      <w:i/>
      <w:color w:val="000000"/>
      <w:kern w:val="0"/>
      <w:sz w:val="24"/>
      <w:szCs w:val="20"/>
      <w:lang w:val="ru-RU" w:eastAsia="ru-RU" w:bidi="ar-SA"/>
    </w:rPr>
  </w:style>
  <w:style w:type="paragraph" w:styleId="1112" w:customStyle="1">
    <w:name w:val="Знак примечания11"/>
    <w:basedOn w:val="112"/>
    <w:link w:val="110"/>
    <w:qFormat/>
    <w:pPr/>
    <w:rPr>
      <w:sz w:val="16"/>
    </w:rPr>
  </w:style>
  <w:style w:type="paragraph" w:styleId="1113" w:customStyle="1">
    <w:name w:val="Обычный11"/>
    <w:link w:val="1"/>
    <w:qFormat/>
    <w:pPr>
      <w:widowControl/>
      <w:suppressAutoHyphens w:val="true"/>
      <w:bidi w:val="0"/>
      <w:spacing w:lineRule="auto" w:line="264" w:before="0" w:after="16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211" w:customStyle="1">
    <w:name w:val="Заголовок 2 ДИТ1"/>
    <w:basedOn w:val="Normal"/>
    <w:link w:val="22"/>
    <w:qFormat/>
    <w:pPr>
      <w:numPr>
        <w:ilvl w:val="1"/>
        <w:numId w:val="16"/>
      </w:numPr>
      <w:spacing w:lineRule="auto" w:line="240" w:before="0" w:after="0"/>
    </w:pPr>
    <w:rPr>
      <w:rFonts w:ascii="Calibri" w:hAnsi="Calibri"/>
      <w:b/>
      <w:sz w:val="24"/>
    </w:rPr>
  </w:style>
  <w:style w:type="paragraph" w:styleId="Style23" w:customStyle="1">
    <w:name w:val="Содержимое врезки"/>
    <w:basedOn w:val="Normal"/>
    <w:qFormat/>
    <w:pPr/>
    <w:rPr/>
  </w:style>
  <w:style w:type="paragraph" w:styleId="FootnoteText">
    <w:name w:val="Footnote Text"/>
    <w:basedOn w:val="Normal"/>
    <w:pPr/>
    <w:rPr/>
  </w:style>
  <w:style w:type="paragraph" w:styleId="120" w:customStyle="1">
    <w:name w:val="Основной текст1"/>
    <w:basedOn w:val="Normal"/>
    <w:link w:val="Style18"/>
    <w:qFormat/>
    <w:rsid w:val="003b0471"/>
    <w:pPr>
      <w:widowControl w:val="false"/>
      <w:suppressAutoHyphens w:val="false"/>
      <w:spacing w:lineRule="auto" w:line="240" w:before="0" w:after="60"/>
    </w:pPr>
    <w:rPr>
      <w:rFonts w:ascii="Times New Roman" w:hAnsi="Times New Roman"/>
      <w:i/>
      <w:iCs/>
    </w:rPr>
  </w:style>
  <w:style w:type="paragraph" w:styleId="25" w:customStyle="1">
    <w:name w:val="Колонтитул (2)"/>
    <w:basedOn w:val="Normal"/>
    <w:link w:val="23"/>
    <w:qFormat/>
    <w:rsid w:val="003b0471"/>
    <w:pPr>
      <w:widowControl w:val="false"/>
      <w:suppressAutoHyphens w:val="false"/>
      <w:spacing w:lineRule="auto" w:line="240" w:before="0" w:after="0"/>
    </w:pPr>
    <w:rPr>
      <w:rFonts w:ascii="Times New Roman" w:hAnsi="Times New Roman"/>
      <w:sz w:val="20"/>
    </w:rPr>
  </w:style>
  <w:style w:type="paragraph" w:styleId="121" w:customStyle="1">
    <w:name w:val="Заголовок №1"/>
    <w:basedOn w:val="Normal"/>
    <w:link w:val="111"/>
    <w:qFormat/>
    <w:rsid w:val="00cb2a99"/>
    <w:pPr>
      <w:widowControl w:val="false"/>
      <w:suppressAutoHyphens w:val="false"/>
      <w:spacing w:lineRule="auto" w:line="240" w:before="0" w:after="100"/>
      <w:ind w:firstLine="310"/>
      <w:jc w:val="center"/>
      <w:outlineLvl w:val="0"/>
    </w:pPr>
    <w:rPr>
      <w:rFonts w:ascii="Times New Roman" w:hAnsi="Times New Roman"/>
      <w:b/>
      <w:bCs/>
      <w:sz w:val="28"/>
      <w:szCs w:val="28"/>
    </w:rPr>
  </w:style>
  <w:style w:type="paragraph" w:styleId="Footer">
    <w:name w:val="Footer"/>
    <w:basedOn w:val="Normal"/>
    <w:link w:val="Style19"/>
    <w:uiPriority w:val="99"/>
    <w:unhideWhenUsed/>
    <w:rsid w:val="00b1297a"/>
    <w:pPr>
      <w:tabs>
        <w:tab w:val="clear" w:pos="709"/>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f5">
    <w:name w:val="Table Grid"/>
    <w:basedOn w:val="a2"/>
    <w:rPr>
      <w:sz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8">
    <w:name w:val="Сетка таблицы2"/>
    <w:basedOn w:val="a2"/>
    <w:rPr>
      <w:sz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header" Target="header8.xml"/><Relationship Id="rId10" Type="http://schemas.openxmlformats.org/officeDocument/2006/relationships/header" Target="header9.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975</TotalTime>
  <Application>AlterOffice/2026.2.0.0$Linux_X86_64 LibreOffice_project/bc4ef1adf80b36c7a6365f8ed6cbf29021361edd</Application>
  <AppVersion>15.0000</AppVersion>
  <Pages>31</Pages>
  <Words>5040</Words>
  <Characters>36143</Characters>
  <CharactersWithSpaces>40548</CharactersWithSpaces>
  <Paragraphs>608</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2026-09-21T01:18:00Z</dcterms:created>
  <dc:creator>Клюев Алексей Александрович</dc:creator>
  <dc:description/>
  <dc:language>ru-RU</dc:language>
  <cp:lastModifiedBy>perfilevvv@corp.gidroogk.com</cp:lastModifiedBy>
  <cp:lastPrinted>2025-09-26T02:43:00Z</cp:lastPrinted>
  <dcterms:modified xsi:type="dcterms:W3CDTF">2026-09-30T16:58:51Z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