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line="276" w:lineRule="auto"/>
        <w:rPr>
          <w:caps/>
        </w:rPr>
      </w:pPr>
      <w:r>
        <w:rPr>
          <w:caps/>
        </w:rPr>
      </w:r>
      <w:r>
        <w:rPr>
          <w:caps/>
        </w:rPr>
      </w:r>
      <w:r>
        <w:rPr>
          <w:caps/>
        </w:rPr>
      </w:r>
    </w:p>
    <w:p>
      <w:pPr>
        <w:jc w:val="center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76" w:lineRule="auto"/>
        <w:widowControl w:val="off"/>
        <w:tabs>
          <w:tab w:val="right" w:pos="936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ТЕХНИЧЕСКОЕ ЗАДАНИЕ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76" w:lineRule="auto"/>
        <w:widowControl w:val="off"/>
        <w:tabs>
          <w:tab w:val="right" w:pos="936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widowControl w:val="off"/>
        <w:tabs>
          <w:tab w:val="right" w:pos="93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оказание услуг по сопровождению автоматизированной информационной системы обработки клиентских обращений филиала ПАО «Россети Юг» – «Кубаньэнерго» (АИС ОКО)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76" w:lineRule="auto"/>
        <w:tabs>
          <w:tab w:val="left" w:pos="7305" w:leader="none"/>
        </w:tabs>
        <w:rPr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sdt>
      <w:sdtPr>
        <w15:appearance w15:val="boundingBox"/>
        <w:id w:val="-1824886301"/>
        <w:docPartObj>
          <w:docPartGallery w:val="Table of Contents"/>
          <w:docPartUnique w:val="true"/>
        </w:docPartObj>
        <w:rPr>
          <w:b/>
          <w:bCs/>
          <w:sz w:val="20"/>
          <w:szCs w:val="20"/>
        </w:rPr>
      </w:sdtPr>
      <w:sdtContent>
        <w:p>
          <w:pPr>
            <w:jc w:val="center"/>
            <w:spacing w:after="360" w:line="360" w:lineRule="auto"/>
            <w:rPr>
              <w:b/>
            </w:rPr>
          </w:pPr>
          <w:r>
            <w:rPr>
              <w:b/>
            </w:rPr>
            <w:t xml:space="preserve">СОДЕРЖАНИЕ</w:t>
          </w:r>
          <w:r>
            <w:rPr>
              <w:b/>
            </w:rPr>
          </w:r>
          <w:r>
            <w:rPr>
              <w:b/>
            </w:rPr>
          </w:r>
        </w:p>
        <w:p>
          <w:pPr>
            <w:pStyle w:val="1007"/>
            <w:tabs>
              <w:tab w:val="left" w:pos="48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>
            <w:rPr>
              <w:rFonts w:eastAsia="Calibri"/>
              <w:sz w:val="24"/>
            </w:rPr>
            <w:fldChar w:fldCharType="begin"/>
          </w:r>
          <w:r>
            <w:rPr>
              <w:rFonts w:eastAsia="Calibri"/>
            </w:rPr>
            <w:instrText xml:space="preserve"> TOC \o "1-3" \h \z \u </w:instrText>
          </w:r>
          <w:r>
            <w:rPr>
              <w:rFonts w:eastAsia="Calibri"/>
              <w:sz w:val="24"/>
            </w:rPr>
            <w:fldChar w:fldCharType="separate"/>
          </w:r>
          <w:hyperlink w:tooltip="#_Toc238629771" w:anchor="_Toc238629771" w:history="1"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1.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Общие сведения</w:t>
            </w:r>
            <w:r>
              <w:tab/>
            </w:r>
            <w:r>
              <w:fldChar w:fldCharType="begin"/>
            </w:r>
            <w:r>
              <w:instrText xml:space="preserve"> PAGEREF _Toc238629771 \h 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72" w:anchor="_Toc238629772" w:history="1"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1.1.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Термины, определения и сокращения</w:t>
            </w:r>
            <w:r>
              <w:tab/>
            </w:r>
            <w:r>
              <w:fldChar w:fldCharType="begin"/>
            </w:r>
            <w:r>
              <w:instrText xml:space="preserve"> PAGEREF _Toc238629772 \h 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73" w:anchor="_Toc238629773" w:history="1">
            <w:r>
              <w:rPr>
                <w:rStyle w:val="1009"/>
                <w:lang w:eastAsia="en-US"/>
              </w:rPr>
              <w:t xml:space="preserve">1.2.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lang w:eastAsia="en-US"/>
              </w:rPr>
              <w:t xml:space="preserve">Заказчик и Исполнитель</w:t>
            </w:r>
            <w:r>
              <w:tab/>
            </w:r>
            <w:r>
              <w:fldChar w:fldCharType="begin"/>
            </w:r>
            <w:r>
              <w:instrText xml:space="preserve"> PAGEREF _Toc238629773 \h </w:instrText>
            </w:r>
            <w:r>
              <w:fldChar w:fldCharType="separate"/>
            </w:r>
            <w:r>
              <w:t xml:space="preserve">6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74" w:anchor="_Toc238629774" w:history="1">
            <w:r>
              <w:rPr>
                <w:rStyle w:val="1009"/>
                <w:lang w:eastAsia="en-US"/>
              </w:rPr>
              <w:t xml:space="preserve">1.3.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lang w:eastAsia="en-US"/>
              </w:rPr>
              <w:t xml:space="preserve">Полное и краткое наименование Услуг</w:t>
            </w:r>
            <w:r>
              <w:tab/>
            </w:r>
            <w:r>
              <w:fldChar w:fldCharType="begin"/>
            </w:r>
            <w:r>
              <w:instrText xml:space="preserve"> PAGEREF _Toc238629774 \h </w:instrText>
            </w:r>
            <w:r>
              <w:fldChar w:fldCharType="separate"/>
            </w:r>
            <w:r>
              <w:t xml:space="preserve">6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75" w:anchor="_Toc238629775" w:history="1">
            <w:r>
              <w:rPr>
                <w:rStyle w:val="1009"/>
                <w:lang w:eastAsia="en-US"/>
              </w:rPr>
              <w:t xml:space="preserve">1.4.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lang w:eastAsia="en-US"/>
              </w:rPr>
              <w:t xml:space="preserve">Место и сроки оказания Услуг</w:t>
            </w:r>
            <w:r>
              <w:tab/>
            </w:r>
            <w:r>
              <w:fldChar w:fldCharType="begin"/>
            </w:r>
            <w:r>
              <w:instrText xml:space="preserve"> PAGEREF _Toc238629775 \h </w:instrText>
            </w:r>
            <w:r>
              <w:fldChar w:fldCharType="separate"/>
            </w:r>
            <w:r>
              <w:t xml:space="preserve">6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48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76" w:anchor="_Toc238629776" w:history="1"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2.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Характеристика Услуг</w:t>
            </w:r>
            <w:r>
              <w:tab/>
            </w:r>
            <w:r>
              <w:fldChar w:fldCharType="begin"/>
            </w:r>
            <w:r>
              <w:instrText xml:space="preserve"> PAGEREF _Toc238629776 \h </w:instrText>
            </w:r>
            <w:r>
              <w:fldChar w:fldCharType="separate"/>
            </w:r>
            <w:r>
              <w:t xml:space="preserve">6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77" w:anchor="_Toc238629777" w:history="1">
            <w:r>
              <w:rPr>
                <w:rStyle w:val="1009"/>
                <w:lang w:eastAsia="en-US"/>
              </w:rPr>
              <w:t xml:space="preserve">2.1.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lang w:eastAsia="en-US"/>
              </w:rPr>
              <w:t xml:space="preserve">Цели оказания Услуг</w:t>
            </w:r>
            <w:r>
              <w:tab/>
            </w:r>
            <w:r>
              <w:fldChar w:fldCharType="begin"/>
            </w:r>
            <w:r>
              <w:instrText xml:space="preserve"> PAGEREF _Toc238629777 \h </w:instrText>
            </w:r>
            <w:r>
              <w:fldChar w:fldCharType="separate"/>
            </w:r>
            <w:r>
              <w:t xml:space="preserve">6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78" w:anchor="_Toc238629778" w:history="1">
            <w:r>
              <w:rPr>
                <w:rStyle w:val="1009"/>
                <w:lang w:eastAsia="en-US"/>
              </w:rPr>
              <w:t xml:space="preserve">2.2.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lang w:eastAsia="en-US"/>
              </w:rPr>
              <w:t xml:space="preserve">Результаты оказания Услуг</w:t>
            </w:r>
            <w:r>
              <w:tab/>
            </w:r>
            <w:r>
              <w:fldChar w:fldCharType="begin"/>
            </w:r>
            <w:r>
              <w:instrText xml:space="preserve"> PAGEREF _Toc238629778 \h </w:instrText>
            </w:r>
            <w:r>
              <w:fldChar w:fldCharType="separate"/>
            </w:r>
            <w:r>
              <w:t xml:space="preserve">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79" w:anchor="_Toc238629779" w:history="1">
            <w:r>
              <w:rPr>
                <w:rStyle w:val="1009"/>
                <w:lang w:eastAsia="en-US"/>
              </w:rPr>
              <w:t xml:space="preserve">2.3.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lang w:eastAsia="en-US"/>
              </w:rPr>
              <w:t xml:space="preserve">Общие требования к качеству Услуг</w:t>
            </w:r>
            <w:r>
              <w:tab/>
            </w:r>
            <w:r>
              <w:fldChar w:fldCharType="begin"/>
            </w:r>
            <w:r>
              <w:instrText xml:space="preserve"> PAGEREF _Toc238629779 \h </w:instrText>
            </w:r>
            <w:r>
              <w:fldChar w:fldCharType="separate"/>
            </w:r>
            <w:r>
              <w:t xml:space="preserve">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48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80" w:anchor="_Toc238629780" w:history="1"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3.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Общие требования к Услугам</w:t>
            </w:r>
            <w:r>
              <w:tab/>
            </w:r>
            <w:r>
              <w:fldChar w:fldCharType="begin"/>
            </w:r>
            <w:r>
              <w:instrText xml:space="preserve"> PAGEREF _Toc238629780 \h </w:instrText>
            </w:r>
            <w:r>
              <w:fldChar w:fldCharType="separate"/>
            </w:r>
            <w:r>
              <w:t xml:space="preserve">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81" w:anchor="_Toc238629781" w:history="1">
            <w:r>
              <w:rPr>
                <w:rStyle w:val="1009"/>
                <w:lang w:eastAsia="en-US"/>
              </w:rPr>
              <w:t xml:space="preserve">3.1.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lang w:eastAsia="en-US"/>
              </w:rPr>
              <w:t xml:space="preserve">Общее описание АИС ОКО</w:t>
            </w:r>
            <w:r>
              <w:tab/>
            </w:r>
            <w:r>
              <w:fldChar w:fldCharType="begin"/>
            </w:r>
            <w:r>
              <w:instrText xml:space="preserve"> PAGEREF _Toc238629781 \h </w:instrText>
            </w:r>
            <w:r>
              <w:fldChar w:fldCharType="separate"/>
            </w:r>
            <w:r>
              <w:t xml:space="preserve">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82" w:anchor="_Toc238629782" w:history="1">
            <w:r>
              <w:rPr>
                <w:rStyle w:val="1009"/>
                <w:lang w:eastAsia="en-US"/>
              </w:rPr>
              <w:t xml:space="preserve">3.2.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lang w:eastAsia="en-US"/>
              </w:rPr>
              <w:t xml:space="preserve">Состав АИС ОКО</w:t>
            </w:r>
            <w:r>
              <w:tab/>
            </w:r>
            <w:r>
              <w:fldChar w:fldCharType="begin"/>
            </w:r>
            <w:r>
              <w:instrText xml:space="preserve"> PAGEREF _Toc238629782 \h </w:instrText>
            </w:r>
            <w:r>
              <w:fldChar w:fldCharType="separate"/>
            </w:r>
            <w:r>
              <w:t xml:space="preserve">8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83" w:anchor="_Toc238629783" w:history="1">
            <w:r>
              <w:rPr>
                <w:rStyle w:val="1009"/>
                <w:lang w:eastAsia="en-US"/>
              </w:rPr>
              <w:t xml:space="preserve">3.3.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lang w:eastAsia="en-US"/>
              </w:rPr>
              <w:t xml:space="preserve">Основные стандарты непрерывности АИС ОКО по классам Критичности</w:t>
            </w:r>
            <w:r>
              <w:tab/>
            </w:r>
            <w:r>
              <w:fldChar w:fldCharType="begin"/>
            </w:r>
            <w:r>
              <w:instrText xml:space="preserve"> PAGEREF _Toc238629783 \h </w:instrText>
            </w:r>
            <w:r>
              <w:fldChar w:fldCharType="separate"/>
            </w:r>
            <w:r>
              <w:t xml:space="preserve">10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84" w:anchor="_Toc238629784" w:history="1">
            <w:r>
              <w:rPr>
                <w:rStyle w:val="1009"/>
                <w:lang w:eastAsia="en-US"/>
              </w:rPr>
              <w:t xml:space="preserve">3.4.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lang w:eastAsia="en-US"/>
              </w:rPr>
              <w:t xml:space="preserve">Зона охвата Услуг</w:t>
            </w:r>
            <w:r>
              <w:tab/>
            </w:r>
            <w:r>
              <w:fldChar w:fldCharType="begin"/>
            </w:r>
            <w:r>
              <w:instrText xml:space="preserve"> PAGEREF _Toc238629784 \h </w:instrText>
            </w:r>
            <w:r>
              <w:fldChar w:fldCharType="separate"/>
            </w:r>
            <w:r>
              <w:t xml:space="preserve">11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85" w:anchor="_Toc238629785" w:history="1">
            <w:r>
              <w:rPr>
                <w:rStyle w:val="1009"/>
                <w:lang w:eastAsia="en-US"/>
              </w:rPr>
              <w:t xml:space="preserve">3.5.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lang w:eastAsia="en-US"/>
              </w:rPr>
              <w:t xml:space="preserve">Ограничения в части оказания Услуг</w:t>
            </w:r>
            <w:r>
              <w:tab/>
            </w:r>
            <w:r>
              <w:fldChar w:fldCharType="begin"/>
            </w:r>
            <w:r>
              <w:instrText xml:space="preserve"> PAGEREF _Toc238629785 \h </w:instrText>
            </w:r>
            <w:r>
              <w:fldChar w:fldCharType="separate"/>
            </w:r>
            <w:r>
              <w:t xml:space="preserve">11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86" w:anchor="_Toc238629786" w:history="1">
            <w:r>
              <w:rPr>
                <w:rStyle w:val="1009"/>
                <w:lang w:eastAsia="en-US"/>
              </w:rPr>
              <w:t xml:space="preserve">3.6.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lang w:eastAsia="en-US"/>
              </w:rPr>
              <w:t xml:space="preserve">Требования к квалификации и персоналу Исполнителя</w:t>
            </w:r>
            <w:r>
              <w:tab/>
            </w:r>
            <w:r>
              <w:fldChar w:fldCharType="begin"/>
            </w:r>
            <w:r>
              <w:instrText xml:space="preserve"> PAGEREF _Toc238629786 \h </w:instrText>
            </w:r>
            <w:r>
              <w:fldChar w:fldCharType="separate"/>
            </w:r>
            <w:r>
              <w:t xml:space="preserve">12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87" w:anchor="_Toc238629787" w:history="1">
            <w:r>
              <w:rPr>
                <w:rStyle w:val="1009"/>
                <w:lang w:eastAsia="en-US"/>
              </w:rPr>
              <w:t xml:space="preserve">3.7.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lang w:eastAsia="en-US"/>
              </w:rPr>
              <w:t xml:space="preserve">Требования к режимам работы АИС ОКО</w:t>
            </w:r>
            <w:r>
              <w:tab/>
            </w:r>
            <w:r>
              <w:fldChar w:fldCharType="begin"/>
            </w:r>
            <w:r>
              <w:instrText xml:space="preserve"> PAGEREF _Toc238629787 \h </w:instrText>
            </w:r>
            <w:r>
              <w:fldChar w:fldCharType="separate"/>
            </w:r>
            <w:r>
              <w:t xml:space="preserve">13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48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88" w:anchor="_Toc238629788" w:history="1"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4.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Требования к видам обеспечения</w:t>
            </w:r>
            <w:r>
              <w:tab/>
            </w:r>
            <w:r>
              <w:fldChar w:fldCharType="begin"/>
            </w:r>
            <w:r>
              <w:instrText xml:space="preserve"> PAGEREF _Toc238629788 \h </w:instrText>
            </w:r>
            <w:r>
              <w:fldChar w:fldCharType="separate"/>
            </w:r>
            <w:r>
              <w:t xml:space="preserve">13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89" w:anchor="_Toc238629789" w:history="1"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4.1.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Требование к документационному обеспечению</w:t>
            </w:r>
            <w:r>
              <w:tab/>
            </w:r>
            <w:r>
              <w:fldChar w:fldCharType="begin"/>
            </w:r>
            <w:r>
              <w:instrText xml:space="preserve"> PAGEREF _Toc238629789 \h </w:instrText>
            </w:r>
            <w:r>
              <w:fldChar w:fldCharType="separate"/>
            </w:r>
            <w:r>
              <w:t xml:space="preserve">13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90" w:anchor="_Toc238629790" w:history="1"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4.2.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Требования к организационному обеспечению</w:t>
            </w:r>
            <w:r>
              <w:tab/>
            </w:r>
            <w:r>
              <w:fldChar w:fldCharType="begin"/>
            </w:r>
            <w:r>
              <w:instrText xml:space="preserve"> PAGEREF _Toc238629790 \h </w:instrText>
            </w:r>
            <w:r>
              <w:fldChar w:fldCharType="separate"/>
            </w:r>
            <w:r>
              <w:t xml:space="preserve">14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48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91" w:anchor="_Toc238629791" w:history="1"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5.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Требования к защите информации и информационной безопасности</w:t>
            </w:r>
            <w:r>
              <w:tab/>
            </w:r>
            <w:r>
              <w:fldChar w:fldCharType="begin"/>
            </w:r>
            <w:r>
              <w:instrText xml:space="preserve"> PAGEREF _Toc238629791 \h </w:instrText>
            </w:r>
            <w:r>
              <w:fldChar w:fldCharType="separate"/>
            </w:r>
            <w:r>
              <w:t xml:space="preserve">14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92" w:anchor="_Toc238629792" w:history="1"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5.1.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Общие требования</w:t>
            </w:r>
            <w:r>
              <w:tab/>
            </w:r>
            <w:r>
              <w:fldChar w:fldCharType="begin"/>
            </w:r>
            <w:r>
              <w:instrText xml:space="preserve"> PAGEREF _Toc238629792 \h </w:instrText>
            </w:r>
            <w:r>
              <w:fldChar w:fldCharType="separate"/>
            </w:r>
            <w:r>
              <w:t xml:space="preserve">14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93" w:anchor="_Toc238629793" w:history="1"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5.2.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Требования к организации удалённого доступа</w:t>
            </w:r>
            <w:r>
              <w:tab/>
            </w:r>
            <w:r>
              <w:fldChar w:fldCharType="begin"/>
            </w:r>
            <w:r>
              <w:instrText xml:space="preserve"> PAGEREF _Toc238629793 \h </w:instrText>
            </w:r>
            <w:r>
              <w:fldChar w:fldCharType="separate"/>
            </w:r>
            <w:r>
              <w:t xml:space="preserve">15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94" w:anchor="_Toc238629794" w:history="1"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5.3.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Требования к АРМ специалистов Исполнителя</w:t>
            </w:r>
            <w:r>
              <w:tab/>
            </w:r>
            <w:r>
              <w:fldChar w:fldCharType="begin"/>
            </w:r>
            <w:r>
              <w:instrText xml:space="preserve"> PAGEREF _Toc238629794 \h </w:instrText>
            </w:r>
            <w:r>
              <w:fldChar w:fldCharType="separate"/>
            </w:r>
            <w:r>
              <w:t xml:space="preserve">15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48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95" w:anchor="_Toc238629795" w:history="1"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6.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Перечень и порядок оказания Услуг</w:t>
            </w:r>
            <w:r>
              <w:tab/>
            </w:r>
            <w:r>
              <w:fldChar w:fldCharType="begin"/>
            </w:r>
            <w:r>
              <w:instrText xml:space="preserve"> PAGEREF _Toc238629795 \h </w:instrText>
            </w:r>
            <w:r>
              <w:fldChar w:fldCharType="separate"/>
            </w:r>
            <w:r>
              <w:t xml:space="preserve">15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96" w:anchor="_Toc238629796" w:history="1"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6.1.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Требования к перечню Услуг и содержанию работ</w:t>
            </w:r>
            <w:r>
              <w:tab/>
            </w:r>
            <w:r>
              <w:fldChar w:fldCharType="begin"/>
            </w:r>
            <w:r>
              <w:instrText xml:space="preserve"> PAGEREF _Toc238629796 \h </w:instrText>
            </w:r>
            <w:r>
              <w:fldChar w:fldCharType="separate"/>
            </w:r>
            <w:r>
              <w:t xml:space="preserve">15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97" w:anchor="_Toc238629797" w:history="1"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6.2.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Порядок оказания Услуг</w:t>
            </w:r>
            <w:r>
              <w:tab/>
            </w:r>
            <w:r>
              <w:fldChar w:fldCharType="begin"/>
            </w:r>
            <w:r>
              <w:instrText xml:space="preserve"> PAGEREF _Toc238629797 \h </w:instrText>
            </w:r>
            <w:r>
              <w:fldChar w:fldCharType="separate"/>
            </w:r>
            <w:r>
              <w:t xml:space="preserve">16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60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98" w:anchor="_Toc238629798" w:history="1"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6.3.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Стоимость и порядок оплаты*</w:t>
            </w:r>
            <w:r>
              <w:tab/>
            </w:r>
            <w:r>
              <w:fldChar w:fldCharType="begin"/>
            </w:r>
            <w:r>
              <w:instrText xml:space="preserve"> PAGEREF _Toc238629798 \h </w:instrText>
            </w:r>
            <w:r>
              <w:fldChar w:fldCharType="separate"/>
            </w:r>
            <w:r>
              <w:t xml:space="preserve">16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left" w:pos="480" w:leader="none"/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799" w:anchor="_Toc238629799" w:history="1"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7.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</w:rPr>
              <w:tab/>
            </w:r>
            <w:r>
              <w:rPr>
                <w:rStyle w:val="1009"/>
                <w:rFonts w:ascii="Times New Roman Полужирный" w:hAnsi="Times New Roman Полужирный"/>
                <w:lang w:eastAsia="en-US"/>
              </w:rPr>
              <w:t xml:space="preserve">Перечень приложений</w:t>
            </w:r>
            <w:r>
              <w:tab/>
            </w:r>
            <w:r>
              <w:fldChar w:fldCharType="begin"/>
            </w:r>
            <w:r>
              <w:instrText xml:space="preserve"> PAGEREF _Toc238629799 \h </w:instrText>
            </w:r>
            <w:r>
              <w:fldChar w:fldCharType="separate"/>
            </w:r>
            <w:r>
              <w:t xml:space="preserve">17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07"/>
            <w:tabs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800" w:anchor="_Toc238629800" w:history="1">
            <w:r>
              <w:rPr>
                <w:rStyle w:val="1009"/>
                <w:lang w:eastAsia="en-US"/>
              </w:rPr>
              <w:t xml:space="preserve">Приложение 1</w:t>
            </w:r>
            <w:r>
              <w:tab/>
            </w:r>
            <w:r>
              <w:fldChar w:fldCharType="begin"/>
            </w:r>
            <w:r>
              <w:instrText xml:space="preserve"> PAGEREF _Toc238629800 \h </w:instrText>
            </w:r>
            <w:r>
              <w:fldChar w:fldCharType="separate"/>
            </w:r>
            <w:r>
              <w:t xml:space="preserve">18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40"/>
            <w:tabs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01" w:anchor="_Toc238629801" w:history="1">
            <w:r>
              <w:rPr>
                <w:rStyle w:val="1009"/>
                <w:b/>
              </w:rPr>
              <w:t xml:space="preserve">Услуга 1. Обеспечение работоспособности АИС ОКО.</w:t>
            </w:r>
            <w:r>
              <w:tab/>
            </w:r>
            <w:r>
              <w:fldChar w:fldCharType="begin"/>
            </w:r>
            <w:r>
              <w:instrText xml:space="preserve"> PAGEREF _Toc238629801 \h </w:instrText>
            </w:r>
            <w:r>
              <w:fldChar w:fldCharType="separate"/>
            </w:r>
            <w:r>
              <w:t xml:space="preserve">18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40"/>
            <w:tabs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02" w:anchor="_Toc238629802" w:history="1">
            <w:r>
              <w:rPr>
                <w:rStyle w:val="1009"/>
                <w:b/>
              </w:rPr>
              <w:t xml:space="preserve">Услуга 2. Поддержка Пользователей АИС ОКО.</w:t>
            </w:r>
            <w:r>
              <w:tab/>
            </w:r>
            <w:r>
              <w:fldChar w:fldCharType="begin"/>
            </w:r>
            <w:r>
              <w:instrText xml:space="preserve"> PAGEREF _Toc238629802 \h </w:instrText>
            </w:r>
            <w:r>
              <w:fldChar w:fldCharType="separate"/>
            </w:r>
            <w:r>
              <w:t xml:space="preserve">18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40"/>
            <w:tabs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03" w:anchor="_Toc238629803" w:history="1">
            <w:r>
              <w:rPr>
                <w:rStyle w:val="1009"/>
                <w:b/>
              </w:rPr>
              <w:t xml:space="preserve">Услуга 3. Администрирование АИС ОКО.</w:t>
            </w:r>
            <w:r>
              <w:tab/>
            </w:r>
            <w:r>
              <w:fldChar w:fldCharType="begin"/>
            </w:r>
            <w:r>
              <w:instrText xml:space="preserve"> PAGEREF _Toc238629803 \h </w:instrText>
            </w:r>
            <w:r>
              <w:fldChar w:fldCharType="separate"/>
            </w:r>
            <w:r>
              <w:t xml:space="preserve">19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40"/>
            <w:tabs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04" w:anchor="_Toc238629804" w:history="1">
            <w:r>
              <w:rPr>
                <w:rStyle w:val="1009"/>
                <w:b/>
              </w:rPr>
              <w:t xml:space="preserve">Услуга 4. Обновление АИС ОКО.</w:t>
            </w:r>
            <w:r>
              <w:tab/>
            </w:r>
            <w:r>
              <w:fldChar w:fldCharType="begin"/>
            </w:r>
            <w:r>
              <w:instrText xml:space="preserve"> PAGEREF _Toc238629804 \h </w:instrText>
            </w:r>
            <w:r>
              <w:fldChar w:fldCharType="separate"/>
            </w:r>
            <w:r>
              <w:t xml:space="preserve">20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40"/>
            <w:tabs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05" w:anchor="_Toc238629805" w:history="1">
            <w:r>
              <w:rPr>
                <w:rStyle w:val="1009"/>
                <w:b/>
              </w:rPr>
              <w:t xml:space="preserve">Услуга 5. Настройка АИС ОКО (выполнение ЗНН).</w:t>
            </w:r>
            <w:r>
              <w:tab/>
            </w:r>
            <w:r>
              <w:fldChar w:fldCharType="begin"/>
            </w:r>
            <w:r>
              <w:instrText xml:space="preserve"> PAGEREF _Toc238629805 \h </w:instrText>
            </w:r>
            <w:r>
              <w:fldChar w:fldCharType="separate"/>
            </w:r>
            <w:r>
              <w:t xml:space="preserve">21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40"/>
            <w:tabs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06" w:anchor="_Toc238629806" w:history="1">
            <w:r>
              <w:rPr>
                <w:rStyle w:val="1009"/>
                <w:b/>
              </w:rPr>
              <w:t xml:space="preserve">Услуга 6. Нетиповая настройка АИС ОКО.</w:t>
            </w:r>
            <w:r>
              <w:tab/>
            </w:r>
            <w:r>
              <w:fldChar w:fldCharType="begin"/>
            </w:r>
            <w:r>
              <w:instrText xml:space="preserve"> PAGEREF _Toc238629806 \h </w:instrText>
            </w:r>
            <w:r>
              <w:fldChar w:fldCharType="separate"/>
            </w:r>
            <w:r>
              <w:t xml:space="preserve">22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07"/>
            <w:tabs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807" w:anchor="_Toc238629807" w:history="1">
            <w:r>
              <w:rPr>
                <w:rStyle w:val="1009"/>
                <w:lang w:eastAsia="en-US"/>
              </w:rPr>
              <w:t xml:space="preserve">Приложение 2</w:t>
            </w:r>
            <w:r>
              <w:tab/>
            </w:r>
            <w:r>
              <w:fldChar w:fldCharType="begin"/>
            </w:r>
            <w:r>
              <w:instrText xml:space="preserve"> PAGEREF _Toc238629807 \h </w:instrText>
            </w:r>
            <w:r>
              <w:fldChar w:fldCharType="separate"/>
            </w:r>
            <w:r>
              <w:t xml:space="preserve">23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40"/>
            <w:tabs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08" w:anchor="_Toc238629808" w:history="1">
            <w:r>
              <w:rPr>
                <w:rStyle w:val="1009"/>
                <w:b/>
              </w:rPr>
              <w:t xml:space="preserve">Перечень документов, передаваемых Заказчиком Исполнителю для оказания услуг по сопровождению  АИС ОКО.</w:t>
            </w:r>
            <w:r>
              <w:tab/>
            </w:r>
            <w:r>
              <w:fldChar w:fldCharType="begin"/>
            </w:r>
            <w:r>
              <w:instrText xml:space="preserve"> PAGEREF _Toc238629808 \h </w:instrText>
            </w:r>
            <w:r>
              <w:fldChar w:fldCharType="separate"/>
            </w:r>
            <w:r>
              <w:t xml:space="preserve">23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07"/>
            <w:tabs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809" w:anchor="_Toc238629809" w:history="1">
            <w:r>
              <w:rPr>
                <w:rStyle w:val="1009"/>
                <w:lang w:eastAsia="en-US"/>
              </w:rPr>
              <w:t xml:space="preserve">Приложение 3</w:t>
            </w:r>
            <w:r>
              <w:tab/>
            </w:r>
            <w:r>
              <w:fldChar w:fldCharType="begin"/>
            </w:r>
            <w:r>
              <w:instrText xml:space="preserve"> PAGEREF _Toc238629809 \h </w:instrText>
            </w:r>
            <w:r>
              <w:fldChar w:fldCharType="separate"/>
            </w:r>
            <w:r>
              <w:t xml:space="preserve">24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40"/>
            <w:tabs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10" w:anchor="_Toc238629810" w:history="1">
            <w:r>
              <w:rPr>
                <w:rStyle w:val="1009"/>
                <w:b/>
              </w:rPr>
              <w:t xml:space="preserve">Порядок оказания Услуг по сопровождению  АИС ОКО</w:t>
            </w:r>
            <w:r>
              <w:tab/>
            </w:r>
            <w:r>
              <w:fldChar w:fldCharType="begin"/>
            </w:r>
            <w:r>
              <w:instrText xml:space="preserve"> PAGEREF _Toc238629810 \h </w:instrText>
            </w:r>
            <w:r>
              <w:fldChar w:fldCharType="separate"/>
            </w:r>
            <w:r>
              <w:t xml:space="preserve">24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40"/>
            <w:tabs>
              <w:tab w:val="left" w:pos="880" w:leader="none"/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11" w:anchor="_Toc238629811" w:history="1">
            <w:r>
              <w:rPr>
                <w:rStyle w:val="1009"/>
                <w:b/>
              </w:rPr>
              <w:t xml:space="preserve">1.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</w:rPr>
              <w:tab/>
            </w:r>
            <w:r>
              <w:rPr>
                <w:rStyle w:val="1009"/>
                <w:b/>
              </w:rPr>
              <w:t xml:space="preserve">Общие положения</w:t>
            </w:r>
            <w:r>
              <w:tab/>
            </w:r>
            <w:r>
              <w:fldChar w:fldCharType="begin"/>
            </w:r>
            <w:r>
              <w:instrText xml:space="preserve"> PAGEREF _Toc238629811 \h </w:instrText>
            </w:r>
            <w:r>
              <w:fldChar w:fldCharType="separate"/>
            </w:r>
            <w:r>
              <w:t xml:space="preserve">24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40"/>
            <w:tabs>
              <w:tab w:val="left" w:pos="880" w:leader="none"/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12" w:anchor="_Toc238629812" w:history="1">
            <w:r>
              <w:rPr>
                <w:rStyle w:val="1009"/>
                <w:b/>
              </w:rPr>
              <w:t xml:space="preserve">2.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</w:rPr>
              <w:tab/>
            </w:r>
            <w:r>
              <w:rPr>
                <w:rStyle w:val="1009"/>
                <w:b/>
              </w:rPr>
              <w:t xml:space="preserve">Термины, определения и сокращения</w:t>
            </w:r>
            <w:r>
              <w:tab/>
            </w:r>
            <w:r>
              <w:fldChar w:fldCharType="begin"/>
            </w:r>
            <w:r>
              <w:instrText xml:space="preserve"> PAGEREF _Toc238629812 \h </w:instrText>
            </w:r>
            <w:r>
              <w:fldChar w:fldCharType="separate"/>
            </w:r>
            <w:r>
              <w:t xml:space="preserve">24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40"/>
            <w:tabs>
              <w:tab w:val="left" w:pos="880" w:leader="none"/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13" w:anchor="_Toc238629813" w:history="1">
            <w:r>
              <w:rPr>
                <w:rStyle w:val="1009"/>
                <w:b/>
              </w:rPr>
              <w:t xml:space="preserve">3.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</w:rPr>
              <w:tab/>
            </w:r>
            <w:r>
              <w:rPr>
                <w:rStyle w:val="1009"/>
                <w:b/>
              </w:rPr>
              <w:t xml:space="preserve">Организация работ по оказанию услуг сопровождения АИС ОКО</w:t>
            </w:r>
            <w:r>
              <w:tab/>
            </w:r>
            <w:r>
              <w:fldChar w:fldCharType="begin"/>
            </w:r>
            <w:r>
              <w:instrText xml:space="preserve"> PAGEREF _Toc238629813 \h </w:instrText>
            </w:r>
            <w:r>
              <w:fldChar w:fldCharType="separate"/>
            </w:r>
            <w:r>
              <w:t xml:space="preserve">24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40"/>
            <w:tabs>
              <w:tab w:val="left" w:pos="880" w:leader="none"/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14" w:anchor="_Toc238629814" w:history="1">
            <w:r>
              <w:rPr>
                <w:rStyle w:val="1009"/>
                <w:b/>
              </w:rPr>
              <w:t xml:space="preserve">4.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</w:rPr>
              <w:tab/>
            </w:r>
            <w:r>
              <w:rPr>
                <w:rStyle w:val="1009"/>
                <w:b/>
              </w:rPr>
              <w:t xml:space="preserve">Организация работ по оказанию услуг настройки АИС ОКО</w:t>
            </w:r>
            <w:r>
              <w:tab/>
            </w:r>
            <w:r>
              <w:fldChar w:fldCharType="begin"/>
            </w:r>
            <w:r>
              <w:instrText xml:space="preserve"> PAGEREF _Toc238629814 \h </w:instrText>
            </w:r>
            <w:r>
              <w:fldChar w:fldCharType="separate"/>
            </w:r>
            <w:r>
              <w:t xml:space="preserve">25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40"/>
            <w:tabs>
              <w:tab w:val="left" w:pos="880" w:leader="none"/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15" w:anchor="_Toc238629815" w:history="1">
            <w:r>
              <w:rPr>
                <w:rStyle w:val="1009"/>
                <w:b/>
              </w:rPr>
              <w:t xml:space="preserve">5.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</w:rPr>
              <w:tab/>
            </w:r>
            <w:r>
              <w:rPr>
                <w:rStyle w:val="1009"/>
                <w:b/>
              </w:rPr>
              <w:t xml:space="preserve">Обязанности Исполнителя</w:t>
            </w:r>
            <w:r>
              <w:tab/>
            </w:r>
            <w:r>
              <w:fldChar w:fldCharType="begin"/>
            </w:r>
            <w:r>
              <w:instrText xml:space="preserve"> PAGEREF _Toc238629815 \h </w:instrText>
            </w:r>
            <w:r>
              <w:fldChar w:fldCharType="separate"/>
            </w:r>
            <w:r>
              <w:t xml:space="preserve">27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40"/>
            <w:tabs>
              <w:tab w:val="left" w:pos="880" w:leader="none"/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16" w:anchor="_Toc238629816" w:history="1">
            <w:r>
              <w:rPr>
                <w:rStyle w:val="1009"/>
                <w:b/>
              </w:rPr>
              <w:t xml:space="preserve">6.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</w:rPr>
              <w:tab/>
            </w:r>
            <w:r>
              <w:rPr>
                <w:rStyle w:val="1009"/>
                <w:b/>
              </w:rPr>
              <w:t xml:space="preserve">Обязанности Заказчика</w:t>
            </w:r>
            <w:r>
              <w:tab/>
            </w:r>
            <w:r>
              <w:fldChar w:fldCharType="begin"/>
            </w:r>
            <w:r>
              <w:instrText xml:space="preserve"> PAGEREF _Toc238629816 \h </w:instrText>
            </w:r>
            <w:r>
              <w:fldChar w:fldCharType="separate"/>
            </w:r>
            <w:r>
              <w:t xml:space="preserve">27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40"/>
            <w:tabs>
              <w:tab w:val="left" w:pos="880" w:leader="none"/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17" w:anchor="_Toc238629817" w:history="1">
            <w:r>
              <w:rPr>
                <w:rStyle w:val="1009"/>
                <w:b/>
              </w:rPr>
              <w:t xml:space="preserve">7.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</w:rPr>
              <w:tab/>
            </w:r>
            <w:r>
              <w:rPr>
                <w:rStyle w:val="1009"/>
                <w:b/>
              </w:rPr>
              <w:t xml:space="preserve">Роли и ответственность</w:t>
            </w:r>
            <w:r>
              <w:tab/>
            </w:r>
            <w:r>
              <w:fldChar w:fldCharType="begin"/>
            </w:r>
            <w:r>
              <w:instrText xml:space="preserve"> PAGEREF _Toc238629817 \h </w:instrText>
            </w:r>
            <w:r>
              <w:fldChar w:fldCharType="separate"/>
            </w:r>
            <w:r>
              <w:t xml:space="preserve">27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40"/>
            <w:tabs>
              <w:tab w:val="left" w:pos="880" w:leader="none"/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18" w:anchor="_Toc238629818" w:history="1">
            <w:r>
              <w:rPr>
                <w:rStyle w:val="1009"/>
                <w:b/>
              </w:rPr>
              <w:t xml:space="preserve">8.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</w:rPr>
              <w:tab/>
            </w:r>
            <w:r>
              <w:rPr>
                <w:rStyle w:val="1009"/>
                <w:b/>
              </w:rPr>
              <w:t xml:space="preserve">Обработка заявок пользователей АИС ОКО</w:t>
            </w:r>
            <w:r>
              <w:tab/>
            </w:r>
            <w:r>
              <w:fldChar w:fldCharType="begin"/>
            </w:r>
            <w:r>
              <w:instrText xml:space="preserve"> PAGEREF _Toc238629818 \h </w:instrText>
            </w:r>
            <w:r>
              <w:fldChar w:fldCharType="separate"/>
            </w:r>
            <w:r>
              <w:t xml:space="preserve">28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40"/>
            <w:tabs>
              <w:tab w:val="left" w:pos="880" w:leader="none"/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19" w:anchor="_Toc238629819" w:history="1">
            <w:r>
              <w:rPr>
                <w:rStyle w:val="1009"/>
                <w:b/>
              </w:rPr>
              <w:t xml:space="preserve">9.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</w:rPr>
              <w:tab/>
            </w:r>
            <w:r>
              <w:rPr>
                <w:rStyle w:val="1009"/>
                <w:b/>
              </w:rPr>
              <w:t xml:space="preserve">Порядок проведение работ</w:t>
            </w:r>
            <w:r>
              <w:tab/>
            </w:r>
            <w:r>
              <w:fldChar w:fldCharType="begin"/>
            </w:r>
            <w:r>
              <w:instrText xml:space="preserve"> PAGEREF _Toc238629819 \h </w:instrText>
            </w:r>
            <w:r>
              <w:fldChar w:fldCharType="separate"/>
            </w:r>
            <w:r>
              <w:t xml:space="preserve">28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07"/>
            <w:tabs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820" w:anchor="_Toc238629820" w:history="1">
            <w:r>
              <w:rPr>
                <w:rStyle w:val="1009"/>
                <w:lang w:eastAsia="en-US"/>
              </w:rPr>
              <w:t xml:space="preserve">Приложение 4</w:t>
            </w:r>
            <w:r>
              <w:tab/>
            </w:r>
            <w:r>
              <w:fldChar w:fldCharType="begin"/>
            </w:r>
            <w:r>
              <w:instrText xml:space="preserve"> PAGEREF _Toc238629820 \h </w:instrText>
            </w:r>
            <w:r>
              <w:fldChar w:fldCharType="separate"/>
            </w:r>
            <w:r>
              <w:t xml:space="preserve">30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40"/>
            <w:tabs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21" w:anchor="_Toc238629821" w:history="1">
            <w:r>
              <w:rPr>
                <w:rStyle w:val="1009"/>
              </w:rPr>
              <w:t xml:space="preserve">Формы отчётных документов</w:t>
            </w:r>
            <w:r>
              <w:tab/>
            </w:r>
            <w:r>
              <w:fldChar w:fldCharType="begin"/>
            </w:r>
            <w:r>
              <w:instrText xml:space="preserve"> PAGEREF _Toc238629821 \h </w:instrText>
            </w:r>
            <w:r>
              <w:fldChar w:fldCharType="separate"/>
            </w:r>
            <w:r>
              <w:t xml:space="preserve">30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07"/>
            <w:tabs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822" w:anchor="_Toc238629822" w:history="1">
            <w:r>
              <w:rPr>
                <w:rStyle w:val="1009"/>
                <w:lang w:eastAsia="en-US"/>
              </w:rPr>
              <w:t xml:space="preserve">Приложение 5</w:t>
            </w:r>
            <w:r>
              <w:tab/>
            </w:r>
            <w:r>
              <w:fldChar w:fldCharType="begin"/>
            </w:r>
            <w:r>
              <w:instrText xml:space="preserve"> PAGEREF _Toc238629822 \h </w:instrText>
            </w:r>
            <w:r>
              <w:fldChar w:fldCharType="separate"/>
            </w:r>
            <w:r>
              <w:t xml:space="preserve">32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40"/>
            <w:tabs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23" w:anchor="_Toc238629823" w:history="1">
            <w:r>
              <w:rPr>
                <w:rStyle w:val="1009"/>
              </w:rPr>
              <w:t xml:space="preserve">Методика расчета времени на настройку</w:t>
            </w:r>
            <w:r>
              <w:tab/>
            </w:r>
            <w:r>
              <w:fldChar w:fldCharType="begin"/>
            </w:r>
            <w:r>
              <w:instrText xml:space="preserve"> PAGEREF _Toc238629823 \h </w:instrText>
            </w:r>
            <w:r>
              <w:fldChar w:fldCharType="separate"/>
            </w:r>
            <w:r>
              <w:t xml:space="preserve">32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07"/>
            <w:tabs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824" w:anchor="_Toc238629824" w:history="1">
            <w:r>
              <w:rPr>
                <w:rStyle w:val="1009"/>
                <w:lang w:eastAsia="en-US"/>
              </w:rPr>
              <w:t xml:space="preserve">Приложение 6</w:t>
            </w:r>
            <w:r>
              <w:tab/>
            </w:r>
            <w:r>
              <w:fldChar w:fldCharType="begin"/>
            </w:r>
            <w:r>
              <w:instrText xml:space="preserve"> PAGEREF _Toc238629824 \h </w:instrText>
            </w:r>
            <w:r>
              <w:fldChar w:fldCharType="separate"/>
            </w:r>
            <w:r>
              <w:t xml:space="preserve">33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40"/>
            <w:tabs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25" w:anchor="_Toc238629825" w:history="1">
            <w:r>
              <w:rPr>
                <w:rStyle w:val="1009"/>
              </w:rPr>
              <w:t xml:space="preserve">Форма соглашения на нетиповую настройку</w:t>
            </w:r>
            <w:r>
              <w:tab/>
            </w:r>
            <w:r>
              <w:fldChar w:fldCharType="begin"/>
            </w:r>
            <w:r>
              <w:instrText xml:space="preserve"> PAGEREF _Toc238629825 \h </w:instrText>
            </w:r>
            <w:r>
              <w:fldChar w:fldCharType="separate"/>
            </w:r>
            <w:r>
              <w:t xml:space="preserve">33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40"/>
            <w:tabs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26" w:anchor="_Toc238629826" w:history="1">
            <w:r>
              <w:rPr>
                <w:rStyle w:val="1009"/>
                <w:bCs/>
                <w:i/>
                <w:iCs/>
              </w:rPr>
              <w:t xml:space="preserve">Согласие на обработку персональных данных</w:t>
            </w:r>
            <w:r>
              <w:tab/>
            </w:r>
            <w:r>
              <w:fldChar w:fldCharType="begin"/>
            </w:r>
            <w:r>
              <w:instrText xml:space="preserve"> PAGEREF _Toc238629826 \h </w:instrText>
            </w:r>
            <w:r>
              <w:fldChar w:fldCharType="separate"/>
            </w:r>
            <w:r>
              <w:t xml:space="preserve">36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07"/>
            <w:tabs>
              <w:tab w:val="right" w:pos="9488" w:leader="dot"/>
            </w:tabs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pPr>
          <w:r/>
          <w:hyperlink w:tooltip="#_Toc238629827" w:anchor="_Toc238629827" w:history="1">
            <w:r>
              <w:rPr>
                <w:rStyle w:val="1009"/>
                <w:lang w:eastAsia="en-US"/>
              </w:rPr>
              <w:t xml:space="preserve">Приложение 7</w:t>
            </w:r>
            <w:r>
              <w:tab/>
            </w:r>
            <w:r>
              <w:fldChar w:fldCharType="begin"/>
            </w:r>
            <w:r>
              <w:instrText xml:space="preserve"> PAGEREF _Toc238629827 \h </w:instrText>
            </w:r>
            <w:r>
              <w:fldChar w:fldCharType="separate"/>
            </w:r>
            <w:r>
              <w:t xml:space="preserve">45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</w:rPr>
          </w:r>
        </w:p>
        <w:p>
          <w:pPr>
            <w:pStyle w:val="1040"/>
            <w:tabs>
              <w:tab w:val="right" w:pos="9488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38629828" w:anchor="_Toc238629828" w:history="1">
            <w:r>
              <w:rPr>
                <w:rStyle w:val="1009"/>
              </w:rPr>
              <w:t xml:space="preserve">ПРИМЕР: Карточка резервного копирования сервера обмена NIFI</w:t>
            </w:r>
            <w:r>
              <w:tab/>
            </w:r>
            <w:r>
              <w:fldChar w:fldCharType="begin"/>
            </w:r>
            <w:r>
              <w:instrText xml:space="preserve"> PAGEREF _Toc238629828 \h </w:instrText>
            </w:r>
            <w:r>
              <w:fldChar w:fldCharType="separate"/>
            </w:r>
            <w:r>
              <w:t xml:space="preserve">45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spacing w:line="360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</w:r>
          <w:r>
            <w:rPr>
              <w:sz w:val="20"/>
              <w:szCs w:val="20"/>
            </w:rPr>
          </w:r>
        </w:p>
      </w:sdtContent>
    </w:sdt>
    <w:p>
      <w:pPr>
        <w:ind w:left="1069"/>
        <w:jc w:val="both"/>
        <w:widowControl w:val="off"/>
        <w:tabs>
          <w:tab w:val="left" w:pos="1560" w:leader="none"/>
        </w:tabs>
        <w:rPr>
          <w:sz w:val="26"/>
          <w:szCs w:val="26"/>
        </w:rPr>
      </w:pPr>
      <w:r>
        <w:rPr>
          <w:sz w:val="26"/>
          <w:szCs w:val="26"/>
        </w:rPr>
        <w:br w:type="page" w:clear="all"/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numPr>
          <w:ilvl w:val="0"/>
          <w:numId w:val="38"/>
        </w:numPr>
        <w:jc w:val="both"/>
        <w:keepLines/>
        <w:keepNext/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outlineLvl w:val="0"/>
      </w:pPr>
      <w:r/>
      <w:bookmarkStart w:id="0" w:name="_Toc238629771"/>
      <w:r/>
      <w:bookmarkStart w:id="1" w:name="_Toc97210693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t xml:space="preserve">Общие сведения</w:t>
      </w:r>
      <w:bookmarkEnd w:id="0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</w:p>
    <w:p>
      <w:pPr>
        <w:numPr>
          <w:ilvl w:val="1"/>
          <w:numId w:val="37"/>
        </w:numPr>
        <w:ind w:left="0" w:firstLine="709"/>
        <w:jc w:val="both"/>
        <w:keepLines/>
        <w:keepNext/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outlineLvl w:val="0"/>
      </w:pPr>
      <w:r/>
      <w:bookmarkStart w:id="2" w:name="_Ref113475662"/>
      <w:r/>
      <w:bookmarkStart w:id="3" w:name="_Toc238629772"/>
      <w:r/>
      <w:bookmarkEnd w:id="1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t xml:space="preserve">Термины, определения и сокращения</w:t>
      </w:r>
      <w:bookmarkEnd w:id="2"/>
      <w:r/>
      <w:bookmarkEnd w:id="3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</w:p>
    <w:p>
      <w:pPr>
        <w:ind w:firstLine="578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jc w:val="right"/>
        <w:keepNext/>
        <w:widowControl w:val="off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Табл. </w:t>
      </w:r>
      <w:r>
        <w:rPr>
          <w:color w:val="000000"/>
          <w:sz w:val="20"/>
          <w:szCs w:val="20"/>
        </w:rPr>
        <w:fldChar w:fldCharType="begin"/>
      </w:r>
      <w:r>
        <w:rPr>
          <w:color w:val="000000"/>
          <w:sz w:val="20"/>
          <w:szCs w:val="20"/>
        </w:rPr>
        <w:instrText xml:space="preserve"> SEQ Табл. \* ARABIC </w:instrText>
      </w:r>
      <w:r>
        <w:rPr>
          <w:color w:val="000000"/>
          <w:sz w:val="20"/>
          <w:szCs w:val="20"/>
        </w:rPr>
        <w:fldChar w:fldCharType="separate"/>
      </w:r>
      <w:r>
        <w:rPr>
          <w:color w:val="000000"/>
          <w:sz w:val="20"/>
          <w:szCs w:val="20"/>
        </w:rPr>
        <w:t xml:space="preserve">1</w:t>
      </w:r>
      <w:r>
        <w:rPr>
          <w:color w:val="000000"/>
          <w:sz w:val="20"/>
          <w:szCs w:val="20"/>
        </w:rPr>
        <w:fldChar w:fldCharType="end"/>
      </w:r>
      <w:r>
        <w:rPr>
          <w:color w:val="000000"/>
          <w:sz w:val="20"/>
          <w:szCs w:val="20"/>
        </w:rPr>
        <w:t xml:space="preserve"> Термины, определения и сокращения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tbl>
      <w:tblPr>
        <w:tblStyle w:val="1092"/>
        <w:tblW w:w="9493" w:type="dxa"/>
        <w:tblLook w:val="04A0" w:firstRow="1" w:lastRow="0" w:firstColumn="1" w:lastColumn="0" w:noHBand="0" w:noVBand="1"/>
      </w:tblPr>
      <w:tblGrid>
        <w:gridCol w:w="2376"/>
        <w:gridCol w:w="7117"/>
      </w:tblGrid>
      <w:tr>
        <w:tblPrEx/>
        <w:trPr/>
        <w:tc>
          <w:tcPr>
            <w:shd w:val="clear" w:color="auto" w:fill="d9d9d9"/>
            <w:tcW w:w="237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Сокращение, термин</w:t>
            </w:r>
            <w:r>
              <w:rPr>
                <w:b/>
                <w:color w:val="000000"/>
                <w:sz w:val="22"/>
                <w:szCs w:val="22"/>
              </w:rPr>
            </w:r>
            <w:r>
              <w:rPr>
                <w:b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d9d9d9"/>
            <w:tcW w:w="711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Расшифровка сокращения, </w:t>
            </w:r>
            <w:r>
              <w:rPr>
                <w:b/>
                <w:color w:val="000000"/>
                <w:sz w:val="22"/>
                <w:szCs w:val="22"/>
              </w:rPr>
              <w:br/>
              <w:t xml:space="preserve">определение</w:t>
            </w:r>
            <w:r>
              <w:rPr>
                <w:b/>
                <w:color w:val="000000"/>
                <w:sz w:val="22"/>
                <w:szCs w:val="22"/>
              </w:rPr>
            </w:r>
            <w:r>
              <w:rPr>
                <w:b/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Администратор</w:t>
            </w:r>
            <w:r>
              <w:rPr>
                <w:b/>
                <w:color w:val="000000"/>
                <w:sz w:val="22"/>
                <w:szCs w:val="22"/>
              </w:rPr>
            </w:r>
            <w:r>
              <w:rPr>
                <w:b/>
                <w:color w:val="000000"/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Сотрудники Заказчика, осуществляющие администрирование приложения АИС ОКО, а также настройку серверной, сетевой инфраструктуры в целях обеспечения работоспособности АИС ОКО.</w:t>
            </w:r>
            <w:r>
              <w:rPr>
                <w:b/>
                <w:color w:val="000000"/>
                <w:sz w:val="22"/>
                <w:szCs w:val="22"/>
              </w:rPr>
            </w:r>
            <w:r>
              <w:rPr>
                <w:b/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АИС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Автоматизированная информационная система, автоматизирующая бизнес-процессы ФЗ.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АИС ОКО, ОКО, Система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Автоматизированная информационная система обработки клиентских обращений филиала ПАО «Россети Юг» – «Кубаньэнерго».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Аппаратные компоненты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Тип компонентов АИС ОКО, включающий категории Аппаратная информационно-вычислительная инфраструктура (серверное оборудование, сетевое оборудование, система хранения данных), прочее оборудование (ВКС, телефония).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АРМ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Автоматизированное рабочее место.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АУ</w:t>
            </w:r>
            <w:r>
              <w:rPr>
                <w:bCs/>
                <w:color w:val="000000"/>
                <w:sz w:val="22"/>
                <w:szCs w:val="22"/>
              </w:rPr>
            </w:r>
            <w:r>
              <w:rPr>
                <w:bCs/>
                <w:color w:val="000000"/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Аппарат управления ф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илиала ПАО «Россети Юг» - «Кубаньэнерго».</w:t>
            </w:r>
            <w:r>
              <w:rPr>
                <w:bCs/>
                <w:color w:val="000000"/>
                <w:sz w:val="22"/>
                <w:szCs w:val="22"/>
              </w:rPr>
            </w:r>
            <w:r>
              <w:rPr>
                <w:bCs/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БД</w:t>
            </w:r>
            <w:r>
              <w:rPr>
                <w:bCs/>
                <w:color w:val="000000"/>
                <w:sz w:val="22"/>
                <w:szCs w:val="22"/>
              </w:rPr>
            </w:r>
            <w:r>
              <w:rPr>
                <w:bCs/>
                <w:color w:val="000000"/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База данных.</w:t>
            </w:r>
            <w:r>
              <w:rPr>
                <w:bCs/>
                <w:color w:val="000000"/>
                <w:sz w:val="22"/>
                <w:szCs w:val="22"/>
              </w:rPr>
            </w:r>
            <w:r>
              <w:rPr>
                <w:bCs/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Важная заявка</w:t>
            </w:r>
            <w:r>
              <w:rPr>
                <w:bCs/>
                <w:color w:val="000000"/>
                <w:sz w:val="22"/>
                <w:szCs w:val="22"/>
              </w:rPr>
            </w:r>
            <w:r>
              <w:rPr>
                <w:bCs/>
                <w:color w:val="000000"/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Запрос или уведомление от Пользователя АИС ОКО о серьезной проблеме в функционале АИС ОКО, которая препятствует выполнению бизнес-процессов Пользователя, требуя неочевидных обходных решений или специальных средств.</w:t>
            </w:r>
            <w:r>
              <w:rPr>
                <w:bCs/>
                <w:color w:val="000000"/>
                <w:sz w:val="22"/>
                <w:szCs w:val="22"/>
              </w:rPr>
            </w:r>
            <w:r>
              <w:rPr>
                <w:bCs/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Время реакции</w:t>
            </w:r>
            <w:r>
              <w:rPr>
                <w:bCs/>
                <w:color w:val="000000"/>
                <w:sz w:val="22"/>
                <w:szCs w:val="22"/>
              </w:rPr>
            </w:r>
            <w:r>
              <w:rPr>
                <w:bCs/>
                <w:color w:val="000000"/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Интервал времени между моментом регистрации заявки пользователя АИС ОКО специалистом Службы технической поддержки Исполнителя и моментом назначения заявки на Специалиста Службы технической поддержки Исполнителя.</w:t>
            </w:r>
            <w:r>
              <w:rPr>
                <w:bCs/>
                <w:color w:val="000000"/>
                <w:sz w:val="22"/>
                <w:szCs w:val="22"/>
              </w:rPr>
            </w:r>
            <w:r>
              <w:rPr>
                <w:bCs/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Время решения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Время, в течение которого Служба технической поддержки Исполнителя должна решить запрос пользователя АИС ОКО и описать решение без учёта времени уточнения </w:t>
            </w:r>
            <w:r>
              <w:rPr>
                <w:bCs/>
                <w:color w:val="000000"/>
                <w:sz w:val="22"/>
                <w:szCs w:val="22"/>
              </w:rPr>
              <w:t xml:space="preserve">у пользователя недостающей для решения запроса информации. Выполнение заявки также может откладываться (приостанавливаться) по другим, не зависящим от Исполнителя, причинам, из-за отсутствия пользователя или его неготовности к проведению необходимых работ.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ДИТ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Департамент информационных технологий.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vAlign w:val="center"/>
            <w:textDirection w:val="lrTb"/>
            <w:noWrap w:val="false"/>
          </w:tcPr>
          <w:p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Заказчик, Общество</w:t>
            </w:r>
            <w:r>
              <w:rPr>
                <w:bCs/>
                <w:color w:val="000000"/>
                <w:sz w:val="22"/>
                <w:szCs w:val="22"/>
              </w:rPr>
            </w:r>
            <w:r>
              <w:rPr>
                <w:bCs/>
                <w:color w:val="000000"/>
                <w:sz w:val="22"/>
                <w:szCs w:val="22"/>
              </w:rPr>
            </w:r>
          </w:p>
        </w:tc>
        <w:tc>
          <w:tcPr>
            <w:tcW w:w="7117" w:type="dxa"/>
            <w:vAlign w:val="center"/>
            <w:textDirection w:val="lrTb"/>
            <w:noWrap w:val="false"/>
          </w:tcPr>
          <w:p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филиал ПАО «Россети Юг» – «Кубаньэнерго»</w:t>
            </w:r>
            <w:r>
              <w:rPr>
                <w:bCs/>
                <w:color w:val="000000"/>
                <w:sz w:val="22"/>
                <w:szCs w:val="22"/>
              </w:rPr>
            </w:r>
            <w:r>
              <w:rPr>
                <w:bCs/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Заявка, запрос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Обращение, составляемое пользователем АИС ОКО и передаваемое в Службу технической поддержки Исполнителя с целью дальнейшего получения Услуг от Исполнителя.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Злонамеренное действие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Умышленное деяние, направленное на нанесение ущерба Заказчику.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ЗНН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Заявка Пользователя на выполнение настройки АИС.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ИБ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безопасность.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Исполнитель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Победитель конкурсных процедур, предоставляющий услуги Заказчику по сопровождению АИС.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Информационные технологии.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Критическая заявка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Запрос или уведомление от Пользователя АИС ОКО о ситуации, при которой блокировка функционала АИС ОКО приводит к невозможности выполнения бизнес-процессов Пользователя, включая зависание, сбой или повреждение данных.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КСПД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Корпоративная сеть передачи данных.</w:t>
            </w:r>
            <w:r>
              <w:rPr>
                <w:sz w:val="22"/>
                <w:szCs w:val="20"/>
              </w:rPr>
            </w:r>
            <w:r>
              <w:rPr>
                <w:sz w:val="22"/>
                <w:szCs w:val="20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Настройка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Добавление, удаление или изменение функциональности и/или данных АИС ОКО.</w:t>
            </w:r>
            <w:r>
              <w:rPr>
                <w:sz w:val="22"/>
                <w:szCs w:val="20"/>
              </w:rPr>
            </w:r>
            <w:r>
              <w:rPr>
                <w:sz w:val="22"/>
                <w:szCs w:val="20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Нетиповая настройка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0"/>
              </w:rPr>
              <w:t xml:space="preserve">Настройка, которая направлена на развитие АИС в целом, устранение глобальных и(или) системных проблем, не относящихся к отдельным функциональным направлениям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Обновление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 xml:space="preserve">Новая версия АИС ОКО, предназначенная для установки взамен либо в дополнение к существующей версии, в которой устранены выявленные дефекты ПО или выполнена настройка отдельных функций, направленная на повышение производительности или удобство эксплуатации</w:t>
            </w:r>
            <w:r>
              <w:rPr>
                <w:sz w:val="22"/>
                <w:szCs w:val="20"/>
              </w:rPr>
            </w:r>
            <w:r>
              <w:rPr>
                <w:sz w:val="22"/>
                <w:szCs w:val="20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Обычная заявка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Запрос или уведомление от Пользователя АИС ОКО о незначительных проблемах или вопросах, не влияющих на функционирование АИС ОКО, включая запросы на консультацию, разъяснения по документации и уточнения к релизу.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Объект Услуг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Объект (АИС ОКО), в отношении которого оказываются Услуги сопровождения в соответствии с настоящим ТЗ.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Операционная система.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Программное обеспечение.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Пользователь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Сотрудники Заказчика, использующие АИС ОКО в служебных целях. Также пользователями могут выступать сотрудники сторонних организаций, контрагентов Заказчика.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ПЭС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Предприятие электрических сетей ф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илиала ПАО «Россети Юг» - «Кубаньэнерго».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РВ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Документ расчета времени Исполнителя (трудозатрат в часах) на реализацию одной Задачи ЧТЗ.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 xml:space="preserve">Система запросов пользователей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117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Система для ведения запросов Пользователей (на консультацию, на устранение ошибок, на настройку, и другие) и учёта услуг Исполнителя при выполнении заявок.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Служба технической поддержки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Структурное или функциональное подразделение Исполнителя, предназначенное для оказания Услуг сопровождения АИС ОКО в процессе его эксплуатации Пользователями.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Автоматизированная система обработки телефонных вызовов контактного центра филиала ПАО «Россети Юг» – «Кубаньэнерго»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СУО</w:t>
            </w: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Соглашение об уровне обслуживания.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Специалист Службы технической поддержки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Сотрудник Исполнителя, осуществляющий рассмотрение, анализ и обработку поступающих заявок Пользователей в Службу технической поддержки.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Стороны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Совместно Заказчик и Исполнитель.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СУБД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Система управления базами данных.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ТЗ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Техническое задание.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Услуги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Услуги, оказываемые Исполнителем в соответствии с условиями Договора. Услуги бывают трех видов сложности: низкая (до 2х часов), средняя (до 4х часов), высокая (до 8ми часов).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Фиктивная заявка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Заявка, самостоятельно созданная Специалистом Службы технической поддержки для искусственного увеличения объема оказанных услуг с целью обоснования нарушений Соглашения.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ФЗ</w:t>
            </w:r>
            <w:r>
              <w:rPr>
                <w:bCs/>
                <w:color w:val="000000"/>
                <w:sz w:val="22"/>
                <w:szCs w:val="22"/>
              </w:rPr>
            </w:r>
            <w:r>
              <w:rPr>
                <w:bCs/>
                <w:color w:val="000000"/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Функциональный заказчик – подразделение Общества, автоматизирующее бизнес-процессы, определяющее основные функциональные требования к АИС, обеспечивающее приемку промежуточных и окончательных результатов работы Исполнителя.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настоящем ТЗ часом называется один час рабочего времени суток в рабочих днях недели (с понедельника по пятницу), если явно не указано иное.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23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ЧТЗ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7117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Частное техническое задание, полученное от ФЗ на настройку АИС ОКО (или от ДИТ на оптимизацию производительности АИС ОКО), прилагаемое к ЗНН.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numPr>
          <w:ilvl w:val="1"/>
          <w:numId w:val="37"/>
        </w:numPr>
        <w:ind w:left="0" w:firstLine="709"/>
        <w:jc w:val="both"/>
        <w:keepLines/>
        <w:keepNext/>
        <w:spacing w:before="240"/>
        <w:rPr>
          <w:b/>
          <w:color w:val="000000"/>
          <w:sz w:val="26"/>
          <w:szCs w:val="26"/>
          <w:lang w:eastAsia="en-US"/>
        </w:rPr>
        <w:outlineLvl w:val="0"/>
      </w:pPr>
      <w:r/>
      <w:bookmarkStart w:id="4" w:name="_Toc238629773"/>
      <w:r>
        <w:rPr>
          <w:b/>
          <w:color w:val="000000"/>
          <w:sz w:val="26"/>
          <w:szCs w:val="26"/>
          <w:lang w:eastAsia="en-US"/>
        </w:rPr>
        <w:t xml:space="preserve">Заказчик и Исполнитель</w:t>
      </w:r>
      <w:bookmarkEnd w:id="4"/>
      <w:r>
        <w:rPr>
          <w:b/>
          <w:color w:val="000000"/>
          <w:sz w:val="26"/>
          <w:szCs w:val="26"/>
          <w:lang w:eastAsia="en-US"/>
        </w:rPr>
      </w:r>
      <w:r>
        <w:rPr>
          <w:b/>
          <w:color w:val="000000"/>
          <w:sz w:val="26"/>
          <w:szCs w:val="26"/>
          <w:lang w:eastAsia="en-US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Заказчик: 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contextualSpacing/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Полное наименование:</w:t>
      </w:r>
      <w:r>
        <w:t xml:space="preserve"> </w:t>
      </w:r>
      <w:r>
        <w:rPr>
          <w:rFonts w:eastAsia="Calibri"/>
          <w:color w:val="000000"/>
          <w:sz w:val="26"/>
          <w:szCs w:val="26"/>
        </w:rPr>
        <w:t xml:space="preserve">филиал Публичного акционерного общества «Россети Юг» – «Кубаньэнерго».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contextualSpacing/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Краткое наименование: филиал ПАО «Россети Юг» – «Кубаньэнерго».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contextualSpacing/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Юридический адрес: 350033, г. Краснодар, ул. Ставропольская, 2А.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contextualSpacing/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Фактический адрес: 350033, г. Краснодар, ул. Ставропольская, 2А.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pStyle w:val="1038"/>
        <w:numPr>
          <w:ilvl w:val="2"/>
          <w:numId w:val="37"/>
        </w:numPr>
        <w:contextualSpacing/>
        <w:ind w:left="0" w:firstLine="709"/>
        <w:spacing w:before="0" w:after="0" w:line="240" w:lineRule="auto"/>
        <w:widowControl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 xml:space="preserve">Исполнитель: </w:t>
      </w:r>
      <w:r>
        <w:rPr>
          <w:sz w:val="26"/>
        </w:rPr>
        <w:t xml:space="preserve">Исполнитель по договору на оказание услуг определяется в результате конкурсных процедур</w:t>
      </w:r>
      <w:r>
        <w:rPr>
          <w:rFonts w:eastAsia="Calibri"/>
          <w:color w:val="000000" w:themeColor="text1"/>
          <w:sz w:val="26"/>
          <w:szCs w:val="26"/>
        </w:rPr>
        <w:t xml:space="preserve">.</w:t>
      </w:r>
      <w:r>
        <w:rPr>
          <w:rFonts w:eastAsia="Calibri"/>
          <w:color w:val="000000" w:themeColor="text1"/>
          <w:sz w:val="26"/>
          <w:szCs w:val="26"/>
        </w:rPr>
      </w:r>
      <w:r>
        <w:rPr>
          <w:rFonts w:eastAsia="Calibri"/>
          <w:color w:val="000000" w:themeColor="text1"/>
          <w:sz w:val="26"/>
          <w:szCs w:val="26"/>
        </w:rPr>
      </w:r>
    </w:p>
    <w:p>
      <w:pPr>
        <w:numPr>
          <w:ilvl w:val="1"/>
          <w:numId w:val="37"/>
        </w:numPr>
        <w:ind w:left="0" w:firstLine="709"/>
        <w:jc w:val="both"/>
        <w:keepLines/>
        <w:keepNext/>
        <w:spacing w:before="240"/>
        <w:rPr>
          <w:b/>
          <w:color w:val="000000"/>
          <w:sz w:val="26"/>
          <w:szCs w:val="26"/>
          <w:lang w:eastAsia="en-US"/>
        </w:rPr>
        <w:outlineLvl w:val="0"/>
      </w:pPr>
      <w:r/>
      <w:bookmarkStart w:id="5" w:name="_Toc238629774"/>
      <w:r>
        <w:rPr>
          <w:b/>
          <w:color w:val="000000"/>
          <w:sz w:val="26"/>
          <w:szCs w:val="26"/>
          <w:lang w:eastAsia="en-US"/>
        </w:rPr>
        <w:t xml:space="preserve">Полное и краткое наименование Услуг</w:t>
      </w:r>
      <w:bookmarkEnd w:id="5"/>
      <w:r>
        <w:rPr>
          <w:b/>
          <w:color w:val="000000"/>
          <w:sz w:val="26"/>
          <w:szCs w:val="26"/>
          <w:lang w:eastAsia="en-US"/>
        </w:rPr>
      </w:r>
      <w:r>
        <w:rPr>
          <w:b/>
          <w:color w:val="000000"/>
          <w:sz w:val="26"/>
          <w:szCs w:val="26"/>
          <w:lang w:eastAsia="en-US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Полное наименование: </w:t>
      </w:r>
      <w:r>
        <w:rPr>
          <w:color w:val="000000"/>
          <w:sz w:val="26"/>
          <w:szCs w:val="26"/>
        </w:rPr>
        <w:t xml:space="preserve">оказание услуг по сопровождению </w:t>
      </w:r>
      <w:r>
        <w:rPr>
          <w:rFonts w:eastAsia="Calibri"/>
          <w:color w:val="000000"/>
          <w:sz w:val="26"/>
          <w:szCs w:val="26"/>
        </w:rPr>
        <w:t xml:space="preserve">автоматизированной информационной системы обработки клиентских обращений филиала ПАО «Россети Юг» – «Кубаньэнерго».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Краткое наименование: Услуги по сопровождению АИС ОКО.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1"/>
          <w:numId w:val="37"/>
        </w:numPr>
        <w:ind w:left="0" w:firstLine="709"/>
        <w:jc w:val="both"/>
        <w:keepLines/>
        <w:keepNext/>
        <w:spacing w:before="240"/>
        <w:rPr>
          <w:b/>
          <w:color w:val="000000"/>
          <w:sz w:val="26"/>
          <w:szCs w:val="26"/>
          <w:lang w:eastAsia="en-US"/>
        </w:rPr>
        <w:outlineLvl w:val="0"/>
      </w:pPr>
      <w:r/>
      <w:bookmarkStart w:id="6" w:name="_Toc238629775"/>
      <w:r>
        <w:rPr>
          <w:b/>
          <w:color w:val="000000"/>
          <w:sz w:val="26"/>
          <w:szCs w:val="26"/>
          <w:lang w:eastAsia="en-US"/>
        </w:rPr>
        <w:t xml:space="preserve">Место и сроки оказания Услуг</w:t>
      </w:r>
      <w:bookmarkEnd w:id="6"/>
      <w:r>
        <w:rPr>
          <w:b/>
          <w:color w:val="000000"/>
          <w:sz w:val="26"/>
          <w:szCs w:val="26"/>
          <w:lang w:eastAsia="en-US"/>
        </w:rPr>
      </w:r>
      <w:r>
        <w:rPr>
          <w:b/>
          <w:color w:val="000000"/>
          <w:sz w:val="26"/>
          <w:szCs w:val="26"/>
          <w:lang w:eastAsia="en-US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Место оказания Услуг: г. Краснодар, ул. Ставропольская, 2А.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contextualSpacing/>
        <w:ind w:firstLine="709"/>
        <w:jc w:val="both"/>
        <w:rPr>
          <w:rFonts w:eastAsia="Calibri"/>
          <w:iCs/>
          <w:sz w:val="26"/>
          <w:szCs w:val="26"/>
        </w:rPr>
      </w:pPr>
      <w:r>
        <w:rPr>
          <w:rFonts w:eastAsia="Calibri"/>
          <w:iCs/>
          <w:sz w:val="26"/>
          <w:szCs w:val="26"/>
        </w:rPr>
        <w:t xml:space="preserve">Оказание услуг может осуществляться Исполнителем как на территории Заказчика (при необходимости и по требованию Заказчика), так и удаленно.</w:t>
      </w:r>
      <w:r>
        <w:rPr>
          <w:rFonts w:eastAsia="Calibri"/>
          <w:iCs/>
          <w:sz w:val="26"/>
          <w:szCs w:val="26"/>
        </w:rPr>
      </w:r>
      <w:r>
        <w:rPr>
          <w:rFonts w:eastAsia="Calibri"/>
          <w:iCs/>
          <w:sz w:val="26"/>
          <w:szCs w:val="26"/>
        </w:rPr>
      </w:r>
    </w:p>
    <w:p>
      <w:pPr>
        <w:contextualSpacing/>
        <w:ind w:firstLine="709"/>
        <w:jc w:val="both"/>
        <w:rPr>
          <w:rFonts w:eastAsia="Calibri"/>
          <w:iCs/>
          <w:sz w:val="26"/>
          <w:szCs w:val="26"/>
        </w:rPr>
      </w:pPr>
      <w:r>
        <w:rPr>
          <w:rFonts w:eastAsia="Calibri"/>
          <w:iCs/>
          <w:sz w:val="26"/>
          <w:szCs w:val="26"/>
        </w:rPr>
        <w:t xml:space="preserve">В случае оказания услуг удаленно:</w:t>
      </w:r>
      <w:r>
        <w:rPr>
          <w:rFonts w:eastAsia="Calibri"/>
          <w:iCs/>
          <w:sz w:val="26"/>
          <w:szCs w:val="26"/>
        </w:rPr>
      </w:r>
      <w:r>
        <w:rPr>
          <w:rFonts w:eastAsia="Calibri"/>
          <w:iCs/>
          <w:sz w:val="26"/>
          <w:szCs w:val="26"/>
        </w:rPr>
      </w:r>
    </w:p>
    <w:p>
      <w:pPr>
        <w:numPr>
          <w:ilvl w:val="0"/>
          <w:numId w:val="46"/>
        </w:numPr>
        <w:contextualSpacing/>
        <w:ind w:left="1134"/>
        <w:jc w:val="both"/>
        <w:rPr>
          <w:rFonts w:eastAsia="Calibri"/>
          <w:iCs/>
          <w:sz w:val="26"/>
          <w:szCs w:val="26"/>
        </w:rPr>
      </w:pPr>
      <w:r>
        <w:rPr>
          <w:rFonts w:eastAsia="Calibri"/>
          <w:iCs/>
          <w:sz w:val="26"/>
          <w:szCs w:val="26"/>
        </w:rPr>
        <w:t xml:space="preserve"> Заказчик обеспечивает удаленный защищенный доступ Исполнителю к серверной группе в соответствии с правилами информационной безопасности, принятыми у Заказчика (Приложение 2);</w:t>
      </w:r>
      <w:r>
        <w:rPr>
          <w:rFonts w:eastAsia="Calibri"/>
          <w:iCs/>
          <w:sz w:val="26"/>
          <w:szCs w:val="26"/>
        </w:rPr>
      </w:r>
      <w:r>
        <w:rPr>
          <w:rFonts w:eastAsia="Calibri"/>
          <w:iCs/>
          <w:sz w:val="26"/>
          <w:szCs w:val="26"/>
        </w:rPr>
      </w:r>
    </w:p>
    <w:p>
      <w:pPr>
        <w:numPr>
          <w:ilvl w:val="0"/>
          <w:numId w:val="46"/>
        </w:numPr>
        <w:contextualSpacing/>
        <w:ind w:left="1134"/>
        <w:jc w:val="both"/>
        <w:rPr>
          <w:rFonts w:eastAsia="Calibri"/>
          <w:iCs/>
          <w:sz w:val="26"/>
          <w:szCs w:val="26"/>
        </w:rPr>
      </w:pPr>
      <w:r>
        <w:rPr>
          <w:rFonts w:eastAsia="Calibri"/>
          <w:iCs/>
          <w:sz w:val="26"/>
          <w:szCs w:val="26"/>
        </w:rPr>
        <w:t xml:space="preserve"> Исполнитель должен иметь лицензии VipNet для доступа в сеть Заказчика и осуществлять доступ согласно Порядка оформления дистанционной работы в ПАО «Россети Юг» (Приложение 2);</w:t>
      </w:r>
      <w:r>
        <w:rPr>
          <w:rFonts w:eastAsia="Calibri"/>
          <w:iCs/>
          <w:sz w:val="26"/>
          <w:szCs w:val="26"/>
        </w:rPr>
      </w:r>
      <w:r>
        <w:rPr>
          <w:rFonts w:eastAsia="Calibri"/>
          <w:iCs/>
          <w:sz w:val="26"/>
          <w:szCs w:val="26"/>
        </w:rPr>
      </w:r>
    </w:p>
    <w:p>
      <w:pPr>
        <w:numPr>
          <w:ilvl w:val="0"/>
          <w:numId w:val="46"/>
        </w:numPr>
        <w:contextualSpacing/>
        <w:ind w:left="1134"/>
        <w:jc w:val="both"/>
        <w:rPr>
          <w:rFonts w:eastAsia="Calibri"/>
          <w:iCs/>
          <w:sz w:val="26"/>
          <w:szCs w:val="26"/>
        </w:rPr>
      </w:pPr>
      <w:r>
        <w:rPr>
          <w:rFonts w:eastAsia="Calibri"/>
          <w:iCs/>
          <w:sz w:val="26"/>
          <w:szCs w:val="26"/>
        </w:rPr>
        <w:t xml:space="preserve"> Заказчик предоставляет доступ к системным, программным объектам, </w:t>
      </w:r>
      <w:r>
        <w:rPr>
          <w:rFonts w:eastAsia="Calibri"/>
          <w:iCs/>
          <w:sz w:val="26"/>
          <w:szCs w:val="26"/>
          <w:lang w:val="en-US"/>
        </w:rPr>
        <w:t xml:space="preserve">API</w:t>
      </w:r>
      <w:r>
        <w:rPr>
          <w:rFonts w:eastAsia="Calibri"/>
          <w:iCs/>
          <w:sz w:val="26"/>
          <w:szCs w:val="26"/>
        </w:rPr>
        <w:t xml:space="preserve">, данным, исходному коду, документации, объектам инфраструктуры только в части необходимой и достаточной для выполнения Исполнителем своих обязательств.</w:t>
      </w:r>
      <w:r>
        <w:rPr>
          <w:rFonts w:eastAsia="Calibri"/>
          <w:iCs/>
          <w:sz w:val="26"/>
          <w:szCs w:val="26"/>
        </w:rPr>
      </w:r>
      <w:r>
        <w:rPr>
          <w:rFonts w:eastAsia="Calibri"/>
          <w:iCs/>
          <w:sz w:val="26"/>
          <w:szCs w:val="26"/>
        </w:rPr>
      </w:r>
    </w:p>
    <w:p>
      <w:pPr>
        <w:contextualSpacing/>
        <w:ind w:left="1134"/>
        <w:jc w:val="both"/>
        <w:rPr>
          <w:rFonts w:eastAsia="Calibri"/>
          <w:iCs/>
          <w:sz w:val="26"/>
          <w:szCs w:val="26"/>
        </w:rPr>
      </w:pPr>
      <w:r>
        <w:rPr>
          <w:rFonts w:eastAsia="Calibri"/>
          <w:iCs/>
          <w:sz w:val="26"/>
          <w:szCs w:val="26"/>
        </w:rPr>
      </w:r>
      <w:r>
        <w:rPr>
          <w:rFonts w:eastAsia="Calibri"/>
          <w:iCs/>
          <w:sz w:val="26"/>
          <w:szCs w:val="26"/>
        </w:rPr>
      </w:r>
      <w:r>
        <w:rPr>
          <w:rFonts w:eastAsia="Calibri"/>
          <w:iCs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Сроки оказания Услуг: 12 месяцев с момента заключения договора.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Договор вступает в силу с момента подписания и действует до исполнения Сторонами всех обязательств.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contextualSpacing/>
        <w:ind w:firstLine="709"/>
        <w:jc w:val="both"/>
        <w:rPr>
          <w:rFonts w:eastAsia="Calibri"/>
          <w:i/>
          <w:iCs/>
          <w:color w:val="00b0f0"/>
          <w:sz w:val="26"/>
          <w:szCs w:val="26"/>
        </w:rPr>
      </w:pPr>
      <w:r>
        <w:rPr>
          <w:rFonts w:eastAsia="Calibri"/>
          <w:i/>
          <w:iCs/>
          <w:color w:val="00b0f0"/>
          <w:sz w:val="26"/>
          <w:szCs w:val="26"/>
        </w:rPr>
      </w:r>
      <w:r>
        <w:rPr>
          <w:rFonts w:eastAsia="Calibri"/>
          <w:i/>
          <w:iCs/>
          <w:color w:val="00b0f0"/>
          <w:sz w:val="26"/>
          <w:szCs w:val="26"/>
        </w:rPr>
      </w:r>
      <w:r>
        <w:rPr>
          <w:rFonts w:eastAsia="Calibri"/>
          <w:i/>
          <w:iCs/>
          <w:color w:val="00b0f0"/>
          <w:sz w:val="26"/>
          <w:szCs w:val="26"/>
        </w:rPr>
      </w:r>
    </w:p>
    <w:p>
      <w:pPr>
        <w:numPr>
          <w:ilvl w:val="0"/>
          <w:numId w:val="38"/>
        </w:numPr>
        <w:jc w:val="both"/>
        <w:keepLines/>
        <w:keepNext/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outlineLvl w:val="0"/>
      </w:pPr>
      <w:r/>
      <w:bookmarkStart w:id="7" w:name="_Toc238629776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t xml:space="preserve">Характеристика Услуг</w:t>
      </w:r>
      <w:bookmarkEnd w:id="7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</w:p>
    <w:p>
      <w:pPr>
        <w:numPr>
          <w:ilvl w:val="1"/>
          <w:numId w:val="37"/>
        </w:numPr>
        <w:ind w:left="0" w:firstLine="709"/>
        <w:jc w:val="both"/>
        <w:keepLines/>
        <w:keepNext/>
        <w:spacing w:before="240"/>
        <w:rPr>
          <w:b/>
          <w:color w:val="000000"/>
          <w:sz w:val="26"/>
          <w:szCs w:val="26"/>
          <w:lang w:eastAsia="en-US"/>
        </w:rPr>
        <w:outlineLvl w:val="0"/>
      </w:pPr>
      <w:r/>
      <w:bookmarkStart w:id="8" w:name="_Toc238629777"/>
      <w:r>
        <w:rPr>
          <w:b/>
          <w:color w:val="000000"/>
          <w:sz w:val="26"/>
          <w:szCs w:val="26"/>
          <w:lang w:eastAsia="en-US"/>
        </w:rPr>
        <w:t xml:space="preserve">Цели оказания Услуг</w:t>
      </w:r>
      <w:bookmarkEnd w:id="8"/>
      <w:r>
        <w:rPr>
          <w:b/>
          <w:color w:val="000000"/>
          <w:sz w:val="26"/>
          <w:szCs w:val="26"/>
          <w:lang w:eastAsia="en-US"/>
        </w:rPr>
      </w:r>
      <w:r>
        <w:rPr>
          <w:b/>
          <w:color w:val="000000"/>
          <w:sz w:val="26"/>
          <w:szCs w:val="26"/>
          <w:lang w:eastAsia="en-US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Целями оказания Услуг являются: 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обеспечение непрерывности бизнес-процессов Заказчика, автоматизация которых осуществляется с использованием АИС ОКО;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поддержка в актуальном состоянии (в соответствии с законодательством РФ) функциональности АИС ОКО;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 корректировка и настройка функциональности АИС ОКО по требованиям функциональных заказчиков с целью оптимизации и автоматизации процессов обработки обращений.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1"/>
          <w:numId w:val="37"/>
        </w:numPr>
        <w:ind w:left="0" w:firstLine="709"/>
        <w:jc w:val="both"/>
        <w:keepLines/>
        <w:keepNext/>
        <w:spacing w:before="240"/>
        <w:rPr>
          <w:b/>
          <w:color w:val="000000"/>
          <w:sz w:val="26"/>
          <w:szCs w:val="26"/>
          <w:lang w:eastAsia="en-US"/>
        </w:rPr>
        <w:outlineLvl w:val="0"/>
      </w:pPr>
      <w:r/>
      <w:bookmarkStart w:id="9" w:name="_Toc238629778"/>
      <w:r>
        <w:rPr>
          <w:b/>
          <w:color w:val="000000"/>
          <w:sz w:val="26"/>
          <w:szCs w:val="26"/>
          <w:lang w:eastAsia="en-US"/>
        </w:rPr>
        <w:t xml:space="preserve">Результаты оказания Услуг</w:t>
      </w:r>
      <w:bookmarkEnd w:id="9"/>
      <w:r>
        <w:rPr>
          <w:b/>
          <w:color w:val="000000"/>
          <w:sz w:val="26"/>
          <w:szCs w:val="26"/>
          <w:lang w:eastAsia="en-US"/>
        </w:rPr>
      </w:r>
      <w:r>
        <w:rPr>
          <w:b/>
          <w:color w:val="000000"/>
          <w:sz w:val="26"/>
          <w:szCs w:val="26"/>
          <w:lang w:eastAsia="en-US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Результатами оказания Услуг являются: 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ind w:left="0"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iCs/>
          <w:sz w:val="26"/>
          <w:szCs w:val="26"/>
        </w:rPr>
        <w:t xml:space="preserve">актуальная работоспособная АИС ОКО;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numPr>
          <w:ilvl w:val="2"/>
          <w:numId w:val="40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своевременно оказанная поддержка пользователям АИС ОКО;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выполненные в согласованные сторонами сроки настройки функциональности АИС ОКО в соответствии с ЗНН Заказчика;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ind w:left="0" w:firstLine="709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задокументированные настройки Системы, выполненные согласно требованиям Заказчика;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ind w:left="0" w:firstLine="709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актуальные инструкции пользователей и администраторов АИС ОКО.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1"/>
          <w:numId w:val="37"/>
        </w:numPr>
        <w:ind w:left="0" w:firstLine="709"/>
        <w:jc w:val="both"/>
        <w:keepLines/>
        <w:keepNext/>
        <w:spacing w:before="240"/>
        <w:rPr>
          <w:b/>
          <w:color w:val="000000"/>
          <w:sz w:val="26"/>
          <w:szCs w:val="26"/>
          <w:lang w:eastAsia="en-US"/>
        </w:rPr>
        <w:outlineLvl w:val="0"/>
      </w:pPr>
      <w:r/>
      <w:bookmarkStart w:id="10" w:name="_Toc238629779"/>
      <w:r>
        <w:rPr>
          <w:b/>
          <w:color w:val="000000"/>
          <w:sz w:val="26"/>
          <w:szCs w:val="26"/>
          <w:lang w:eastAsia="en-US"/>
        </w:rPr>
        <w:t xml:space="preserve">Общие требования к качеству Услуг</w:t>
      </w:r>
      <w:bookmarkEnd w:id="10"/>
      <w:r>
        <w:rPr>
          <w:b/>
          <w:color w:val="000000"/>
          <w:sz w:val="26"/>
          <w:szCs w:val="26"/>
          <w:lang w:eastAsia="en-US"/>
        </w:rPr>
      </w:r>
      <w:r>
        <w:rPr>
          <w:b/>
          <w:color w:val="000000"/>
          <w:sz w:val="26"/>
          <w:szCs w:val="26"/>
          <w:lang w:eastAsia="en-US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Качество оказываемых Исполнителем Услуг должно соответствовать требованиям действующего законодательства Российской Федерации и условиям заключенного Договора.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Общие требования к качеству оказываемых Исполнителем Услуг определены положениями следующих государственных стандартов: 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ГОСТ ISO 9001-2015. «Системы менеджмента качества. Требования»;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ГОСТ 34.201-2020. «Информационная технология. Комплекс стандартов на автоматизированные системы. Виды, комплектность и обозначения документов при создании автоматизированных систем»;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ГОСТ Р 59793-2021. «Информационные технологии. Комплекс стандартов на автоматизированные системы. Автоматизированные системы. Стадии создания»;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ГОСТ Р ИСО/МЭК 14764-2002. «Информационная технология. Сопровождение программных средств».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Дополнительные и специальные требования к порядку, условиям и качеству оказания Исполнителем Услуг содержатся в карточках услуг в Приложении № 1 к настоящему ТЗ.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При оказании Услуг Исполнитель обязан соблюдать внутренние регламенты и процедуры, утверждённые Заказчиком. Необходимые документы с описанием регламентов и процедур предоставляются по требованию Исполнителя в </w:t>
      </w:r>
      <w:r>
        <w:rPr>
          <w:rFonts w:eastAsia="Calibri"/>
          <w:sz w:val="26"/>
          <w:szCs w:val="26"/>
        </w:rPr>
        <w:t xml:space="preserve">согласованные сторонами сроки. </w:t>
      </w:r>
      <w:r>
        <w:rPr>
          <w:rFonts w:eastAsia="Calibri"/>
          <w:color w:val="000000"/>
          <w:sz w:val="26"/>
          <w:szCs w:val="26"/>
        </w:rPr>
        <w:t xml:space="preserve">Перечень передаваемых Заказчиком Исполнителю документов, необходимых для оказания Услуг, указан в Приложении № 2.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0"/>
          <w:numId w:val="38"/>
        </w:numPr>
        <w:jc w:val="both"/>
        <w:keepLines/>
        <w:keepNext/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outlineLvl w:val="0"/>
      </w:pPr>
      <w:r/>
      <w:bookmarkStart w:id="11" w:name="_Toc238629780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t xml:space="preserve">Общие требования к Услугам</w:t>
      </w:r>
      <w:bookmarkEnd w:id="11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</w:p>
    <w:p>
      <w:pPr>
        <w:numPr>
          <w:ilvl w:val="1"/>
          <w:numId w:val="37"/>
        </w:numPr>
        <w:ind w:left="0" w:firstLine="709"/>
        <w:jc w:val="both"/>
        <w:keepLines/>
        <w:keepNext/>
        <w:spacing w:before="240"/>
        <w:rPr>
          <w:b/>
          <w:color w:val="000000"/>
          <w:sz w:val="26"/>
          <w:szCs w:val="26"/>
          <w:lang w:eastAsia="en-US"/>
        </w:rPr>
        <w:outlineLvl w:val="0"/>
      </w:pPr>
      <w:r/>
      <w:bookmarkStart w:id="12" w:name="_Toc238629781"/>
      <w:r>
        <w:rPr>
          <w:b/>
          <w:color w:val="000000"/>
          <w:sz w:val="26"/>
          <w:szCs w:val="26"/>
          <w:lang w:eastAsia="en-US"/>
        </w:rPr>
        <w:t xml:space="preserve">Общее описание АИС ОКО</w:t>
      </w:r>
      <w:bookmarkEnd w:id="12"/>
      <w:r>
        <w:rPr>
          <w:b/>
          <w:color w:val="000000"/>
          <w:sz w:val="26"/>
          <w:szCs w:val="26"/>
          <w:lang w:eastAsia="en-US"/>
        </w:rPr>
      </w:r>
      <w:r>
        <w:rPr>
          <w:b/>
          <w:color w:val="000000"/>
          <w:sz w:val="26"/>
          <w:szCs w:val="26"/>
          <w:lang w:eastAsia="en-US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/>
      <w:bookmarkStart w:id="13" w:name="_Hlk63263632"/>
      <w:r>
        <w:rPr>
          <w:rFonts w:eastAsia="Calibri"/>
          <w:color w:val="000000"/>
          <w:sz w:val="26"/>
          <w:szCs w:val="26"/>
        </w:rPr>
        <w:t xml:space="preserve">Общее описание и основные характеристики АИС ОКО приведены в карточке Объекта (см. </w:t>
      </w:r>
      <w:r>
        <w:rPr>
          <w:rFonts w:eastAsia="Calibri"/>
          <w:color w:val="000000"/>
          <w:sz w:val="26"/>
          <w:szCs w:val="26"/>
        </w:rPr>
        <w:fldChar w:fldCharType="begin"/>
      </w:r>
      <w:r>
        <w:rPr>
          <w:rFonts w:eastAsia="Calibri"/>
          <w:color w:val="000000"/>
          <w:sz w:val="26"/>
          <w:szCs w:val="26"/>
        </w:rPr>
        <w:instrText xml:space="preserve"> REF _Ref113456039 \h  \* MERGEFORMAT </w:instrText>
      </w:r>
      <w:r>
        <w:rPr>
          <w:rFonts w:eastAsia="Calibri"/>
          <w:color w:val="000000"/>
          <w:sz w:val="26"/>
          <w:szCs w:val="26"/>
        </w:rPr>
        <w:fldChar w:fldCharType="separate"/>
      </w:r>
      <w:r>
        <w:rPr>
          <w:rFonts w:eastAsia="Calibri"/>
          <w:color w:val="000000"/>
          <w:sz w:val="26"/>
          <w:szCs w:val="26"/>
        </w:rPr>
        <w:t xml:space="preserve">Табл. 2</w:t>
      </w:r>
      <w:r>
        <w:rPr>
          <w:rFonts w:eastAsia="Calibri"/>
          <w:color w:val="000000"/>
          <w:sz w:val="26"/>
          <w:szCs w:val="26"/>
        </w:rPr>
        <w:fldChar w:fldCharType="end"/>
      </w:r>
      <w:r>
        <w:rPr>
          <w:rFonts w:eastAsia="Calibri"/>
          <w:color w:val="000000"/>
          <w:sz w:val="26"/>
          <w:szCs w:val="26"/>
        </w:rPr>
        <w:t xml:space="preserve">).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jc w:val="both"/>
        <w:widowControl w:val="off"/>
        <w:tabs>
          <w:tab w:val="left" w:pos="1560" w:leader="none"/>
        </w:tabs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</w:r>
      <w:r>
        <w:rPr>
          <w:bCs/>
          <w:i/>
          <w:sz w:val="26"/>
          <w:szCs w:val="26"/>
        </w:rPr>
      </w:r>
      <w:r>
        <w:rPr>
          <w:bCs/>
          <w:i/>
          <w:sz w:val="26"/>
          <w:szCs w:val="26"/>
        </w:rPr>
      </w:r>
    </w:p>
    <w:p>
      <w:pPr>
        <w:jc w:val="right"/>
        <w:keepNext/>
        <w:widowControl w:val="off"/>
        <w:rPr>
          <w:color w:val="000000"/>
          <w:sz w:val="20"/>
          <w:szCs w:val="20"/>
        </w:rPr>
      </w:pPr>
      <w:r/>
      <w:bookmarkStart w:id="14" w:name="_Ref113456039"/>
      <w:r>
        <w:rPr>
          <w:color w:val="000000"/>
          <w:sz w:val="20"/>
          <w:szCs w:val="20"/>
        </w:rPr>
        <w:t xml:space="preserve">Табл. </w:t>
      </w:r>
      <w:r>
        <w:rPr>
          <w:color w:val="000000"/>
          <w:sz w:val="20"/>
          <w:szCs w:val="20"/>
        </w:rPr>
        <w:fldChar w:fldCharType="begin"/>
      </w:r>
      <w:r>
        <w:rPr>
          <w:color w:val="000000"/>
          <w:sz w:val="20"/>
          <w:szCs w:val="20"/>
        </w:rPr>
        <w:instrText xml:space="preserve"> SEQ Табл. \* ARABIC </w:instrText>
      </w:r>
      <w:r>
        <w:rPr>
          <w:color w:val="000000"/>
          <w:sz w:val="20"/>
          <w:szCs w:val="20"/>
        </w:rPr>
        <w:fldChar w:fldCharType="separate"/>
      </w:r>
      <w:r>
        <w:rPr>
          <w:color w:val="000000"/>
          <w:sz w:val="20"/>
          <w:szCs w:val="20"/>
        </w:rPr>
        <w:t xml:space="preserve">2</w:t>
      </w:r>
      <w:r>
        <w:rPr>
          <w:color w:val="000000"/>
          <w:sz w:val="20"/>
          <w:szCs w:val="20"/>
        </w:rPr>
        <w:fldChar w:fldCharType="end"/>
      </w:r>
      <w:bookmarkEnd w:id="14"/>
      <w:r>
        <w:rPr>
          <w:color w:val="000000"/>
          <w:sz w:val="20"/>
          <w:szCs w:val="20"/>
        </w:rPr>
        <w:t xml:space="preserve"> Карточка АИС ОКО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tbl>
      <w:tblPr>
        <w:tblStyle w:val="1092"/>
        <w:tblW w:w="0" w:type="auto"/>
        <w:tblLayout w:type="fixed"/>
        <w:tblLook w:val="04A0" w:firstRow="1" w:lastRow="0" w:firstColumn="1" w:lastColumn="0" w:noHBand="0" w:noVBand="1"/>
      </w:tblPr>
      <w:tblGrid>
        <w:gridCol w:w="539"/>
        <w:gridCol w:w="2291"/>
        <w:gridCol w:w="6656"/>
      </w:tblGrid>
      <w:tr>
        <w:tblPrEx/>
        <w:trPr/>
        <w:tc>
          <w:tcPr>
            <w:shd w:val="clear" w:color="auto" w:fill="d9d9d9"/>
            <w:tcW w:w="53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№ п/п</w:t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d9d9d9"/>
            <w:tcW w:w="229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Наименование характеристики </w:t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  <w:br/>
              <w:t xml:space="preserve">АИС ОКО</w:t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d9d9d9"/>
            <w:tcW w:w="665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Значение характеристики </w:t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  <w:br/>
              <w:t xml:space="preserve">АИС ОКО</w:t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3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1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2291" w:type="dxa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Вид Объекта Услуг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6656" w:type="dxa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АИС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3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2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2291" w:type="dxa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Полное наименование Объекта Услуг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6656" w:type="dxa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Автоматизированная информационная система обработки клиентских обращений филиала ПАО «Россети Юг» - «Кубаньэнерго» (АИС ОКО)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3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3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2291" w:type="dxa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Сокращенное наименование Объекта Услуг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6656" w:type="dxa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АИС ОКО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3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4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2291" w:type="dxa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Местонахождение Объекта Услуг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6656" w:type="dxa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г. Краснодар, ул. Ставропольская, 2А.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3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5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2291" w:type="dxa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Общее описание Объекта Услуг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6656" w:type="dxa"/>
            <w:textDirection w:val="lrTb"/>
            <w:noWrap w:val="false"/>
          </w:tcPr>
          <w:p>
            <w:pPr>
              <w:numPr>
                <w:ilvl w:val="2"/>
                <w:numId w:val="0"/>
              </w:numPr>
              <w:jc w:val="both"/>
              <w:widowControl w:val="off"/>
              <w:tabs>
                <w:tab w:val="left" w:pos="709" w:leader="none"/>
                <w:tab w:val="left" w:pos="1418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АИС ОКО используется для комплексной автоматизации бизнес-процессов обработки клиентских обращений для нужд филиала ПАО «Россети Юг» - «Кубаньэнерго»: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firstLine="709"/>
              <w:jc w:val="both"/>
              <w:widowControl w:val="off"/>
              <w:tabs>
                <w:tab w:val="left" w:pos="1276" w:leader="none"/>
                <w:tab w:val="left" w:pos="1418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 прием и регистрация обращений;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firstLine="709"/>
              <w:jc w:val="both"/>
              <w:widowControl w:val="off"/>
              <w:tabs>
                <w:tab w:val="left" w:pos="1276" w:leader="none"/>
                <w:tab w:val="left" w:pos="1418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 обработка обращений;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firstLine="709"/>
              <w:jc w:val="both"/>
              <w:widowControl w:val="off"/>
              <w:tabs>
                <w:tab w:val="left" w:pos="1276" w:leader="none"/>
                <w:tab w:val="left" w:pos="1418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 интеграция с другими информационными системами;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firstLine="709"/>
              <w:jc w:val="both"/>
              <w:widowControl w:val="off"/>
              <w:tabs>
                <w:tab w:val="left" w:pos="1276" w:leader="none"/>
                <w:tab w:val="left" w:pos="1418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разграничение ролей и полномочий;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firstLine="709"/>
              <w:jc w:val="both"/>
              <w:widowControl w:val="off"/>
              <w:tabs>
                <w:tab w:val="left" w:pos="1276" w:leader="none"/>
                <w:tab w:val="left" w:pos="1418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статистика и аналитика.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Пользователи функциональных заказчиков филиалов и аппарата управления работают в АИС ОКО удаленно путем доступа к </w:t>
            </w:r>
            <w:r>
              <w:rPr>
                <w:sz w:val="20"/>
                <w:szCs w:val="20"/>
                <w:lang w:val="en-US"/>
              </w:rPr>
              <w:t xml:space="preserve">Web</w:t>
            </w:r>
            <w:r>
              <w:rPr>
                <w:sz w:val="20"/>
                <w:szCs w:val="20"/>
              </w:rPr>
              <w:t xml:space="preserve">-серверу, расположенному в аппарате управления Общества.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АИС ОКО построена на клиент-серверной архитектуре, БД – под управлением СУБД.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53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6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2291" w:type="dxa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Класс Критичности в соответствии с </w:t>
            </w:r>
            <w:r>
              <w:rPr>
                <w:rFonts w:eastAsia="Calibri"/>
                <w:color w:val="000000"/>
                <w:sz w:val="20"/>
                <w:szCs w:val="20"/>
              </w:rPr>
              <w:fldChar w:fldCharType="begin"/>
            </w:r>
            <w:r>
              <w:rPr>
                <w:rFonts w:eastAsia="Calibri"/>
                <w:color w:val="000000"/>
                <w:sz w:val="20"/>
                <w:szCs w:val="20"/>
              </w:rPr>
              <w:instrText xml:space="preserve"> REF _Ref117243478 \h  \* MERGEFORMAT </w:instrText>
            </w:r>
            <w:r>
              <w:rPr>
                <w:rFonts w:eastAsia="Calibri"/>
                <w:color w:val="000000"/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 xml:space="preserve">Табл. 4</w:t>
            </w:r>
            <w:r>
              <w:rPr>
                <w:rFonts w:eastAsia="Calibri"/>
                <w:color w:val="000000"/>
                <w:sz w:val="20"/>
                <w:szCs w:val="20"/>
              </w:rPr>
              <w:fldChar w:fldCharType="end"/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6656" w:type="dxa"/>
            <w:textDirection w:val="lrTb"/>
            <w:noWrap w:val="false"/>
          </w:tcPr>
          <w:p>
            <w:pPr>
              <w:rPr>
                <w:rFonts w:eastAsia="Calibri"/>
                <w:iCs/>
                <w:color w:val="00b0f0"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Важные для бизнеса.</w:t>
            </w:r>
            <w:r>
              <w:rPr>
                <w:rFonts w:eastAsia="Calibri"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Cs/>
                <w:color w:val="00b0f0"/>
                <w:sz w:val="20"/>
                <w:szCs w:val="20"/>
              </w:rPr>
            </w:r>
          </w:p>
        </w:tc>
      </w:tr>
    </w:tbl>
    <w:p>
      <w:pPr>
        <w:numPr>
          <w:ilvl w:val="1"/>
          <w:numId w:val="37"/>
        </w:numPr>
        <w:jc w:val="both"/>
        <w:keepLines/>
        <w:keepNext/>
        <w:spacing w:before="240"/>
        <w:rPr>
          <w:b/>
          <w:color w:val="000000"/>
          <w:sz w:val="26"/>
          <w:szCs w:val="26"/>
          <w:lang w:eastAsia="en-US"/>
        </w:rPr>
        <w:outlineLvl w:val="0"/>
      </w:pPr>
      <w:r/>
      <w:bookmarkStart w:id="15" w:name="_Ref114480910"/>
      <w:r/>
      <w:bookmarkStart w:id="16" w:name="_Toc238629782"/>
      <w:r>
        <w:rPr>
          <w:b/>
          <w:color w:val="000000"/>
          <w:sz w:val="26"/>
          <w:szCs w:val="26"/>
          <w:lang w:eastAsia="en-US"/>
        </w:rPr>
        <w:t xml:space="preserve">Состав </w:t>
      </w:r>
      <w:bookmarkEnd w:id="15"/>
      <w:r>
        <w:rPr>
          <w:b/>
          <w:color w:val="000000"/>
          <w:sz w:val="26"/>
          <w:szCs w:val="26"/>
          <w:lang w:eastAsia="en-US"/>
        </w:rPr>
        <w:t xml:space="preserve">АИС ОКО</w:t>
      </w:r>
      <w:bookmarkEnd w:id="16"/>
      <w:r>
        <w:rPr>
          <w:b/>
          <w:color w:val="000000"/>
          <w:sz w:val="26"/>
          <w:szCs w:val="26"/>
          <w:lang w:eastAsia="en-US"/>
        </w:rPr>
      </w:r>
      <w:r>
        <w:rPr>
          <w:b/>
          <w:color w:val="000000"/>
          <w:sz w:val="26"/>
          <w:szCs w:val="26"/>
          <w:lang w:eastAsia="en-US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 АИС ОКО представляет собой WEB-приложение, разработанное с использованием Jmix. В качестве СУБД используется PostgresPro, включает следующий стэк технологий: Java, Jmix, PostgreSQL, SOAP, REST, Spring Boot, gRPC. Исключительное право на пр</w:t>
      </w:r>
      <w:r>
        <w:rPr>
          <w:rFonts w:eastAsia="Calibri"/>
          <w:color w:val="000000"/>
          <w:sz w:val="26"/>
          <w:szCs w:val="26"/>
        </w:rPr>
        <w:t xml:space="preserve">ограммное обеспечение АИС ОКО №2024666989 от 18.07.2024 принадлежит ПАО «Россети Кубань», ИНН 2309001660. АИС ОКО включена в реестр российского программного обеспечения (дата регистрации 18.07.2024, номер регистрации 2024666989). Ограничения по интеллектуа</w:t>
      </w:r>
      <w:r>
        <w:rPr>
          <w:rFonts w:eastAsia="Calibri"/>
          <w:color w:val="000000"/>
          <w:sz w:val="26"/>
          <w:szCs w:val="26"/>
        </w:rPr>
        <w:t xml:space="preserve">льным правам для выполнения работ со стороны третьих лиц отсутствуют. Использование других технологий и языков программирования возможно Исполнителем только при согласовании с Заказчиком. Программные, аппаратные и инженерные компоненты, указанные в Табл.3.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jc w:val="right"/>
        <w:keepNext/>
        <w:widowControl w:val="off"/>
        <w:rPr>
          <w:color w:val="000000"/>
          <w:sz w:val="20"/>
          <w:szCs w:val="20"/>
        </w:rPr>
      </w:pPr>
      <w:r/>
      <w:bookmarkStart w:id="17" w:name="_Ref113545709"/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jc w:val="right"/>
        <w:keepNext/>
        <w:widowControl w:val="off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Табл. </w:t>
      </w:r>
      <w:r>
        <w:rPr>
          <w:color w:val="000000"/>
          <w:sz w:val="20"/>
          <w:szCs w:val="20"/>
        </w:rPr>
        <w:fldChar w:fldCharType="begin"/>
      </w:r>
      <w:r>
        <w:rPr>
          <w:color w:val="000000"/>
          <w:sz w:val="20"/>
          <w:szCs w:val="20"/>
        </w:rPr>
        <w:instrText xml:space="preserve"> SEQ Табл. \* ARABIC </w:instrText>
      </w:r>
      <w:r>
        <w:rPr>
          <w:color w:val="000000"/>
          <w:sz w:val="20"/>
          <w:szCs w:val="20"/>
        </w:rPr>
        <w:fldChar w:fldCharType="separate"/>
      </w:r>
      <w:r>
        <w:rPr>
          <w:color w:val="000000"/>
          <w:sz w:val="20"/>
          <w:szCs w:val="20"/>
        </w:rPr>
        <w:t xml:space="preserve">3</w:t>
      </w:r>
      <w:r>
        <w:rPr>
          <w:color w:val="000000"/>
          <w:sz w:val="20"/>
          <w:szCs w:val="20"/>
        </w:rPr>
        <w:fldChar w:fldCharType="end"/>
      </w:r>
      <w:bookmarkEnd w:id="17"/>
      <w:r>
        <w:rPr>
          <w:color w:val="000000"/>
          <w:sz w:val="20"/>
          <w:szCs w:val="20"/>
        </w:rPr>
        <w:t xml:space="preserve"> Программные и аппаратные компоненты АИС ОКО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tbl>
      <w:tblPr>
        <w:tblStyle w:val="1092"/>
        <w:tblW w:w="9493" w:type="dxa"/>
        <w:tblLook w:val="04A0" w:firstRow="1" w:lastRow="0" w:firstColumn="1" w:lastColumn="0" w:noHBand="0" w:noVBand="1"/>
      </w:tblPr>
      <w:tblGrid>
        <w:gridCol w:w="616"/>
        <w:gridCol w:w="2963"/>
        <w:gridCol w:w="1971"/>
        <w:gridCol w:w="1971"/>
        <w:gridCol w:w="1972"/>
      </w:tblGrid>
      <w:tr>
        <w:tblPrEx/>
        <w:trPr/>
        <w:tc>
          <w:tcPr>
            <w:shd w:val="clear" w:color="auto" w:fill="d9d9d9"/>
            <w:tcW w:w="61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№ п/п</w:t>
            </w:r>
            <w:r>
              <w:rPr>
                <w:rFonts w:eastAsia="Calibri"/>
                <w:color w:val="000000"/>
                <w:sz w:val="26"/>
                <w:szCs w:val="26"/>
              </w:rPr>
            </w:r>
            <w:r>
              <w:rPr>
                <w:rFonts w:eastAsia="Calibri"/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d9d9d9"/>
            <w:tcW w:w="296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Наименование компонента АИС ОКО</w:t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d9d9d9"/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iCs/>
                <w:color w:val="000000"/>
                <w:sz w:val="20"/>
                <w:szCs w:val="20"/>
              </w:rPr>
              <w:t xml:space="preserve">Наименование производителя компонента</w:t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d9d9d9"/>
            <w:tcW w:w="197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Тип компонента АИС ОКО</w:t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d9d9d9"/>
            <w:tcW w:w="19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Категория компонента</w:t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  <w:br/>
              <w:t xml:space="preserve"> АИС ОКО</w:t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61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1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rPr>
                <w:rFonts w:eastAsia="Calibri"/>
                <w:iCs/>
                <w:color w:val="00b0f0"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Модуль администрирования</w:t>
            </w:r>
            <w:r>
              <w:rPr>
                <w:rFonts w:eastAsia="Calibri"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Cs/>
                <w:color w:val="00b0f0"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Cs/>
                <w:color w:val="00b0f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филиал ПАО «Россети Юг» - «Кубаньэнерго»</w:t>
            </w:r>
            <w:r>
              <w:rPr>
                <w:rFonts w:eastAsia="Calibri"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Cs/>
                <w:color w:val="00b0f0"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Программные компоненты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7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Прикладное ПО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61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2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rPr>
                <w:rFonts w:eastAsia="Calibri"/>
                <w:i/>
                <w:iCs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Модуль работы с данными</w:t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/>
                <w:iCs/>
                <w:color w:val="00b0f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филиал ПАО «Россети Юг» - «Кубаньэнерго»</w:t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Программные компоненты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7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Прикладное ПО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61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3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rPr>
                <w:rFonts w:eastAsia="Calibri"/>
                <w:i/>
                <w:iCs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Подсистема безопасности и доступа к данным</w:t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/>
                <w:iCs/>
                <w:color w:val="00b0f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филиал ПАО «Россети Юг» - «Кубаньэнерго»</w:t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Программные компоненты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7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Прикладное ПО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61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4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rPr>
                <w:rFonts w:eastAsia="Calibri"/>
                <w:i/>
                <w:iCs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Подсистема логирования и фиксации изменений</w:t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/>
                <w:iCs/>
                <w:color w:val="00b0f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филиал ПАО «Россети Юг» - «Кубаньэнерго»</w:t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Программные компоненты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7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Прикладное ПО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61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5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rPr>
                <w:rFonts w:eastAsia="Calibri"/>
                <w:i/>
                <w:iCs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Модуль записи и коррекции БП</w:t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/>
                <w:iCs/>
                <w:color w:val="00b0f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филиал ПАО «Россети Юг» - «Кубаньэнерго»</w:t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Программные компоненты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7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Прикладное ПО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61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rPr>
                <w:rFonts w:eastAsia="Calibri"/>
                <w:i/>
                <w:iCs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Модуль отчётов</w:t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/>
                <w:iCs/>
                <w:color w:val="00b0f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филиал ПАО «Россети Юг» - «Кубаньэнерго»</w:t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Программные компоненты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7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Прикладное ПО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61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rPr>
                <w:rFonts w:eastAsia="Calibri"/>
                <w:i/>
                <w:iCs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Модуль виджетов</w:t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/>
                <w:iCs/>
                <w:color w:val="00b0f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филиал ПАО «Россети Юг» - «Кубаньэнерго»</w:t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Программные компоненты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7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Прикладное ПО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61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9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Модуль оповещений</w:t>
            </w:r>
            <w:r>
              <w:rPr>
                <w:rFonts w:eastAsia="Calibri"/>
                <w:iCs/>
                <w:sz w:val="20"/>
                <w:szCs w:val="20"/>
              </w:rPr>
            </w:r>
            <w:r>
              <w:rPr>
                <w:rFonts w:eastAsia="Calibri"/>
                <w:iCs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филиал ПАО «Россети Юг» - «Кубаньэнерго»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Программные компоненты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7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Прикладное ПО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61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10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Модуль интеграции</w:t>
            </w:r>
            <w:r>
              <w:rPr>
                <w:rFonts w:eastAsia="Calibri"/>
                <w:iCs/>
                <w:sz w:val="20"/>
                <w:szCs w:val="20"/>
              </w:rPr>
            </w:r>
            <w:r>
              <w:rPr>
                <w:rFonts w:eastAsia="Calibri"/>
                <w:iCs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филиал ПАО «Россети Юг» - «Кубаньэнерго»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Программные компоненты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7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Интеграционные механизмы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61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11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Модуль СОВА</w:t>
            </w:r>
            <w:r>
              <w:rPr>
                <w:rFonts w:eastAsia="Calibri"/>
                <w:iCs/>
                <w:sz w:val="20"/>
                <w:szCs w:val="20"/>
              </w:rPr>
            </w:r>
            <w:r>
              <w:rPr>
                <w:rFonts w:eastAsia="Calibri"/>
                <w:iCs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филиал ПАО «Россети Юг» - «Кубаньэнерго»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Программные компоненты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7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Прикладное ПО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61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12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Интерфейс сервиса распознавания текста</w:t>
            </w:r>
            <w:r>
              <w:rPr>
                <w:rFonts w:eastAsia="Calibri"/>
                <w:iCs/>
                <w:sz w:val="20"/>
                <w:szCs w:val="20"/>
              </w:rPr>
            </w:r>
            <w:r>
              <w:rPr>
                <w:rFonts w:eastAsia="Calibri"/>
                <w:iCs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филиал ПАО «Россети Юг» - «Кубаньэнерго»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Программные компоненты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7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Прикладное ПО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61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13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rPr>
                <w:rFonts w:eastAsia="Calibri"/>
                <w:iCs/>
                <w:sz w:val="20"/>
                <w:szCs w:val="20"/>
                <w:lang w:val="en-US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Пользовательский интерфейс</w:t>
            </w:r>
            <w:r>
              <w:rPr>
                <w:rFonts w:eastAsia="Calibri"/>
                <w:iCs/>
                <w:sz w:val="20"/>
                <w:szCs w:val="20"/>
                <w:lang w:val="en-US"/>
              </w:rPr>
            </w:r>
            <w:r>
              <w:rPr>
                <w:rFonts w:eastAsia="Calibri"/>
                <w:iCs/>
                <w:sz w:val="20"/>
                <w:szCs w:val="20"/>
                <w:lang w:val="en-US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филиал ПАО «Россети Юг» - «Кубаньэнерго»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Программные компоненты</w:t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197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Прикладное ПО 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61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14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rPr>
                <w:rFonts w:eastAsia="Calibri"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СУБД Postgre</w:t>
            </w:r>
            <w:r>
              <w:rPr>
                <w:sz w:val="20"/>
                <w:szCs w:val="20"/>
                <w:lang w:val="en-US"/>
              </w:rPr>
              <w:t xml:space="preserve">sPro</w:t>
            </w:r>
            <w:r>
              <w:rPr>
                <w:rFonts w:eastAsia="Calibri"/>
                <w:iCs/>
                <w:sz w:val="20"/>
                <w:szCs w:val="20"/>
              </w:rPr>
            </w:r>
            <w:r>
              <w:rPr>
                <w:rFonts w:eastAsia="Calibri"/>
                <w:iCs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Компания Postgres Professional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Программные компоненты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7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Системное ПО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61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15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Интегрированная платформа для создания приложений, библиотека подпрограмм (</w:t>
            </w:r>
            <w:r>
              <w:rPr>
                <w:sz w:val="20"/>
                <w:szCs w:val="20"/>
                <w:lang w:val="en-US"/>
              </w:rPr>
              <w:t xml:space="preserve">SDK</w:t>
            </w:r>
            <w:r>
              <w:rPr>
                <w:sz w:val="20"/>
                <w:szCs w:val="20"/>
              </w:rPr>
              <w:t xml:space="preserve">), среда разработки, тестирования и отладки </w:t>
            </w:r>
            <w:r>
              <w:rPr>
                <w:sz w:val="20"/>
                <w:szCs w:val="20"/>
                <w:lang w:val="en-US"/>
              </w:rPr>
              <w:t xml:space="preserve">Jmix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"Хоулмонт"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7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Программные компоненты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97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Системное ПО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Перечень программных, </w:t>
      </w:r>
      <w:r>
        <w:rPr>
          <w:color w:val="000000"/>
          <w:sz w:val="26"/>
          <w:szCs w:val="20"/>
        </w:rPr>
        <w:t xml:space="preserve">аппаратных и инженерных </w:t>
      </w:r>
      <w:r>
        <w:rPr>
          <w:rFonts w:eastAsia="Calibri"/>
          <w:color w:val="000000"/>
          <w:sz w:val="26"/>
          <w:szCs w:val="26"/>
        </w:rPr>
        <w:t xml:space="preserve">компонентов АИС ОКО</w:t>
      </w:r>
      <w:r>
        <w:rPr>
          <w:rFonts w:eastAsia="Calibri"/>
          <w:iCs/>
          <w:sz w:val="26"/>
          <w:szCs w:val="26"/>
        </w:rPr>
        <w:t xml:space="preserve"> в разрезе категорий</w:t>
      </w:r>
      <w:r>
        <w:rPr>
          <w:rFonts w:eastAsia="Calibri"/>
          <w:color w:val="000000"/>
          <w:sz w:val="26"/>
          <w:szCs w:val="26"/>
        </w:rPr>
        <w:t xml:space="preserve">, в отношении которых оказываются Услуги сопровождения по настоящему ТЗ приведены в п. </w:t>
      </w:r>
      <w:r>
        <w:rPr>
          <w:rFonts w:eastAsia="Calibri"/>
          <w:color w:val="000000"/>
          <w:sz w:val="26"/>
          <w:szCs w:val="26"/>
        </w:rPr>
        <w:fldChar w:fldCharType="begin"/>
      </w:r>
      <w:r>
        <w:rPr>
          <w:rFonts w:eastAsia="Calibri"/>
          <w:color w:val="000000"/>
          <w:sz w:val="26"/>
          <w:szCs w:val="26"/>
        </w:rPr>
        <w:instrText xml:space="preserve"> REF _Ref113470315 \r \h  \* MERGEFORMAT </w:instrText>
      </w:r>
      <w:r>
        <w:rPr>
          <w:rFonts w:eastAsia="Calibri"/>
          <w:color w:val="000000"/>
          <w:sz w:val="26"/>
          <w:szCs w:val="26"/>
        </w:rPr>
        <w:fldChar w:fldCharType="separate"/>
      </w:r>
      <w:r>
        <w:rPr>
          <w:rFonts w:eastAsia="Calibri"/>
          <w:color w:val="000000"/>
          <w:sz w:val="26"/>
          <w:szCs w:val="26"/>
        </w:rPr>
        <w:t xml:space="preserve">3.4</w:t>
      </w:r>
      <w:r>
        <w:rPr>
          <w:rFonts w:eastAsia="Calibri"/>
          <w:color w:val="000000"/>
          <w:sz w:val="26"/>
          <w:szCs w:val="26"/>
        </w:rPr>
        <w:fldChar w:fldCharType="end"/>
      </w:r>
      <w:r>
        <w:rPr>
          <w:rFonts w:eastAsia="Calibri"/>
          <w:color w:val="000000"/>
          <w:sz w:val="26"/>
          <w:szCs w:val="26"/>
        </w:rPr>
        <w:t xml:space="preserve">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Структурная схема АИС ОКО</w:t>
      </w:r>
      <w:r>
        <w:rPr>
          <w:rFonts w:eastAsia="Calibri"/>
          <w:i/>
          <w:iCs/>
          <w:color w:val="00b0f0"/>
          <w:sz w:val="26"/>
          <w:szCs w:val="26"/>
        </w:rPr>
        <w:t xml:space="preserve"> </w:t>
      </w:r>
      <w:r>
        <w:rPr>
          <w:rFonts w:eastAsia="Calibri"/>
          <w:color w:val="000000"/>
          <w:sz w:val="26"/>
          <w:szCs w:val="26"/>
        </w:rPr>
        <w:t xml:space="preserve">приведена на рисунке ниже: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tbl>
      <w:tblPr>
        <w:tblStyle w:val="109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B0F0" w:sz="4" w:space="0"/>
          <w:insideV w:val="single" w:color="00B0F0" w:sz="4" w:space="0"/>
        </w:tblBorders>
        <w:tblLook w:val="04A0" w:firstRow="1" w:lastRow="0" w:firstColumn="1" w:lastColumn="0" w:noHBand="0" w:noVBand="1"/>
      </w:tblPr>
      <w:tblGrid>
        <w:gridCol w:w="9486"/>
      </w:tblGrid>
      <w:tr>
        <w:tblPrEx/>
        <w:trPr>
          <w:trHeight w:val="6311"/>
        </w:trPr>
        <w:tc>
          <w:tcPr>
            <w:tcW w:w="948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sz w:val="20"/>
                <w:szCs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588000" cy="4383290"/>
                      <wp:effectExtent l="0" t="0" r="0" b="0"/>
                      <wp:docPr id="1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590541" cy="43852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40.00pt;height:345.14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rFonts w:eastAsia="Calibri"/>
                <w:color w:val="000000"/>
                <w:sz w:val="26"/>
                <w:szCs w:val="26"/>
              </w:rPr>
            </w:r>
            <w:r>
              <w:rPr>
                <w:rFonts w:eastAsia="Calibri"/>
                <w:color w:val="000000"/>
                <w:sz w:val="26"/>
                <w:szCs w:val="26"/>
              </w:rPr>
            </w:r>
          </w:p>
        </w:tc>
      </w:tr>
    </w:tbl>
    <w:p>
      <w:pPr>
        <w:jc w:val="center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 xml:space="preserve">Рис. 1 Структурная схема АИС ОКО</w:t>
      </w:r>
      <w:r>
        <w:rPr>
          <w:rFonts w:eastAsia="Calibri"/>
          <w:color w:val="000000"/>
          <w:sz w:val="20"/>
          <w:szCs w:val="20"/>
        </w:rPr>
      </w:r>
      <w:r>
        <w:rPr>
          <w:rFonts w:eastAsia="Calibri"/>
          <w:color w:val="000000"/>
          <w:sz w:val="20"/>
          <w:szCs w:val="20"/>
        </w:rPr>
      </w:r>
    </w:p>
    <w:p>
      <w:pPr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Функциональная схема АИС ОКО</w:t>
      </w:r>
      <w:r>
        <w:rPr>
          <w:rFonts w:eastAsia="Calibri"/>
          <w:i/>
          <w:iCs/>
          <w:color w:val="00b0f0"/>
          <w:sz w:val="26"/>
          <w:szCs w:val="26"/>
        </w:rPr>
        <w:t xml:space="preserve"> </w:t>
      </w:r>
      <w:r>
        <w:rPr>
          <w:rFonts w:eastAsia="Calibri"/>
          <w:color w:val="000000"/>
          <w:sz w:val="26"/>
          <w:szCs w:val="26"/>
        </w:rPr>
        <w:t xml:space="preserve">приведена на рисунке 2: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contextualSpacing/>
        <w:ind w:left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tbl>
      <w:tblPr>
        <w:tblStyle w:val="109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B0F0" w:sz="4" w:space="0"/>
          <w:insideV w:val="single" w:color="00B0F0" w:sz="4" w:space="0"/>
        </w:tblBorders>
        <w:tblLook w:val="04A0" w:firstRow="1" w:lastRow="0" w:firstColumn="1" w:lastColumn="0" w:noHBand="0" w:noVBand="1"/>
      </w:tblPr>
      <w:tblGrid>
        <w:gridCol w:w="9486"/>
      </w:tblGrid>
      <w:tr>
        <w:tblPrEx/>
        <w:trPr/>
        <w:tc>
          <w:tcPr>
            <w:tcW w:w="948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color w:val="000000"/>
                <w:sz w:val="20"/>
                <w:szCs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055362" cy="2886620"/>
                      <wp:effectExtent l="0" t="0" r="0" b="9525"/>
                      <wp:docPr id="2" name="Рисунок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" name="Modules_туц_15_01_24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090083" cy="290644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398.06pt;height:227.29pt;mso-wrap-distance-left:0.00pt;mso-wrap-distance-top:0.00pt;mso-wrap-distance-right:0.00pt;mso-wrap-distance-bottom:0.0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rFonts w:eastAsia="Calibri"/>
                <w:color w:val="000000"/>
                <w:sz w:val="26"/>
                <w:szCs w:val="26"/>
              </w:rPr>
            </w:r>
            <w:r>
              <w:rPr>
                <w:rFonts w:eastAsia="Calibri"/>
                <w:color w:val="000000"/>
                <w:sz w:val="26"/>
                <w:szCs w:val="26"/>
              </w:rPr>
            </w:r>
          </w:p>
        </w:tc>
      </w:tr>
    </w:tbl>
    <w:p>
      <w:pPr>
        <w:jc w:val="center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 xml:space="preserve">Рис. 2 Функциональная схема АИС ОКО</w:t>
      </w:r>
      <w:r>
        <w:rPr>
          <w:rFonts w:eastAsia="Calibri"/>
          <w:color w:val="000000"/>
          <w:sz w:val="20"/>
          <w:szCs w:val="20"/>
        </w:rPr>
      </w:r>
      <w:r>
        <w:rPr>
          <w:rFonts w:eastAsia="Calibri"/>
          <w:color w:val="000000"/>
          <w:sz w:val="20"/>
          <w:szCs w:val="20"/>
        </w:rPr>
      </w:r>
    </w:p>
    <w:p>
      <w:pPr>
        <w:numPr>
          <w:ilvl w:val="1"/>
          <w:numId w:val="37"/>
        </w:numPr>
        <w:ind w:left="0" w:firstLine="709"/>
        <w:jc w:val="both"/>
        <w:keepLines/>
        <w:keepNext/>
        <w:spacing w:before="240"/>
        <w:rPr>
          <w:b/>
          <w:color w:val="000000"/>
          <w:sz w:val="26"/>
          <w:szCs w:val="26"/>
          <w:lang w:eastAsia="en-US"/>
        </w:rPr>
        <w:outlineLvl w:val="0"/>
      </w:pPr>
      <w:r/>
      <w:bookmarkStart w:id="18" w:name="_Toc238629783"/>
      <w:r>
        <w:rPr>
          <w:b/>
          <w:color w:val="000000"/>
          <w:sz w:val="26"/>
          <w:szCs w:val="26"/>
          <w:lang w:eastAsia="en-US"/>
        </w:rPr>
        <w:t xml:space="preserve">Основные стандарты непрерывности АИС ОКО по классам Критичности</w:t>
      </w:r>
      <w:bookmarkEnd w:id="18"/>
      <w:r>
        <w:rPr>
          <w:b/>
          <w:color w:val="000000"/>
          <w:sz w:val="26"/>
          <w:szCs w:val="26"/>
          <w:lang w:eastAsia="en-US"/>
        </w:rPr>
      </w:r>
      <w:r>
        <w:rPr>
          <w:b/>
          <w:color w:val="000000"/>
          <w:sz w:val="26"/>
          <w:szCs w:val="26"/>
          <w:lang w:eastAsia="en-US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В отношении АИС ОКО применимы требования в части соответствия основным стандартам непрерывности по классам Критичности для АИС, утверждённым в филиале ПАО «Россети Юг» – «Кубаньэнерго»: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ind w:left="709" w:firstLine="0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важные для бизнеса – обычные приложения, не требующие работы в реальном времени, с режимом работы 8 часов в сутки, 5 дней в неделю.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contextualSpacing/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3.3.2. Требования к производительности модулей АИС ОКО (максимальное время отклика для ключевых операций, пропускная способность) определяются функциональным заказчиком при формировании ЗНН.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contextualSpacing/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3.3.3. Стандарты непрерывности АИС ОКО по классам Критичности, принятые у Заказчика, приведены ниже (см. Табл. 4).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jc w:val="right"/>
        <w:keepNext/>
        <w:widowControl w:val="off"/>
        <w:rPr>
          <w:color w:val="000000"/>
          <w:sz w:val="20"/>
          <w:szCs w:val="20"/>
        </w:rPr>
      </w:pPr>
      <w:r/>
      <w:bookmarkStart w:id="19" w:name="_Ref117243478"/>
      <w:r>
        <w:rPr>
          <w:color w:val="000000"/>
          <w:sz w:val="20"/>
          <w:szCs w:val="20"/>
        </w:rPr>
        <w:t xml:space="preserve">Табл. </w:t>
      </w:r>
      <w:r>
        <w:rPr>
          <w:color w:val="000000"/>
          <w:sz w:val="20"/>
          <w:szCs w:val="20"/>
        </w:rPr>
        <w:fldChar w:fldCharType="begin"/>
      </w:r>
      <w:r>
        <w:rPr>
          <w:color w:val="000000"/>
          <w:sz w:val="20"/>
          <w:szCs w:val="20"/>
        </w:rPr>
        <w:instrText xml:space="preserve"> SEQ Табл. \* ARABIC </w:instrText>
      </w:r>
      <w:r>
        <w:rPr>
          <w:color w:val="000000"/>
          <w:sz w:val="20"/>
          <w:szCs w:val="20"/>
        </w:rPr>
        <w:fldChar w:fldCharType="separate"/>
      </w:r>
      <w:r>
        <w:rPr>
          <w:color w:val="000000"/>
          <w:sz w:val="20"/>
          <w:szCs w:val="20"/>
        </w:rPr>
        <w:t xml:space="preserve">4</w:t>
      </w:r>
      <w:r>
        <w:rPr>
          <w:color w:val="000000"/>
          <w:sz w:val="20"/>
          <w:szCs w:val="20"/>
        </w:rPr>
        <w:fldChar w:fldCharType="end"/>
      </w:r>
      <w:bookmarkEnd w:id="19"/>
      <w:r>
        <w:rPr>
          <w:color w:val="000000"/>
          <w:sz w:val="20"/>
          <w:szCs w:val="20"/>
        </w:rPr>
        <w:t xml:space="preserve"> Класс Критичности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tbl>
      <w:tblPr>
        <w:tblStyle w:val="1092"/>
        <w:tblW w:w="0" w:type="auto"/>
        <w:tblLook w:val="04A0" w:firstRow="1" w:lastRow="0" w:firstColumn="1" w:lastColumn="0" w:noHBand="0" w:noVBand="1"/>
      </w:tblPr>
      <w:tblGrid>
        <w:gridCol w:w="513"/>
        <w:gridCol w:w="3484"/>
        <w:gridCol w:w="5491"/>
      </w:tblGrid>
      <w:tr>
        <w:tblPrEx/>
        <w:trPr/>
        <w:tc>
          <w:tcPr>
            <w:shd w:val="clear" w:color="auto" w:fill="d9d9d9"/>
            <w:tcW w:w="5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№ п/п</w:t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d9d9d9"/>
            <w:tcW w:w="352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Наименование характеристики</w:t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d9d9d9"/>
            <w:tcW w:w="55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Классификация критичности АИС ОКО</w:t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d9d9d9"/>
            <w:tcW w:w="51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d9d9d9"/>
            <w:tcW w:w="35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d9d9d9"/>
            <w:tcW w:w="55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Важные для бизнеса</w:t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1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1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3521" w:type="dxa"/>
            <w:vAlign w:val="center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Целевая доступность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55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99,20%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1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2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3521" w:type="dxa"/>
            <w:vAlign w:val="center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Возможные внеплановые </w:t>
            </w:r>
            <w:r>
              <w:rPr>
                <w:rFonts w:eastAsia="Calibri"/>
                <w:color w:val="000000"/>
                <w:sz w:val="20"/>
                <w:szCs w:val="20"/>
              </w:rPr>
              <w:br/>
              <w:t xml:space="preserve">простои в месяц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55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 4х ч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1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3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3521" w:type="dxa"/>
            <w:vAlign w:val="center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Время восстановления </w:t>
            </w:r>
            <w:r>
              <w:rPr>
                <w:rFonts w:eastAsia="Calibri"/>
                <w:color w:val="000000"/>
                <w:sz w:val="20"/>
                <w:szCs w:val="20"/>
              </w:rPr>
              <w:br/>
              <w:t xml:space="preserve">при аварии (RTO)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55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ч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1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4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3521" w:type="dxa"/>
            <w:vAlign w:val="center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Срок утраты данных при аварии (RPO)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55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 ч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1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5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3521" w:type="dxa"/>
            <w:vAlign w:val="center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Требуемый режим работы АИС ОКО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55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в рабочие дни с 08-00 до 17-00 московского времени (модуль СОВА должен работать круглосуточно для выполнения требований действующего законодательства РФ)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1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6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3521" w:type="dxa"/>
            <w:vAlign w:val="center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Доступность ИТ специалистов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55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в рабочие дни с 08-00 до 17-00 московского времени;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в остальное время, а также в выходные и праздничные дни по</w:t>
            </w:r>
            <w:r>
              <w:rPr>
                <w:rFonts w:eastAsia="Calibri"/>
                <w:color w:val="000000"/>
                <w:sz w:val="20"/>
                <w:szCs w:val="20"/>
              </w:rPr>
              <w:t xml:space="preserve"> согласованию сторон Исполнитель обеспечивает выполнение работ, при уведомлении его Заказчиком письменно или по электронной почте не позднее одного рабочего дня до начала выполнения работ в нерабочее время (модуль СОВА должен быть обеспечен круглосуточной </w:t>
            </w:r>
            <w:r>
              <w:rPr>
                <w:rFonts w:eastAsia="Calibri"/>
                <w:color w:val="000000"/>
                <w:sz w:val="20"/>
                <w:szCs w:val="20"/>
              </w:rPr>
              <w:t xml:space="preserve">технической поддержкой для выполнения требований действующего законодательства РФ).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1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7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3521" w:type="dxa"/>
            <w:vAlign w:val="center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Время проведения техобслуживания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557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с 20:00 до 0</w:t>
            </w:r>
            <w:r>
              <w:rPr>
                <w:rFonts w:eastAsia="Calibri"/>
                <w:color w:val="000000"/>
                <w:sz w:val="20"/>
                <w:szCs w:val="20"/>
                <w:lang w:val="en-US"/>
              </w:rPr>
              <w:t xml:space="preserve">6</w:t>
            </w:r>
            <w:r>
              <w:rPr>
                <w:rFonts w:eastAsia="Calibri"/>
                <w:color w:val="000000"/>
                <w:sz w:val="20"/>
                <w:szCs w:val="20"/>
              </w:rPr>
              <w:t xml:space="preserve">:00 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</w:tbl>
    <w:p>
      <w:pPr>
        <w:numPr>
          <w:ilvl w:val="1"/>
          <w:numId w:val="37"/>
        </w:numPr>
        <w:ind w:left="0" w:firstLine="709"/>
        <w:jc w:val="both"/>
        <w:keepLines/>
        <w:keepNext/>
        <w:spacing w:before="240"/>
        <w:rPr>
          <w:b/>
          <w:color w:val="000000"/>
          <w:sz w:val="26"/>
          <w:szCs w:val="26"/>
          <w:lang w:eastAsia="en-US"/>
        </w:rPr>
        <w:outlineLvl w:val="0"/>
      </w:pPr>
      <w:r/>
      <w:bookmarkStart w:id="20" w:name="_Ref113470315"/>
      <w:r/>
      <w:bookmarkStart w:id="21" w:name="_Toc238629784"/>
      <w:r>
        <w:rPr>
          <w:b/>
          <w:color w:val="000000"/>
          <w:sz w:val="26"/>
          <w:szCs w:val="26"/>
          <w:lang w:eastAsia="en-US"/>
        </w:rPr>
        <w:t xml:space="preserve">Зона охвата Услуг</w:t>
      </w:r>
      <w:bookmarkEnd w:id="20"/>
      <w:r/>
      <w:bookmarkEnd w:id="21"/>
      <w:r>
        <w:rPr>
          <w:b/>
          <w:color w:val="000000"/>
          <w:sz w:val="26"/>
          <w:szCs w:val="26"/>
          <w:lang w:eastAsia="en-US"/>
        </w:rPr>
      </w:r>
      <w:r>
        <w:rPr>
          <w:b/>
          <w:color w:val="000000"/>
          <w:sz w:val="26"/>
          <w:szCs w:val="26"/>
          <w:lang w:eastAsia="en-US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Программные, </w:t>
      </w:r>
      <w:r>
        <w:rPr>
          <w:color w:val="000000"/>
          <w:sz w:val="26"/>
          <w:szCs w:val="20"/>
        </w:rPr>
        <w:t xml:space="preserve">аппаратные и инженерные </w:t>
      </w:r>
      <w:r>
        <w:rPr>
          <w:rFonts w:eastAsia="Calibri"/>
          <w:color w:val="000000"/>
          <w:sz w:val="26"/>
          <w:szCs w:val="26"/>
        </w:rPr>
        <w:t xml:space="preserve">компоненты АИС ОКО, в отношении которых оказываются Услуги в соответствии с настоящим ТЗ указаны в </w:t>
      </w:r>
      <w:r>
        <w:rPr>
          <w:rFonts w:eastAsia="Calibri"/>
          <w:color w:val="000000"/>
          <w:sz w:val="26"/>
          <w:szCs w:val="26"/>
        </w:rPr>
        <w:fldChar w:fldCharType="begin"/>
      </w:r>
      <w:r>
        <w:rPr>
          <w:rFonts w:eastAsia="Calibri"/>
          <w:color w:val="000000"/>
          <w:sz w:val="26"/>
          <w:szCs w:val="26"/>
        </w:rPr>
        <w:instrText xml:space="preserve"> REF _Ref113469686 \h  \* MERGEFORMAT </w:instrText>
      </w:r>
      <w:r>
        <w:rPr>
          <w:rFonts w:eastAsia="Calibri"/>
          <w:color w:val="000000"/>
          <w:sz w:val="26"/>
          <w:szCs w:val="26"/>
        </w:rPr>
        <w:fldChar w:fldCharType="separate"/>
      </w:r>
      <w:r>
        <w:rPr>
          <w:rFonts w:eastAsia="Calibri"/>
          <w:color w:val="000000"/>
          <w:sz w:val="26"/>
          <w:szCs w:val="26"/>
        </w:rPr>
        <w:t xml:space="preserve">Табл. 5</w:t>
      </w:r>
      <w:r>
        <w:rPr>
          <w:rFonts w:eastAsia="Calibri"/>
          <w:color w:val="000000"/>
          <w:sz w:val="26"/>
          <w:szCs w:val="26"/>
        </w:rPr>
        <w:fldChar w:fldCharType="end"/>
      </w:r>
      <w:r>
        <w:rPr>
          <w:rFonts w:eastAsia="Calibri"/>
          <w:color w:val="000000"/>
          <w:sz w:val="26"/>
          <w:szCs w:val="26"/>
        </w:rPr>
        <w:t xml:space="preserve"> Зона охвата Услуг.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jc w:val="right"/>
        <w:keepNext/>
        <w:widowControl w:val="off"/>
        <w:rPr>
          <w:color w:val="000000"/>
          <w:sz w:val="20"/>
          <w:szCs w:val="20"/>
        </w:rPr>
      </w:pPr>
      <w:r/>
      <w:bookmarkStart w:id="22" w:name="_Ref113469686"/>
      <w:r>
        <w:rPr>
          <w:color w:val="000000"/>
          <w:sz w:val="20"/>
          <w:szCs w:val="20"/>
        </w:rPr>
        <w:t xml:space="preserve">Табл. </w:t>
      </w:r>
      <w:r>
        <w:rPr>
          <w:color w:val="000000"/>
          <w:sz w:val="20"/>
          <w:szCs w:val="20"/>
        </w:rPr>
        <w:fldChar w:fldCharType="begin"/>
      </w:r>
      <w:r>
        <w:rPr>
          <w:color w:val="000000"/>
          <w:sz w:val="20"/>
          <w:szCs w:val="20"/>
        </w:rPr>
        <w:instrText xml:space="preserve"> SEQ Табл. \* ARABIC </w:instrText>
      </w:r>
      <w:r>
        <w:rPr>
          <w:color w:val="000000"/>
          <w:sz w:val="20"/>
          <w:szCs w:val="20"/>
        </w:rPr>
        <w:fldChar w:fldCharType="separate"/>
      </w:r>
      <w:r>
        <w:rPr>
          <w:color w:val="000000"/>
          <w:sz w:val="20"/>
          <w:szCs w:val="20"/>
        </w:rPr>
        <w:t xml:space="preserve">5</w:t>
      </w:r>
      <w:r>
        <w:rPr>
          <w:color w:val="000000"/>
          <w:sz w:val="20"/>
          <w:szCs w:val="20"/>
        </w:rPr>
        <w:fldChar w:fldCharType="end"/>
      </w:r>
      <w:bookmarkEnd w:id="22"/>
      <w:r>
        <w:rPr>
          <w:color w:val="000000"/>
          <w:sz w:val="20"/>
          <w:szCs w:val="20"/>
        </w:rPr>
        <w:t xml:space="preserve"> Зона охвата Услуг *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tbl>
      <w:tblPr>
        <w:tblStyle w:val="1092"/>
        <w:tblW w:w="0" w:type="auto"/>
        <w:tblLook w:val="04A0" w:firstRow="1" w:lastRow="0" w:firstColumn="1" w:lastColumn="0" w:noHBand="0" w:noVBand="1"/>
      </w:tblPr>
      <w:tblGrid>
        <w:gridCol w:w="532"/>
        <w:gridCol w:w="2157"/>
        <w:gridCol w:w="1376"/>
        <w:gridCol w:w="5421"/>
      </w:tblGrid>
      <w:tr>
        <w:tblPrEx/>
        <w:trPr/>
        <w:tc>
          <w:tcPr>
            <w:shd w:val="clear" w:color="auto" w:fill="d9d9d9"/>
            <w:tcW w:w="53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№ п/п</w:t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d9d9d9"/>
            <w:tcW w:w="21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Категория компонента </w:t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  <w:br/>
              <w:t xml:space="preserve">АИС ОКО</w:t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d9d9d9"/>
            <w:tcW w:w="13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iCs/>
                <w:color w:val="000000"/>
                <w:sz w:val="20"/>
                <w:szCs w:val="20"/>
              </w:rPr>
              <w:t xml:space="preserve">Входит в зону охвата Услуг</w:t>
            </w:r>
            <w:r>
              <w:rPr>
                <w:rFonts w:eastAsia="Calibri"/>
                <w:b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i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d9d9d9"/>
            <w:tcW w:w="54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iCs/>
                <w:color w:val="000000"/>
                <w:sz w:val="20"/>
                <w:szCs w:val="20"/>
              </w:rPr>
              <w:t xml:space="preserve">Наименование</w:t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 компонентов </w:t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  <w:br/>
              <w:t xml:space="preserve">АИС ОКО</w:t>
            </w:r>
            <w:r>
              <w:rPr>
                <w:rFonts w:eastAsia="Calibri"/>
                <w:b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iCs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3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</w:rPr>
              <w:t xml:space="preserve">1</w:t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</w:rPr>
              <w:t xml:space="preserve">Прикладное ПО</w:t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</w:p>
        </w:tc>
        <w:tc>
          <w:tcPr>
            <w:tcW w:w="137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[v]</w:t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</w:p>
        </w:tc>
        <w:tc>
          <w:tcPr>
            <w:tcW w:w="542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Модуль администрирования</w:t>
            </w:r>
            <w:r>
              <w:rPr>
                <w:rFonts w:eastAsia="Calibri"/>
                <w:iCs/>
                <w:sz w:val="20"/>
                <w:szCs w:val="20"/>
              </w:rPr>
            </w:r>
            <w:r>
              <w:rPr>
                <w:rFonts w:eastAsia="Calibri"/>
                <w:iCs/>
                <w:sz w:val="20"/>
                <w:szCs w:val="20"/>
              </w:rPr>
            </w:r>
          </w:p>
          <w:p>
            <w:p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Модуль работы с данными</w:t>
            </w:r>
            <w:r>
              <w:rPr>
                <w:rFonts w:eastAsia="Calibri"/>
                <w:iCs/>
                <w:sz w:val="20"/>
                <w:szCs w:val="20"/>
              </w:rPr>
            </w:r>
            <w:r>
              <w:rPr>
                <w:rFonts w:eastAsia="Calibri"/>
                <w:iCs/>
                <w:sz w:val="20"/>
                <w:szCs w:val="20"/>
              </w:rPr>
            </w:r>
          </w:p>
          <w:p>
            <w:p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Подсистема безопасности и доступа к данным</w:t>
            </w:r>
            <w:r>
              <w:rPr>
                <w:rFonts w:eastAsia="Calibri"/>
                <w:iCs/>
                <w:sz w:val="20"/>
                <w:szCs w:val="20"/>
              </w:rPr>
            </w:r>
            <w:r>
              <w:rPr>
                <w:rFonts w:eastAsia="Calibri"/>
                <w:iCs/>
                <w:sz w:val="20"/>
                <w:szCs w:val="20"/>
              </w:rPr>
            </w:r>
          </w:p>
          <w:p>
            <w:p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Подсистема логирования и фиксации изменений</w:t>
            </w:r>
            <w:r>
              <w:rPr>
                <w:rFonts w:eastAsia="Calibri"/>
                <w:iCs/>
                <w:sz w:val="20"/>
                <w:szCs w:val="20"/>
              </w:rPr>
            </w:r>
            <w:r>
              <w:rPr>
                <w:rFonts w:eastAsia="Calibri"/>
                <w:iCs/>
                <w:sz w:val="20"/>
                <w:szCs w:val="20"/>
              </w:rPr>
            </w:r>
          </w:p>
          <w:p>
            <w:p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Модуль записи и коррекции БП</w:t>
            </w:r>
            <w:r>
              <w:rPr>
                <w:rFonts w:eastAsia="Calibri"/>
                <w:iCs/>
                <w:sz w:val="20"/>
                <w:szCs w:val="20"/>
              </w:rPr>
            </w:r>
            <w:r>
              <w:rPr>
                <w:rFonts w:eastAsia="Calibri"/>
                <w:iCs/>
                <w:sz w:val="20"/>
                <w:szCs w:val="20"/>
              </w:rPr>
            </w:r>
          </w:p>
          <w:p>
            <w:p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Модуль отчётов</w:t>
            </w:r>
            <w:r>
              <w:rPr>
                <w:rFonts w:eastAsia="Calibri"/>
                <w:iCs/>
                <w:sz w:val="20"/>
                <w:szCs w:val="20"/>
              </w:rPr>
            </w:r>
            <w:r>
              <w:rPr>
                <w:rFonts w:eastAsia="Calibri"/>
                <w:iCs/>
                <w:sz w:val="20"/>
                <w:szCs w:val="20"/>
              </w:rPr>
            </w:r>
          </w:p>
          <w:p>
            <w:p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Модуль виджетов</w:t>
            </w:r>
            <w:r>
              <w:rPr>
                <w:rFonts w:eastAsia="Calibri"/>
                <w:iCs/>
                <w:sz w:val="20"/>
                <w:szCs w:val="20"/>
              </w:rPr>
            </w:r>
            <w:r>
              <w:rPr>
                <w:rFonts w:eastAsia="Calibri"/>
                <w:iCs/>
                <w:sz w:val="20"/>
                <w:szCs w:val="20"/>
              </w:rPr>
            </w:r>
          </w:p>
          <w:p>
            <w:p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Модуль оповещений</w:t>
            </w:r>
            <w:r>
              <w:rPr>
                <w:rFonts w:eastAsia="Calibri"/>
                <w:iCs/>
                <w:sz w:val="20"/>
                <w:szCs w:val="20"/>
              </w:rPr>
            </w:r>
            <w:r>
              <w:rPr>
                <w:rFonts w:eastAsia="Calibri"/>
                <w:iCs/>
                <w:sz w:val="20"/>
                <w:szCs w:val="20"/>
              </w:rPr>
            </w:r>
          </w:p>
          <w:p>
            <w:p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Модуль СОВА</w:t>
            </w:r>
            <w:r>
              <w:rPr>
                <w:rFonts w:eastAsia="Calibri"/>
                <w:iCs/>
                <w:sz w:val="20"/>
                <w:szCs w:val="20"/>
              </w:rPr>
            </w:r>
            <w:r>
              <w:rPr>
                <w:rFonts w:eastAsia="Calibri"/>
                <w:iCs/>
                <w:sz w:val="20"/>
                <w:szCs w:val="20"/>
              </w:rPr>
            </w:r>
          </w:p>
          <w:p>
            <w:p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Интерфейс сервиса распознавания текста</w:t>
            </w:r>
            <w:r>
              <w:rPr>
                <w:rFonts w:eastAsia="Calibri"/>
                <w:iCs/>
                <w:sz w:val="20"/>
                <w:szCs w:val="20"/>
              </w:rPr>
            </w:r>
            <w:r>
              <w:rPr>
                <w:rFonts w:eastAsia="Calibri"/>
                <w:iCs/>
                <w:sz w:val="20"/>
                <w:szCs w:val="20"/>
              </w:rPr>
            </w:r>
          </w:p>
          <w:p>
            <w:pPr>
              <w:jc w:val="both"/>
              <w:rPr>
                <w:rFonts w:eastAsia="Calibri"/>
                <w:iCs/>
                <w:color w:val="00b0f0"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Пользовательский интерфейс</w:t>
            </w:r>
            <w:r>
              <w:rPr>
                <w:rFonts w:eastAsia="Calibri"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Cs/>
                <w:color w:val="00b0f0"/>
                <w:sz w:val="20"/>
                <w:szCs w:val="20"/>
              </w:rPr>
            </w:r>
          </w:p>
        </w:tc>
      </w:tr>
      <w:tr>
        <w:tblPrEx/>
        <w:trPr/>
        <w:tc>
          <w:tcPr>
            <w:tcW w:w="53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</w:rPr>
              <w:t xml:space="preserve">2</w:t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Интеграционные механизмы</w:t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</w:p>
        </w:tc>
        <w:tc>
          <w:tcPr>
            <w:tcW w:w="137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[v]</w:t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</w:p>
        </w:tc>
        <w:tc>
          <w:tcPr>
            <w:tcW w:w="542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iCs/>
                <w:color w:val="00b0f0"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Модули интеграции АИС ОКО с внешними АИС</w:t>
            </w:r>
            <w:r>
              <w:rPr>
                <w:rFonts w:eastAsia="Calibri"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Cs/>
                <w:color w:val="00b0f0"/>
                <w:sz w:val="20"/>
                <w:szCs w:val="20"/>
              </w:rPr>
            </w:r>
          </w:p>
        </w:tc>
      </w:tr>
      <w:tr>
        <w:tblPrEx/>
        <w:trPr/>
        <w:tc>
          <w:tcPr>
            <w:tcW w:w="53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</w:rPr>
              <w:t xml:space="preserve">3</w:t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</w:rPr>
              <w:t xml:space="preserve">Системное ПО</w:t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</w:p>
        </w:tc>
        <w:tc>
          <w:tcPr>
            <w:tcW w:w="137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</w:rPr>
              <w:t xml:space="preserve">[v]</w:t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</w:p>
        </w:tc>
        <w:tc>
          <w:tcPr>
            <w:tcW w:w="542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iCs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СУБД </w:t>
            </w:r>
            <w:r>
              <w:rPr>
                <w:rFonts w:eastAsia="Calibri"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Cs/>
                <w:color w:val="00b0f0"/>
                <w:sz w:val="20"/>
                <w:szCs w:val="20"/>
              </w:rPr>
            </w:r>
          </w:p>
        </w:tc>
      </w:tr>
      <w:tr>
        <w:tblPrEx/>
        <w:trPr/>
        <w:tc>
          <w:tcPr>
            <w:tcW w:w="53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  <w:lang w:val="en-US"/>
              </w:rPr>
              <w:t xml:space="preserve">4</w:t>
            </w:r>
            <w:r>
              <w:rPr>
                <w:rFonts w:eastAsia="Calibri"/>
                <w:iCs/>
                <w:color w:val="000000"/>
                <w:sz w:val="20"/>
                <w:szCs w:val="20"/>
                <w:lang w:val="en-US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  <w:lang w:val="en-US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</w:rPr>
              <w:t xml:space="preserve">Системное ПО</w:t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</w:p>
        </w:tc>
        <w:tc>
          <w:tcPr>
            <w:tcW w:w="137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</w:rPr>
              <w:t xml:space="preserve">[v]</w:t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</w:p>
        </w:tc>
        <w:tc>
          <w:tcPr>
            <w:tcW w:w="542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Интегрированная платформа для создания приложений, библиотека подпрограмм (</w:t>
            </w:r>
            <w:r>
              <w:rPr>
                <w:sz w:val="20"/>
                <w:szCs w:val="20"/>
                <w:lang w:val="en-US"/>
              </w:rPr>
              <w:t xml:space="preserve">SDK</w:t>
            </w:r>
            <w:r>
              <w:rPr>
                <w:sz w:val="20"/>
                <w:szCs w:val="20"/>
              </w:rPr>
              <w:t xml:space="preserve">), среда разработки, тестирования и отладки </w:t>
            </w:r>
            <w:r>
              <w:rPr>
                <w:sz w:val="20"/>
                <w:szCs w:val="20"/>
                <w:lang w:val="en-US"/>
              </w:rPr>
              <w:t xml:space="preserve">Jmix</w:t>
            </w:r>
            <w:r>
              <w:rPr>
                <w:rFonts w:eastAsia="Calibri"/>
                <w:iCs/>
                <w:sz w:val="20"/>
                <w:szCs w:val="20"/>
              </w:rPr>
            </w:r>
            <w:r>
              <w:rPr>
                <w:rFonts w:eastAsia="Calibri"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53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  <w:lang w:val="en-US"/>
              </w:rPr>
              <w:t xml:space="preserve">5</w:t>
            </w:r>
            <w:r>
              <w:rPr>
                <w:rFonts w:eastAsia="Calibri"/>
                <w:iCs/>
                <w:color w:val="000000"/>
                <w:sz w:val="20"/>
                <w:szCs w:val="20"/>
                <w:lang w:val="en-US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  <w:lang w:val="en-US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Виртуальная инфраструктура</w:t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</w:p>
        </w:tc>
        <w:tc>
          <w:tcPr>
            <w:tcW w:w="137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[x]</w:t>
            </w:r>
            <w:r>
              <w:rPr>
                <w:rFonts w:eastAsia="Calibri"/>
                <w:iCs/>
                <w:sz w:val="20"/>
                <w:szCs w:val="20"/>
              </w:rPr>
            </w:r>
            <w:r>
              <w:rPr>
                <w:rFonts w:eastAsia="Calibri"/>
                <w:iCs/>
                <w:sz w:val="20"/>
                <w:szCs w:val="20"/>
              </w:rPr>
            </w:r>
          </w:p>
        </w:tc>
        <w:tc>
          <w:tcPr>
            <w:tcW w:w="542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Виртуальный сервер</w:t>
            </w:r>
            <w:r>
              <w:rPr>
                <w:rFonts w:eastAsia="Calibri"/>
                <w:iCs/>
                <w:sz w:val="20"/>
                <w:szCs w:val="20"/>
              </w:rPr>
            </w:r>
            <w:r>
              <w:rPr>
                <w:rFonts w:eastAsia="Calibri"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53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</w:rPr>
              <w:t xml:space="preserve">6</w:t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Аппаратная инфраструктура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37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[x]</w:t>
            </w: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542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Физический сервер</w:t>
            </w:r>
            <w:r>
              <w:rPr>
                <w:rFonts w:eastAsia="Calibri"/>
                <w:iCs/>
                <w:sz w:val="20"/>
                <w:szCs w:val="20"/>
              </w:rPr>
            </w:r>
            <w:r>
              <w:rPr>
                <w:rFonts w:eastAsia="Calibri"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53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</w:rPr>
              <w:t xml:space="preserve">7</w:t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Прочее оборудование</w:t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</w:p>
        </w:tc>
        <w:tc>
          <w:tcPr>
            <w:tcW w:w="137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[x]</w:t>
            </w:r>
            <w:r>
              <w:rPr>
                <w:rFonts w:eastAsia="Calibri"/>
                <w:iCs/>
                <w:sz w:val="20"/>
                <w:szCs w:val="20"/>
              </w:rPr>
            </w:r>
            <w:r>
              <w:rPr>
                <w:rFonts w:eastAsia="Calibri"/>
                <w:iCs/>
                <w:sz w:val="20"/>
                <w:szCs w:val="20"/>
              </w:rPr>
            </w:r>
          </w:p>
        </w:tc>
        <w:tc>
          <w:tcPr>
            <w:tcW w:w="542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i/>
                <w:iCs/>
                <w:color w:val="00b0f0"/>
                <w:sz w:val="20"/>
                <w:szCs w:val="20"/>
              </w:rPr>
            </w:pP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</w:p>
        </w:tc>
      </w:tr>
      <w:tr>
        <w:tblPrEx/>
        <w:trPr/>
        <w:tc>
          <w:tcPr>
            <w:tcW w:w="532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</w:rPr>
              <w:t xml:space="preserve">8</w:t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</w:p>
        </w:tc>
        <w:tc>
          <w:tcPr>
            <w:tcW w:w="2157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Инженерные системы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37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[x]</w:t>
            </w: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542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i/>
                <w:iCs/>
                <w:color w:val="00b0f0"/>
                <w:sz w:val="20"/>
                <w:szCs w:val="20"/>
              </w:rPr>
            </w:pP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  <w:r>
              <w:rPr>
                <w:rFonts w:eastAsia="Calibri"/>
                <w:i/>
                <w:iCs/>
                <w:color w:val="00b0f0"/>
                <w:sz w:val="20"/>
                <w:szCs w:val="20"/>
              </w:rPr>
            </w:r>
          </w:p>
        </w:tc>
      </w:tr>
    </w:tbl>
    <w:p>
      <w:pPr>
        <w:jc w:val="both"/>
        <w:rPr>
          <w:rFonts w:eastAsia="Calibri"/>
          <w:i/>
          <w:iCs/>
          <w:color w:val="000000"/>
          <w:sz w:val="20"/>
          <w:szCs w:val="20"/>
        </w:rPr>
      </w:pPr>
      <w:r>
        <w:rPr>
          <w:rFonts w:eastAsia="Calibri"/>
          <w:i/>
          <w:iCs/>
          <w:color w:val="000000"/>
          <w:sz w:val="20"/>
          <w:szCs w:val="20"/>
        </w:rPr>
        <w:t xml:space="preserve">* [x] – компонент не входит в зону охвата Услуги, [v] –  компонент входит в зону охвата Услуги.</w:t>
      </w:r>
      <w:r>
        <w:rPr>
          <w:rFonts w:eastAsia="Calibri"/>
          <w:i/>
          <w:iCs/>
          <w:color w:val="000000"/>
          <w:sz w:val="20"/>
          <w:szCs w:val="20"/>
        </w:rPr>
      </w:r>
      <w:r>
        <w:rPr>
          <w:rFonts w:eastAsia="Calibri"/>
          <w:i/>
          <w:iCs/>
          <w:color w:val="000000"/>
          <w:sz w:val="20"/>
          <w:szCs w:val="20"/>
        </w:rPr>
      </w:r>
    </w:p>
    <w:p>
      <w:pPr>
        <w:jc w:val="both"/>
        <w:rPr>
          <w:rFonts w:eastAsia="Calibri"/>
          <w:i/>
          <w:iCs/>
          <w:color w:val="000000"/>
          <w:sz w:val="20"/>
          <w:szCs w:val="20"/>
        </w:rPr>
      </w:pPr>
      <w:r>
        <w:rPr>
          <w:rFonts w:eastAsia="Calibri"/>
          <w:i/>
          <w:iCs/>
          <w:color w:val="000000"/>
          <w:sz w:val="20"/>
          <w:szCs w:val="20"/>
        </w:rPr>
      </w:r>
      <w:r>
        <w:rPr>
          <w:rFonts w:eastAsia="Calibri"/>
          <w:i/>
          <w:iCs/>
          <w:color w:val="000000"/>
          <w:sz w:val="20"/>
          <w:szCs w:val="20"/>
        </w:rPr>
      </w:r>
      <w:r>
        <w:rPr>
          <w:rFonts w:eastAsia="Calibri"/>
          <w:i/>
          <w:iCs/>
          <w:color w:val="000000"/>
          <w:sz w:val="20"/>
          <w:szCs w:val="20"/>
        </w:rPr>
      </w:r>
    </w:p>
    <w:p>
      <w:pPr>
        <w:numPr>
          <w:ilvl w:val="1"/>
          <w:numId w:val="37"/>
        </w:numPr>
        <w:ind w:left="0" w:firstLine="709"/>
        <w:jc w:val="both"/>
        <w:keepLines/>
        <w:keepNext/>
        <w:spacing w:before="240"/>
        <w:rPr>
          <w:b/>
          <w:color w:val="000000"/>
          <w:sz w:val="26"/>
          <w:szCs w:val="26"/>
          <w:lang w:eastAsia="en-US"/>
        </w:rPr>
        <w:outlineLvl w:val="0"/>
      </w:pPr>
      <w:r/>
      <w:bookmarkStart w:id="23" w:name="_Toc238629785"/>
      <w:r/>
      <w:bookmarkStart w:id="24" w:name="_Ref113476436"/>
      <w:r/>
      <w:bookmarkEnd w:id="13"/>
      <w:r>
        <w:rPr>
          <w:b/>
          <w:color w:val="000000"/>
          <w:sz w:val="26"/>
          <w:szCs w:val="26"/>
          <w:lang w:eastAsia="en-US"/>
        </w:rPr>
        <w:t xml:space="preserve">Ограничения в части оказания Услуг</w:t>
      </w:r>
      <w:bookmarkEnd w:id="23"/>
      <w:r>
        <w:rPr>
          <w:b/>
          <w:color w:val="000000"/>
          <w:sz w:val="26"/>
          <w:szCs w:val="26"/>
          <w:lang w:eastAsia="en-US"/>
        </w:rPr>
      </w:r>
      <w:r>
        <w:rPr>
          <w:b/>
          <w:color w:val="000000"/>
          <w:sz w:val="26"/>
          <w:szCs w:val="26"/>
          <w:lang w:eastAsia="en-US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Услуги </w:t>
      </w:r>
      <w:r>
        <w:rPr>
          <w:rFonts w:eastAsia="Calibri"/>
          <w:iCs/>
          <w:sz w:val="26"/>
          <w:szCs w:val="26"/>
        </w:rPr>
        <w:t xml:space="preserve">не включают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color w:val="000000"/>
          <w:sz w:val="26"/>
          <w:szCs w:val="26"/>
        </w:rPr>
        <w:t xml:space="preserve">работы по настройке, ремонту или замене каких-либо аппаратных компонентов АИС ОКО.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Услуги не </w:t>
      </w:r>
      <w:r>
        <w:rPr>
          <w:rFonts w:eastAsia="Calibri"/>
          <w:iCs/>
          <w:sz w:val="26"/>
          <w:szCs w:val="26"/>
        </w:rPr>
        <w:t xml:space="preserve">включают</w:t>
      </w:r>
      <w:r>
        <w:rPr>
          <w:rFonts w:eastAsia="Calibri"/>
          <w:color w:val="000000"/>
          <w:sz w:val="26"/>
          <w:szCs w:val="26"/>
        </w:rPr>
        <w:t xml:space="preserve"> устранение последствий, возникших в результате: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злонамеренных действий Заказчика или третьих лиц по отношению к АИС ОКО;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действий Заказчика или третьих лиц, если они были совершены вопреки эксплуатационной документации на АИС ОКО;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проблем, относящихся к сторонним программным, аппаратным или инженерным</w:t>
      </w:r>
      <w:r>
        <w:rPr>
          <w:rFonts w:eastAsia="Calibri"/>
          <w:i/>
          <w:iCs/>
          <w:color w:val="000000"/>
          <w:sz w:val="20"/>
          <w:szCs w:val="20"/>
        </w:rPr>
        <w:t xml:space="preserve"> </w:t>
      </w:r>
      <w:r>
        <w:rPr>
          <w:rFonts w:eastAsia="Calibri"/>
          <w:color w:val="000000"/>
          <w:sz w:val="26"/>
          <w:szCs w:val="26"/>
        </w:rPr>
        <w:t xml:space="preserve">компонентам, не входящим в состав АИС ОКО;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использования Заказчиком в составе АИС ОКО аппаратных компонентов, не соответствующих требованиям к АИС ОКО;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использования Заказчиком АИС ОКО в среде, способом или в целях, для которых АИС ОКО не была предназначена;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установки, перенастройки, модификации программных, аппаратных или инженерных компонентов АИС ОКО без предварительного уведомления Исполнителя.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Исполнение задач, связанных с устранением вышеуказанных последствий, реализуется </w:t>
      </w:r>
      <w:r>
        <w:rPr>
          <w:rFonts w:eastAsia="Calibri"/>
          <w:iCs/>
          <w:sz w:val="26"/>
          <w:szCs w:val="26"/>
        </w:rPr>
        <w:t xml:space="preserve">вне параметров стандартов непрерывности (п.3.3.2) и не является штатным процессом оказания Услуг</w:t>
      </w:r>
      <w:r>
        <w:rPr>
          <w:rFonts w:eastAsia="Calibri"/>
          <w:color w:val="000000"/>
          <w:sz w:val="26"/>
          <w:szCs w:val="26"/>
        </w:rPr>
        <w:t xml:space="preserve">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Услуги не включают выдачу сертификатов, подтверждающих квалификацию Пользователей для работы с АИС ОКО.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Услуги не включают участие специалистов Исполни</w:t>
      </w:r>
      <w:r>
        <w:rPr>
          <w:rFonts w:eastAsia="Calibri"/>
          <w:color w:val="000000"/>
          <w:sz w:val="26"/>
          <w:szCs w:val="26"/>
        </w:rPr>
        <w:t xml:space="preserve">теля в различного рода мероприятиях Заказчика, не связанных с АИС ОКО. Все задачи, связанные с Услугами, подаются Заказчиком в виде заявок в Службу технической поддержки Исполнителя, в том числе по вопросам взаимодействия АИС ОКО со смежными АИС Заказчика.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Исполнителю запрещено производить несанкционированные изменения текущей конфигурации компонентов АИС ОКО (ниже уровня, указанного в зоне охвата Услуг) и журналов регистрации системных событий АИС ОКО Заказчика.</w:t>
      </w:r>
      <w:bookmarkEnd w:id="24"/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</w:r>
      <w:r>
        <w:rPr>
          <w:rFonts w:eastAsia="Calibri"/>
          <w:sz w:val="20"/>
          <w:szCs w:val="20"/>
        </w:rPr>
      </w:r>
      <w:r>
        <w:rPr>
          <w:rFonts w:eastAsia="Calibri"/>
          <w:sz w:val="20"/>
          <w:szCs w:val="20"/>
        </w:rPr>
      </w:r>
    </w:p>
    <w:p>
      <w:pPr>
        <w:numPr>
          <w:ilvl w:val="1"/>
          <w:numId w:val="37"/>
        </w:numPr>
        <w:ind w:left="1429"/>
        <w:jc w:val="both"/>
        <w:keepLines/>
        <w:keepNext/>
        <w:spacing w:before="240"/>
        <w:rPr>
          <w:b/>
          <w:color w:val="000000"/>
          <w:sz w:val="26"/>
          <w:szCs w:val="26"/>
          <w:lang w:eastAsia="en-US"/>
        </w:rPr>
        <w:outlineLvl w:val="0"/>
      </w:pPr>
      <w:r/>
      <w:bookmarkStart w:id="25" w:name="_Toc238629786"/>
      <w:r/>
      <w:bookmarkStart w:id="26" w:name="_GoBack"/>
      <w:r/>
      <w:bookmarkEnd w:id="26"/>
      <w:r>
        <w:rPr>
          <w:b/>
          <w:color w:val="000000"/>
          <w:sz w:val="26"/>
          <w:szCs w:val="26"/>
          <w:lang w:eastAsia="en-US"/>
        </w:rPr>
        <w:t xml:space="preserve">Требования к квалификации и персоналу Исполнителя</w:t>
      </w:r>
      <w:bookmarkEnd w:id="25"/>
      <w:r>
        <w:rPr>
          <w:b/>
          <w:color w:val="000000"/>
          <w:sz w:val="26"/>
          <w:szCs w:val="26"/>
          <w:lang w:eastAsia="en-US"/>
        </w:rPr>
      </w:r>
      <w:r>
        <w:rPr>
          <w:b/>
          <w:color w:val="000000"/>
          <w:sz w:val="26"/>
          <w:szCs w:val="26"/>
          <w:lang w:eastAsia="en-US"/>
        </w:rPr>
      </w:r>
    </w:p>
    <w:p>
      <w:pPr>
        <w:numPr>
          <w:ilvl w:val="2"/>
          <w:numId w:val="37"/>
        </w:numPr>
        <w:ind w:left="0" w:firstLine="709"/>
        <w:jc w:val="both"/>
        <w:spacing w:before="120" w:after="120"/>
        <w:widowControl w:val="off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В </w:t>
      </w:r>
      <w:r>
        <w:rPr>
          <w:sz w:val="26"/>
          <w:szCs w:val="26"/>
        </w:rPr>
        <w:t xml:space="preserve">связи с наличием в составе оказываемых услуг видов деятельности, подлежащих лицензированию в соответствии с законодательством Российской Федерации, Исполнитель должен обладать действующей лицензией ФСТЭК России </w:t>
      </w:r>
      <w:hyperlink r:id="rId16" w:tooltip="https://reestr.fstec.ru/reg1" w:history="1">
        <w:r>
          <w:rPr>
            <w:sz w:val="26"/>
            <w:szCs w:val="26"/>
            <w:u w:val="single"/>
          </w:rPr>
          <w:t xml:space="preserve">(занесена в реестр ФСТЭК по адресу https://reestr.fstec.ru/reg1),</w:t>
        </w:r>
      </w:hyperlink>
      <w:r>
        <w:rPr>
          <w:sz w:val="26"/>
          <w:szCs w:val="26"/>
        </w:rPr>
        <w:t xml:space="preserve"> выданной согласно постановлению Правительства РФ от 03.02.2012 N 79</w:t>
      </w:r>
      <w:r>
        <w:rPr>
          <w:sz w:val="26"/>
          <w:szCs w:val="26"/>
        </w:rPr>
        <w:br/>
        <w:t xml:space="preserve"> «О лицензировании деятельности по технической защите конфиденциальной информации» или документом, подтверждающим наличие действующей лицензии, а именно уведомления о предоставлении лицензии лицензиату или выписки из реестра лицензий, направленных</w:t>
      </w:r>
      <w:r>
        <w:rPr>
          <w:sz w:val="26"/>
          <w:szCs w:val="26"/>
        </w:rPr>
        <w:t xml:space="preserve"> лицензиату в соответствии с ч. 5.1, ст. 14  Федерального закона от 04.05.2011 № 99-ФЗ «О лицензировании отдельных видов деятельности», на деятельность по технической защите конфиденциальной информации в части выполнения и оказания следующих работ и услуг: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numPr>
          <w:ilvl w:val="0"/>
          <w:numId w:val="47"/>
        </w:numPr>
        <w:contextualSpacing/>
        <w:ind w:hanging="357"/>
        <w:jc w:val="both"/>
        <w:spacing w:after="200"/>
        <w:rPr>
          <w:sz w:val="26"/>
          <w:szCs w:val="26"/>
        </w:rPr>
      </w:pPr>
      <w:r>
        <w:rPr>
          <w:sz w:val="26"/>
          <w:szCs w:val="26"/>
        </w:rPr>
        <w:t xml:space="preserve">услуги по контролю защищенности конфиденциальной информации от несанкционированного доступа и ее модификации в средствах и системах информатизации;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numPr>
          <w:ilvl w:val="0"/>
          <w:numId w:val="47"/>
        </w:numPr>
        <w:contextualSpacing/>
        <w:ind w:hanging="357"/>
        <w:jc w:val="both"/>
        <w:spacing w:after="200"/>
        <w:rPr>
          <w:sz w:val="26"/>
          <w:szCs w:val="26"/>
        </w:rPr>
      </w:pPr>
      <w:r>
        <w:rPr>
          <w:sz w:val="26"/>
          <w:szCs w:val="26"/>
        </w:rPr>
        <w:t xml:space="preserve">услуги по установке, монтажу, наладке, испытаниям, ремонту средств защиты информации (технических средств защиты информации, защищенных технических средств обработки информации, технических средств контроля эффективно</w:t>
      </w:r>
      <w:r>
        <w:rPr>
          <w:sz w:val="26"/>
          <w:szCs w:val="26"/>
        </w:rPr>
        <w:t xml:space="preserve">сти мер защиты информации, программных (программно-технических) средств защиты информации, защищенных программных (программно-технических) средств обработки информации, программных (программно-технических) средств контроля эффективности защиты информации);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numPr>
          <w:ilvl w:val="0"/>
          <w:numId w:val="47"/>
        </w:numPr>
        <w:contextualSpacing/>
        <w:ind w:hanging="357"/>
        <w:jc w:val="both"/>
        <w:spacing w:after="200"/>
        <w:rPr>
          <w:sz w:val="26"/>
          <w:szCs w:val="26"/>
        </w:rPr>
      </w:pPr>
      <w:r>
        <w:rPr>
          <w:sz w:val="26"/>
          <w:szCs w:val="26"/>
        </w:rPr>
        <w:t xml:space="preserve">работы и услуги по проектированию в защищенном исполнении средств и систем информатизации.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680"/>
        <w:jc w:val="both"/>
        <w:rPr>
          <w:rFonts w:cs="Arial"/>
          <w:sz w:val="26"/>
          <w:szCs w:val="26"/>
          <w:lang w:eastAsia="en-US" w:bidi="en-US"/>
        </w:rPr>
      </w:pPr>
      <w:r>
        <w:rPr>
          <w:rFonts w:cs="Arial"/>
          <w:sz w:val="26"/>
          <w:szCs w:val="26"/>
          <w:lang w:eastAsia="en-US" w:bidi="en-US"/>
        </w:rPr>
        <w:t xml:space="preserve">В подтверждение участник в составе своей заявки предоставляет копию лицензии или документ, подтверждающий наличие лицензии ФСТЭК России.</w:t>
      </w:r>
      <w:r>
        <w:rPr>
          <w:rFonts w:cs="Arial"/>
          <w:sz w:val="26"/>
          <w:szCs w:val="26"/>
          <w:lang w:eastAsia="en-US" w:bidi="en-US"/>
        </w:rPr>
      </w:r>
      <w:r>
        <w:rPr>
          <w:rFonts w:cs="Arial"/>
          <w:sz w:val="26"/>
          <w:szCs w:val="26"/>
          <w:lang w:eastAsia="en-US" w:bidi="en-US"/>
        </w:rPr>
      </w:r>
    </w:p>
    <w:p>
      <w:pPr>
        <w:numPr>
          <w:ilvl w:val="2"/>
          <w:numId w:val="44"/>
        </w:numPr>
        <w:ind w:left="0" w:firstLine="567"/>
        <w:jc w:val="both"/>
        <w:spacing w:before="120" w:after="120"/>
        <w:widowControl w:val="off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Исполните</w:t>
      </w:r>
      <w:r>
        <w:rPr>
          <w:rFonts w:eastAsia="Calibri"/>
          <w:sz w:val="26"/>
          <w:szCs w:val="26"/>
        </w:rPr>
        <w:t xml:space="preserve">ль должен являться официальным партнером-разработчиком фирмы ООО «Хоулмонт» по продаже и внедрению платформы Jmix и иметь статус «Сертифицированный партнер-разработчик» (должна быть представлена копия сертификата/свидетельства в составе конкурсной заявки).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numPr>
          <w:ilvl w:val="2"/>
          <w:numId w:val="44"/>
        </w:numPr>
        <w:ind w:left="0" w:firstLine="567"/>
        <w:jc w:val="both"/>
        <w:spacing w:before="120" w:after="120"/>
        <w:widowControl w:val="off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Участник должен иметь опыт оказания услуг за последние 3 года (не менее двух исполненных или находящегося к моменту участия в закупке в процессе исполнения договор по аналогичным услуга</w:t>
      </w:r>
      <w:r>
        <w:rPr>
          <w:rFonts w:eastAsia="Calibri"/>
          <w:sz w:val="26"/>
          <w:szCs w:val="26"/>
        </w:rPr>
        <w:t xml:space="preserve">м, стоимость выполненного договора или стоимость исполненного объема находящегося в процессе исполнения договора без учета НДС по аналогичным услугам не должна быть меньше 80 процентов стоимости начальной (максимальной) цены настоящей закупки без учета НДС</w:t>
      </w:r>
      <w:r>
        <w:rPr>
          <w:rFonts w:eastAsia="Calibri"/>
          <w:sz w:val="26"/>
          <w:szCs w:val="26"/>
        </w:rPr>
        <w:t xml:space="preserve">). Под договорами по аналогичным услугам понимаются исполненные или действующие договоры на оказание услуг по технической поддержке (сопровождению) информационных систем обработки клиентских обращений в электросетевой отрасли на платформе Jmix. Является от</w:t>
      </w:r>
      <w:r>
        <w:rPr>
          <w:rFonts w:eastAsia="Calibri"/>
          <w:sz w:val="26"/>
          <w:szCs w:val="26"/>
        </w:rPr>
        <w:t xml:space="preserve">борочным критерием. Отсутствие в составе заявки участника подтверждения выполнения вышеуказанного требования является основанием для отклонения заявки участника по решению Постоянно действующей закупочной комиссии филиала ПАО «Россети Юг» - «Кубаньэнерго».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numPr>
          <w:ilvl w:val="2"/>
          <w:numId w:val="44"/>
        </w:numPr>
        <w:ind w:left="0" w:firstLine="567"/>
        <w:jc w:val="both"/>
        <w:spacing w:before="120" w:after="120"/>
        <w:widowControl w:val="off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Наличие у Исполнителя не менее одного специалиста в области управления </w:t>
      </w:r>
      <w:r>
        <w:rPr>
          <w:rFonts w:eastAsia="Calibri"/>
          <w:sz w:val="26"/>
          <w:szCs w:val="26"/>
        </w:rPr>
        <w:t xml:space="preserve">проектами. В подтверждение участник в составе своей заявки предоставляет действующий сертификат PME – «Эксперт в области управления проектами». Данный сертификат подтверждает наличие квалификации для управления проектом с предполагаемой степенью сложности.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numPr>
          <w:ilvl w:val="1"/>
          <w:numId w:val="37"/>
        </w:numPr>
        <w:ind w:left="1429"/>
        <w:jc w:val="both"/>
        <w:keepLines/>
        <w:keepNext/>
        <w:spacing w:before="240"/>
        <w:rPr>
          <w:b/>
          <w:color w:val="000000"/>
          <w:sz w:val="26"/>
          <w:szCs w:val="26"/>
          <w:lang w:eastAsia="en-US"/>
        </w:rPr>
        <w:outlineLvl w:val="0"/>
      </w:pPr>
      <w:r/>
      <w:bookmarkStart w:id="27" w:name="_Toc167803567"/>
      <w:r/>
      <w:bookmarkStart w:id="28" w:name="_Toc167803713"/>
      <w:r/>
      <w:bookmarkStart w:id="29" w:name="_Toc167803568"/>
      <w:r/>
      <w:bookmarkStart w:id="30" w:name="_Toc167803714"/>
      <w:r/>
      <w:bookmarkStart w:id="31" w:name="_Toc167803569"/>
      <w:r/>
      <w:bookmarkStart w:id="32" w:name="_Toc167803715"/>
      <w:r/>
      <w:bookmarkStart w:id="33" w:name="_Toc167803570"/>
      <w:r/>
      <w:bookmarkStart w:id="34" w:name="_Toc167803716"/>
      <w:r/>
      <w:bookmarkStart w:id="35" w:name="_Toc167803571"/>
      <w:r/>
      <w:bookmarkStart w:id="36" w:name="_Toc167803717"/>
      <w:r/>
      <w:bookmarkStart w:id="37" w:name="_Toc167803572"/>
      <w:r/>
      <w:bookmarkStart w:id="38" w:name="_Toc167803718"/>
      <w:r/>
      <w:bookmarkStart w:id="39" w:name="_Toc167803658"/>
      <w:r/>
      <w:bookmarkStart w:id="40" w:name="_Toc167803804"/>
      <w:r/>
      <w:bookmarkStart w:id="41" w:name="_Toc167803659"/>
      <w:r/>
      <w:bookmarkStart w:id="42" w:name="_Toc167803805"/>
      <w:r/>
      <w:bookmarkStart w:id="43" w:name="_Toc167803660"/>
      <w:r/>
      <w:bookmarkStart w:id="44" w:name="_Toc167803806"/>
      <w:r/>
      <w:bookmarkStart w:id="45" w:name="_Toc167803661"/>
      <w:r/>
      <w:bookmarkStart w:id="46" w:name="_Toc167803807"/>
      <w:r/>
      <w:bookmarkStart w:id="47" w:name="_Toc167803662"/>
      <w:r/>
      <w:bookmarkStart w:id="48" w:name="_Toc167803808"/>
      <w:r/>
      <w:bookmarkStart w:id="49" w:name="_Toc167803663"/>
      <w:r/>
      <w:bookmarkStart w:id="50" w:name="_Toc167803809"/>
      <w:r/>
      <w:bookmarkStart w:id="51" w:name="_Toc167803664"/>
      <w:r/>
      <w:bookmarkStart w:id="52" w:name="_Toc167803810"/>
      <w:r/>
      <w:bookmarkStart w:id="53" w:name="_Toc167803665"/>
      <w:r/>
      <w:bookmarkStart w:id="54" w:name="_Toc167803811"/>
      <w:r/>
      <w:bookmarkStart w:id="55" w:name="_Toc167803666"/>
      <w:r/>
      <w:bookmarkStart w:id="56" w:name="_Toc167803812"/>
      <w:r/>
      <w:bookmarkStart w:id="57" w:name="_Toc167803667"/>
      <w:r/>
      <w:bookmarkStart w:id="58" w:name="_Toc167803813"/>
      <w:r/>
      <w:bookmarkStart w:id="59" w:name="_Toc238629787"/>
      <w:r/>
      <w:bookmarkEnd w:id="27"/>
      <w:r/>
      <w:bookmarkEnd w:id="28"/>
      <w:r/>
      <w:bookmarkEnd w:id="29"/>
      <w:r/>
      <w:bookmarkEnd w:id="30"/>
      <w:r/>
      <w:bookmarkEnd w:id="31"/>
      <w:r/>
      <w:bookmarkEnd w:id="32"/>
      <w:r/>
      <w:bookmarkEnd w:id="33"/>
      <w:r/>
      <w:bookmarkEnd w:id="34"/>
      <w:r/>
      <w:bookmarkEnd w:id="35"/>
      <w:r/>
      <w:bookmarkEnd w:id="36"/>
      <w:r/>
      <w:bookmarkEnd w:id="37"/>
      <w:r/>
      <w:bookmarkEnd w:id="38"/>
      <w:r/>
      <w:bookmarkEnd w:id="39"/>
      <w:r/>
      <w:bookmarkEnd w:id="40"/>
      <w:r/>
      <w:bookmarkEnd w:id="41"/>
      <w:r/>
      <w:bookmarkEnd w:id="42"/>
      <w:r/>
      <w:bookmarkEnd w:id="43"/>
      <w:r/>
      <w:bookmarkEnd w:id="44"/>
      <w:r/>
      <w:bookmarkEnd w:id="45"/>
      <w:r/>
      <w:bookmarkEnd w:id="46"/>
      <w:r/>
      <w:bookmarkEnd w:id="47"/>
      <w:r/>
      <w:bookmarkEnd w:id="48"/>
      <w:r/>
      <w:bookmarkEnd w:id="49"/>
      <w:r/>
      <w:bookmarkEnd w:id="50"/>
      <w:r/>
      <w:bookmarkEnd w:id="51"/>
      <w:r/>
      <w:bookmarkEnd w:id="52"/>
      <w:r/>
      <w:bookmarkEnd w:id="53"/>
      <w:r/>
      <w:bookmarkEnd w:id="54"/>
      <w:r/>
      <w:bookmarkEnd w:id="55"/>
      <w:r/>
      <w:bookmarkEnd w:id="56"/>
      <w:r/>
      <w:bookmarkEnd w:id="57"/>
      <w:r/>
      <w:bookmarkEnd w:id="58"/>
      <w:r>
        <w:rPr>
          <w:b/>
          <w:color w:val="000000"/>
          <w:sz w:val="26"/>
          <w:szCs w:val="26"/>
          <w:lang w:eastAsia="en-US"/>
        </w:rPr>
        <w:t xml:space="preserve">Требования к режимам работы АИС ОКО</w:t>
      </w:r>
      <w:bookmarkEnd w:id="59"/>
      <w:r>
        <w:rPr>
          <w:b/>
          <w:color w:val="000000"/>
          <w:sz w:val="26"/>
          <w:szCs w:val="26"/>
          <w:lang w:eastAsia="en-US"/>
        </w:rPr>
      </w:r>
      <w:r>
        <w:rPr>
          <w:b/>
          <w:color w:val="000000"/>
          <w:sz w:val="26"/>
          <w:szCs w:val="26"/>
          <w:lang w:eastAsia="en-US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Определены следующие режимы работы АИС ОКО: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штатный;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аварийный;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режим обслуживания.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Основным режимом АИС ОКО</w:t>
      </w:r>
      <w:r>
        <w:rPr>
          <w:rFonts w:eastAsia="Calibri"/>
          <w:color w:val="00b0f0"/>
          <w:sz w:val="26"/>
          <w:szCs w:val="26"/>
        </w:rPr>
        <w:t xml:space="preserve"> </w:t>
      </w:r>
      <w:r>
        <w:rPr>
          <w:rFonts w:eastAsia="Calibri"/>
          <w:color w:val="000000"/>
          <w:sz w:val="26"/>
          <w:szCs w:val="26"/>
        </w:rPr>
        <w:t xml:space="preserve">является штатный режим. В этом режиме работают все настроенные функции АИС ОКО.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Аварийный режим работы АИС ОКО</w:t>
      </w:r>
      <w:r>
        <w:rPr>
          <w:rFonts w:eastAsia="Calibri"/>
          <w:color w:val="00b0f0"/>
          <w:sz w:val="26"/>
          <w:szCs w:val="26"/>
        </w:rPr>
        <w:t xml:space="preserve"> </w:t>
      </w:r>
      <w:r>
        <w:rPr>
          <w:rFonts w:eastAsia="Calibri"/>
          <w:color w:val="000000"/>
          <w:sz w:val="26"/>
          <w:szCs w:val="26"/>
        </w:rPr>
        <w:t xml:space="preserve">характеризуется отказом одной или нескольких функций.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Режим обслуживания АИС ОКО</w:t>
      </w:r>
      <w:r>
        <w:rPr>
          <w:rFonts w:eastAsia="Calibri"/>
          <w:color w:val="00b0f0"/>
          <w:sz w:val="26"/>
          <w:szCs w:val="26"/>
        </w:rPr>
        <w:t xml:space="preserve"> </w:t>
      </w:r>
      <w:r>
        <w:rPr>
          <w:rFonts w:eastAsia="Calibri"/>
          <w:color w:val="000000"/>
          <w:sz w:val="26"/>
          <w:szCs w:val="26"/>
        </w:rPr>
        <w:t xml:space="preserve">должен использоваться для выполнения операций настройки, обновления, обслуживания программных компонентов АИС ОКО. В данном режиме функции АИС ОКО</w:t>
      </w:r>
      <w:r>
        <w:rPr>
          <w:rFonts w:eastAsia="Calibri"/>
          <w:color w:val="00b0f0"/>
          <w:sz w:val="26"/>
          <w:szCs w:val="26"/>
        </w:rPr>
        <w:t xml:space="preserve"> </w:t>
      </w:r>
      <w:r>
        <w:rPr>
          <w:rFonts w:eastAsia="Calibri"/>
          <w:color w:val="000000"/>
          <w:sz w:val="26"/>
          <w:szCs w:val="26"/>
        </w:rPr>
        <w:t xml:space="preserve">полностью или частично становятся недоступными для Пользователей. Технологические перерывы на обслуживание должны быть согласованы с Заказчиком. 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Все необходимые регламентные работы должны проводиться после согласования с Заказчиком в части объема, состава, времени и продолжительности.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0"/>
          <w:numId w:val="38"/>
        </w:numPr>
        <w:jc w:val="both"/>
        <w:keepLines/>
        <w:keepNext/>
        <w:spacing w:before="240"/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outlineLvl w:val="0"/>
      </w:pPr>
      <w:r/>
      <w:bookmarkStart w:id="60" w:name="_Toc238629788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t xml:space="preserve">Требования к видам обеспечения</w:t>
      </w:r>
      <w:bookmarkEnd w:id="60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</w:p>
    <w:p>
      <w:pPr>
        <w:numPr>
          <w:ilvl w:val="1"/>
          <w:numId w:val="38"/>
        </w:numPr>
        <w:ind w:hanging="579"/>
        <w:jc w:val="both"/>
        <w:keepLines/>
        <w:keepNext/>
        <w:spacing w:before="240"/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outlineLvl w:val="0"/>
      </w:pPr>
      <w:r/>
      <w:bookmarkStart w:id="61" w:name="_Toc238629789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t xml:space="preserve">Требование к документационному обеспечению</w:t>
      </w:r>
      <w:bookmarkEnd w:id="61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Обновление и настройка АИС ОКО</w:t>
      </w:r>
      <w:r>
        <w:rPr>
          <w:rFonts w:eastAsia="Calibri"/>
          <w:color w:val="00b0f0"/>
          <w:sz w:val="26"/>
          <w:szCs w:val="26"/>
        </w:rPr>
        <w:t xml:space="preserve"> </w:t>
      </w:r>
      <w:r>
        <w:rPr>
          <w:rFonts w:eastAsia="Calibri"/>
          <w:color w:val="000000"/>
          <w:sz w:val="26"/>
          <w:szCs w:val="26"/>
        </w:rPr>
        <w:t xml:space="preserve">должны сопровождаться: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предоставлением информации Пользователям по составу устанавливаемых обновлений / выполненных настроек АИС ОКО в формате документа «Список изменений»;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ind w:left="1134" w:hanging="425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передачей Исполнителем Заказчику обновленного пакета эксплуатационной документации, если обновление или настройка АИС ОКО включает настройку или корректировку существующих прикладных функций АИС ОКО, требующих соответствующих изменений в документации.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ind w:left="1134" w:hanging="425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вся документация предоставляется и корректируется на русском языке.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1"/>
          <w:numId w:val="38"/>
        </w:numPr>
        <w:ind w:hanging="579"/>
        <w:jc w:val="both"/>
        <w:keepLines/>
        <w:keepNext/>
        <w:spacing w:before="240"/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outlineLvl w:val="0"/>
      </w:pPr>
      <w:r/>
      <w:bookmarkStart w:id="62" w:name="_Toc238629790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t xml:space="preserve">Требования к организационному обеспечению</w:t>
      </w:r>
      <w:bookmarkEnd w:id="62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Стороны до начала оказания Услуг обмениваются сведениями об ответственных за оказание Услуг лицах, контактных телефонах и адресах электронной почты. 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Взаимодействие Сторон должно быть организовано в соответствии с Порядком оказания услуг, приведённом в Приложении № 3 к настоящему ТЗ.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0"/>
          <w:numId w:val="38"/>
        </w:numPr>
        <w:jc w:val="both"/>
        <w:keepLines/>
        <w:keepNext/>
        <w:spacing w:before="240"/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outlineLvl w:val="0"/>
      </w:pPr>
      <w:r/>
      <w:bookmarkStart w:id="63" w:name="_Toc238629791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t xml:space="preserve">Требования к защите информации и информационной безопасности</w:t>
      </w:r>
      <w:bookmarkEnd w:id="63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</w:p>
    <w:p>
      <w:pPr>
        <w:numPr>
          <w:ilvl w:val="1"/>
          <w:numId w:val="38"/>
        </w:numPr>
        <w:ind w:hanging="579"/>
        <w:jc w:val="both"/>
        <w:keepLines/>
        <w:keepNext/>
        <w:spacing w:before="240"/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outlineLvl w:val="0"/>
      </w:pPr>
      <w:r/>
      <w:bookmarkStart w:id="64" w:name="_Toc238629792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t xml:space="preserve">Общие требования</w:t>
      </w:r>
      <w:bookmarkEnd w:id="64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Оказание Услуг должно выполняться в соответствии с Правилами информационной безопасности, утверждёнными внутренним документом Заказчика.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Исполнитель гарантирует конфиденциальность информации Заказчика, полученной в процессе оказания Услуг, для чего обязуется подписать «Соглашение о неразглашении конфиденциальной информации», по утверждённой у Заказчика форме.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ind w:left="0" w:firstLine="709"/>
        <w:jc w:val="both"/>
        <w:widowControl w:val="off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Исполнитель обязан провести инструктаж работникам, привлекаемым к оказанию Услуг (в том числе удаленно) </w:t>
      </w:r>
      <w:r>
        <w:rPr>
          <w:rFonts w:eastAsia="Calibri"/>
          <w:color w:val="000000"/>
          <w:sz w:val="26"/>
          <w:szCs w:val="26"/>
        </w:rPr>
        <w:t xml:space="preserve">по соблюдению Правил информационной безопасности и режима конфиденциальности информации, установленными Заказчиком и предоставить Заказчику расписки об ознакомлении работников с локальными нормативными актами Заказчика о защите конфиденциальной информации.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Любая информация о функционировании информационной инфраструктуры Заказчика, ставшая известной Исполнителю, не должна без разрешения или поручения Заказчика передаваться третьим лицам. При этом, информация, содержащая</w:t>
      </w:r>
      <w:r>
        <w:rPr>
          <w:rFonts w:eastAsia="Calibri"/>
          <w:color w:val="000000"/>
          <w:sz w:val="26"/>
          <w:szCs w:val="26"/>
        </w:rPr>
        <w:t xml:space="preserve">ся в заявках Заказчика в Службу технической поддержки Исполнителя, в случае если такие заявки входят в состав Услуг, может быть передана представителям производителя, используемого ПО, если такие действия (передача информации) требуются для оказания Услуг.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Специалисты Исполнителя обязаны не препятствовать записи журналов событий, связанных с их вмешательством в работу АИС ОКО.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В случае проведения расследования инцидентов ИБ Исполнитель должен обеспечить полное содействие всех привлекаемых к обслуживанию АИС ОКО</w:t>
      </w:r>
      <w:r>
        <w:rPr>
          <w:rFonts w:eastAsia="Calibri"/>
          <w:color w:val="00b0f0"/>
          <w:sz w:val="26"/>
          <w:szCs w:val="26"/>
        </w:rPr>
        <w:t xml:space="preserve"> </w:t>
      </w:r>
      <w:r>
        <w:rPr>
          <w:rFonts w:eastAsia="Calibri"/>
          <w:color w:val="000000"/>
          <w:sz w:val="26"/>
          <w:szCs w:val="26"/>
        </w:rPr>
        <w:t xml:space="preserve">специалистов, предоставить необходимые пояснения, в том числе при необходимости в письменном и официальном виде.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Для обеспечения требований информационной безопасности должны быть предусмотрены механизмы: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pStyle w:val="1176"/>
      </w:pPr>
      <w:r>
        <w:t xml:space="preserve">идентификации и аутентификации;</w:t>
      </w:r>
      <w:r/>
    </w:p>
    <w:p>
      <w:pPr>
        <w:pStyle w:val="1176"/>
      </w:pPr>
      <w:r>
        <w:t xml:space="preserve">управления доступом;</w:t>
      </w:r>
      <w:r/>
    </w:p>
    <w:p>
      <w:pPr>
        <w:pStyle w:val="1176"/>
      </w:pPr>
      <w:r>
        <w:t xml:space="preserve">регистрации событий безопасности.</w:t>
      </w:r>
      <w:r/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Исполнитель обязан осуществлять резервное копирование, вести карточки резервного копирования (Приложение 7) согласно действующего Регламента резервного копирования и восстановления данных филиала ПАО «Россети Юг» - «Кубаньэнерго»: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pStyle w:val="1176"/>
      </w:pPr>
      <w:r>
        <w:t xml:space="preserve">должны делаться точные и полные записи резервных копий и быть разработаны документированные процедуры восстановления; </w:t>
      </w:r>
      <w:r/>
    </w:p>
    <w:p>
      <w:pPr>
        <w:pStyle w:val="1176"/>
      </w:pPr>
      <w:r>
        <w:t xml:space="preserve">объем (напри</w:t>
      </w:r>
      <w:r>
        <w:t xml:space="preserve">мер, полное или частичное копирование) и частота резервного копирования должны соответствовать бизнес-требованиям Общества, требованиям по безопасности сохраняемой информации, и важности этой информации для обеспечения непрерывности деятельности Общества; </w:t>
      </w:r>
      <w:r/>
    </w:p>
    <w:p>
      <w:pPr>
        <w:pStyle w:val="1176"/>
      </w:pPr>
      <w:r>
        <w:t xml:space="preserve">резервируемой информации должен быть обеспечен соответствующий уровень защиты, как физической, так и от угроз внешнего воздействия, согласно стандартам, применяемым в Обществе;</w:t>
      </w:r>
      <w:r/>
    </w:p>
    <w:p>
      <w:pPr>
        <w:pStyle w:val="1176"/>
      </w:pPr>
      <w:r>
        <w:t xml:space="preserve">в тех случаях, когда важна конфиденциальность, резервируемые данные должны быть защищены криптографическими средствами.</w:t>
      </w:r>
      <w:r/>
    </w:p>
    <w:p>
      <w:pPr>
        <w:numPr>
          <w:ilvl w:val="1"/>
          <w:numId w:val="38"/>
        </w:numPr>
        <w:ind w:hanging="579"/>
        <w:jc w:val="both"/>
        <w:keepLines/>
        <w:keepNext/>
        <w:spacing w:before="240"/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outlineLvl w:val="0"/>
      </w:pPr>
      <w:r/>
      <w:bookmarkStart w:id="65" w:name="_Toc238629793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t xml:space="preserve">Требования к организации удалённого доступа</w:t>
      </w:r>
      <w:bookmarkEnd w:id="65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</w:p>
    <w:p>
      <w:pPr>
        <w:numPr>
          <w:ilvl w:val="2"/>
          <w:numId w:val="37"/>
        </w:numPr>
        <w:ind w:left="0" w:firstLine="709"/>
        <w:jc w:val="both"/>
        <w:widowControl w:val="off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Режим удалённого досту</w:t>
      </w:r>
      <w:r>
        <w:rPr>
          <w:rFonts w:eastAsia="Calibri"/>
          <w:color w:val="000000"/>
          <w:sz w:val="26"/>
          <w:szCs w:val="26"/>
        </w:rPr>
        <w:t xml:space="preserve">па в части организации защищённого подключения сторонних организаций в КСПД Заказчика осуществляется в соответствии с Правилами информационной безопасности Заказчика и утверждённым Порядком оформления дистанционной работы в ПАО «Россети Юг» (Приложение 2).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1"/>
          <w:numId w:val="38"/>
        </w:numPr>
        <w:ind w:hanging="579"/>
        <w:jc w:val="both"/>
        <w:keepLines/>
        <w:keepNext/>
        <w:spacing w:before="240"/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outlineLvl w:val="0"/>
      </w:pPr>
      <w:r/>
      <w:bookmarkStart w:id="66" w:name="_Toc238629794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t xml:space="preserve">Требования к АРМ специалистов Исполнителя</w:t>
      </w:r>
      <w:bookmarkEnd w:id="66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</w:p>
    <w:p>
      <w:pPr>
        <w:numPr>
          <w:ilvl w:val="2"/>
          <w:numId w:val="37"/>
        </w:numPr>
        <w:ind w:left="0" w:firstLine="709"/>
        <w:jc w:val="both"/>
        <w:widowControl w:val="off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АРМ специалистов Исполнителя, используемые для оказания Услуг (в том числе удаленно) должны соответствовать следующим требованиям: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Исполнитель оказывает Услуги удаленно с АРМ, оснащенных</w:t>
      </w:r>
      <w:r>
        <w:rPr>
          <w:rFonts w:eastAsia="Calibri"/>
          <w:color w:val="000000"/>
          <w:sz w:val="26"/>
          <w:szCs w:val="26"/>
        </w:rPr>
        <w:t xml:space="preserve"> средствами удаленного доступа по защищенным каналам связи. Средством защиты каналов связи является программно-аппаратный комплекс VipNet. Исполнителю необходимо иметь часть программно-аппаратного комплекса VipNet, которая требуется для удаленного доступа;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на АРМ должно быть установлено антивирусное ПО, включенное в реестр российского ПО, с ежедневно обновляемыми антивирусными базами;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используемая ОС должна иметь установленные актуальные обновления безопасности;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пароль учетной записи должен состоять не менее, чем из 12 символов, включая прописные буквы, цифры и специальные символы;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на АРМ не должно быть установленного ПО для организации удаленного доступа к информации АИС ОКО или ОС серверов (программ типа TeamViewer, RAdmin и др.);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40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не допускается оказание услуг с использованием мобильных АРМ или общедоступных АРМ.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0"/>
          <w:numId w:val="38"/>
        </w:numPr>
        <w:jc w:val="both"/>
        <w:keepLines/>
        <w:keepNext/>
        <w:spacing w:before="240"/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outlineLvl w:val="0"/>
      </w:pPr>
      <w:r/>
      <w:bookmarkStart w:id="67" w:name="_Toc238629795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t xml:space="preserve">Перечень и порядок оказания Услуг</w:t>
      </w:r>
      <w:bookmarkEnd w:id="67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</w:p>
    <w:p>
      <w:pPr>
        <w:numPr>
          <w:ilvl w:val="1"/>
          <w:numId w:val="38"/>
        </w:numPr>
        <w:ind w:hanging="579"/>
        <w:jc w:val="both"/>
        <w:keepLines/>
        <w:keepNext/>
        <w:spacing w:before="240"/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outlineLvl w:val="0"/>
      </w:pPr>
      <w:r/>
      <w:bookmarkStart w:id="68" w:name="_Toc238629796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t xml:space="preserve">Требования к перечню Услуг и содержанию работ</w:t>
      </w:r>
      <w:bookmarkEnd w:id="68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Перечень Услуг, оказываемых Исполнителем в соответствии с настоящим ТЗ, приведён в Карте Услуг (см. </w:t>
      </w:r>
      <w:r>
        <w:rPr>
          <w:rFonts w:eastAsia="Calibri"/>
          <w:color w:val="000000"/>
          <w:sz w:val="26"/>
          <w:szCs w:val="26"/>
        </w:rPr>
        <w:fldChar w:fldCharType="begin"/>
      </w:r>
      <w:r>
        <w:rPr>
          <w:rFonts w:eastAsia="Calibri"/>
          <w:color w:val="000000"/>
          <w:sz w:val="26"/>
          <w:szCs w:val="26"/>
        </w:rPr>
        <w:instrText xml:space="preserve"> REF _Ref112053473 \h  \* MERGEFORMAT </w:instrText>
      </w:r>
      <w:r>
        <w:rPr>
          <w:rFonts w:eastAsia="Calibri"/>
          <w:color w:val="000000"/>
          <w:sz w:val="26"/>
          <w:szCs w:val="26"/>
        </w:rPr>
        <w:fldChar w:fldCharType="separate"/>
      </w:r>
      <w:r>
        <w:rPr>
          <w:rFonts w:eastAsia="Calibri"/>
          <w:color w:val="000000"/>
          <w:sz w:val="26"/>
          <w:szCs w:val="26"/>
        </w:rPr>
        <w:t xml:space="preserve">Табл. 6</w:t>
      </w:r>
      <w:r>
        <w:rPr>
          <w:rFonts w:eastAsia="Calibri"/>
          <w:color w:val="000000"/>
          <w:sz w:val="26"/>
          <w:szCs w:val="26"/>
        </w:rPr>
        <w:fldChar w:fldCharType="end"/>
      </w:r>
      <w:r>
        <w:rPr>
          <w:rFonts w:eastAsia="Calibri"/>
          <w:color w:val="000000"/>
          <w:sz w:val="26"/>
          <w:szCs w:val="26"/>
        </w:rPr>
        <w:t xml:space="preserve">).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contextualSpacing/>
        <w:ind w:left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jc w:val="right"/>
        <w:keepNext/>
        <w:widowControl w:val="off"/>
        <w:rPr>
          <w:color w:val="000000"/>
          <w:sz w:val="20"/>
          <w:szCs w:val="20"/>
        </w:rPr>
      </w:pPr>
      <w:r/>
      <w:bookmarkStart w:id="69" w:name="_Ref112053473"/>
      <w:r>
        <w:rPr>
          <w:color w:val="000000"/>
          <w:sz w:val="20"/>
          <w:szCs w:val="20"/>
        </w:rPr>
        <w:t xml:space="preserve">Табл. </w:t>
      </w:r>
      <w:r>
        <w:rPr>
          <w:color w:val="000000"/>
          <w:sz w:val="20"/>
          <w:szCs w:val="20"/>
        </w:rPr>
        <w:fldChar w:fldCharType="begin"/>
      </w:r>
      <w:r>
        <w:rPr>
          <w:color w:val="000000"/>
          <w:sz w:val="20"/>
          <w:szCs w:val="20"/>
        </w:rPr>
        <w:instrText xml:space="preserve"> SEQ Табл. \* ARABIC </w:instrText>
      </w:r>
      <w:r>
        <w:rPr>
          <w:color w:val="000000"/>
          <w:sz w:val="20"/>
          <w:szCs w:val="20"/>
        </w:rPr>
        <w:fldChar w:fldCharType="separate"/>
      </w:r>
      <w:r>
        <w:rPr>
          <w:color w:val="000000"/>
          <w:sz w:val="20"/>
          <w:szCs w:val="20"/>
        </w:rPr>
        <w:t xml:space="preserve">6</w:t>
      </w:r>
      <w:r>
        <w:rPr>
          <w:color w:val="000000"/>
          <w:sz w:val="20"/>
          <w:szCs w:val="20"/>
        </w:rPr>
        <w:fldChar w:fldCharType="end"/>
      </w:r>
      <w:bookmarkEnd w:id="69"/>
      <w:r>
        <w:rPr>
          <w:color w:val="000000"/>
          <w:sz w:val="20"/>
          <w:szCs w:val="20"/>
        </w:rPr>
        <w:t xml:space="preserve"> Карта Услуг 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tbl>
      <w:tblPr>
        <w:tblStyle w:val="1092"/>
        <w:tblW w:w="0" w:type="auto"/>
        <w:tblLook w:val="04A0" w:firstRow="1" w:lastRow="0" w:firstColumn="1" w:lastColumn="0" w:noHBand="0" w:noVBand="1"/>
      </w:tblPr>
      <w:tblGrid>
        <w:gridCol w:w="539"/>
        <w:gridCol w:w="4985"/>
        <w:gridCol w:w="1984"/>
        <w:gridCol w:w="1978"/>
      </w:tblGrid>
      <w:tr>
        <w:tblPrEx/>
        <w:trPr/>
        <w:tc>
          <w:tcPr>
            <w:shd w:val="clear" w:color="auto" w:fill="d9d9d9"/>
            <w:tcW w:w="53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№ п/п</w:t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d9d9d9"/>
            <w:tcW w:w="4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Наименование Услуг</w:t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d9d9d9"/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Шифр Услуг</w:t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d9d9d9"/>
            <w:tcW w:w="197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Входит в объём ТЗ</w:t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3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1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Услуга 1. Обеспечение работоспособности АИС ОКО.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БИЗ.ИС.ОКО-1</w:t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ДА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3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2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Услуга 2. Поддержка Пользователей АИС ОКО.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</w:rPr>
              <w:t xml:space="preserve">БИЗ.ИС.ОКО-2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ДА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3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3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Услуга 3. Администрирование АИС ОКО.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</w:rPr>
              <w:t xml:space="preserve">БИЗ.ИС.ОКО-3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ДА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3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4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Услуга 4. Обновление АИС ОКО.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</w:rPr>
              <w:t xml:space="preserve">БИЗ.ИС.ОКО-4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ДА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3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5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Услуга 5. Настройка АИС ОКО</w:t>
            </w:r>
            <w:r>
              <w:rPr>
                <w:rFonts w:eastAsia="Calibri"/>
                <w:color w:val="00b0f0"/>
                <w:sz w:val="20"/>
                <w:szCs w:val="20"/>
              </w:rPr>
              <w:t xml:space="preserve"> </w:t>
            </w:r>
            <w:r>
              <w:rPr>
                <w:rFonts w:eastAsia="Calibri"/>
                <w:color w:val="000000"/>
                <w:sz w:val="20"/>
                <w:szCs w:val="20"/>
              </w:rPr>
              <w:t xml:space="preserve">(выполнение ЗНН).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</w:rPr>
              <w:t xml:space="preserve">БИЗ.ИС.ОКО-5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ДА 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3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6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4985" w:type="dxa"/>
            <w:textDirection w:val="lrTb"/>
            <w:noWrap w:val="false"/>
          </w:tcPr>
          <w:p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Услуга 6. Нетиповая настройка АИС ОКО.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</w:rPr>
              <w:t xml:space="preserve">БИЗ.ИС.ОКО-6</w:t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  <w:r>
              <w:rPr>
                <w:rFonts w:eastAsia="Calibri"/>
                <w:iCs/>
                <w:color w:val="000000"/>
                <w:sz w:val="20"/>
                <w:szCs w:val="20"/>
              </w:rPr>
            </w:r>
          </w:p>
        </w:tc>
        <w:tc>
          <w:tcPr>
            <w:tcW w:w="197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ДА</w:t>
            </w:r>
            <w:r>
              <w:rPr>
                <w:rFonts w:eastAsia="Calibri"/>
                <w:color w:val="000000"/>
                <w:sz w:val="20"/>
                <w:szCs w:val="20"/>
              </w:rPr>
            </w:r>
            <w:r>
              <w:rPr>
                <w:rFonts w:eastAsia="Calibri"/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1"/>
          <w:numId w:val="38"/>
        </w:numPr>
        <w:ind w:hanging="579"/>
        <w:jc w:val="both"/>
        <w:keepLines/>
        <w:keepNext/>
        <w:spacing w:before="240"/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outlineLvl w:val="0"/>
      </w:pPr>
      <w:r/>
      <w:bookmarkStart w:id="70" w:name="_Toc238629797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t xml:space="preserve">Порядок оказания Услуг</w:t>
      </w:r>
      <w:bookmarkEnd w:id="70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Порядок оказания, расчета стоимости, сдачи и приёмки Услуг приведён в Приложении № 3 к настоящему ТЗ.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2"/>
          <w:numId w:val="37"/>
        </w:numPr>
        <w:contextualSpacing/>
        <w:ind w:left="0" w:firstLine="709"/>
        <w:jc w:val="both"/>
        <w:rPr>
          <w:rFonts w:eastAsia="Calibri"/>
          <w:color w:val="000000"/>
          <w:sz w:val="26"/>
          <w:szCs w:val="26"/>
        </w:rPr>
      </w:pPr>
      <w:r/>
      <w:bookmarkStart w:id="71" w:name="_Ref120527797"/>
      <w:r>
        <w:rPr>
          <w:rFonts w:eastAsia="Calibri"/>
          <w:color w:val="000000"/>
          <w:sz w:val="26"/>
          <w:szCs w:val="26"/>
        </w:rPr>
        <w:t xml:space="preserve">Исполнитель в соответствии с графиком актирования, указанном в Приложении № 1 осуществляет подготовку, согласование и предоставление Заказчику отчётных документов. Формы отчётных документов приведены в Приложении № 4 к настоящему ТЗ.</w:t>
      </w:r>
      <w:bookmarkEnd w:id="71"/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numPr>
          <w:ilvl w:val="1"/>
          <w:numId w:val="38"/>
        </w:numPr>
        <w:ind w:hanging="579"/>
        <w:jc w:val="both"/>
        <w:keepLines/>
        <w:keepNext/>
        <w:spacing w:before="240"/>
        <w:rPr>
          <w:rFonts w:ascii="Times New Roman Полужирный" w:hAnsi="Times New Roman Полужирный"/>
          <w:b/>
          <w:color w:val="000000"/>
          <w:sz w:val="32"/>
          <w:szCs w:val="26"/>
          <w:lang w:eastAsia="en-US"/>
        </w:rPr>
        <w:outlineLvl w:val="0"/>
      </w:pPr>
      <w:r/>
      <w:bookmarkStart w:id="72" w:name="_Toc151452808"/>
      <w:r/>
      <w:bookmarkStart w:id="73" w:name="_Toc200539421"/>
      <w:r/>
      <w:bookmarkStart w:id="74" w:name="_Toc238629798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t xml:space="preserve">Стоимость и порядок оплаты</w:t>
      </w:r>
      <w:bookmarkEnd w:id="72"/>
      <w:r/>
      <w:bookmarkEnd w:id="73"/>
      <w:r/>
      <w:bookmarkEnd w:id="74"/>
      <w:r>
        <w:rPr>
          <w:rFonts w:ascii="Times New Roman Полужирный" w:hAnsi="Times New Roman Полужирный"/>
          <w:b/>
          <w:color w:val="000000"/>
          <w:sz w:val="32"/>
          <w:szCs w:val="26"/>
          <w:lang w:eastAsia="en-US"/>
        </w:rPr>
      </w:r>
      <w:r>
        <w:rPr>
          <w:rFonts w:ascii="Times New Roman Полужирный" w:hAnsi="Times New Roman Полужирный"/>
          <w:b/>
          <w:color w:val="000000"/>
          <w:sz w:val="32"/>
          <w:szCs w:val="26"/>
          <w:lang w:eastAsia="en-US"/>
        </w:rPr>
      </w:r>
    </w:p>
    <w:p>
      <w:pPr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6.3.1.</w:t>
      </w:r>
      <w:r>
        <w:rPr>
          <w:rFonts w:eastAsia="Calibri"/>
          <w:color w:val="000000"/>
          <w:sz w:val="26"/>
          <w:szCs w:val="26"/>
        </w:rPr>
        <w:tab/>
        <w:t xml:space="preserve">Стоимость оказания услуг по договору за весь период оказания услуг (12 месяцев) составляет 16 393 442,62 руб. без учета НДС: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- 20 000 000,00 руб. с учетом НДС 22%;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 xml:space="preserve">- </w:t>
      </w:r>
      <w:r>
        <w:rPr>
          <w:bCs/>
          <w:color w:val="000000"/>
          <w:sz w:val="26"/>
          <w:szCs w:val="26"/>
          <w:shd w:val="clear" w:color="auto" w:fill="ffffff"/>
        </w:rPr>
        <w:t xml:space="preserve">17 540 983,60</w:t>
      </w:r>
      <w:r>
        <w:rPr>
          <w:rFonts w:eastAsia="Calibri"/>
          <w:color w:val="000000" w:themeColor="text1"/>
          <w:sz w:val="26"/>
          <w:szCs w:val="26"/>
        </w:rPr>
        <w:t xml:space="preserve"> руб. с учетом НДС 7%;</w:t>
      </w:r>
      <w:r>
        <w:rPr>
          <w:rFonts w:eastAsia="Calibri"/>
          <w:color w:val="000000" w:themeColor="text1"/>
          <w:sz w:val="26"/>
          <w:szCs w:val="26"/>
        </w:rPr>
      </w:r>
      <w:r>
        <w:rPr>
          <w:rFonts w:eastAsia="Calibri"/>
          <w:color w:val="000000" w:themeColor="text1"/>
          <w:sz w:val="26"/>
          <w:szCs w:val="26"/>
        </w:rPr>
      </w:r>
    </w:p>
    <w:p>
      <w:pPr>
        <w:ind w:firstLine="709"/>
        <w:jc w:val="both"/>
        <w:tabs>
          <w:tab w:val="left" w:pos="1560" w:leader="none"/>
          <w:tab w:val="left" w:pos="1701" w:leader="none"/>
        </w:tabs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 xml:space="preserve">- </w:t>
      </w:r>
      <w:r>
        <w:rPr>
          <w:rFonts w:eastAsia="Calibri"/>
          <w:bCs/>
          <w:color w:val="000000"/>
          <w:sz w:val="26"/>
          <w:szCs w:val="26"/>
          <w:shd w:val="clear" w:color="auto" w:fill="ffffff"/>
        </w:rPr>
        <w:t xml:space="preserve">17</w:t>
      </w:r>
      <w:r>
        <w:rPr>
          <w:rFonts w:eastAsia="Calibri"/>
          <w:bCs/>
          <w:color w:val="000000"/>
          <w:sz w:val="26"/>
          <w:szCs w:val="26"/>
          <w:shd w:val="clear" w:color="auto" w:fill="ffffff"/>
          <w:lang w:val="en-US"/>
        </w:rPr>
        <w:t xml:space="preserve"> </w:t>
      </w:r>
      <w:r>
        <w:rPr>
          <w:rFonts w:eastAsia="Calibri"/>
          <w:bCs/>
          <w:color w:val="000000"/>
          <w:sz w:val="26"/>
          <w:szCs w:val="26"/>
          <w:shd w:val="clear" w:color="auto" w:fill="ffffff"/>
        </w:rPr>
        <w:t xml:space="preserve">213</w:t>
      </w:r>
      <w:r>
        <w:rPr>
          <w:rFonts w:eastAsia="Calibri"/>
          <w:bCs/>
          <w:color w:val="000000"/>
          <w:sz w:val="26"/>
          <w:szCs w:val="26"/>
          <w:shd w:val="clear" w:color="auto" w:fill="ffffff"/>
          <w:lang w:val="en-US"/>
        </w:rPr>
        <w:t xml:space="preserve"> </w:t>
      </w:r>
      <w:r>
        <w:rPr>
          <w:rFonts w:eastAsia="Calibri"/>
          <w:bCs/>
          <w:color w:val="000000"/>
          <w:sz w:val="26"/>
          <w:szCs w:val="26"/>
          <w:shd w:val="clear" w:color="auto" w:fill="ffffff"/>
        </w:rPr>
        <w:t xml:space="preserve">114,75</w:t>
      </w:r>
      <w:r>
        <w:rPr>
          <w:rFonts w:eastAsia="Calibri"/>
          <w:color w:val="000000" w:themeColor="text1"/>
          <w:sz w:val="26"/>
          <w:szCs w:val="26"/>
        </w:rPr>
        <w:t xml:space="preserve"> руб. с учетом НДС 5%.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Стоимость является </w:t>
      </w:r>
      <w:r>
        <w:rPr>
          <w:rFonts w:eastAsia="Calibri"/>
          <w:color w:val="000000"/>
          <w:sz w:val="26"/>
          <w:szCs w:val="26"/>
        </w:rPr>
        <w:t xml:space="preserve">начальной (максимальной) ценой</w:t>
      </w:r>
      <w:r>
        <w:rPr>
          <w:rFonts w:eastAsia="Calibri"/>
          <w:color w:val="000000"/>
          <w:sz w:val="26"/>
          <w:szCs w:val="26"/>
        </w:rPr>
        <w:t xml:space="preserve"> </w:t>
      </w:r>
      <w:r>
        <w:rPr>
          <w:rFonts w:eastAsia="Calibri"/>
          <w:color w:val="000000"/>
          <w:sz w:val="26"/>
          <w:szCs w:val="26"/>
        </w:rPr>
        <w:t xml:space="preserve">и изменению в процессе проведения закупочной процедуры не подлежит. Изменение </w:t>
      </w:r>
      <w:r>
        <w:rPr>
          <w:rFonts w:eastAsia="Calibri"/>
          <w:color w:val="000000"/>
          <w:sz w:val="26"/>
          <w:szCs w:val="26"/>
        </w:rPr>
        <w:t xml:space="preserve">начальной (максимальной)</w:t>
      </w:r>
      <w:r>
        <w:rPr>
          <w:rFonts w:eastAsia="Calibri"/>
          <w:color w:val="000000"/>
          <w:sz w:val="26"/>
          <w:szCs w:val="26"/>
        </w:rPr>
        <w:t xml:space="preserve"> </w:t>
      </w:r>
      <w:r>
        <w:rPr>
          <w:rFonts w:eastAsia="Calibri"/>
          <w:color w:val="000000"/>
          <w:sz w:val="26"/>
          <w:szCs w:val="26"/>
        </w:rPr>
        <w:t xml:space="preserve">цены</w:t>
      </w:r>
      <w:r>
        <w:rPr>
          <w:rFonts w:eastAsia="Calibri"/>
          <w:color w:val="000000"/>
          <w:sz w:val="26"/>
          <w:szCs w:val="26"/>
        </w:rPr>
        <w:t xml:space="preserve"> </w:t>
      </w:r>
      <w:r>
        <w:rPr>
          <w:rFonts w:eastAsia="Calibri"/>
          <w:color w:val="000000"/>
          <w:sz w:val="26"/>
          <w:szCs w:val="26"/>
        </w:rPr>
        <w:t xml:space="preserve">договора (цены лота) в процессе проведения закупочной процедуры является основанием для отклонения заявки участника по решению </w:t>
      </w:r>
      <w:r>
        <w:rPr>
          <w:rFonts w:eastAsia="Calibri"/>
          <w:color w:val="000000"/>
          <w:sz w:val="26"/>
          <w:szCs w:val="26"/>
        </w:rPr>
        <w:t xml:space="preserve">Постоянно действующей закупочной комиссии</w:t>
      </w:r>
      <w:r>
        <w:rPr>
          <w:rFonts w:eastAsia="Calibri"/>
          <w:color w:val="000000"/>
          <w:sz w:val="26"/>
          <w:szCs w:val="26"/>
        </w:rPr>
        <w:t xml:space="preserve">. 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Стоимость оказания услуг по сопровождению является единичной расценкой и не должна превышать за месяц 442 622,95 руб. без учета НДС: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- 540 000,00 руб., с учетом НДС 22%;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 xml:space="preserve">- </w:t>
      </w:r>
      <w:r>
        <w:rPr>
          <w:bCs/>
          <w:color w:val="000000"/>
          <w:sz w:val="26"/>
          <w:szCs w:val="26"/>
          <w:shd w:val="clear" w:color="auto" w:fill="ffffff"/>
        </w:rPr>
        <w:t xml:space="preserve">504 672,90</w:t>
      </w:r>
      <w:r>
        <w:rPr>
          <w:rFonts w:eastAsia="Calibri"/>
          <w:color w:val="000000" w:themeColor="text1"/>
          <w:sz w:val="26"/>
          <w:szCs w:val="26"/>
        </w:rPr>
        <w:t xml:space="preserve"> руб. с учетом НДС 7%;</w:t>
      </w:r>
      <w:r>
        <w:rPr>
          <w:rFonts w:eastAsia="Calibri"/>
          <w:color w:val="000000" w:themeColor="text1"/>
          <w:sz w:val="26"/>
          <w:szCs w:val="26"/>
        </w:rPr>
      </w:r>
      <w:r>
        <w:rPr>
          <w:rFonts w:eastAsia="Calibri"/>
          <w:color w:val="000000" w:themeColor="text1"/>
          <w:sz w:val="26"/>
          <w:szCs w:val="26"/>
        </w:rPr>
      </w:r>
    </w:p>
    <w:p>
      <w:pPr>
        <w:ind w:firstLine="709"/>
        <w:jc w:val="both"/>
        <w:tabs>
          <w:tab w:val="left" w:pos="1560" w:leader="none"/>
          <w:tab w:val="left" w:pos="1701" w:leader="none"/>
        </w:tabs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 xml:space="preserve">- </w:t>
      </w:r>
      <w:r>
        <w:rPr>
          <w:rFonts w:eastAsia="Calibri"/>
          <w:bCs/>
          <w:color w:val="000000"/>
          <w:sz w:val="26"/>
          <w:szCs w:val="26"/>
          <w:shd w:val="clear" w:color="auto" w:fill="ffffff"/>
        </w:rPr>
        <w:t xml:space="preserve">514</w:t>
      </w:r>
      <w:r>
        <w:rPr>
          <w:rFonts w:eastAsia="Calibri"/>
          <w:bCs/>
          <w:color w:val="000000"/>
          <w:sz w:val="26"/>
          <w:szCs w:val="26"/>
          <w:shd w:val="clear" w:color="auto" w:fill="ffffff"/>
          <w:lang w:val="en-US"/>
        </w:rPr>
        <w:t xml:space="preserve"> </w:t>
      </w:r>
      <w:r>
        <w:rPr>
          <w:rFonts w:eastAsia="Calibri"/>
          <w:bCs/>
          <w:color w:val="000000"/>
          <w:sz w:val="26"/>
          <w:szCs w:val="26"/>
          <w:shd w:val="clear" w:color="auto" w:fill="ffffff"/>
        </w:rPr>
        <w:t xml:space="preserve">285,71</w:t>
      </w:r>
      <w:r>
        <w:rPr>
          <w:rFonts w:eastAsia="Calibri"/>
          <w:color w:val="000000" w:themeColor="text1"/>
          <w:sz w:val="26"/>
          <w:szCs w:val="26"/>
        </w:rPr>
        <w:t xml:space="preserve"> руб. с учетом НДС 5%.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ind w:firstLine="709"/>
        <w:jc w:val="both"/>
        <w:rPr>
          <w:rFonts w:eastAsia="Calibri"/>
          <w:color w:val="000000"/>
          <w:sz w:val="26"/>
          <w:szCs w:val="26"/>
        </w:rPr>
      </w:pPr>
      <w:r/>
      <w:r>
        <w:rPr>
          <w:rFonts w:eastAsia="Calibri"/>
          <w:color w:val="000000"/>
          <w:sz w:val="26"/>
          <w:szCs w:val="26"/>
        </w:rPr>
        <w:t xml:space="preserve">Неиспользованная часть суммы </w:t>
      </w:r>
      <w:r>
        <w:rPr>
          <w:rFonts w:eastAsia="Calibri"/>
          <w:color w:val="000000"/>
          <w:sz w:val="26"/>
          <w:szCs w:val="26"/>
        </w:rPr>
        <w:t xml:space="preserve">оплаты Услуг </w:t>
      </w:r>
      <w:r>
        <w:rPr>
          <w:rFonts w:eastAsia="Calibri"/>
          <w:color w:val="000000"/>
          <w:sz w:val="26"/>
          <w:szCs w:val="26"/>
        </w:rPr>
        <w:t xml:space="preserve">на сопровождение </w:t>
      </w:r>
      <w:r>
        <w:rPr>
          <w:rFonts w:eastAsia="Calibri"/>
          <w:color w:val="000000"/>
          <w:sz w:val="26"/>
          <w:szCs w:val="26"/>
        </w:rPr>
        <w:t xml:space="preserve">может быть использована на оплату настроек АИС ОКО, если в силу производственной необходимости сумма на настройку была израсходована досрочно.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Стоимость часа работ по настройке АИС ОКО является единичной расценкой и не должна превышать 4</w:t>
      </w:r>
      <w:r>
        <w:rPr>
          <w:rFonts w:eastAsia="Calibri"/>
          <w:color w:val="000000"/>
          <w:sz w:val="26"/>
          <w:szCs w:val="26"/>
          <w:lang w:val="en-US"/>
        </w:rPr>
        <w:t xml:space="preserve"> </w:t>
      </w:r>
      <w:r>
        <w:rPr>
          <w:rFonts w:eastAsia="Calibri"/>
          <w:color w:val="000000"/>
          <w:sz w:val="26"/>
          <w:szCs w:val="26"/>
        </w:rPr>
        <w:t xml:space="preserve">060,00 руб. без учета НДС: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- 4 953,20 руб. с учетом НДС 22%;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 xml:space="preserve">- </w:t>
      </w:r>
      <w:r>
        <w:rPr>
          <w:bCs/>
          <w:color w:val="000000"/>
          <w:sz w:val="26"/>
          <w:szCs w:val="26"/>
          <w:shd w:val="clear" w:color="auto" w:fill="ffffff"/>
        </w:rPr>
        <w:t xml:space="preserve">4 344,20</w:t>
      </w:r>
      <w:r>
        <w:rPr>
          <w:rFonts w:eastAsia="Calibri"/>
          <w:color w:val="000000" w:themeColor="text1"/>
          <w:sz w:val="26"/>
          <w:szCs w:val="26"/>
        </w:rPr>
        <w:t xml:space="preserve"> руб. с учетом НДС 7%;</w:t>
      </w:r>
      <w:r>
        <w:rPr>
          <w:rFonts w:eastAsia="Calibri"/>
          <w:color w:val="000000" w:themeColor="text1"/>
          <w:sz w:val="26"/>
          <w:szCs w:val="26"/>
        </w:rPr>
      </w:r>
      <w:r>
        <w:rPr>
          <w:rFonts w:eastAsia="Calibri"/>
          <w:color w:val="000000" w:themeColor="text1"/>
          <w:sz w:val="26"/>
          <w:szCs w:val="26"/>
        </w:rPr>
      </w:r>
    </w:p>
    <w:p>
      <w:pPr>
        <w:ind w:firstLine="709"/>
        <w:jc w:val="both"/>
        <w:tabs>
          <w:tab w:val="left" w:pos="1560" w:leader="none"/>
          <w:tab w:val="left" w:pos="1701" w:leader="none"/>
        </w:tabs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 xml:space="preserve">- </w:t>
      </w:r>
      <w:r>
        <w:rPr>
          <w:rFonts w:eastAsia="Calibri"/>
          <w:bCs/>
          <w:color w:val="000000"/>
          <w:sz w:val="26"/>
          <w:szCs w:val="26"/>
          <w:shd w:val="clear" w:color="auto" w:fill="ffffff"/>
        </w:rPr>
        <w:t xml:space="preserve">4</w:t>
      </w:r>
      <w:r>
        <w:rPr>
          <w:rFonts w:eastAsia="Calibri"/>
          <w:bCs/>
          <w:color w:val="000000"/>
          <w:sz w:val="26"/>
          <w:szCs w:val="26"/>
          <w:shd w:val="clear" w:color="auto" w:fill="ffffff"/>
          <w:lang w:val="en-US"/>
        </w:rPr>
        <w:t xml:space="preserve"> </w:t>
      </w:r>
      <w:r>
        <w:rPr>
          <w:rFonts w:eastAsia="Calibri"/>
          <w:bCs/>
          <w:color w:val="000000"/>
          <w:sz w:val="26"/>
          <w:szCs w:val="26"/>
          <w:shd w:val="clear" w:color="auto" w:fill="ffffff"/>
        </w:rPr>
        <w:t xml:space="preserve">263,00</w:t>
      </w:r>
      <w:r>
        <w:rPr>
          <w:rFonts w:eastAsia="Calibri"/>
          <w:color w:val="000000" w:themeColor="text1"/>
          <w:sz w:val="26"/>
          <w:szCs w:val="26"/>
        </w:rPr>
        <w:t xml:space="preserve"> руб. с учетом НДС 5%.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Подлежит изме</w:t>
      </w:r>
      <w:r>
        <w:rPr>
          <w:rFonts w:eastAsia="Calibri"/>
          <w:color w:val="000000"/>
          <w:sz w:val="26"/>
          <w:szCs w:val="26"/>
        </w:rPr>
        <w:t xml:space="preserve">нению (снижению) в процессе проведения закупочных процедур начальная (максимальная) сумма единичных расценок. Превышение начальной (максимальной) цены суммы единичных расценок не допускается и является основанием для отклонения заявки участника по решению </w:t>
      </w:r>
      <w:r>
        <w:rPr>
          <w:rFonts w:eastAsia="Calibri"/>
          <w:color w:val="000000"/>
          <w:sz w:val="26"/>
          <w:szCs w:val="26"/>
        </w:rPr>
        <w:t xml:space="preserve">Постоянно действующей закупочной комиссии</w:t>
      </w:r>
      <w:r>
        <w:rPr>
          <w:rFonts w:eastAsia="Calibri"/>
          <w:color w:val="000000"/>
          <w:sz w:val="26"/>
          <w:szCs w:val="26"/>
        </w:rPr>
        <w:t xml:space="preserve">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При подаче ценового предложения, в том числе при проведении </w:t>
      </w:r>
      <w:r>
        <w:rPr>
          <w:rFonts w:eastAsia="Calibri"/>
          <w:color w:val="000000"/>
          <w:sz w:val="26"/>
          <w:szCs w:val="26"/>
        </w:rPr>
        <w:t xml:space="preserve">процедуры переторжки путем снижения общей суммы единичных расценок либо подачи дополнительных ценовых предложений, стоимость каждой единичной расценки (стоимостной позиции) уменьшается соразмерно проценту тендерного снижения общей суммы единичных расценок.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ind w:firstLine="567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6.3.2.</w:t>
      </w:r>
      <w:r>
        <w:rPr>
          <w:rFonts w:eastAsia="Calibri"/>
          <w:color w:val="000000"/>
          <w:sz w:val="26"/>
          <w:szCs w:val="26"/>
        </w:rPr>
        <w:tab/>
        <w:t xml:space="preserve">Ежемесячная сумма платежа складывается из фиксированной стоимости обслуживания по сопровождению и стоимости настроек АИС ОКО, выполненных за текущий календарный месяц. 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ind w:firstLine="567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Оплата услуг, производится ежемесячно по факту оказанных услуг в течение 30 рабочих дней </w:t>
      </w:r>
      <w:r>
        <w:rPr>
          <w:rFonts w:eastAsia="Calibri"/>
          <w:i/>
          <w:color w:val="000000"/>
          <w:sz w:val="26"/>
          <w:szCs w:val="26"/>
        </w:rPr>
        <w:t xml:space="preserve">(при заключении договора с субъектом МСП – 7 рабочих дней)</w:t>
      </w:r>
      <w:r>
        <w:rPr>
          <w:rFonts w:eastAsia="Calibri"/>
          <w:color w:val="000000"/>
          <w:sz w:val="26"/>
          <w:szCs w:val="26"/>
        </w:rPr>
        <w:t xml:space="preserve"> с даты подписания Акта сдачи-приемки оказанных услуг.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pPr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</w:p>
    <w:p>
      <w:pPr>
        <w:numPr>
          <w:ilvl w:val="0"/>
          <w:numId w:val="38"/>
        </w:numPr>
        <w:jc w:val="both"/>
        <w:keepLines/>
        <w:keepNext/>
        <w:spacing w:before="240"/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outlineLvl w:val="0"/>
      </w:pPr>
      <w:r/>
      <w:bookmarkStart w:id="87" w:name="_Toc238629799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  <w:t xml:space="preserve">Перечень приложений</w:t>
      </w:r>
      <w:bookmarkEnd w:id="87"/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  <w:r>
        <w:rPr>
          <w:rFonts w:ascii="Times New Roman Полужирный" w:hAnsi="Times New Roman Полужирный"/>
          <w:b/>
          <w:color w:val="000000"/>
          <w:sz w:val="26"/>
          <w:szCs w:val="26"/>
          <w:lang w:eastAsia="en-US"/>
        </w:rPr>
      </w:r>
    </w:p>
    <w:p>
      <w:pPr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Приложение 1. Перечень и содержание Услуг;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Приложение 2. Перечень документов, передаваемых Заказчиком Исполнителю для оказания услуг по сопровождению АИС ОКО;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Приложение 3. Порядок оказания Услуг по сопровождению АИС ОКО;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Приложение 4. Формы отчётных документов;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Приложение 5. Методика расчета времени на настройку;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Приложение 6.</w:t>
      </w:r>
      <w:r>
        <w:rPr>
          <w:sz w:val="20"/>
          <w:szCs w:val="20"/>
        </w:rPr>
        <w:t xml:space="preserve"> </w:t>
      </w:r>
      <w:r>
        <w:rPr>
          <w:rFonts w:eastAsia="Calibri"/>
          <w:color w:val="000000"/>
          <w:sz w:val="26"/>
          <w:szCs w:val="26"/>
        </w:rPr>
        <w:t xml:space="preserve">Форма соглашения на нетиповую настройку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Приложение 7. </w:t>
      </w:r>
      <w:r>
        <w:t xml:space="preserve">Карточка резервного копирования</w:t>
      </w:r>
      <w:r>
        <w:rPr>
          <w:rFonts w:eastAsia="Calibri"/>
          <w:color w:val="000000"/>
          <w:sz w:val="26"/>
          <w:szCs w:val="26"/>
        </w:rPr>
        <w:t xml:space="preserve">.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rPr>
          <w:rFonts w:eastAsia="Calibri"/>
          <w:color w:val="000000"/>
          <w:sz w:val="26"/>
          <w:szCs w:val="26"/>
        </w:rPr>
        <w:sectPr>
          <w:headerReference w:type="default" r:id="rId9"/>
          <w:headerReference w:type="first" r:id="rId10"/>
          <w:footerReference w:type="default" r:id="rId11"/>
          <w:footerReference w:type="first" r:id="rId12"/>
          <w:footnotePr/>
          <w:endnotePr/>
          <w:type w:val="nextPage"/>
          <w:pgSz w:w="11906" w:h="16838" w:orient="portrait"/>
          <w:pgMar w:top="1134" w:right="707" w:bottom="993" w:left="1701" w:header="709" w:footer="709" w:gutter="0"/>
          <w:pgNumType w:start="2"/>
          <w:cols w:num="1" w:sep="0" w:space="708" w:equalWidth="1"/>
          <w:docGrid w:linePitch="360"/>
          <w:titlePg/>
        </w:sectPr>
      </w:pPr>
      <w:r/>
      <w:bookmarkStart w:id="92" w:name="_Toc111030556"/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ind w:left="6663"/>
        <w:keepNext/>
        <w:pageBreakBefore/>
        <w:rPr>
          <w:bCs/>
          <w:color w:val="000000"/>
          <w:lang w:eastAsia="en-US"/>
        </w:rPr>
        <w:outlineLvl w:val="0"/>
      </w:pPr>
      <w:r/>
      <w:bookmarkStart w:id="93" w:name="_Toc238629800"/>
      <w:r>
        <w:rPr>
          <w:bCs/>
          <w:color w:val="000000"/>
          <w:lang w:eastAsia="en-US"/>
        </w:rPr>
        <w:t xml:space="preserve">Приложение 1</w:t>
      </w:r>
      <w:bookmarkEnd w:id="93"/>
      <w:r>
        <w:rPr>
          <w:bCs/>
          <w:color w:val="000000"/>
          <w:lang w:eastAsia="en-US"/>
        </w:rPr>
      </w:r>
      <w:r>
        <w:rPr>
          <w:bCs/>
          <w:color w:val="000000"/>
          <w:lang w:eastAsia="en-US"/>
        </w:rPr>
      </w:r>
    </w:p>
    <w:p>
      <w:pPr>
        <w:ind w:left="6663"/>
        <w:rPr>
          <w:szCs w:val="20"/>
          <w:lang w:eastAsia="en-US"/>
        </w:rPr>
      </w:pPr>
      <w:r>
        <w:rPr>
          <w:szCs w:val="20"/>
          <w:lang w:eastAsia="en-US"/>
        </w:rPr>
        <w:t xml:space="preserve">к Техническому заданию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p>
      <w:pPr>
        <w:ind w:firstLine="680"/>
        <w:jc w:val="center"/>
        <w:rPr>
          <w:rFonts w:cs="Arial"/>
          <w:b/>
          <w:sz w:val="28"/>
          <w:szCs w:val="28"/>
          <w:lang w:eastAsia="en-US" w:bidi="en-US"/>
        </w:rPr>
      </w:pPr>
      <w:r>
        <w:rPr>
          <w:rFonts w:cs="Arial"/>
          <w:lang w:eastAsia="en-US" w:bidi="en-US"/>
        </w:rPr>
        <w:br/>
      </w:r>
      <w:r>
        <w:rPr>
          <w:rFonts w:cs="Arial"/>
          <w:b/>
          <w:sz w:val="28"/>
          <w:szCs w:val="28"/>
          <w:lang w:eastAsia="en-US" w:bidi="en-US"/>
        </w:rPr>
        <w:t xml:space="preserve">Содержание Услуг</w:t>
      </w:r>
      <w:bookmarkEnd w:id="92"/>
      <w:r>
        <w:rPr>
          <w:rFonts w:cs="Arial"/>
          <w:b/>
          <w:sz w:val="28"/>
          <w:szCs w:val="28"/>
          <w:lang w:eastAsia="en-US" w:bidi="en-US"/>
        </w:rPr>
      </w:r>
      <w:r>
        <w:rPr>
          <w:rFonts w:cs="Arial"/>
          <w:b/>
          <w:sz w:val="28"/>
          <w:szCs w:val="28"/>
          <w:lang w:eastAsia="en-US" w:bidi="en-US"/>
        </w:rPr>
      </w:r>
    </w:p>
    <w:p>
      <w:pPr>
        <w:rPr>
          <w:sz w:val="20"/>
          <w:szCs w:val="20"/>
        </w:rPr>
      </w:pPr>
      <w:r/>
      <w:bookmarkStart w:id="94" w:name="_Toc111030557"/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outlineLvl w:val="1"/>
      </w:pPr>
      <w:r/>
      <w:bookmarkStart w:id="95" w:name="_Toc238629801"/>
      <w:r>
        <w:rPr>
          <w:b/>
          <w:sz w:val="20"/>
          <w:szCs w:val="20"/>
        </w:rPr>
        <w:t xml:space="preserve">Услуга 1. Обеспечение работоспособности </w:t>
      </w:r>
      <w:bookmarkEnd w:id="94"/>
      <w:r>
        <w:rPr>
          <w:b/>
          <w:sz w:val="20"/>
          <w:szCs w:val="20"/>
        </w:rPr>
        <w:t xml:space="preserve">АИС ОКО.</w:t>
      </w:r>
      <w:bookmarkEnd w:id="95"/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right"/>
        <w:keepNext/>
        <w:widowControl w:val="off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Табл. </w:t>
      </w:r>
      <w:r>
        <w:rPr>
          <w:color w:val="000000"/>
          <w:sz w:val="20"/>
          <w:szCs w:val="20"/>
        </w:rPr>
        <w:fldChar w:fldCharType="begin"/>
      </w:r>
      <w:r>
        <w:rPr>
          <w:color w:val="000000"/>
          <w:sz w:val="20"/>
          <w:szCs w:val="20"/>
        </w:rPr>
        <w:instrText xml:space="preserve"> SEQ Табл. \* ARABIC </w:instrText>
      </w:r>
      <w:r>
        <w:rPr>
          <w:color w:val="000000"/>
          <w:sz w:val="20"/>
          <w:szCs w:val="20"/>
        </w:rPr>
        <w:fldChar w:fldCharType="separate"/>
      </w:r>
      <w:r>
        <w:rPr>
          <w:color w:val="000000"/>
          <w:sz w:val="20"/>
          <w:szCs w:val="20"/>
        </w:rPr>
        <w:t xml:space="preserve">7</w:t>
      </w:r>
      <w:r>
        <w:rPr>
          <w:color w:val="000000"/>
          <w:sz w:val="20"/>
          <w:szCs w:val="20"/>
        </w:rPr>
        <w:fldChar w:fldCharType="end"/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tbl>
      <w:tblPr>
        <w:tblW w:w="94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5951"/>
      </w:tblGrid>
      <w:tr>
        <w:tblPrEx/>
        <w:trPr/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0"/>
                <w:szCs w:val="20"/>
              </w:rPr>
            </w:pPr>
            <w:r/>
            <w:bookmarkStart w:id="96" w:name="_Hlk113461615"/>
            <w:r>
              <w:rPr>
                <w:b/>
                <w:sz w:val="20"/>
                <w:szCs w:val="20"/>
              </w:rPr>
              <w:t xml:space="preserve">№ п/п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Название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Описание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i/>
                <w:color w:val="00b050"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БИЗ.ИС.ОКО-1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i/>
                <w:color w:val="00b050"/>
                <w:sz w:val="20"/>
                <w:szCs w:val="20"/>
              </w:rPr>
            </w:r>
            <w:r>
              <w:rPr>
                <w:i/>
                <w:color w:val="00b050"/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Название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Комплекс мероприятий по обеспечению бесперебойного функционирования АИС ОКО.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Категория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contextualSpacing/>
              <w:rPr>
                <w:iCs/>
                <w:color w:val="00b0f0"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Бизнес-услуга.</w:t>
            </w:r>
            <w:r>
              <w:rPr>
                <w:iCs/>
                <w:color w:val="00b0f0"/>
                <w:sz w:val="20"/>
                <w:szCs w:val="20"/>
              </w:rPr>
            </w:r>
            <w:r>
              <w:rPr>
                <w:iCs/>
                <w:color w:val="00b0f0"/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Функциональный заказчик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contextualSpacing/>
              <w:rPr>
                <w:color w:val="00b0f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Департамент взаимодействия с клиентами</w:t>
            </w:r>
            <w:r>
              <w:rPr>
                <w:color w:val="00b0f0"/>
                <w:sz w:val="20"/>
                <w:szCs w:val="20"/>
              </w:rPr>
            </w:r>
            <w:r>
              <w:rPr>
                <w:color w:val="00b0f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Перечень работ в составе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проведение регулярного, не реже одного раза в месяц, мониторинга и анализа загруженности серверов АИС ОКО;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формирование предложений по оптимизации видов взаимодействия компонентов АИС ОКО (прямое подключение, веб-сервер, мобильная платформа) и видов клиентских приложений (тонкий клиент, веб-клиент, мобильный клиент) АИС ОКО;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анализ и устранение ошибок в работе АИС ОКО по заявкам Заказчика;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выявление и устранение неисправностей в работе АИС ОКО;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оперативное устранение проблем эксплуатации.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График актирования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Ежемесячно</w:t>
            </w:r>
            <w:r>
              <w:rPr>
                <w:sz w:val="20"/>
                <w:szCs w:val="20"/>
              </w:rPr>
              <w:t xml:space="preserve"> после подписания отчёта «Отчет об оказанных услугах по сопровождению АИС ОКО» на основании Акта сдачи-приемки оказанных услуг.</w:t>
            </w:r>
            <w:r>
              <w:rPr>
                <w:iCs/>
                <w:sz w:val="20"/>
                <w:szCs w:val="20"/>
              </w:rPr>
            </w:r>
            <w:r>
              <w:rPr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7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Режим оказания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Регулярное оказание в рабочее время Заказчика в соответствии с основным графиком работы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Работоспособность СОВА должна быть обеспечена в круглосуточном режиме, без перерывов и выходных.</w:t>
            </w:r>
            <w:r>
              <w:rPr>
                <w:color w:val="c00000"/>
                <w:sz w:val="20"/>
                <w:szCs w:val="20"/>
              </w:rPr>
            </w:r>
            <w:r>
              <w:rPr>
                <w:color w:val="c00000"/>
                <w:sz w:val="20"/>
                <w:szCs w:val="20"/>
              </w:rPr>
            </w:r>
          </w:p>
        </w:tc>
      </w:tr>
      <w:tr>
        <w:tblPrEx/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Соглашение об уровне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Целевая доступность АИС ОКО: 99,20 %.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Время реакции: 15 мин.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Время решения: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Критические заявки – 3 ч;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Важные заявки – 8 ч;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Обычные заявки – 24 ч.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Время решения может быть изменено (увеличено или уменьшено) по согласованию Сторон.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СУО описано в п.7 Приложения 5 к настоящему ТЗ.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Объём Услуги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конфигурационных единиц – 11 (в соответствии с Табл.5).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Зона охвата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п. 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REF _Ref113470315 \r \h  \* MERGEFORMAT 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 xml:space="preserve">3.4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настоящего ТЗ.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Порядок оказания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Приложением № 3 к настоящему ТЗ.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Штрафные санкции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п.7 «Соглашение об уровне обслуживания» Приложения 5 к ТЗ.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b/>
          <w:sz w:val="20"/>
          <w:szCs w:val="20"/>
        </w:rPr>
      </w:pPr>
      <w:r/>
      <w:bookmarkStart w:id="97" w:name="_Toc111030558"/>
      <w:r/>
      <w:bookmarkEnd w:id="96"/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rPr>
          <w:sz w:val="20"/>
          <w:szCs w:val="20"/>
        </w:rPr>
        <w:outlineLvl w:val="1"/>
      </w:pPr>
      <w:r/>
      <w:bookmarkStart w:id="98" w:name="_Toc238629802"/>
      <w:r>
        <w:rPr>
          <w:b/>
          <w:sz w:val="20"/>
          <w:szCs w:val="20"/>
        </w:rPr>
        <w:t xml:space="preserve">Услуга 2. Поддержка </w:t>
      </w:r>
      <w:bookmarkEnd w:id="97"/>
      <w:r>
        <w:rPr>
          <w:b/>
          <w:sz w:val="20"/>
          <w:szCs w:val="20"/>
        </w:rPr>
        <w:t xml:space="preserve">Пользователей АИС ОКО.</w:t>
      </w:r>
      <w:bookmarkEnd w:id="98"/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right"/>
        <w:keepNext/>
        <w:widowControl w:val="off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Табл. </w:t>
      </w:r>
      <w:r>
        <w:rPr>
          <w:color w:val="000000"/>
          <w:sz w:val="20"/>
          <w:szCs w:val="20"/>
        </w:rPr>
        <w:fldChar w:fldCharType="begin"/>
      </w:r>
      <w:r>
        <w:rPr>
          <w:color w:val="000000"/>
          <w:sz w:val="20"/>
          <w:szCs w:val="20"/>
        </w:rPr>
        <w:instrText xml:space="preserve"> SEQ Табл. \* ARABIC </w:instrText>
      </w:r>
      <w:r>
        <w:rPr>
          <w:color w:val="000000"/>
          <w:sz w:val="20"/>
          <w:szCs w:val="20"/>
        </w:rPr>
        <w:fldChar w:fldCharType="separate"/>
      </w:r>
      <w:r>
        <w:rPr>
          <w:color w:val="000000"/>
          <w:sz w:val="20"/>
          <w:szCs w:val="20"/>
        </w:rPr>
        <w:t xml:space="preserve">8</w:t>
      </w:r>
      <w:r>
        <w:rPr>
          <w:color w:val="000000"/>
          <w:sz w:val="20"/>
          <w:szCs w:val="20"/>
        </w:rPr>
        <w:fldChar w:fldCharType="end"/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tbl>
      <w:tblPr>
        <w:tblW w:w="94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5951"/>
      </w:tblGrid>
      <w:tr>
        <w:tblPrEx/>
        <w:trPr/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0"/>
                <w:szCs w:val="20"/>
              </w:rPr>
            </w:pPr>
            <w:r/>
            <w:bookmarkStart w:id="99" w:name="_Toc111030559"/>
            <w:r>
              <w:rPr>
                <w:b/>
                <w:sz w:val="20"/>
                <w:szCs w:val="20"/>
              </w:rPr>
              <w:t xml:space="preserve">№ п/п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Название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Описание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i/>
                <w:color w:val="00b050"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БИЗ.ИС.ОКО-2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i/>
                <w:color w:val="00b050"/>
                <w:sz w:val="20"/>
                <w:szCs w:val="20"/>
              </w:rPr>
            </w:r>
            <w:r>
              <w:rPr>
                <w:i/>
                <w:color w:val="00b050"/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Название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Комплекс мероприятий по информационно-техническому сопровождению Пользователей в части оказания консультаций и предоставлению документации по работе с АИС ОКО.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Категория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contextualSpacing/>
              <w:rPr>
                <w:i/>
                <w:iCs/>
                <w:color w:val="00b0f0"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Бизнес-услуга.</w:t>
            </w:r>
            <w:r>
              <w:rPr>
                <w:i/>
                <w:iCs/>
                <w:color w:val="00b0f0"/>
                <w:sz w:val="20"/>
                <w:szCs w:val="20"/>
              </w:rPr>
            </w:r>
            <w:r>
              <w:rPr>
                <w:i/>
                <w:iCs/>
                <w:color w:val="00b0f0"/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Функциональный заказчик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contextualSpacing/>
              <w:rPr>
                <w:color w:val="00b0f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Департамент взаимодействия с клиентами.</w:t>
            </w:r>
            <w:r>
              <w:rPr>
                <w:color w:val="00b0f0"/>
                <w:sz w:val="20"/>
                <w:szCs w:val="20"/>
              </w:rPr>
            </w:r>
            <w:r>
              <w:rPr>
                <w:color w:val="00b0f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Перечень работ в составе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обработка заявок Пользователей;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анализ заявок и оказание консультаций Пользователям по возможностям, использованию функций и режимам функционирования АИС ОКО;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консультирование пользователей по составлению ЧТЗ на настройку АИС ОКО.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документирование изменений в функциональности и архитектуре АИС ОКО;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тестирование выполненных корректировок, изменений в АИС ОКО в соответствии с заявками пользователей.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График актирования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Ежемесячно </w:t>
            </w:r>
            <w:r>
              <w:rPr>
                <w:sz w:val="20"/>
                <w:szCs w:val="20"/>
              </w:rPr>
              <w:t xml:space="preserve">после подписания отчёта «Отчет об оказанных услугах по сопровождению АИС ОКО» на основании Акта сдачи-приемки оказанных услуг.</w:t>
            </w:r>
            <w:r>
              <w:rPr>
                <w:iCs/>
                <w:sz w:val="20"/>
                <w:szCs w:val="20"/>
              </w:rPr>
            </w:r>
            <w:r>
              <w:rPr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7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Режим оказания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color w:val="c00000"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Регулярное оказание в рабочее время Заказчика в соответствии с основным графиком работы </w:t>
            </w:r>
            <w:r>
              <w:rPr>
                <w:rFonts w:eastAsia="Calibri"/>
                <w:color w:val="000000"/>
                <w:sz w:val="20"/>
                <w:szCs w:val="20"/>
              </w:rPr>
              <w:t xml:space="preserve"> (модуль СОВА должен работать круглосуточно для выполнения требований действующего законодательства РФ)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color w:val="c00000"/>
                <w:sz w:val="20"/>
                <w:szCs w:val="20"/>
              </w:rPr>
            </w:r>
            <w:r>
              <w:rPr>
                <w:color w:val="c00000"/>
                <w:sz w:val="20"/>
                <w:szCs w:val="20"/>
              </w:rPr>
            </w:r>
          </w:p>
        </w:tc>
      </w:tr>
      <w:tr>
        <w:tblPrEx/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Соглашение об уровне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Время реакции: 15 мин.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Время решения: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Критические заявки – 2 ч;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Важные заявки – 4 ч;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Обычные заявки – 20 ч.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Время решения может быть изменено (увеличено или уменьшено) по согласованию Сторон.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СУО описано в п.7 Приложения 5 к настоящему ТЗ.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Объём Услуги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Пользователей – 792.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Зона охвата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п. 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REF _Ref113470315 \r \h  \* MERGEFORMAT 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 xml:space="preserve">3.4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настоящего ТЗ.</w:t>
            </w:r>
            <w:r>
              <w:rPr>
                <w:color w:val="c00000"/>
                <w:sz w:val="20"/>
                <w:szCs w:val="20"/>
              </w:rPr>
            </w:r>
            <w:r>
              <w:rPr>
                <w:color w:val="c0000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Порядок оказания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Приложением № 3 к настоящему ТЗ.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Штрафные санкции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п.7 «Соглашение об уровне обслуживания» Приложения 5 к ТЗ.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outlineLvl w:val="1"/>
      </w:pPr>
      <w:r/>
      <w:bookmarkStart w:id="100" w:name="_Toc238629803"/>
      <w:r>
        <w:rPr>
          <w:b/>
          <w:sz w:val="20"/>
          <w:szCs w:val="20"/>
        </w:rPr>
        <w:t xml:space="preserve">Услуга 3. Администрирование АИС ОКО.</w:t>
      </w:r>
      <w:bookmarkEnd w:id="100"/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right"/>
        <w:keepNext/>
        <w:widowControl w:val="off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Табл. </w:t>
      </w:r>
      <w:r>
        <w:rPr>
          <w:color w:val="000000"/>
          <w:sz w:val="20"/>
          <w:szCs w:val="20"/>
        </w:rPr>
        <w:fldChar w:fldCharType="begin"/>
      </w:r>
      <w:r>
        <w:rPr>
          <w:color w:val="000000"/>
          <w:sz w:val="20"/>
          <w:szCs w:val="20"/>
        </w:rPr>
        <w:instrText xml:space="preserve"> SEQ Табл. \* ARABIC </w:instrText>
      </w:r>
      <w:r>
        <w:rPr>
          <w:color w:val="000000"/>
          <w:sz w:val="20"/>
          <w:szCs w:val="20"/>
        </w:rPr>
        <w:fldChar w:fldCharType="separate"/>
      </w:r>
      <w:r>
        <w:rPr>
          <w:color w:val="000000"/>
          <w:sz w:val="20"/>
          <w:szCs w:val="20"/>
        </w:rPr>
        <w:t xml:space="preserve">9</w:t>
      </w:r>
      <w:r>
        <w:rPr>
          <w:color w:val="000000"/>
          <w:sz w:val="20"/>
          <w:szCs w:val="20"/>
        </w:rPr>
        <w:fldChar w:fldCharType="end"/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tbl>
      <w:tblPr>
        <w:tblW w:w="94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5951"/>
      </w:tblGrid>
      <w:tr>
        <w:tblPrEx/>
        <w:trPr/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п/п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Название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Описание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i/>
                <w:color w:val="00b050"/>
                <w:sz w:val="20"/>
                <w:szCs w:val="20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</w:rPr>
              <w:t xml:space="preserve">БИЗ.ИС.ОКО-3.</w:t>
            </w:r>
            <w:r>
              <w:rPr>
                <w:i/>
                <w:color w:val="00b050"/>
                <w:sz w:val="20"/>
                <w:szCs w:val="20"/>
              </w:rPr>
            </w:r>
            <w:r>
              <w:rPr>
                <w:i/>
                <w:color w:val="00b050"/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Название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Комплекс мероприятий по администрированию АИС ОКО.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Категория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contextualSpacing/>
              <w:rPr>
                <w:iCs/>
                <w:color w:val="00b0f0"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Бизнес-услуга.</w:t>
            </w:r>
            <w:r>
              <w:rPr>
                <w:iCs/>
                <w:color w:val="00b0f0"/>
                <w:sz w:val="20"/>
                <w:szCs w:val="20"/>
              </w:rPr>
            </w:r>
            <w:r>
              <w:rPr>
                <w:iCs/>
                <w:color w:val="00b0f0"/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Функциональный заказчик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contextualSpacing/>
              <w:rPr>
                <w:color w:val="00b0f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Департамент взаимодействия с клиентами.</w:t>
            </w:r>
            <w:r>
              <w:rPr>
                <w:color w:val="00b0f0"/>
                <w:sz w:val="20"/>
                <w:szCs w:val="20"/>
              </w:rPr>
            </w:r>
            <w:r>
              <w:rPr>
                <w:color w:val="00b0f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Перечень работ в составе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обработка заявок Пользователей;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настройка режимов работы компонентов АИС ОКО;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настройка групп пользователей и профилей доступа пользователей;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настройка ролей доступа к функциональности АИС ОКО;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выполнение необходимых мероприятий по настройке функционирования АИС ОКО;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исправление прикладных ошибок в работе пользователей АИС ОКО (поиск причин «случайно» утерянных данных, восстановление утерянных/ удаленных данных по запросу Пользователя, исправление некорректной нумерации и т.п.);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контроль выполнения регламентных заданий АИС ОКО;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выполнение работ по обслуживанию базы данных (удаление помеченных на удаление объектов, тестирование базы данных и т.п.);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анализ системных журналов на наличие ошибок, поиск и применение решений по их исправлению.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График актирования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Ежемесячно </w:t>
            </w:r>
            <w:r>
              <w:rPr>
                <w:sz w:val="20"/>
                <w:szCs w:val="20"/>
              </w:rPr>
              <w:t xml:space="preserve">после подписания отчёта «Отчет об оказанных услугах по сопровождению АИС ОКО» на основании Акта сдачи-приемки оказанных услуг.</w:t>
            </w:r>
            <w:r>
              <w:rPr>
                <w:iCs/>
                <w:sz w:val="20"/>
                <w:szCs w:val="20"/>
              </w:rPr>
            </w:r>
            <w:r>
              <w:rPr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7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Режим оказания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color w:val="c00000"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Регулярное оказание в рабочее время Заказчика в соответствии с основным графиком работы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color w:val="c00000"/>
                <w:sz w:val="20"/>
                <w:szCs w:val="20"/>
              </w:rPr>
            </w:r>
            <w:r>
              <w:rPr>
                <w:color w:val="c00000"/>
                <w:sz w:val="20"/>
                <w:szCs w:val="20"/>
              </w:rPr>
            </w:r>
          </w:p>
        </w:tc>
      </w:tr>
      <w:tr>
        <w:tblPrEx/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Соглашение об уровне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Время реакции: 30 мин.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Время решения: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Критические заявки – 8 ч;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Важные заявки –16 ч;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Обычные заявки –24 ч.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Время решения может быть изменено (увеличено или уменьшено) по согласованию Сторон.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СУО описано в п.7 Приложения 5 к настоящему ТЗ.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Объём Услуги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конфигурационных единиц – 11.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Пользователей – 792 человек.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Зона охвата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п. 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REF _Ref113470315 \r \h  \* MERGEFORMAT 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 xml:space="preserve">3.4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настоящего ТЗ.</w:t>
            </w:r>
            <w:r>
              <w:rPr>
                <w:color w:val="c00000"/>
                <w:sz w:val="20"/>
                <w:szCs w:val="20"/>
              </w:rPr>
            </w:r>
            <w:r>
              <w:rPr>
                <w:color w:val="c0000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Порядок оказания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Приложением № 3 к настоящему ТЗ.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Штрафные санкции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п.7 «Соглашение об уровне обслуживания» Приложения 5 к ТЗ.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rPr>
          <w:sz w:val="20"/>
          <w:szCs w:val="20"/>
        </w:rPr>
        <w:outlineLvl w:val="1"/>
      </w:pPr>
      <w:r/>
      <w:bookmarkStart w:id="101" w:name="_Toc238629804"/>
      <w:r>
        <w:rPr>
          <w:b/>
          <w:sz w:val="20"/>
          <w:szCs w:val="20"/>
        </w:rPr>
        <w:t xml:space="preserve">Услуга 4. Обновление АИС ОКО.</w:t>
      </w:r>
      <w:bookmarkEnd w:id="101"/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right"/>
        <w:keepNext/>
        <w:widowControl w:val="off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Табл. </w:t>
      </w:r>
      <w:r>
        <w:rPr>
          <w:color w:val="000000"/>
          <w:sz w:val="20"/>
          <w:szCs w:val="20"/>
        </w:rPr>
        <w:fldChar w:fldCharType="begin"/>
      </w:r>
      <w:r>
        <w:rPr>
          <w:color w:val="000000"/>
          <w:sz w:val="20"/>
          <w:szCs w:val="20"/>
        </w:rPr>
        <w:instrText xml:space="preserve"> SEQ Табл. \* ARABIC </w:instrText>
      </w:r>
      <w:r>
        <w:rPr>
          <w:color w:val="000000"/>
          <w:sz w:val="20"/>
          <w:szCs w:val="20"/>
        </w:rPr>
        <w:fldChar w:fldCharType="separate"/>
      </w:r>
      <w:r>
        <w:rPr>
          <w:color w:val="000000"/>
          <w:sz w:val="20"/>
          <w:szCs w:val="20"/>
        </w:rPr>
        <w:t xml:space="preserve">10</w:t>
      </w:r>
      <w:r>
        <w:rPr>
          <w:color w:val="000000"/>
          <w:sz w:val="20"/>
          <w:szCs w:val="20"/>
        </w:rPr>
        <w:fldChar w:fldCharType="end"/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tbl>
      <w:tblPr>
        <w:tblW w:w="94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5951"/>
      </w:tblGrid>
      <w:tr>
        <w:tblPrEx/>
        <w:trPr/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п/п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Название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Описание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i/>
                <w:color w:val="00b050"/>
                <w:sz w:val="20"/>
                <w:szCs w:val="20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</w:rPr>
              <w:t xml:space="preserve">БИЗ.ИС.ОКО-4.</w:t>
            </w:r>
            <w:r>
              <w:rPr>
                <w:i/>
                <w:color w:val="00b050"/>
                <w:sz w:val="20"/>
                <w:szCs w:val="20"/>
              </w:rPr>
            </w:r>
            <w:r>
              <w:rPr>
                <w:i/>
                <w:color w:val="00b050"/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Название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Комплекс мероприятий по обновлению программных компонентов АИС ОКО.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Категория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contextualSpacing/>
              <w:rPr>
                <w:iCs/>
                <w:color w:val="00b0f0"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Бизнес-услуга.</w:t>
            </w:r>
            <w:r>
              <w:rPr>
                <w:iCs/>
                <w:color w:val="00b0f0"/>
                <w:sz w:val="20"/>
                <w:szCs w:val="20"/>
              </w:rPr>
            </w:r>
            <w:r>
              <w:rPr>
                <w:iCs/>
                <w:color w:val="00b0f0"/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Функциональный заказчик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contextualSpacing/>
              <w:rPr>
                <w:color w:val="00b0f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Департамент взаимодействия с клиентами.</w:t>
            </w:r>
            <w:r>
              <w:rPr>
                <w:color w:val="00b0f0"/>
                <w:sz w:val="20"/>
                <w:szCs w:val="20"/>
              </w:rPr>
            </w:r>
            <w:r>
              <w:rPr>
                <w:color w:val="00b0f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Перечень работ в составе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обработка заявок Пользователей;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анализ заявок на предмет необходимости обновления АИС ОКО;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проверка наличия новых версий программных компонентов АИС ОКО;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формирование и ведение плана обновлений АИС ОКО;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организация и обеспечение функционирования тестовой среды на ресурсах Заказчика для тестирования обновлений АИС ОКО;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установка обновлений АИС ОКО на тестовую среду;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тестирование (в том числе, проверка совместимости) работы новых версий программных компонентов АИС ОКО;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установка обновлений на продуктивную среду АИС ОКО;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предоставление информации Пользователям, Администраторам по составу устанавливаемых обновлений АИС ОКО в формате документа «Список изменений»;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предоставление Пользователям, Администраторам обновленного пакета эксплуатационной документации по работе с АИС ОКО в случае, если обновление содержит изменённую или новую функциональность;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обновление общероссийских классификаторов по направлению в продуктивной среде АИС ОКО.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График актирования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Ежемесячно </w:t>
            </w:r>
            <w:r>
              <w:rPr>
                <w:sz w:val="20"/>
                <w:szCs w:val="20"/>
              </w:rPr>
              <w:t xml:space="preserve">после подписания отчёта «Отчет об оказанных услугах по сопровождению АИС ОКО» на основании Акта сдачи-приемки оказанных услуг.</w:t>
            </w:r>
            <w:r>
              <w:rPr>
                <w:iCs/>
                <w:sz w:val="20"/>
                <w:szCs w:val="20"/>
              </w:rPr>
            </w:r>
            <w:r>
              <w:rPr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7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Режим оказания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color w:val="c00000"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В согласованный Сторонами временной интервал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color w:val="c00000"/>
                <w:sz w:val="20"/>
                <w:szCs w:val="20"/>
              </w:rPr>
            </w:r>
            <w:r>
              <w:rPr>
                <w:color w:val="c00000"/>
                <w:sz w:val="20"/>
                <w:szCs w:val="20"/>
              </w:rPr>
            </w:r>
          </w:p>
        </w:tc>
      </w:tr>
      <w:tr>
        <w:tblPrEx/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Соглашение об уровне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vAlign w:val="center"/>
            <w:textDirection w:val="lrTb"/>
            <w:noWrap w:val="false"/>
          </w:tcPr>
          <w:p>
            <w:pPr>
              <w:ind w:left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Время реакции: 30 мин.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Время решения: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Критические заявки – по согласованию;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Важные заявки - по согласованию;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Обычные заявки - по согласованию.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Объём Услуги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обновлений – не более 4-х в месяц.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Зона охвата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п. 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REF _Ref113470315 \r \h  \* MERGEFORMAT 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 xml:space="preserve">3.4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настоящего ТЗ.</w:t>
            </w:r>
            <w:r>
              <w:rPr>
                <w:color w:val="c00000"/>
                <w:sz w:val="20"/>
                <w:szCs w:val="20"/>
              </w:rPr>
            </w:r>
            <w:r>
              <w:rPr>
                <w:color w:val="c0000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Порядок оказания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Приложением № 3 к настоящему ТЗ.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Штрафные санкции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п.7 «Соглашение об уровне обслуживания» Приложения 5 к ТЗ.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rPr>
          <w:sz w:val="20"/>
          <w:szCs w:val="20"/>
        </w:rPr>
        <w:outlineLvl w:val="1"/>
      </w:pPr>
      <w:r/>
      <w:bookmarkStart w:id="102" w:name="_Toc238629805"/>
      <w:r>
        <w:rPr>
          <w:b/>
          <w:sz w:val="20"/>
          <w:szCs w:val="20"/>
        </w:rPr>
        <w:t xml:space="preserve">Услуга 5. Настройка АИС ОКО (выполнение ЗНН).</w:t>
      </w:r>
      <w:bookmarkEnd w:id="102"/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right"/>
        <w:keepNext/>
        <w:widowControl w:val="off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Табл. </w:t>
      </w:r>
      <w:r>
        <w:rPr>
          <w:color w:val="000000"/>
          <w:sz w:val="20"/>
          <w:szCs w:val="20"/>
        </w:rPr>
        <w:fldChar w:fldCharType="begin"/>
      </w:r>
      <w:r>
        <w:rPr>
          <w:color w:val="000000"/>
          <w:sz w:val="20"/>
          <w:szCs w:val="20"/>
        </w:rPr>
        <w:instrText xml:space="preserve"> SEQ Табл. \* ARABIC </w:instrText>
      </w:r>
      <w:r>
        <w:rPr>
          <w:color w:val="000000"/>
          <w:sz w:val="20"/>
          <w:szCs w:val="20"/>
        </w:rPr>
        <w:fldChar w:fldCharType="separate"/>
      </w:r>
      <w:r>
        <w:rPr>
          <w:color w:val="000000"/>
          <w:sz w:val="20"/>
          <w:szCs w:val="20"/>
        </w:rPr>
        <w:t xml:space="preserve">11</w:t>
      </w:r>
      <w:r>
        <w:rPr>
          <w:color w:val="000000"/>
          <w:sz w:val="20"/>
          <w:szCs w:val="20"/>
        </w:rPr>
        <w:fldChar w:fldCharType="end"/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tbl>
      <w:tblPr>
        <w:tblW w:w="94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5951"/>
      </w:tblGrid>
      <w:tr>
        <w:tblPrEx/>
        <w:trPr/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п/п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Название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Описание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color w:val="00b050"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БИЗ.ИС.ОКО-5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color w:val="00b050"/>
                <w:sz w:val="20"/>
                <w:szCs w:val="20"/>
              </w:rPr>
            </w:r>
            <w:r>
              <w:rPr>
                <w:color w:val="00b050"/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Название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Комплекс мероприятий по настройке функциональности АИС ОКО.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Категория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contextualSpacing/>
              <w:rPr>
                <w:i/>
                <w:iCs/>
                <w:color w:val="00b0f0"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Бизнес-услуга.</w:t>
            </w:r>
            <w:r>
              <w:rPr>
                <w:i/>
                <w:iCs/>
                <w:color w:val="00b0f0"/>
                <w:sz w:val="20"/>
                <w:szCs w:val="20"/>
              </w:rPr>
            </w:r>
            <w:r>
              <w:rPr>
                <w:i/>
                <w:iCs/>
                <w:color w:val="00b0f0"/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Функциональный заказчик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contextualSpacing/>
              <w:rPr>
                <w:color w:val="00b0f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Департамент взаимодействия с клиентами.</w:t>
            </w:r>
            <w:r>
              <w:rPr>
                <w:color w:val="00b0f0"/>
                <w:sz w:val="20"/>
                <w:szCs w:val="20"/>
              </w:rPr>
            </w:r>
            <w:r>
              <w:rPr>
                <w:color w:val="00b0f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Перечень работ в составе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обработка ЗНН Пользователей;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анализ заявок и уточнение требований Пользователей по задаче на настройку АИС ОКО;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оценка сроков реализации ЗНН в соответствии с Методикой расчета времени на настройку (Приложение 5 к ТЗ).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установка выполненных настроек на тестовую среду АИС ОКО на ресурсах Заказчика;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проведение демонстрации выполненных настроек АИС ОКО в соответствии с ЗНН;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устранение замечаний, выявленных в ходе тестирования;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установка выполненных настроек на продуктивную среду АИС ОКО на ресурсах Заказчика;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предоставление информации Пользователям по составу выполненных настроек в формате документа «Список изменений»;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предоставление Пользователям, Администраторам обновленного пакета эксплуатационной документации по работе с АИС ОКО с учетом выполненных настроек.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График актирования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Ежемесячно </w:t>
            </w:r>
            <w:r>
              <w:rPr>
                <w:sz w:val="20"/>
                <w:szCs w:val="20"/>
              </w:rPr>
              <w:t xml:space="preserve">после подписания отчёта «Отчет об оказанных услугах по сопровождению АИС ОКО» на основании Акта сдачи-приемки оказанных услуг.</w:t>
            </w:r>
            <w:r>
              <w:rPr>
                <w:iCs/>
                <w:sz w:val="20"/>
                <w:szCs w:val="20"/>
              </w:rPr>
            </w:r>
            <w:r>
              <w:rPr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7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Режим оказания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color w:val="c00000"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Регулярное оказание в рабочее время Заказчика в соответствии с основным графиком работы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color w:val="c00000"/>
                <w:sz w:val="20"/>
                <w:szCs w:val="20"/>
              </w:rPr>
            </w:r>
            <w:r>
              <w:rPr>
                <w:color w:val="c00000"/>
                <w:sz w:val="20"/>
                <w:szCs w:val="20"/>
              </w:rPr>
            </w:r>
          </w:p>
        </w:tc>
      </w:tr>
      <w:tr>
        <w:tblPrEx/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Соглашение об уровне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Время реакции: 1 ч.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Время решения (выполнения ЗНН):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Критические заявки – по согласованию;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Важные заявки – по согласованию;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Обычные заявки – по согласованию.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Время выполнения ЗНН рассчитывается и согласовывается в соответствии с Методикой расчета времени на настройку (Приложение 5 к ТЗ).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Объём Услуги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Объём настроек не должен превышать отношение стоимости работ к стоимости часа работы одного специалиста Исполнителя (стоимость часа работ определяется по итогам конкурсных процедур).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Зона охвата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п. 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REF _Ref113470315 \r \h  \* MERGEFORMAT 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 xml:space="preserve">3.4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настоящего ТЗ.</w:t>
            </w:r>
            <w:r>
              <w:rPr>
                <w:color w:val="c00000"/>
                <w:sz w:val="20"/>
                <w:szCs w:val="20"/>
              </w:rPr>
            </w:r>
            <w:r>
              <w:rPr>
                <w:color w:val="c0000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Порядок оказания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Приложением № 3 к настоящему ТЗ.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Штрафные санкции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п.7 «Соглашение об уровне обслуживания» Приложения 5 к ТЗ.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rPr>
          <w:sz w:val="20"/>
          <w:szCs w:val="20"/>
        </w:rPr>
        <w:outlineLvl w:val="1"/>
      </w:pPr>
      <w:r/>
      <w:bookmarkStart w:id="103" w:name="_Toc238629806"/>
      <w:r>
        <w:rPr>
          <w:b/>
          <w:sz w:val="20"/>
          <w:szCs w:val="20"/>
        </w:rPr>
        <w:t xml:space="preserve">Услуга 6. Нетиповая настройка АИС ОКО.</w:t>
      </w:r>
      <w:bookmarkEnd w:id="103"/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right"/>
        <w:keepNext/>
        <w:widowControl w:val="off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Табл. </w:t>
      </w:r>
      <w:r>
        <w:rPr>
          <w:color w:val="000000"/>
          <w:sz w:val="20"/>
          <w:szCs w:val="20"/>
        </w:rPr>
        <w:fldChar w:fldCharType="begin"/>
      </w:r>
      <w:r>
        <w:rPr>
          <w:color w:val="000000"/>
          <w:sz w:val="20"/>
          <w:szCs w:val="20"/>
        </w:rPr>
        <w:instrText xml:space="preserve"> SEQ Табл. \* ARABIC </w:instrText>
      </w:r>
      <w:r>
        <w:rPr>
          <w:color w:val="000000"/>
          <w:sz w:val="20"/>
          <w:szCs w:val="20"/>
        </w:rPr>
        <w:fldChar w:fldCharType="separate"/>
      </w:r>
      <w:r>
        <w:rPr>
          <w:color w:val="000000"/>
          <w:sz w:val="20"/>
          <w:szCs w:val="20"/>
        </w:rPr>
        <w:t xml:space="preserve">12</w:t>
      </w:r>
      <w:r>
        <w:rPr>
          <w:color w:val="000000"/>
          <w:sz w:val="20"/>
          <w:szCs w:val="20"/>
        </w:rPr>
        <w:fldChar w:fldCharType="end"/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tbl>
      <w:tblPr>
        <w:tblW w:w="94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5951"/>
      </w:tblGrid>
      <w:tr>
        <w:tblPrEx/>
        <w:trPr/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п/п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Название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Описание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color w:val="00b050"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БИЗ.ИС.ОКО-6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color w:val="00b050"/>
                <w:sz w:val="20"/>
                <w:szCs w:val="20"/>
              </w:rPr>
            </w:r>
            <w:r>
              <w:rPr>
                <w:color w:val="00b050"/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Название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Комплекс мероприятий по нетиповой настройке функциональности АИС ОКО.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Категория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contextualSpacing/>
              <w:rPr>
                <w:i/>
                <w:iCs/>
                <w:color w:val="00b0f0"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Бизнес-услуга.</w:t>
            </w:r>
            <w:r>
              <w:rPr>
                <w:i/>
                <w:iCs/>
                <w:color w:val="00b0f0"/>
                <w:sz w:val="20"/>
                <w:szCs w:val="20"/>
              </w:rPr>
            </w:r>
            <w:r>
              <w:rPr>
                <w:i/>
                <w:iCs/>
                <w:color w:val="00b0f0"/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Функциональный заказчик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contextualSpacing/>
              <w:rPr>
                <w:color w:val="00b0f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ДИТ, Департамент взаимодействия с клиентами.</w:t>
            </w:r>
            <w:r>
              <w:rPr>
                <w:color w:val="00b0f0"/>
                <w:sz w:val="20"/>
                <w:szCs w:val="20"/>
              </w:rPr>
            </w:r>
            <w:r>
              <w:rPr>
                <w:color w:val="00b0f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Перечень работ в составе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Нетиповая настройка АИС ОКО – это настройка, которая направлена на развитие АИС ОКО в целом, устранение глобальных и(или) системных пробле</w:t>
            </w:r>
            <w:r>
              <w:rPr>
                <w:sz w:val="20"/>
                <w:szCs w:val="20"/>
              </w:rPr>
              <w:t xml:space="preserve">м, не относящихся к отдельным функциональным направлениям. Нетиповую настройку инициирует руководитель профильного направления ДИТ. Возможна инициация нетиповой настройки АИС ОКО со стороны Исполнителя, но при обязательном согласовании с руководителем ДИТ.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выполнения нетиповой настройки АИС ОКО между Исполнителем и Заказчиком заключается Соглашение на нетиповую настройку АИС ОКО (Приложение 6 к ТЗ).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График актирования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В соответствии с Соглашением на нетиповую настройку АИС ОКО (Приложение 6 к ТЗ).</w:t>
            </w:r>
            <w:r>
              <w:rPr>
                <w:iCs/>
                <w:sz w:val="20"/>
                <w:szCs w:val="20"/>
              </w:rPr>
            </w:r>
            <w:r>
              <w:rPr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7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Режим оказания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color w:val="c00000"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В рабочее время Заказчика в соответствии с основным графиком работы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color w:val="c00000"/>
                <w:sz w:val="20"/>
                <w:szCs w:val="20"/>
              </w:rPr>
            </w:r>
            <w:r>
              <w:rPr>
                <w:color w:val="c00000"/>
                <w:sz w:val="20"/>
                <w:szCs w:val="20"/>
              </w:rPr>
            </w:r>
          </w:p>
        </w:tc>
      </w:tr>
      <w:tr>
        <w:tblPrEx/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Соглашение об уровне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Время реакции: 1 ч.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Время решения (выполнения нетиповой настройки) рассчитывается Исполнителем и согласовывается с руководителем ДИТ.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Объём Услуги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Объём нетиповой настройки – указывается в Соглашении на нетиповую настройку, не может превышать в целом объем услуг по Договору.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Зона охвата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rPr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п. 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REF _Ref113470315 \r \h  \* MERGEFORMAT 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 xml:space="preserve">3.4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настоящего ТЗ.</w:t>
            </w:r>
            <w:r>
              <w:rPr>
                <w:color w:val="c00000"/>
                <w:sz w:val="20"/>
                <w:szCs w:val="20"/>
              </w:rPr>
            </w:r>
            <w:r>
              <w:rPr>
                <w:color w:val="c0000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Порядок оказания Услуги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Соглашением на нетиповую настройку (Приложением № 6 к ТЗ).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Штрафные санкции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1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п.7 «Соглашение об уровне обслуживания» Приложения 5 к ТЗ.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rFonts w:ascii="Times New Roman Полужирный" w:hAnsi="Times New Roman Полужирный"/>
          <w:b/>
          <w:color w:val="000000"/>
          <w:sz w:val="32"/>
          <w:szCs w:val="32"/>
          <w:lang w:eastAsia="en-US"/>
        </w:rPr>
      </w:pPr>
      <w:r/>
      <w:bookmarkStart w:id="104" w:name="_Toc111030569"/>
      <w:r/>
      <w:bookmarkEnd w:id="99"/>
      <w:r>
        <w:rPr>
          <w:rFonts w:ascii="Times New Roman Полужирный" w:hAnsi="Times New Roman Полужирный"/>
          <w:b/>
          <w:color w:val="000000"/>
          <w:sz w:val="32"/>
          <w:szCs w:val="32"/>
          <w:lang w:eastAsia="en-US"/>
        </w:rPr>
        <w:br w:type="page" w:clear="all"/>
      </w:r>
      <w:r>
        <w:rPr>
          <w:rFonts w:ascii="Times New Roman Полужирный" w:hAnsi="Times New Roman Полужирный"/>
          <w:b/>
          <w:color w:val="000000"/>
          <w:sz w:val="32"/>
          <w:szCs w:val="32"/>
          <w:lang w:eastAsia="en-US"/>
        </w:rPr>
      </w:r>
      <w:r>
        <w:rPr>
          <w:rFonts w:ascii="Times New Roman Полужирный" w:hAnsi="Times New Roman Полужирный"/>
          <w:b/>
          <w:color w:val="000000"/>
          <w:sz w:val="32"/>
          <w:szCs w:val="32"/>
          <w:lang w:eastAsia="en-US"/>
        </w:rPr>
      </w:r>
    </w:p>
    <w:p>
      <w:pPr>
        <w:ind w:left="6521" w:firstLine="142"/>
        <w:keepNext/>
        <w:pageBreakBefore/>
        <w:rPr>
          <w:bCs/>
          <w:color w:val="000000"/>
          <w:lang w:eastAsia="en-US"/>
        </w:rPr>
        <w:outlineLvl w:val="0"/>
      </w:pPr>
      <w:r/>
      <w:bookmarkStart w:id="105" w:name="_Toc238629807"/>
      <w:r>
        <w:rPr>
          <w:bCs/>
          <w:color w:val="000000"/>
          <w:lang w:eastAsia="en-US"/>
        </w:rPr>
        <w:t xml:space="preserve">Приложение 2</w:t>
      </w:r>
      <w:bookmarkEnd w:id="105"/>
      <w:r>
        <w:rPr>
          <w:bCs/>
          <w:color w:val="000000"/>
          <w:lang w:eastAsia="en-US"/>
        </w:rPr>
      </w:r>
      <w:r>
        <w:rPr>
          <w:bCs/>
          <w:color w:val="000000"/>
          <w:lang w:eastAsia="en-US"/>
        </w:rPr>
      </w:r>
    </w:p>
    <w:p>
      <w:pPr>
        <w:ind w:left="6521" w:firstLine="142"/>
        <w:rPr>
          <w:szCs w:val="20"/>
          <w:lang w:eastAsia="en-US"/>
        </w:rPr>
      </w:pPr>
      <w:r>
        <w:rPr>
          <w:szCs w:val="20"/>
          <w:lang w:eastAsia="en-US"/>
        </w:rPr>
        <w:t xml:space="preserve">к Техническому заданию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p>
      <w:pPr>
        <w:ind w:left="6521"/>
        <w:rPr>
          <w:szCs w:val="20"/>
        </w:rPr>
      </w:pPr>
      <w:r>
        <w:rPr>
          <w:szCs w:val="20"/>
        </w:rPr>
      </w:r>
      <w:r>
        <w:rPr>
          <w:szCs w:val="20"/>
        </w:rPr>
      </w:r>
      <w:r>
        <w:rPr>
          <w:szCs w:val="20"/>
        </w:rPr>
      </w:r>
    </w:p>
    <w:p>
      <w:pPr>
        <w:jc w:val="center"/>
        <w:rPr>
          <w:b/>
          <w:sz w:val="28"/>
          <w:szCs w:val="28"/>
        </w:rPr>
        <w:outlineLvl w:val="1"/>
      </w:pPr>
      <w:r/>
      <w:bookmarkStart w:id="106" w:name="_Toc238629808"/>
      <w:r>
        <w:rPr>
          <w:b/>
          <w:sz w:val="28"/>
          <w:szCs w:val="28"/>
        </w:rPr>
        <w:t xml:space="preserve">Перечень документов, передаваемых Заказчиком Исполнителю для оказания услуг по сопровождению </w:t>
      </w:r>
      <w:r>
        <w:rPr>
          <w:b/>
          <w:sz w:val="28"/>
          <w:szCs w:val="28"/>
        </w:rPr>
        <w:br/>
        <w:t xml:space="preserve">АИС ОКО.</w:t>
      </w:r>
      <w:bookmarkEnd w:id="106"/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680"/>
        <w:jc w:val="center"/>
        <w:rPr>
          <w:rFonts w:cs="Arial"/>
          <w:lang w:val="en-US" w:eastAsia="en-US" w:bidi="en-US"/>
        </w:rPr>
      </w:pPr>
      <w:r>
        <w:rPr>
          <w:rFonts w:cs="Arial"/>
          <w:lang w:val="en-US" w:eastAsia="en-US" w:bidi="en-US"/>
        </w:rPr>
      </w:r>
      <w:r>
        <w:rPr>
          <w:rFonts w:cs="Arial"/>
          <w:lang w:val="en-US" w:eastAsia="en-US" w:bidi="en-US"/>
        </w:rPr>
      </w:r>
      <w:r>
        <w:rPr>
          <w:rFonts w:cs="Arial"/>
          <w:lang w:val="en-US" w:eastAsia="en-US" w:bidi="en-US"/>
        </w:rPr>
      </w:r>
    </w:p>
    <w:p>
      <w:pPr>
        <w:jc w:val="right"/>
        <w:keepNext/>
        <w:widowControl w:val="off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Табл. 13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tbl>
      <w:tblPr>
        <w:tblStyle w:val="1092"/>
        <w:tblW w:w="0" w:type="auto"/>
        <w:tblLook w:val="04A0" w:firstRow="1" w:lastRow="0" w:firstColumn="1" w:lastColumn="0" w:noHBand="0" w:noVBand="1"/>
      </w:tblPr>
      <w:tblGrid>
        <w:gridCol w:w="634"/>
        <w:gridCol w:w="3472"/>
        <w:gridCol w:w="1409"/>
        <w:gridCol w:w="1710"/>
        <w:gridCol w:w="2261"/>
      </w:tblGrid>
      <w:tr>
        <w:tblPrEx/>
        <w:trPr/>
        <w:tc>
          <w:tcPr>
            <w:tcW w:w="63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п/п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3472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Наименование документа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1409" w:type="dxa"/>
            <w:textDirection w:val="lrTb"/>
            <w:noWrap w:val="false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Дата утверждения / ввода в действие документа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171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Версия документа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2261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Формат документа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W w:w="634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472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Техническое решение автоматизированной информационной системы обработки клиентских обращений (АИС ОКО)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09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29.03.2023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10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26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электронный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634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472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Паспорт автоматизированной информационной системы обработки клиентских обращений (АИС ОКО)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09" w:type="dxa"/>
            <w:textDirection w:val="lrTb"/>
            <w:noWrap w:val="false"/>
          </w:tcPr>
          <w:p>
            <w:pPr>
              <w:jc w:val="center"/>
              <w:rPr>
                <w:i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31.03.2024</w:t>
            </w:r>
            <w:r>
              <w:rPr>
                <w:i/>
                <w:color w:val="00b0f0"/>
                <w:sz w:val="20"/>
                <w:szCs w:val="20"/>
              </w:rPr>
            </w:r>
            <w:r>
              <w:rPr>
                <w:i/>
                <w:color w:val="00b0f0"/>
                <w:sz w:val="20"/>
                <w:szCs w:val="20"/>
              </w:rPr>
            </w:r>
          </w:p>
        </w:tc>
        <w:tc>
          <w:tcPr>
            <w:tcW w:w="1710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26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электронный 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634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472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настроек и разработок автоматизированной информационной системы обработки клиентских обращений (АИС ОКО)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09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26.01.2024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10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26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электронный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634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472" w:type="dxa"/>
            <w:textDirection w:val="lrTb"/>
            <w:noWrap w:val="false"/>
          </w:tcPr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Руководство администратора АИС ОКО</w:t>
            </w:r>
            <w:r>
              <w:rPr>
                <w:color w:val="00b0f0"/>
                <w:sz w:val="20"/>
                <w:szCs w:val="20"/>
              </w:rPr>
            </w: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409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31.03.2024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10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26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электронный 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634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472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Руководство пользователя АИС ОКО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09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31.03.2024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10" w:type="dxa"/>
            <w:textDirection w:val="lrTb"/>
            <w:noWrap w:val="false"/>
          </w:tcPr>
          <w:p>
            <w:pPr>
              <w:jc w:val="center"/>
              <w:rPr>
                <w:i/>
                <w:color w:val="00b0f0"/>
                <w:sz w:val="20"/>
                <w:szCs w:val="20"/>
              </w:rPr>
            </w:pPr>
            <w:r>
              <w:rPr>
                <w:i/>
                <w:color w:val="00b0f0"/>
                <w:sz w:val="20"/>
                <w:szCs w:val="20"/>
              </w:rPr>
            </w:r>
            <w:r>
              <w:rPr>
                <w:i/>
                <w:color w:val="00b0f0"/>
                <w:sz w:val="20"/>
                <w:szCs w:val="20"/>
              </w:rPr>
            </w:r>
            <w:r>
              <w:rPr>
                <w:i/>
                <w:color w:val="00b0f0"/>
                <w:sz w:val="20"/>
                <w:szCs w:val="20"/>
              </w:rPr>
            </w:r>
          </w:p>
        </w:tc>
        <w:tc>
          <w:tcPr>
            <w:tcW w:w="2261" w:type="dxa"/>
            <w:textDirection w:val="lrTb"/>
            <w:noWrap w:val="false"/>
          </w:tcPr>
          <w:p>
            <w:pPr>
              <w:jc w:val="center"/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электронный  </w:t>
            </w:r>
            <w:r>
              <w:rPr>
                <w:color w:val="00b0f0"/>
                <w:sz w:val="20"/>
                <w:szCs w:val="20"/>
              </w:rPr>
            </w:r>
            <w:r>
              <w:rPr>
                <w:color w:val="00b0f0"/>
                <w:sz w:val="20"/>
                <w:szCs w:val="20"/>
              </w:rPr>
            </w:r>
          </w:p>
        </w:tc>
      </w:tr>
      <w:tr>
        <w:tblPrEx/>
        <w:trPr/>
        <w:tc>
          <w:tcPr>
            <w:tcW w:w="634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W w:w="3472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Приказ АО "Россети Кубань" №286-од «Об утверждении Регламента взаимодействия между структурными подразделениями Общества при организации работы по договорам сопровождения автоматизированных информационных систем АО «Россети Кубань»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09" w:type="dxa"/>
            <w:textDirection w:val="lrTb"/>
            <w:noWrap w:val="false"/>
          </w:tcPr>
          <w:p>
            <w:pPr>
              <w:jc w:val="center"/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24.04.2025</w:t>
            </w:r>
            <w:r>
              <w:rPr>
                <w:color w:val="00b0f0"/>
                <w:sz w:val="20"/>
                <w:szCs w:val="20"/>
              </w:rPr>
            </w: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710" w:type="dxa"/>
            <w:textDirection w:val="lrTb"/>
            <w:noWrap w:val="false"/>
          </w:tcPr>
          <w:p>
            <w:pPr>
              <w:jc w:val="center"/>
              <w:rPr>
                <w:i/>
                <w:color w:val="00b0f0"/>
                <w:sz w:val="20"/>
                <w:szCs w:val="20"/>
              </w:rPr>
            </w:pPr>
            <w:r>
              <w:rPr>
                <w:color w:val="000000"/>
                <w:sz w:val="20"/>
                <w:szCs w:val="26"/>
              </w:rPr>
              <w:t xml:space="preserve">1</w:t>
            </w:r>
            <w:r>
              <w:rPr>
                <w:i/>
                <w:color w:val="00b0f0"/>
                <w:sz w:val="20"/>
                <w:szCs w:val="20"/>
              </w:rPr>
            </w:r>
            <w:r>
              <w:rPr>
                <w:i/>
                <w:color w:val="00b0f0"/>
                <w:sz w:val="20"/>
                <w:szCs w:val="20"/>
              </w:rPr>
            </w:r>
          </w:p>
        </w:tc>
        <w:tc>
          <w:tcPr>
            <w:tcW w:w="226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6"/>
              </w:rPr>
              <w:t xml:space="preserve">электронный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634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472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Приказ филиала ПАО «Россети Юг» – «Кубаньэнерго» №111 «Об эксплуатации АИС ОКО»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09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26.02.2026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1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6"/>
              </w:rPr>
            </w:pPr>
            <w:r>
              <w:rPr>
                <w:color w:val="000000"/>
                <w:sz w:val="20"/>
                <w:szCs w:val="26"/>
              </w:rPr>
              <w:t xml:space="preserve">1</w:t>
            </w:r>
            <w:r>
              <w:rPr>
                <w:color w:val="000000"/>
                <w:sz w:val="20"/>
                <w:szCs w:val="26"/>
              </w:rPr>
            </w:r>
            <w:r>
              <w:rPr>
                <w:color w:val="000000"/>
                <w:sz w:val="20"/>
                <w:szCs w:val="26"/>
              </w:rPr>
            </w:r>
          </w:p>
        </w:tc>
        <w:tc>
          <w:tcPr>
            <w:tcW w:w="2261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6"/>
              </w:rPr>
            </w:pPr>
            <w:r>
              <w:rPr>
                <w:color w:val="000000"/>
                <w:sz w:val="20"/>
                <w:szCs w:val="26"/>
              </w:rPr>
              <w:t xml:space="preserve">электронный</w:t>
            </w:r>
            <w:r>
              <w:rPr>
                <w:color w:val="000000"/>
                <w:sz w:val="20"/>
                <w:szCs w:val="26"/>
              </w:rPr>
            </w:r>
            <w:r>
              <w:rPr>
                <w:color w:val="000000"/>
                <w:sz w:val="20"/>
                <w:szCs w:val="26"/>
              </w:rPr>
            </w:r>
          </w:p>
        </w:tc>
      </w:tr>
      <w:tr>
        <w:tblPrEx/>
        <w:trPr/>
        <w:tc>
          <w:tcPr>
            <w:tcW w:w="634" w:type="dxa"/>
            <w:textDirection w:val="lrTb"/>
            <w:noWrap w:val="false"/>
          </w:tcPr>
          <w:p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 xml:space="preserve">8</w:t>
            </w:r>
            <w:r>
              <w:rPr>
                <w:sz w:val="20"/>
                <w:lang w:val="en-US"/>
              </w:rPr>
            </w:r>
            <w:r>
              <w:rPr>
                <w:sz w:val="20"/>
                <w:lang w:val="en-US"/>
              </w:rPr>
            </w:r>
          </w:p>
        </w:tc>
        <w:tc>
          <w:tcPr>
            <w:tcW w:w="3472" w:type="dxa"/>
            <w:textDirection w:val="lrTb"/>
            <w:noWrap w:val="false"/>
          </w:tcPr>
          <w:p>
            <w:pPr>
              <w:rPr>
                <w:sz w:val="20"/>
              </w:rPr>
            </w:pPr>
            <w:r>
              <w:rPr>
                <w:sz w:val="20"/>
              </w:rPr>
              <w:t xml:space="preserve">Приказ ПАО "Россети Юг" №862 «Об утверждении Порядка оформления дистанционной работы в ПАО «Россети Юг»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1409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01.01.2025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1710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2261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электронный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W w:w="634" w:type="dxa"/>
            <w:textDirection w:val="lrTb"/>
            <w:noWrap w:val="false"/>
          </w:tcPr>
          <w:p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9</w:t>
            </w:r>
            <w:r>
              <w:rPr>
                <w:sz w:val="20"/>
                <w:lang w:val="en-US"/>
              </w:rPr>
            </w:r>
            <w:r>
              <w:rPr>
                <w:sz w:val="20"/>
                <w:lang w:val="en-US"/>
              </w:rPr>
            </w:r>
          </w:p>
        </w:tc>
        <w:tc>
          <w:tcPr>
            <w:tcW w:w="3472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Приказ АО "Россети Юг" №276 «Об утверждении Регламента по соблюдению правил информационной безопасности» АО «Россети Юг»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09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27.04.2025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10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2261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электронный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ind w:left="6237" w:firstLine="426"/>
        <w:keepNext/>
        <w:pageBreakBefore/>
        <w:rPr>
          <w:bCs/>
          <w:color w:val="000000"/>
          <w:lang w:eastAsia="en-US"/>
        </w:rPr>
        <w:outlineLvl w:val="0"/>
      </w:pPr>
      <w:r/>
      <w:bookmarkStart w:id="107" w:name="_Toc238629809"/>
      <w:r>
        <w:rPr>
          <w:bCs/>
          <w:color w:val="000000"/>
          <w:lang w:eastAsia="en-US"/>
        </w:rPr>
        <w:t xml:space="preserve">Приложение 3</w:t>
      </w:r>
      <w:bookmarkEnd w:id="107"/>
      <w:r>
        <w:rPr>
          <w:bCs/>
          <w:color w:val="000000"/>
          <w:lang w:eastAsia="en-US"/>
        </w:rPr>
      </w:r>
      <w:r>
        <w:rPr>
          <w:bCs/>
          <w:color w:val="000000"/>
          <w:lang w:eastAsia="en-US"/>
        </w:rPr>
      </w:r>
    </w:p>
    <w:p>
      <w:pPr>
        <w:ind w:left="6237" w:firstLine="426"/>
        <w:rPr>
          <w:szCs w:val="20"/>
          <w:lang w:eastAsia="en-US"/>
        </w:rPr>
      </w:pPr>
      <w:r>
        <w:rPr>
          <w:szCs w:val="20"/>
          <w:lang w:eastAsia="en-US"/>
        </w:rPr>
        <w:t xml:space="preserve">к Техническому заданию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p>
      <w:pPr>
        <w:ind w:left="6521"/>
        <w:rPr>
          <w:szCs w:val="20"/>
          <w:lang w:eastAsia="en-US"/>
        </w:rPr>
      </w:pPr>
      <w:r>
        <w:rPr>
          <w:szCs w:val="20"/>
          <w:lang w:eastAsia="en-US"/>
        </w:rPr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p>
      <w:pPr>
        <w:ind w:left="709" w:hanging="283"/>
        <w:jc w:val="center"/>
        <w:rPr>
          <w:b/>
          <w:sz w:val="32"/>
          <w:szCs w:val="32"/>
        </w:rPr>
        <w:outlineLvl w:val="1"/>
      </w:pPr>
      <w:r/>
      <w:bookmarkStart w:id="108" w:name="_Toc238629810"/>
      <w:r>
        <w:rPr>
          <w:b/>
          <w:sz w:val="32"/>
          <w:szCs w:val="32"/>
        </w:rPr>
        <w:t xml:space="preserve">Порядок оказания Услуг</w:t>
      </w:r>
      <w:bookmarkEnd w:id="104"/>
      <w:r>
        <w:rPr>
          <w:b/>
          <w:sz w:val="32"/>
          <w:szCs w:val="32"/>
        </w:rPr>
        <w:t xml:space="preserve"> по сопровождению </w:t>
      </w:r>
      <w:r>
        <w:rPr>
          <w:b/>
          <w:sz w:val="32"/>
          <w:szCs w:val="32"/>
        </w:rPr>
        <w:br/>
        <w:t xml:space="preserve">АИС ОКО</w:t>
      </w:r>
      <w:bookmarkEnd w:id="108"/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numPr>
          <w:ilvl w:val="0"/>
          <w:numId w:val="49"/>
        </w:numPr>
        <w:ind w:left="1145" w:hanging="436"/>
        <w:spacing w:after="160" w:line="264" w:lineRule="auto"/>
        <w:rPr>
          <w:b/>
          <w:sz w:val="28"/>
          <w:szCs w:val="28"/>
        </w:rPr>
        <w:outlineLvl w:val="1"/>
      </w:pPr>
      <w:r/>
      <w:bookmarkStart w:id="109" w:name="_Toc238629811"/>
      <w:r>
        <w:rPr>
          <w:b/>
          <w:sz w:val="28"/>
          <w:szCs w:val="28"/>
        </w:rPr>
        <w:t xml:space="preserve">Общие положения</w:t>
      </w:r>
      <w:bookmarkEnd w:id="109"/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1.1. В настоящем документе представлено описание порядка взаимодействия между сотрудниками Заказчика и сотрудниками Исполнителя в рамках оказания Услуг по сопровождению АИС ОКО. Настоящий документ является неотъемлемым приложением к ТЗ.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1.2. В рамках настоящего ТЗ Исполнитель оказывает услуги, включающие:</w:t>
      </w:r>
      <w:r>
        <w:rPr>
          <w:color w:val="000000"/>
        </w:rPr>
      </w:r>
      <w:r>
        <w:rPr>
          <w:color w:val="000000"/>
        </w:rPr>
      </w:r>
    </w:p>
    <w:p>
      <w:pPr>
        <w:numPr>
          <w:ilvl w:val="0"/>
          <w:numId w:val="42"/>
        </w:numPr>
        <w:contextualSpacing/>
        <w:jc w:val="both"/>
        <w:rPr>
          <w:color w:val="000000"/>
        </w:rPr>
      </w:pPr>
      <w:r>
        <w:rPr>
          <w:color w:val="000000"/>
        </w:rPr>
        <w:t xml:space="preserve">сопровождение АИС ОКО;</w:t>
      </w:r>
      <w:r>
        <w:rPr>
          <w:color w:val="000000"/>
        </w:rPr>
      </w:r>
      <w:r>
        <w:rPr>
          <w:color w:val="000000"/>
        </w:rPr>
      </w:r>
    </w:p>
    <w:p>
      <w:pPr>
        <w:numPr>
          <w:ilvl w:val="0"/>
          <w:numId w:val="42"/>
        </w:numPr>
        <w:contextualSpacing/>
        <w:jc w:val="both"/>
      </w:pPr>
      <w:r>
        <w:rPr>
          <w:iCs/>
        </w:rPr>
        <w:t xml:space="preserve">настройка АИС ОКО</w:t>
      </w:r>
      <w:r>
        <w:t xml:space="preserve">.</w:t>
      </w:r>
      <w:r/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1.3. Язык взаимодействия со Службой технической поддержки – русский.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numPr>
          <w:ilvl w:val="0"/>
          <w:numId w:val="49"/>
        </w:numPr>
        <w:ind w:left="1145" w:hanging="436"/>
        <w:spacing w:after="160" w:line="264" w:lineRule="auto"/>
        <w:rPr>
          <w:b/>
          <w:sz w:val="28"/>
          <w:szCs w:val="28"/>
        </w:rPr>
        <w:outlineLvl w:val="1"/>
      </w:pPr>
      <w:r/>
      <w:bookmarkStart w:id="110" w:name="_Toc238629812"/>
      <w:r>
        <w:rPr>
          <w:b/>
          <w:sz w:val="28"/>
          <w:szCs w:val="28"/>
        </w:rPr>
        <w:t xml:space="preserve">Термины, определения и сокращения</w:t>
      </w:r>
      <w:bookmarkEnd w:id="110"/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2.1. Термины, определения и сокращения приведены в разделе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REF _Ref113475662 \r \h  \* MERGEFORMAT </w:instrText>
      </w:r>
      <w:r>
        <w:rPr>
          <w:color w:val="000000"/>
        </w:rPr>
        <w:fldChar w:fldCharType="separate"/>
      </w:r>
      <w:r>
        <w:rPr>
          <w:color w:val="000000"/>
        </w:rPr>
        <w:t xml:space="preserve">1.1</w:t>
      </w:r>
      <w:r>
        <w:rPr>
          <w:color w:val="000000"/>
        </w:rPr>
        <w:fldChar w:fldCharType="end"/>
      </w:r>
      <w:r>
        <w:rPr>
          <w:color w:val="000000"/>
        </w:rPr>
        <w:t xml:space="preserve"> ТЗ.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numPr>
          <w:ilvl w:val="0"/>
          <w:numId w:val="49"/>
        </w:numPr>
        <w:ind w:left="1145" w:hanging="436"/>
        <w:spacing w:after="160" w:line="264" w:lineRule="auto"/>
        <w:rPr>
          <w:b/>
          <w:sz w:val="28"/>
          <w:szCs w:val="28"/>
        </w:rPr>
        <w:outlineLvl w:val="1"/>
      </w:pPr>
      <w:r/>
      <w:bookmarkStart w:id="111" w:name="_Toc238629813"/>
      <w:r>
        <w:rPr>
          <w:b/>
          <w:sz w:val="28"/>
          <w:szCs w:val="28"/>
        </w:rPr>
        <w:t xml:space="preserve">Организация работ по оказанию услуг сопровождения АИС ОКО</w:t>
      </w:r>
      <w:bookmarkEnd w:id="111"/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Услуги по сопровождению включают оказание следующих услуг:</w:t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ind w:left="1134" w:hanging="425"/>
      </w:pPr>
      <w:r>
        <w:t xml:space="preserve">Услуга 1. Обеспечение работоспособности АИС ОКО;</w:t>
      </w:r>
      <w:r/>
    </w:p>
    <w:p>
      <w:pPr>
        <w:ind w:left="1134" w:hanging="425"/>
      </w:pPr>
      <w:r>
        <w:t xml:space="preserve">Услуга 2. Поддержка Пользователей АИС ОКО;</w:t>
      </w:r>
      <w:r/>
    </w:p>
    <w:p>
      <w:pPr>
        <w:ind w:left="1134" w:hanging="425"/>
      </w:pPr>
      <w:r>
        <w:t xml:space="preserve">Услуга 3. Администрирование АИС ОКО;</w:t>
      </w:r>
      <w:r/>
    </w:p>
    <w:p>
      <w:pPr>
        <w:ind w:left="1134" w:hanging="425"/>
      </w:pPr>
      <w:r>
        <w:t xml:space="preserve">Услуга 4. Обновление АИС ОКО. </w:t>
      </w:r>
      <w:r/>
    </w:p>
    <w:p>
      <w:pPr>
        <w:contextualSpacing/>
        <w:ind w:firstLine="709"/>
        <w:jc w:val="both"/>
      </w:pPr>
      <w:r>
        <w:t xml:space="preserve">Услуги по сопровождению АИС ОКО выполняются И</w:t>
      </w:r>
      <w:r>
        <w:t xml:space="preserve">сполнителем из своего офиса или, при необходимости, из офиса Заказчика (г. Краснодар, ул. Ставропольская, д.2А) службой поддержки, состоящей не менее чем из 1 специалиста и одного руководителя проекта Исполнителя, обладающих необходимыми знаниями и опытом.</w:t>
      </w:r>
      <w:r/>
    </w:p>
    <w:p>
      <w:pPr>
        <w:contextualSpacing/>
        <w:ind w:firstLine="709"/>
        <w:jc w:val="both"/>
      </w:pPr>
      <w:r>
        <w:t xml:space="preserve">Специалисты Исполнителя могут оказывать удаленную поддержку пользователям с использованием, при необходимости и возможности, корпоративной сети передачи данных, электронной почты, телефонной связи филиала ПАО «Россети Юг» - «Кубаньэнерго».</w:t>
      </w:r>
      <w:r/>
    </w:p>
    <w:p>
      <w:pPr>
        <w:contextualSpacing/>
        <w:ind w:firstLine="709"/>
        <w:jc w:val="both"/>
      </w:pPr>
      <w:r>
        <w:t xml:space="preserve">Обращения в службу поддержки производятся:</w:t>
      </w:r>
      <w:r/>
    </w:p>
    <w:p>
      <w:pPr>
        <w:numPr>
          <w:ilvl w:val="0"/>
          <w:numId w:val="24"/>
        </w:numPr>
        <w:contextualSpacing/>
        <w:ind w:left="0" w:firstLine="709"/>
        <w:jc w:val="both"/>
        <w:tabs>
          <w:tab w:val="left" w:pos="1134" w:leader="none"/>
        </w:tabs>
      </w:pPr>
      <w:r>
        <w:t xml:space="preserve">по телефону;</w:t>
      </w:r>
      <w:r/>
    </w:p>
    <w:p>
      <w:pPr>
        <w:numPr>
          <w:ilvl w:val="0"/>
          <w:numId w:val="24"/>
        </w:numPr>
        <w:contextualSpacing/>
        <w:ind w:left="0" w:firstLine="709"/>
        <w:jc w:val="both"/>
        <w:tabs>
          <w:tab w:val="left" w:pos="1134" w:leader="none"/>
        </w:tabs>
      </w:pPr>
      <w:r>
        <w:t xml:space="preserve">по электронной почте на адрес службы поддержки;</w:t>
      </w:r>
      <w:r/>
    </w:p>
    <w:p>
      <w:pPr>
        <w:numPr>
          <w:ilvl w:val="0"/>
          <w:numId w:val="24"/>
        </w:numPr>
        <w:contextualSpacing/>
        <w:ind w:left="0" w:firstLine="709"/>
        <w:jc w:val="both"/>
        <w:tabs>
          <w:tab w:val="left" w:pos="1134" w:leader="none"/>
        </w:tabs>
      </w:pPr>
      <w:r>
        <w:t xml:space="preserve">на месте возникновения вопроса, с выездом специалиста Исполнителя на объект Заказчика (в случае невозможности решения вопроса удаленно);</w:t>
      </w:r>
      <w:r/>
    </w:p>
    <w:p>
      <w:pPr>
        <w:numPr>
          <w:ilvl w:val="0"/>
          <w:numId w:val="24"/>
        </w:numPr>
        <w:contextualSpacing/>
        <w:ind w:left="0" w:firstLine="709"/>
        <w:jc w:val="both"/>
        <w:tabs>
          <w:tab w:val="left" w:pos="1134" w:leader="none"/>
        </w:tabs>
        <w:rPr>
          <w:bCs/>
        </w:rPr>
      </w:pPr>
      <w:r>
        <w:t xml:space="preserve"> через </w:t>
      </w:r>
      <w:r>
        <w:rPr>
          <w:bCs/>
        </w:rPr>
        <w:t xml:space="preserve">систему запросов пользователей.</w:t>
      </w:r>
      <w:r>
        <w:rPr>
          <w:bCs/>
        </w:rPr>
      </w:r>
      <w:r>
        <w:rPr>
          <w:bCs/>
        </w:rPr>
      </w:r>
    </w:p>
    <w:p>
      <w:pPr>
        <w:contextualSpacing/>
        <w:ind w:firstLine="709"/>
        <w:jc w:val="both"/>
        <w:tabs>
          <w:tab w:val="left" w:pos="3945" w:leader="none"/>
        </w:tabs>
      </w:pPr>
      <w:r>
        <w:tab/>
      </w:r>
      <w:r/>
    </w:p>
    <w:p>
      <w:pPr>
        <w:contextualSpacing/>
        <w:ind w:firstLine="709"/>
        <w:jc w:val="both"/>
      </w:pPr>
      <w:r>
        <w:t xml:space="preserve">Исполнитель выполняет работы по запросам заказчика:</w:t>
      </w:r>
      <w:r/>
    </w:p>
    <w:p>
      <w:pPr>
        <w:numPr>
          <w:ilvl w:val="0"/>
          <w:numId w:val="24"/>
        </w:numPr>
        <w:contextualSpacing/>
        <w:ind w:left="0" w:firstLine="709"/>
        <w:jc w:val="both"/>
        <w:tabs>
          <w:tab w:val="left" w:pos="1134" w:leader="none"/>
        </w:tabs>
      </w:pPr>
      <w:r>
        <w:t xml:space="preserve">в рабочие дни с 08-00 до 17-00 московского времени;</w:t>
      </w:r>
      <w:r/>
    </w:p>
    <w:p>
      <w:pPr>
        <w:numPr>
          <w:ilvl w:val="0"/>
          <w:numId w:val="24"/>
        </w:numPr>
        <w:contextualSpacing/>
        <w:ind w:left="0" w:firstLine="709"/>
        <w:jc w:val="both"/>
        <w:tabs>
          <w:tab w:val="left" w:pos="1134" w:leader="none"/>
        </w:tabs>
      </w:pPr>
      <w:r>
        <w:t xml:space="preserve">в остал</w:t>
      </w:r>
      <w:r>
        <w:t xml:space="preserve">ьное время, а также в выходные и праздничные дни по согласованию сторон Исполнитель обеспечивает выполнение работ, при уведомлении его Заказчиком письменно или по электронной почте не позднее одного рабочего дня до начала выполнения работ в нерабочее время</w:t>
      </w:r>
      <w:r>
        <w:rPr>
          <w:rFonts w:eastAsia="Calibri"/>
          <w:color w:val="000000"/>
          <w:sz w:val="20"/>
          <w:szCs w:val="20"/>
        </w:rPr>
        <w:t xml:space="preserve"> </w:t>
      </w:r>
      <w:r>
        <w:rPr>
          <w:rFonts w:eastAsia="Calibri"/>
          <w:color w:val="000000"/>
          <w:szCs w:val="20"/>
        </w:rPr>
        <w:t xml:space="preserve">(модуль СОВА должен работать круглосуточно для выполнения требований действующего законодательства РФ</w:t>
      </w:r>
      <w:r>
        <w:rPr>
          <w:rFonts w:eastAsia="Calibri"/>
          <w:color w:val="000000"/>
          <w:sz w:val="20"/>
          <w:szCs w:val="20"/>
        </w:rPr>
        <w:t xml:space="preserve">)</w:t>
      </w:r>
      <w:r>
        <w:t xml:space="preserve">. </w:t>
      </w:r>
      <w:r/>
    </w:p>
    <w:p>
      <w:pPr>
        <w:ind w:left="709"/>
        <w:spacing w:after="160" w:line="264" w:lineRule="auto"/>
        <w:widowControl w:val="off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</w:r>
      <w:r>
        <w:rPr>
          <w:b/>
          <w:color w:val="000000"/>
          <w:sz w:val="20"/>
          <w:szCs w:val="20"/>
        </w:rPr>
      </w:r>
      <w:r>
        <w:rPr>
          <w:b/>
          <w:color w:val="000000"/>
          <w:sz w:val="20"/>
          <w:szCs w:val="20"/>
        </w:rPr>
      </w:r>
    </w:p>
    <w:p>
      <w:pPr>
        <w:ind w:left="709"/>
        <w:spacing w:after="160" w:line="264" w:lineRule="auto"/>
        <w:widowControl w:val="off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</w:r>
      <w:r>
        <w:rPr>
          <w:b/>
          <w:color w:val="000000"/>
          <w:sz w:val="20"/>
          <w:szCs w:val="20"/>
        </w:rPr>
      </w:r>
      <w:r>
        <w:rPr>
          <w:b/>
          <w:color w:val="000000"/>
          <w:sz w:val="20"/>
          <w:szCs w:val="20"/>
        </w:rPr>
      </w:r>
    </w:p>
    <w:p>
      <w:pPr>
        <w:numPr>
          <w:ilvl w:val="0"/>
          <w:numId w:val="49"/>
        </w:numPr>
        <w:ind w:left="1145" w:hanging="578"/>
        <w:spacing w:after="160" w:line="264" w:lineRule="auto"/>
        <w:rPr>
          <w:b/>
          <w:sz w:val="28"/>
          <w:szCs w:val="28"/>
        </w:rPr>
        <w:outlineLvl w:val="1"/>
      </w:pPr>
      <w:r/>
      <w:bookmarkStart w:id="112" w:name="_Toc238629814"/>
      <w:r>
        <w:rPr>
          <w:b/>
          <w:sz w:val="28"/>
          <w:szCs w:val="28"/>
        </w:rPr>
        <w:t xml:space="preserve">Организация работ по оказанию услуг настройки АИС ОКО</w:t>
      </w:r>
      <w:bookmarkEnd w:id="112"/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Услуги по настройке АИС ОКО включают оказание следующих услуг:</w:t>
      </w:r>
      <w:r>
        <w:rPr>
          <w:rFonts w:eastAsia="Calibri"/>
          <w:color w:val="000000"/>
        </w:rPr>
      </w:r>
      <w:r>
        <w:rPr>
          <w:rFonts w:eastAsia="Calibri"/>
          <w:color w:val="000000"/>
        </w:rPr>
      </w:r>
    </w:p>
    <w:p>
      <w:pPr>
        <w:ind w:left="1134" w:hanging="425"/>
      </w:pPr>
      <w:r>
        <w:t xml:space="preserve">Услуга 5. Настройка АИС ОКО (выполнение ЗНН).</w:t>
      </w:r>
      <w:r/>
    </w:p>
    <w:p>
      <w:pPr>
        <w:ind w:left="1429" w:hanging="720"/>
        <w:rPr>
          <w:rFonts w:eastAsia="Calibri"/>
        </w:rPr>
      </w:pPr>
      <w:r>
        <w:rPr>
          <w:rFonts w:eastAsia="Calibri"/>
        </w:rPr>
        <w:t xml:space="preserve">Услуги по нетиповой настройке АИС ОКО включают оказание следующих услуг:</w:t>
      </w:r>
      <w:r>
        <w:rPr>
          <w:rFonts w:eastAsia="Calibri"/>
        </w:rPr>
      </w:r>
      <w:r>
        <w:rPr>
          <w:rFonts w:eastAsia="Calibri"/>
        </w:rPr>
      </w:r>
    </w:p>
    <w:p>
      <w:pPr>
        <w:ind w:left="1134" w:hanging="425"/>
        <w:rPr>
          <w:rFonts w:eastAsia="Calibri"/>
          <w:color w:val="000000"/>
        </w:rPr>
      </w:pPr>
      <w:r>
        <w:t xml:space="preserve">Услуга 6. Нетиповая настройка АИС ОКО.</w:t>
      </w:r>
      <w:r>
        <w:rPr>
          <w:rFonts w:eastAsia="Calibri"/>
          <w:color w:val="000000"/>
        </w:rPr>
      </w:r>
      <w:r>
        <w:rPr>
          <w:rFonts w:eastAsia="Calibri"/>
          <w:color w:val="000000"/>
        </w:rPr>
      </w:r>
    </w:p>
    <w:p>
      <w:pPr>
        <w:ind w:left="1429"/>
        <w:rPr>
          <w:rFonts w:eastAsia="Calibri"/>
          <w:color w:val="000000"/>
        </w:rPr>
      </w:pPr>
      <w:r>
        <w:rPr>
          <w:rFonts w:eastAsia="Calibri"/>
          <w:color w:val="000000"/>
        </w:rPr>
      </w:r>
      <w:r>
        <w:rPr>
          <w:rFonts w:eastAsia="Calibri"/>
          <w:color w:val="000000"/>
        </w:rPr>
      </w:r>
      <w:r>
        <w:rPr>
          <w:rFonts w:eastAsia="Calibri"/>
          <w:color w:val="000000"/>
        </w:rPr>
      </w:r>
    </w:p>
    <w:p>
      <w:pPr>
        <w:ind w:firstLine="426"/>
        <w:rPr>
          <w:b/>
          <w:bCs/>
          <w:lang w:eastAsia="en-US"/>
        </w:rPr>
      </w:pPr>
      <w:r/>
      <w:bookmarkStart w:id="113" w:name="_Toc156834043"/>
      <w:r/>
      <w:bookmarkStart w:id="114" w:name="_Toc157158620"/>
      <w:r/>
      <w:bookmarkStart w:id="115" w:name="_Toc156834044"/>
      <w:r/>
      <w:bookmarkStart w:id="116" w:name="_Toc157158621"/>
      <w:r/>
      <w:bookmarkStart w:id="117" w:name="_Toc156834045"/>
      <w:r/>
      <w:bookmarkStart w:id="118" w:name="_Toc157158622"/>
      <w:r/>
      <w:bookmarkStart w:id="119" w:name="_Toc156834046"/>
      <w:r/>
      <w:bookmarkStart w:id="120" w:name="_Toc157158623"/>
      <w:r/>
      <w:bookmarkStart w:id="121" w:name="_Toc52887632"/>
      <w:r/>
      <w:bookmarkStart w:id="122" w:name="_Toc156223877"/>
      <w:r/>
      <w:bookmarkEnd w:id="113"/>
      <w:r/>
      <w:bookmarkEnd w:id="114"/>
      <w:r/>
      <w:bookmarkEnd w:id="115"/>
      <w:r/>
      <w:bookmarkEnd w:id="116"/>
      <w:r/>
      <w:bookmarkEnd w:id="117"/>
      <w:r/>
      <w:bookmarkEnd w:id="118"/>
      <w:r/>
      <w:bookmarkEnd w:id="119"/>
      <w:r/>
      <w:bookmarkEnd w:id="120"/>
      <w:r>
        <w:rPr>
          <w:b/>
          <w:bCs/>
          <w:lang w:eastAsia="en-US"/>
        </w:rPr>
        <w:t xml:space="preserve">4.1. Система учёта запросов и услуг</w:t>
      </w:r>
      <w:bookmarkStart w:id="123" w:name="_Toc457222735"/>
      <w:r/>
      <w:bookmarkStart w:id="124" w:name="_Toc438681364"/>
      <w:r/>
      <w:bookmarkStart w:id="125" w:name="_Toc445729470"/>
      <w:r/>
      <w:bookmarkEnd w:id="121"/>
      <w:r/>
      <w:bookmarkEnd w:id="122"/>
      <w:r>
        <w:rPr>
          <w:b/>
          <w:bCs/>
          <w:lang w:eastAsia="en-US"/>
        </w:rPr>
      </w:r>
      <w:r>
        <w:rPr>
          <w:b/>
          <w:bCs/>
          <w:lang w:eastAsia="en-US"/>
        </w:rPr>
      </w:r>
    </w:p>
    <w:p>
      <w:pPr>
        <w:contextualSpacing/>
        <w:ind w:firstLine="709"/>
        <w:jc w:val="both"/>
      </w:pPr>
      <w:r>
        <w:t xml:space="preserve">Пользователи АИС ОКО формируют свои запросы по настройке Исполнителю в системе запросов пользователей.</w:t>
      </w:r>
      <w:r/>
    </w:p>
    <w:p>
      <w:pPr>
        <w:ind w:firstLine="426"/>
        <w:jc w:val="both"/>
        <w:spacing w:before="240"/>
        <w:rPr>
          <w:b/>
          <w:bCs/>
          <w:lang w:eastAsia="en-US"/>
        </w:rPr>
      </w:pPr>
      <w:r/>
      <w:bookmarkStart w:id="126" w:name="_Toc52887634"/>
      <w:r/>
      <w:bookmarkStart w:id="127" w:name="_Toc156223878"/>
      <w:r/>
      <w:bookmarkEnd w:id="123"/>
      <w:r/>
      <w:bookmarkEnd w:id="124"/>
      <w:r/>
      <w:bookmarkEnd w:id="125"/>
      <w:r>
        <w:rPr>
          <w:b/>
          <w:bCs/>
          <w:lang w:eastAsia="en-US"/>
        </w:rPr>
        <w:t xml:space="preserve">4.2. Оценка времени и стоимости </w:t>
      </w:r>
      <w:bookmarkEnd w:id="126"/>
      <w:r>
        <w:rPr>
          <w:b/>
          <w:bCs/>
          <w:lang w:eastAsia="en-US"/>
        </w:rPr>
        <w:t xml:space="preserve">выполнения работ</w:t>
      </w:r>
      <w:bookmarkEnd w:id="127"/>
      <w:r>
        <w:rPr>
          <w:b/>
          <w:bCs/>
          <w:lang w:eastAsia="en-US"/>
        </w:rPr>
        <w:t xml:space="preserve"> по ЗНН</w:t>
      </w:r>
      <w:r>
        <w:rPr>
          <w:b/>
          <w:bCs/>
          <w:lang w:eastAsia="en-US"/>
        </w:rPr>
      </w:r>
      <w:r>
        <w:rPr>
          <w:b/>
          <w:bCs/>
          <w:lang w:eastAsia="en-US"/>
        </w:rPr>
      </w:r>
    </w:p>
    <w:p>
      <w:pPr>
        <w:contextualSpacing/>
        <w:ind w:firstLine="709"/>
        <w:jc w:val="both"/>
      </w:pPr>
      <w:r/>
      <w:bookmarkStart w:id="128" w:name="_Toc438681368"/>
      <w:r/>
      <w:bookmarkStart w:id="129" w:name="_Toc445729474"/>
      <w:r>
        <w:t xml:space="preserve">По каждому запросу на настройку АИС ОКО Исполнитель обязан произвести оценку времени выполнения работ по реализ</w:t>
      </w:r>
      <w:r>
        <w:t xml:space="preserve">ации запроса в соответствии с Методикой расчета времени на настройку, описанной в Приложении 5 к ТЗ. Стоимость работ по настройке Системы рассчитывается за каждый отчетный месяц также в соответствии с методологией Заказчика, описанной в Приложении 5 к ТЗ. </w:t>
      </w:r>
      <w:r>
        <w:rPr>
          <w:rFonts w:eastAsia="Calibri"/>
          <w:color w:val="000000"/>
        </w:rPr>
        <w:t xml:space="preserve">Неиспользованная часть суммы на сопровождение может быть использована на оплату настроек АИС ОКО, если в силу производственной необходимости сумма на настройку была израсходована досрочно.</w:t>
      </w:r>
      <w:r/>
    </w:p>
    <w:p>
      <w:pPr>
        <w:ind w:firstLine="426"/>
        <w:spacing w:before="240" w:after="240"/>
        <w:rPr>
          <w:b/>
          <w:bCs/>
          <w:lang w:eastAsia="en-US"/>
        </w:rPr>
      </w:pPr>
      <w:r/>
      <w:bookmarkStart w:id="130" w:name="_Toc156223879"/>
      <w:r>
        <w:rPr>
          <w:b/>
          <w:bCs/>
          <w:lang w:eastAsia="en-US"/>
        </w:rPr>
        <w:t xml:space="preserve">4.3. Порядок предоставления услуг по настройке </w:t>
      </w:r>
      <w:bookmarkEnd w:id="128"/>
      <w:r/>
      <w:bookmarkEnd w:id="129"/>
      <w:r/>
      <w:bookmarkEnd w:id="130"/>
      <w:r>
        <w:rPr>
          <w:b/>
          <w:bCs/>
          <w:lang w:eastAsia="en-US"/>
        </w:rPr>
        <w:t xml:space="preserve">Системы</w:t>
      </w:r>
      <w:r>
        <w:rPr>
          <w:b/>
          <w:bCs/>
          <w:lang w:eastAsia="en-US"/>
        </w:rPr>
      </w:r>
      <w:r>
        <w:rPr>
          <w:b/>
          <w:bCs/>
          <w:lang w:eastAsia="en-US"/>
        </w:rPr>
      </w:r>
    </w:p>
    <w:p>
      <w:pPr>
        <w:contextualSpacing/>
        <w:ind w:firstLine="709"/>
        <w:jc w:val="both"/>
      </w:pPr>
      <w:r/>
      <w:bookmarkStart w:id="131" w:name="_Toc416421202"/>
      <w:r/>
      <w:bookmarkStart w:id="132" w:name="_Toc403656219"/>
      <w:r/>
      <w:bookmarkStart w:id="133" w:name="_Toc404765789"/>
      <w:r/>
      <w:bookmarkStart w:id="134" w:name="_Toc415587036"/>
      <w:r/>
      <w:bookmarkStart w:id="135" w:name="_Toc417639194"/>
      <w:r/>
      <w:bookmarkStart w:id="136" w:name="_Toc417908244"/>
      <w:r>
        <w:t xml:space="preserve">Запросы и ЧТЗ на настройку Системы в обязательном порядке должны согласовываться представителями функциональных подразделений аппарата управления Заказчика и представителями департамента информационных технологий филиала ПАО «Россети Юг» - «Кубаньэнерго». </w:t>
      </w:r>
      <w:r/>
    </w:p>
    <w:p>
      <w:pPr>
        <w:contextualSpacing/>
        <w:ind w:firstLine="709"/>
        <w:jc w:val="both"/>
      </w:pPr>
      <w:r>
        <w:t xml:space="preserve">Заказчик подает запрос на настройку в системе запросов пользователей (либо по электронной почте в случае недоступности системы запросов пользователей).</w:t>
      </w:r>
      <w:r/>
    </w:p>
    <w:p>
      <w:pPr>
        <w:contextualSpacing/>
        <w:ind w:firstLine="709"/>
        <w:jc w:val="both"/>
      </w:pPr>
      <w:r>
        <w:t xml:space="preserve">Исполнитель обязан заблаговременно, до начала реализации запроса на настройку, рассчитать и согласовать с ответст</w:t>
      </w:r>
      <w:r>
        <w:t xml:space="preserve">венными лицами Заказчика время на реализацию настройки (далее - РВ). Согласованное время реализации запроса на настройку не может превышать максимальное время реализации запроса на настройку, определённое в соответствии с методикой, описанной в данном ТЗ. </w:t>
      </w:r>
      <w:r/>
    </w:p>
    <w:p>
      <w:pPr>
        <w:contextualSpacing/>
        <w:ind w:firstLine="709"/>
        <w:jc w:val="both"/>
      </w:pPr>
      <w:r>
        <w:t xml:space="preserve">Расчет времени запроса на настройку (по Методике расчета времени на настройку)</w:t>
      </w:r>
      <w:r>
        <w:rPr>
          <w:sz w:val="20"/>
          <w:szCs w:val="20"/>
        </w:rPr>
        <w:t xml:space="preserve"> </w:t>
      </w:r>
      <w:r>
        <w:t xml:space="preserve">производится Исполнителем только по запросу, согласованному представителями функциональных подразделений аппарата управления Заказчика и представителями департамента информационных технологий филиала ПАО «Россети ЮГ» – «Кубаньэнерго».</w:t>
      </w:r>
      <w:r/>
    </w:p>
    <w:p>
      <w:pPr>
        <w:ind w:firstLine="426"/>
        <w:spacing w:before="240" w:after="240"/>
        <w:rPr>
          <w:b/>
          <w:bCs/>
          <w:lang w:eastAsia="en-US"/>
        </w:rPr>
      </w:pPr>
      <w:r/>
      <w:bookmarkStart w:id="137" w:name="_Toc52887635"/>
      <w:r/>
      <w:bookmarkStart w:id="138" w:name="_Toc156223880"/>
      <w:r>
        <w:rPr>
          <w:b/>
          <w:bCs/>
          <w:lang w:eastAsia="en-US"/>
        </w:rPr>
        <w:t xml:space="preserve">4.4. Порядок сдачи и приемки</w:t>
      </w:r>
      <w:bookmarkEnd w:id="137"/>
      <w:r/>
      <w:bookmarkEnd w:id="138"/>
      <w:r>
        <w:rPr>
          <w:b/>
          <w:bCs/>
          <w:lang w:eastAsia="en-US"/>
        </w:rPr>
        <w:t xml:space="preserve"> услуг</w:t>
      </w:r>
      <w:r>
        <w:rPr>
          <w:b/>
          <w:bCs/>
          <w:lang w:eastAsia="en-US"/>
        </w:rPr>
      </w:r>
      <w:r>
        <w:rPr>
          <w:b/>
          <w:bCs/>
          <w:lang w:eastAsia="en-US"/>
        </w:rPr>
      </w:r>
    </w:p>
    <w:p>
      <w:pPr>
        <w:contextualSpacing/>
        <w:ind w:firstLine="709"/>
        <w:jc w:val="both"/>
      </w:pPr>
      <w:r>
        <w:t xml:space="preserve">Контроль деятельности Исполнителя производится на основе отчёта «Отчет об оказанных услугах по сопровождению АИС О</w:t>
      </w:r>
      <w:r>
        <w:t xml:space="preserve">КО» (далее – Отчет) за месяц (Приложение 4 к техническому заданию). Отчет предоставляется Исполнителем в течение 5 рабочих дней со дня окончания отчетного месяца. Также, Исполнитель обеспечивает возможность получения Отчёта на любую дату отчётного периода.</w:t>
      </w:r>
      <w:r/>
    </w:p>
    <w:p>
      <w:pPr>
        <w:contextualSpacing/>
        <w:ind w:firstLine="709"/>
        <w:jc w:val="both"/>
      </w:pPr>
      <w:r>
        <w:t xml:space="preserve">В Отчете перечисляются все запросы, выполненные Исполнителем и принятые Заказчиком в текуще</w:t>
      </w:r>
      <w:r>
        <w:t xml:space="preserve">м периоде, за исключением запросов на настройку функциональности, по которым представителями функциональных подразделений аппарата управления Заказчика согласован перенос услуг на следующий месяц. В Отчете указываются все причины снижения стоимости услуг. </w:t>
      </w:r>
      <w:r/>
    </w:p>
    <w:p>
      <w:pPr>
        <w:contextualSpacing/>
        <w:ind w:firstLine="709"/>
        <w:jc w:val="both"/>
      </w:pPr>
      <w:r>
        <w:t xml:space="preserve">Представители функциональных подразделений Исполнителя и Заказчика в течение пяти рабочих дней после получения Отчета согласовывают и подписывают Отчет об </w:t>
      </w:r>
      <w:r>
        <w:t xml:space="preserve">оказанных услугах. При наличии мотивированных замечаний Заказчик направляет Исполнителю Отчет на доработку.</w:t>
      </w:r>
      <w:r/>
    </w:p>
    <w:p>
      <w:pPr>
        <w:contextualSpacing/>
        <w:ind w:firstLine="709"/>
        <w:jc w:val="both"/>
      </w:pPr>
      <w:r>
        <w:t xml:space="preserve">При отказе Исполнителя от составления и подписания Отчета за месяц, окончательным документом по фиксированию оказанных услуг за месяц является Отчет, составленный и подписанный представителями функциональных подразделений со стороны Заказчика.</w:t>
      </w:r>
      <w:r/>
    </w:p>
    <w:p>
      <w:pPr>
        <w:contextualSpacing/>
        <w:ind w:firstLine="709"/>
        <w:jc w:val="both"/>
      </w:pPr>
      <w:r>
        <w:t xml:space="preserve">После подписания Отчета за месяц Исполнитель направляет З</w:t>
      </w:r>
      <w:r>
        <w:t xml:space="preserve">аказчику Акт сдачи-приемки оказанных услуг в двух экземплярах (Приложение № 2 к договору), оригинал счета-фактуры (если предусмотрено), оригинал счета на оплату, оформленных в соответствии с действующим законодательством в отношении указанных в акте работ.</w:t>
      </w:r>
      <w:r/>
    </w:p>
    <w:p>
      <w:pPr>
        <w:contextualSpacing/>
        <w:ind w:firstLine="709"/>
        <w:jc w:val="both"/>
      </w:pPr>
      <w:r>
        <w:t xml:space="preserve">Заказчик обязан подписать Акт сдачи-приемки оказанных услуг или направить Исполнителю мотивированный отказ от подписания акта.</w:t>
      </w:r>
      <w:r/>
    </w:p>
    <w:p>
      <w:pPr>
        <w:contextualSpacing/>
        <w:ind w:firstLine="709"/>
        <w:jc w:val="both"/>
      </w:pPr>
      <w:r>
        <w:t xml:space="preserve"> Настройки по мотивированному отказу производятся Исполнителем за свой счет при условии, что они не выходят за пределы технического задания. Повторное предъявление и приемка оказанных услуг после проведения настроек осуществляется в том же порядке.</w:t>
      </w:r>
      <w:r/>
    </w:p>
    <w:p>
      <w:pPr>
        <w:contextualSpacing/>
        <w:ind w:firstLine="709"/>
        <w:jc w:val="both"/>
      </w:pPr>
      <w:r>
        <w:t xml:space="preserve">Гарантийный срок на оказанные услуги составляет 12 (двенадцать) месяцев с даты завершения Договора. Исполнитель несет ответственность за дефекты в работе или в данных Системы, обнаруженные </w:t>
      </w:r>
      <w:r>
        <w:t xml:space="preserve">в пределах гарантийного срока, если не докажет, что они произошли вследствие неправильной эксплуатации Системы. В случае обнаружения дефектов (за которые несет ответственность Исполнитель) в период гарантийного срока, Исполнитель устраняет их за свой счет.</w:t>
      </w:r>
      <w:r/>
    </w:p>
    <w:p>
      <w:pPr>
        <w:ind w:firstLine="709"/>
        <w:spacing w:before="240" w:after="240"/>
        <w:rPr>
          <w:b/>
          <w:bCs/>
          <w:lang w:eastAsia="en-US"/>
        </w:rPr>
      </w:pPr>
      <w:r/>
      <w:bookmarkStart w:id="139" w:name="_Toc226868010"/>
      <w:r/>
      <w:bookmarkStart w:id="140" w:name="_Toc226868011"/>
      <w:r/>
      <w:bookmarkStart w:id="141" w:name="_Toc225249278"/>
      <w:r/>
      <w:bookmarkStart w:id="142" w:name="_Toc225250461"/>
      <w:r/>
      <w:bookmarkStart w:id="143" w:name="_Toc225314569"/>
      <w:r/>
      <w:bookmarkStart w:id="144" w:name="_Toc225249285"/>
      <w:r/>
      <w:bookmarkStart w:id="145" w:name="_Toc225250468"/>
      <w:r/>
      <w:bookmarkStart w:id="146" w:name="_Toc225314576"/>
      <w:r/>
      <w:bookmarkStart w:id="147" w:name="_Toc225249288"/>
      <w:r/>
      <w:bookmarkStart w:id="148" w:name="_Toc225250471"/>
      <w:r/>
      <w:bookmarkStart w:id="149" w:name="_Toc225314579"/>
      <w:r/>
      <w:bookmarkStart w:id="150" w:name="_Toc225249289"/>
      <w:r/>
      <w:bookmarkStart w:id="151" w:name="_Toc225250472"/>
      <w:r/>
      <w:bookmarkStart w:id="152" w:name="_Toc225314580"/>
      <w:r/>
      <w:bookmarkStart w:id="153" w:name="_Toc225249290"/>
      <w:r/>
      <w:bookmarkStart w:id="154" w:name="_Toc225250473"/>
      <w:r/>
      <w:bookmarkStart w:id="155" w:name="_Toc225314581"/>
      <w:r/>
      <w:bookmarkStart w:id="156" w:name="_Toc225249291"/>
      <w:r/>
      <w:bookmarkStart w:id="157" w:name="_Toc225250474"/>
      <w:r/>
      <w:bookmarkStart w:id="158" w:name="_Toc225314582"/>
      <w:r/>
      <w:bookmarkStart w:id="159" w:name="_Toc225249292"/>
      <w:r/>
      <w:bookmarkStart w:id="160" w:name="_Toc225250475"/>
      <w:r/>
      <w:bookmarkStart w:id="161" w:name="_Toc225314583"/>
      <w:r/>
      <w:bookmarkStart w:id="162" w:name="_Toc225249293"/>
      <w:r/>
      <w:bookmarkStart w:id="163" w:name="_Toc225250476"/>
      <w:r/>
      <w:bookmarkStart w:id="164" w:name="_Toc225314584"/>
      <w:r/>
      <w:bookmarkStart w:id="165" w:name="_Toc225249297"/>
      <w:r/>
      <w:bookmarkStart w:id="166" w:name="_Toc225250480"/>
      <w:r/>
      <w:bookmarkStart w:id="167" w:name="_Toc225314588"/>
      <w:r/>
      <w:bookmarkStart w:id="168" w:name="_Toc201936894"/>
      <w:r/>
      <w:bookmarkStart w:id="169" w:name="_Toc201936895"/>
      <w:r/>
      <w:bookmarkStart w:id="170" w:name="_Toc201936896"/>
      <w:r/>
      <w:bookmarkStart w:id="171" w:name="_Toc201936897"/>
      <w:r/>
      <w:bookmarkStart w:id="172" w:name="_Toc201936899"/>
      <w:r/>
      <w:bookmarkStart w:id="173" w:name="_Toc225249319"/>
      <w:r/>
      <w:bookmarkStart w:id="174" w:name="_Toc225250502"/>
      <w:r/>
      <w:bookmarkStart w:id="175" w:name="_Toc225314610"/>
      <w:r/>
      <w:bookmarkStart w:id="176" w:name="_Toc225249320"/>
      <w:r/>
      <w:bookmarkStart w:id="177" w:name="_Toc225250503"/>
      <w:r/>
      <w:bookmarkStart w:id="178" w:name="_Toc225314611"/>
      <w:r/>
      <w:bookmarkStart w:id="179" w:name="_Toc225249326"/>
      <w:r/>
      <w:bookmarkStart w:id="180" w:name="_Toc225250509"/>
      <w:r/>
      <w:bookmarkStart w:id="181" w:name="_Toc225314617"/>
      <w:r/>
      <w:bookmarkStart w:id="182" w:name="_Toc225249346"/>
      <w:r/>
      <w:bookmarkStart w:id="183" w:name="_Toc225250529"/>
      <w:r/>
      <w:bookmarkStart w:id="184" w:name="_Toc225314637"/>
      <w:r/>
      <w:bookmarkStart w:id="185" w:name="_Toc225249356"/>
      <w:r/>
      <w:bookmarkStart w:id="186" w:name="_Toc225250539"/>
      <w:r/>
      <w:bookmarkStart w:id="187" w:name="_Toc225314647"/>
      <w:r/>
      <w:bookmarkStart w:id="188" w:name="_Toc225249366"/>
      <w:r/>
      <w:bookmarkStart w:id="189" w:name="_Toc225250549"/>
      <w:r/>
      <w:bookmarkStart w:id="190" w:name="_Toc225314657"/>
      <w:r/>
      <w:bookmarkStart w:id="191" w:name="_Toc225249376"/>
      <w:r/>
      <w:bookmarkStart w:id="192" w:name="_Toc225250559"/>
      <w:r/>
      <w:bookmarkStart w:id="193" w:name="_Toc225314667"/>
      <w:r/>
      <w:bookmarkStart w:id="194" w:name="_Toc225249397"/>
      <w:r/>
      <w:bookmarkStart w:id="195" w:name="_Toc225250580"/>
      <w:r/>
      <w:bookmarkStart w:id="196" w:name="_Toc225314688"/>
      <w:r/>
      <w:bookmarkStart w:id="197" w:name="_Toc225249408"/>
      <w:r/>
      <w:bookmarkStart w:id="198" w:name="_Toc225250591"/>
      <w:r/>
      <w:bookmarkStart w:id="199" w:name="_Toc225314699"/>
      <w:r/>
      <w:bookmarkStart w:id="200" w:name="_Toc225249419"/>
      <w:r/>
      <w:bookmarkStart w:id="201" w:name="_Toc225250602"/>
      <w:r/>
      <w:bookmarkStart w:id="202" w:name="_Toc225314710"/>
      <w:r/>
      <w:bookmarkStart w:id="203" w:name="_Toc225249430"/>
      <w:r/>
      <w:bookmarkStart w:id="204" w:name="_Toc225250613"/>
      <w:r/>
      <w:bookmarkStart w:id="205" w:name="_Toc225314721"/>
      <w:r/>
      <w:bookmarkStart w:id="206" w:name="_Toc225249450"/>
      <w:r/>
      <w:bookmarkStart w:id="207" w:name="_Toc225250633"/>
      <w:r/>
      <w:bookmarkStart w:id="208" w:name="_Toc225314741"/>
      <w:r/>
      <w:bookmarkStart w:id="209" w:name="_Toc225249460"/>
      <w:r/>
      <w:bookmarkStart w:id="210" w:name="_Toc225250643"/>
      <w:r/>
      <w:bookmarkStart w:id="211" w:name="_Toc225314751"/>
      <w:r/>
      <w:bookmarkStart w:id="212" w:name="_Toc225249470"/>
      <w:r/>
      <w:bookmarkStart w:id="213" w:name="_Toc225250653"/>
      <w:r/>
      <w:bookmarkStart w:id="214" w:name="_Toc225314761"/>
      <w:r/>
      <w:bookmarkStart w:id="215" w:name="_Toc225249480"/>
      <w:r/>
      <w:bookmarkStart w:id="216" w:name="_Toc225250663"/>
      <w:r/>
      <w:bookmarkStart w:id="217" w:name="_Toc225314771"/>
      <w:r/>
      <w:bookmarkStart w:id="218" w:name="_Toc225249500"/>
      <w:r/>
      <w:bookmarkStart w:id="219" w:name="_Toc225250683"/>
      <w:r/>
      <w:bookmarkStart w:id="220" w:name="_Toc225314791"/>
      <w:r/>
      <w:bookmarkStart w:id="221" w:name="_Toc225249510"/>
      <w:r/>
      <w:bookmarkStart w:id="222" w:name="_Toc225250693"/>
      <w:r/>
      <w:bookmarkStart w:id="223" w:name="_Toc225314801"/>
      <w:r/>
      <w:bookmarkStart w:id="224" w:name="_Toc225249520"/>
      <w:r/>
      <w:bookmarkStart w:id="225" w:name="_Toc225250703"/>
      <w:r/>
      <w:bookmarkStart w:id="226" w:name="_Toc225314811"/>
      <w:r/>
      <w:bookmarkStart w:id="227" w:name="_Toc225249530"/>
      <w:r/>
      <w:bookmarkStart w:id="228" w:name="_Toc225250713"/>
      <w:r/>
      <w:bookmarkStart w:id="229" w:name="_Toc225314821"/>
      <w:r/>
      <w:bookmarkStart w:id="230" w:name="_Toc225249552"/>
      <w:r/>
      <w:bookmarkStart w:id="231" w:name="_Toc225250735"/>
      <w:r/>
      <w:bookmarkStart w:id="232" w:name="_Toc225314843"/>
      <w:r/>
      <w:bookmarkStart w:id="233" w:name="_Toc225249563"/>
      <w:r/>
      <w:bookmarkStart w:id="234" w:name="_Toc225250746"/>
      <w:r/>
      <w:bookmarkStart w:id="235" w:name="_Toc225314854"/>
      <w:r/>
      <w:bookmarkStart w:id="236" w:name="_Toc225249573"/>
      <w:r/>
      <w:bookmarkStart w:id="237" w:name="_Toc225250756"/>
      <w:r/>
      <w:bookmarkStart w:id="238" w:name="_Toc225314864"/>
      <w:r/>
      <w:bookmarkStart w:id="239" w:name="_Toc225249584"/>
      <w:r/>
      <w:bookmarkStart w:id="240" w:name="_Toc225250767"/>
      <w:r/>
      <w:bookmarkStart w:id="241" w:name="_Toc225314875"/>
      <w:r/>
      <w:bookmarkStart w:id="242" w:name="_Toc225249605"/>
      <w:r/>
      <w:bookmarkStart w:id="243" w:name="_Toc225250788"/>
      <w:r/>
      <w:bookmarkStart w:id="244" w:name="_Toc225314896"/>
      <w:r/>
      <w:bookmarkStart w:id="245" w:name="_Toc225249616"/>
      <w:r/>
      <w:bookmarkStart w:id="246" w:name="_Toc225250799"/>
      <w:r/>
      <w:bookmarkStart w:id="247" w:name="_Toc225314907"/>
      <w:r/>
      <w:bookmarkStart w:id="248" w:name="_Toc225249627"/>
      <w:r/>
      <w:bookmarkStart w:id="249" w:name="_Toc225250810"/>
      <w:r/>
      <w:bookmarkStart w:id="250" w:name="_Toc225314918"/>
      <w:r/>
      <w:bookmarkStart w:id="251" w:name="_Toc225249638"/>
      <w:r/>
      <w:bookmarkStart w:id="252" w:name="_Toc225250821"/>
      <w:r/>
      <w:bookmarkStart w:id="253" w:name="_Toc225314929"/>
      <w:r/>
      <w:bookmarkStart w:id="254" w:name="_Toc225249658"/>
      <w:r/>
      <w:bookmarkStart w:id="255" w:name="_Toc225250841"/>
      <w:r/>
      <w:bookmarkStart w:id="256" w:name="_Toc225314949"/>
      <w:r/>
      <w:bookmarkStart w:id="257" w:name="_Toc225249668"/>
      <w:r/>
      <w:bookmarkStart w:id="258" w:name="_Toc225250851"/>
      <w:r/>
      <w:bookmarkStart w:id="259" w:name="_Toc225314959"/>
      <w:r/>
      <w:bookmarkStart w:id="260" w:name="_Toc225249678"/>
      <w:r/>
      <w:bookmarkStart w:id="261" w:name="_Toc225250861"/>
      <w:r/>
      <w:bookmarkStart w:id="262" w:name="_Toc225314969"/>
      <w:r/>
      <w:bookmarkStart w:id="263" w:name="_Toc225249688"/>
      <w:r/>
      <w:bookmarkStart w:id="264" w:name="_Toc225250871"/>
      <w:r/>
      <w:bookmarkStart w:id="265" w:name="_Toc225314979"/>
      <w:r/>
      <w:bookmarkStart w:id="266" w:name="_Toc225249708"/>
      <w:r/>
      <w:bookmarkStart w:id="267" w:name="_Toc225250891"/>
      <w:r/>
      <w:bookmarkStart w:id="268" w:name="_Toc225314999"/>
      <w:r/>
      <w:bookmarkStart w:id="269" w:name="_Toc225249718"/>
      <w:r/>
      <w:bookmarkStart w:id="270" w:name="_Toc225250901"/>
      <w:r/>
      <w:bookmarkStart w:id="271" w:name="_Toc225315009"/>
      <w:r/>
      <w:bookmarkStart w:id="272" w:name="_Toc225249728"/>
      <w:r/>
      <w:bookmarkStart w:id="273" w:name="_Toc225250911"/>
      <w:r/>
      <w:bookmarkStart w:id="274" w:name="_Toc225315019"/>
      <w:r/>
      <w:bookmarkStart w:id="275" w:name="_Toc225249739"/>
      <w:r/>
      <w:bookmarkStart w:id="276" w:name="_Toc225250922"/>
      <w:r/>
      <w:bookmarkStart w:id="277" w:name="_Toc225315030"/>
      <w:r/>
      <w:bookmarkStart w:id="278" w:name="_Toc225249759"/>
      <w:r/>
      <w:bookmarkStart w:id="279" w:name="_Toc225250942"/>
      <w:r/>
      <w:bookmarkStart w:id="280" w:name="_Toc225315050"/>
      <w:r/>
      <w:bookmarkStart w:id="281" w:name="_Toc225249770"/>
      <w:r/>
      <w:bookmarkStart w:id="282" w:name="_Toc225250953"/>
      <w:r/>
      <w:bookmarkStart w:id="283" w:name="_Toc225315061"/>
      <w:r/>
      <w:bookmarkStart w:id="284" w:name="_Toc225249780"/>
      <w:r/>
      <w:bookmarkStart w:id="285" w:name="_Toc225250963"/>
      <w:r/>
      <w:bookmarkStart w:id="286" w:name="_Toc225315071"/>
      <w:r/>
      <w:bookmarkStart w:id="287" w:name="_Toc225249790"/>
      <w:r/>
      <w:bookmarkStart w:id="288" w:name="_Toc225250973"/>
      <w:r/>
      <w:bookmarkStart w:id="289" w:name="_Toc225315081"/>
      <w:r/>
      <w:bookmarkStart w:id="290" w:name="_Toc225249810"/>
      <w:r/>
      <w:bookmarkStart w:id="291" w:name="_Toc225250993"/>
      <w:r/>
      <w:bookmarkStart w:id="292" w:name="_Toc225315101"/>
      <w:r/>
      <w:bookmarkStart w:id="293" w:name="_Toc225249820"/>
      <w:r/>
      <w:bookmarkStart w:id="294" w:name="_Toc225251003"/>
      <w:r/>
      <w:bookmarkStart w:id="295" w:name="_Toc225315111"/>
      <w:r/>
      <w:bookmarkStart w:id="296" w:name="_Toc225249830"/>
      <w:r/>
      <w:bookmarkStart w:id="297" w:name="_Toc225251013"/>
      <w:r/>
      <w:bookmarkStart w:id="298" w:name="_Toc225315121"/>
      <w:r/>
      <w:bookmarkStart w:id="299" w:name="_Toc225249840"/>
      <w:r/>
      <w:bookmarkStart w:id="300" w:name="_Toc225251023"/>
      <w:r/>
      <w:bookmarkStart w:id="301" w:name="_Toc225315131"/>
      <w:r/>
      <w:bookmarkStart w:id="302" w:name="_Toc225249860"/>
      <w:r/>
      <w:bookmarkStart w:id="303" w:name="_Toc225251043"/>
      <w:r/>
      <w:bookmarkStart w:id="304" w:name="_Toc225315151"/>
      <w:r/>
      <w:bookmarkStart w:id="305" w:name="_Toc225249870"/>
      <w:r/>
      <w:bookmarkStart w:id="306" w:name="_Toc225251053"/>
      <w:r/>
      <w:bookmarkStart w:id="307" w:name="_Toc225315161"/>
      <w:r/>
      <w:bookmarkStart w:id="308" w:name="_Toc225249880"/>
      <w:r/>
      <w:bookmarkStart w:id="309" w:name="_Toc225251063"/>
      <w:r/>
      <w:bookmarkStart w:id="310" w:name="_Toc225315171"/>
      <w:r/>
      <w:bookmarkStart w:id="311" w:name="_Toc225249890"/>
      <w:r/>
      <w:bookmarkStart w:id="312" w:name="_Toc225251073"/>
      <w:r/>
      <w:bookmarkStart w:id="313" w:name="_Toc225315181"/>
      <w:r/>
      <w:bookmarkStart w:id="314" w:name="_Toc225249900"/>
      <w:r/>
      <w:bookmarkStart w:id="315" w:name="_Toc225251083"/>
      <w:r/>
      <w:bookmarkStart w:id="316" w:name="_Toc225315191"/>
      <w:r/>
      <w:bookmarkStart w:id="317" w:name="_Toc201936901"/>
      <w:r/>
      <w:bookmarkStart w:id="318" w:name="_Toc201936902"/>
      <w:r/>
      <w:bookmarkStart w:id="319" w:name="_Toc201579400"/>
      <w:r/>
      <w:bookmarkStart w:id="320" w:name="_Toc201582876"/>
      <w:r/>
      <w:bookmarkStart w:id="321" w:name="_Toc201579405"/>
      <w:r/>
      <w:bookmarkStart w:id="322" w:name="_Toc201582881"/>
      <w:r/>
      <w:bookmarkStart w:id="323" w:name="_Toc225249901"/>
      <w:r/>
      <w:bookmarkStart w:id="324" w:name="_Toc225251084"/>
      <w:r/>
      <w:bookmarkStart w:id="325" w:name="_Toc225315192"/>
      <w:r/>
      <w:bookmarkStart w:id="326" w:name="_Toc225249903"/>
      <w:r/>
      <w:bookmarkStart w:id="327" w:name="_Toc225251086"/>
      <w:r/>
      <w:bookmarkStart w:id="328" w:name="_Toc225315194"/>
      <w:r/>
      <w:bookmarkStart w:id="329" w:name="_Toc225249904"/>
      <w:r/>
      <w:bookmarkStart w:id="330" w:name="_Toc225251087"/>
      <w:r/>
      <w:bookmarkStart w:id="331" w:name="_Toc225315195"/>
      <w:r/>
      <w:bookmarkStart w:id="332" w:name="_Toc225249905"/>
      <w:r/>
      <w:bookmarkStart w:id="333" w:name="_Toc225251088"/>
      <w:r/>
      <w:bookmarkStart w:id="334" w:name="_Toc225315196"/>
      <w:r/>
      <w:bookmarkStart w:id="335" w:name="_Toc225249906"/>
      <w:r/>
      <w:bookmarkStart w:id="336" w:name="_Toc225251089"/>
      <w:r/>
      <w:bookmarkStart w:id="337" w:name="_Toc225315197"/>
      <w:r/>
      <w:bookmarkStart w:id="338" w:name="_Toc225249947"/>
      <w:r/>
      <w:bookmarkStart w:id="339" w:name="_Toc225251130"/>
      <w:r/>
      <w:bookmarkStart w:id="340" w:name="_Toc225315238"/>
      <w:r/>
      <w:bookmarkStart w:id="341" w:name="_Toc225249984"/>
      <w:r/>
      <w:bookmarkStart w:id="342" w:name="_Toc225251167"/>
      <w:r/>
      <w:bookmarkStart w:id="343" w:name="_Toc225315275"/>
      <w:r/>
      <w:bookmarkStart w:id="344" w:name="_Toc225249989"/>
      <w:r/>
      <w:bookmarkStart w:id="345" w:name="_Toc225251172"/>
      <w:r/>
      <w:bookmarkStart w:id="346" w:name="_Toc225315280"/>
      <w:r/>
      <w:bookmarkStart w:id="347" w:name="_Toc225250013"/>
      <w:r/>
      <w:bookmarkStart w:id="348" w:name="_Toc225251196"/>
      <w:r/>
      <w:bookmarkStart w:id="349" w:name="_Toc225315304"/>
      <w:r/>
      <w:bookmarkStart w:id="350" w:name="_Toc225250016"/>
      <w:r/>
      <w:bookmarkStart w:id="351" w:name="_Toc225251199"/>
      <w:r/>
      <w:bookmarkStart w:id="352" w:name="_Toc225315307"/>
      <w:r/>
      <w:bookmarkStart w:id="353" w:name="_Toc225250018"/>
      <w:r/>
      <w:bookmarkStart w:id="354" w:name="_Toc225251201"/>
      <w:r/>
      <w:bookmarkStart w:id="355" w:name="_Toc225315309"/>
      <w:r/>
      <w:bookmarkStart w:id="356" w:name="_Toc225250019"/>
      <w:r/>
      <w:bookmarkStart w:id="357" w:name="_Toc225251202"/>
      <w:r/>
      <w:bookmarkStart w:id="358" w:name="_Toc225315310"/>
      <w:r/>
      <w:bookmarkStart w:id="359" w:name="_Toc225250020"/>
      <w:r/>
      <w:bookmarkStart w:id="360" w:name="_Toc225251203"/>
      <w:r/>
      <w:bookmarkStart w:id="361" w:name="_Toc225315311"/>
      <w:r/>
      <w:bookmarkStart w:id="362" w:name="_Toc225250021"/>
      <w:r/>
      <w:bookmarkStart w:id="363" w:name="_Toc225251204"/>
      <w:r/>
      <w:bookmarkStart w:id="364" w:name="_Toc225315312"/>
      <w:r/>
      <w:bookmarkStart w:id="365" w:name="_Toc225250025"/>
      <w:r/>
      <w:bookmarkStart w:id="366" w:name="_Toc225251208"/>
      <w:r/>
      <w:bookmarkStart w:id="367" w:name="_Toc225315316"/>
      <w:r/>
      <w:bookmarkStart w:id="368" w:name="_Toc225250026"/>
      <w:r/>
      <w:bookmarkStart w:id="369" w:name="_Toc225251209"/>
      <w:r/>
      <w:bookmarkStart w:id="370" w:name="_Toc225315317"/>
      <w:r/>
      <w:bookmarkStart w:id="371" w:name="_Toc225250027"/>
      <w:r/>
      <w:bookmarkStart w:id="372" w:name="_Toc225251210"/>
      <w:r/>
      <w:bookmarkStart w:id="373" w:name="_Toc225315318"/>
      <w:r/>
      <w:bookmarkStart w:id="374" w:name="_Toc219718099"/>
      <w:r/>
      <w:bookmarkStart w:id="375" w:name="_Toc61858100"/>
      <w:r/>
      <w:bookmarkStart w:id="376" w:name="_Toc156223883"/>
      <w:r/>
      <w:bookmarkEnd w:id="131"/>
      <w:r/>
      <w:bookmarkEnd w:id="132"/>
      <w:r/>
      <w:bookmarkEnd w:id="133"/>
      <w:r/>
      <w:bookmarkEnd w:id="134"/>
      <w:r/>
      <w:bookmarkEnd w:id="135"/>
      <w:r/>
      <w:bookmarkEnd w:id="136"/>
      <w:r/>
      <w:bookmarkEnd w:id="139"/>
      <w:r/>
      <w:bookmarkEnd w:id="140"/>
      <w:r/>
      <w:bookmarkEnd w:id="141"/>
      <w:r/>
      <w:bookmarkEnd w:id="142"/>
      <w:r/>
      <w:bookmarkEnd w:id="143"/>
      <w:r/>
      <w:bookmarkEnd w:id="144"/>
      <w:r/>
      <w:bookmarkEnd w:id="145"/>
      <w:r/>
      <w:bookmarkEnd w:id="146"/>
      <w:r/>
      <w:bookmarkEnd w:id="147"/>
      <w:r/>
      <w:bookmarkEnd w:id="148"/>
      <w:r/>
      <w:bookmarkEnd w:id="149"/>
      <w:r/>
      <w:bookmarkEnd w:id="150"/>
      <w:r/>
      <w:bookmarkEnd w:id="151"/>
      <w:r/>
      <w:bookmarkEnd w:id="152"/>
      <w:r/>
      <w:bookmarkEnd w:id="153"/>
      <w:r/>
      <w:bookmarkEnd w:id="154"/>
      <w:r/>
      <w:bookmarkEnd w:id="155"/>
      <w:r/>
      <w:bookmarkEnd w:id="156"/>
      <w:r/>
      <w:bookmarkEnd w:id="157"/>
      <w:r/>
      <w:bookmarkEnd w:id="158"/>
      <w:r/>
      <w:bookmarkEnd w:id="159"/>
      <w:r/>
      <w:bookmarkEnd w:id="160"/>
      <w:r/>
      <w:bookmarkEnd w:id="161"/>
      <w:r/>
      <w:bookmarkEnd w:id="162"/>
      <w:r/>
      <w:bookmarkEnd w:id="163"/>
      <w:r/>
      <w:bookmarkEnd w:id="164"/>
      <w:r/>
      <w:bookmarkEnd w:id="165"/>
      <w:r/>
      <w:bookmarkEnd w:id="166"/>
      <w:r/>
      <w:bookmarkEnd w:id="167"/>
      <w:r/>
      <w:bookmarkEnd w:id="168"/>
      <w:r/>
      <w:bookmarkEnd w:id="169"/>
      <w:r/>
      <w:bookmarkEnd w:id="170"/>
      <w:r/>
      <w:bookmarkEnd w:id="171"/>
      <w:r/>
      <w:bookmarkEnd w:id="172"/>
      <w:r/>
      <w:bookmarkEnd w:id="173"/>
      <w:r/>
      <w:bookmarkEnd w:id="174"/>
      <w:r/>
      <w:bookmarkEnd w:id="175"/>
      <w:r/>
      <w:bookmarkEnd w:id="176"/>
      <w:r/>
      <w:bookmarkEnd w:id="177"/>
      <w:r/>
      <w:bookmarkEnd w:id="178"/>
      <w:r/>
      <w:bookmarkEnd w:id="179"/>
      <w:r/>
      <w:bookmarkEnd w:id="180"/>
      <w:r/>
      <w:bookmarkEnd w:id="181"/>
      <w:r/>
      <w:bookmarkEnd w:id="182"/>
      <w:r/>
      <w:bookmarkEnd w:id="183"/>
      <w:r/>
      <w:bookmarkEnd w:id="184"/>
      <w:r/>
      <w:bookmarkEnd w:id="185"/>
      <w:r/>
      <w:bookmarkEnd w:id="186"/>
      <w:r/>
      <w:bookmarkEnd w:id="187"/>
      <w:r/>
      <w:bookmarkEnd w:id="188"/>
      <w:r/>
      <w:bookmarkEnd w:id="189"/>
      <w:r/>
      <w:bookmarkEnd w:id="190"/>
      <w:r/>
      <w:bookmarkEnd w:id="191"/>
      <w:r/>
      <w:bookmarkEnd w:id="192"/>
      <w:r/>
      <w:bookmarkEnd w:id="193"/>
      <w:r/>
      <w:bookmarkEnd w:id="194"/>
      <w:r/>
      <w:bookmarkEnd w:id="195"/>
      <w:r/>
      <w:bookmarkEnd w:id="196"/>
      <w:r/>
      <w:bookmarkEnd w:id="197"/>
      <w:r/>
      <w:bookmarkEnd w:id="198"/>
      <w:r/>
      <w:bookmarkEnd w:id="199"/>
      <w:r/>
      <w:bookmarkEnd w:id="200"/>
      <w:r/>
      <w:bookmarkEnd w:id="201"/>
      <w:r/>
      <w:bookmarkEnd w:id="202"/>
      <w:r/>
      <w:bookmarkEnd w:id="203"/>
      <w:r/>
      <w:bookmarkEnd w:id="204"/>
      <w:r/>
      <w:bookmarkEnd w:id="205"/>
      <w:r/>
      <w:bookmarkEnd w:id="206"/>
      <w:r/>
      <w:bookmarkEnd w:id="207"/>
      <w:r/>
      <w:bookmarkEnd w:id="208"/>
      <w:r/>
      <w:bookmarkEnd w:id="209"/>
      <w:r/>
      <w:bookmarkEnd w:id="210"/>
      <w:r/>
      <w:bookmarkEnd w:id="211"/>
      <w:r/>
      <w:bookmarkEnd w:id="212"/>
      <w:r/>
      <w:bookmarkEnd w:id="213"/>
      <w:r/>
      <w:bookmarkEnd w:id="214"/>
      <w:r/>
      <w:bookmarkEnd w:id="215"/>
      <w:r/>
      <w:bookmarkEnd w:id="216"/>
      <w:r/>
      <w:bookmarkEnd w:id="217"/>
      <w:r/>
      <w:bookmarkEnd w:id="218"/>
      <w:r/>
      <w:bookmarkEnd w:id="219"/>
      <w:r/>
      <w:bookmarkEnd w:id="220"/>
      <w:r/>
      <w:bookmarkEnd w:id="221"/>
      <w:r/>
      <w:bookmarkEnd w:id="222"/>
      <w:r/>
      <w:bookmarkEnd w:id="223"/>
      <w:r/>
      <w:bookmarkEnd w:id="224"/>
      <w:r/>
      <w:bookmarkEnd w:id="225"/>
      <w:r/>
      <w:bookmarkEnd w:id="226"/>
      <w:r/>
      <w:bookmarkEnd w:id="227"/>
      <w:r/>
      <w:bookmarkEnd w:id="228"/>
      <w:r/>
      <w:bookmarkEnd w:id="229"/>
      <w:r/>
      <w:bookmarkEnd w:id="230"/>
      <w:r/>
      <w:bookmarkEnd w:id="231"/>
      <w:r/>
      <w:bookmarkEnd w:id="232"/>
      <w:r/>
      <w:bookmarkEnd w:id="233"/>
      <w:r/>
      <w:bookmarkEnd w:id="234"/>
      <w:r/>
      <w:bookmarkEnd w:id="235"/>
      <w:r/>
      <w:bookmarkEnd w:id="236"/>
      <w:r/>
      <w:bookmarkEnd w:id="237"/>
      <w:r/>
      <w:bookmarkEnd w:id="238"/>
      <w:r/>
      <w:bookmarkEnd w:id="239"/>
      <w:r/>
      <w:bookmarkEnd w:id="240"/>
      <w:r/>
      <w:bookmarkEnd w:id="241"/>
      <w:r/>
      <w:bookmarkEnd w:id="242"/>
      <w:r/>
      <w:bookmarkEnd w:id="243"/>
      <w:r/>
      <w:bookmarkEnd w:id="244"/>
      <w:r/>
      <w:bookmarkEnd w:id="245"/>
      <w:r/>
      <w:bookmarkEnd w:id="246"/>
      <w:r/>
      <w:bookmarkEnd w:id="247"/>
      <w:r/>
      <w:bookmarkEnd w:id="248"/>
      <w:r/>
      <w:bookmarkEnd w:id="249"/>
      <w:r/>
      <w:bookmarkEnd w:id="250"/>
      <w:r/>
      <w:bookmarkEnd w:id="251"/>
      <w:r/>
      <w:bookmarkEnd w:id="252"/>
      <w:r/>
      <w:bookmarkEnd w:id="253"/>
      <w:r/>
      <w:bookmarkEnd w:id="254"/>
      <w:r/>
      <w:bookmarkEnd w:id="255"/>
      <w:r/>
      <w:bookmarkEnd w:id="256"/>
      <w:r/>
      <w:bookmarkEnd w:id="257"/>
      <w:r/>
      <w:bookmarkEnd w:id="258"/>
      <w:r/>
      <w:bookmarkEnd w:id="259"/>
      <w:r/>
      <w:bookmarkEnd w:id="260"/>
      <w:r/>
      <w:bookmarkEnd w:id="261"/>
      <w:r/>
      <w:bookmarkEnd w:id="262"/>
      <w:r/>
      <w:bookmarkEnd w:id="263"/>
      <w:r/>
      <w:bookmarkEnd w:id="264"/>
      <w:r/>
      <w:bookmarkEnd w:id="265"/>
      <w:r/>
      <w:bookmarkEnd w:id="266"/>
      <w:r/>
      <w:bookmarkEnd w:id="267"/>
      <w:r/>
      <w:bookmarkEnd w:id="268"/>
      <w:r/>
      <w:bookmarkEnd w:id="269"/>
      <w:r/>
      <w:bookmarkEnd w:id="270"/>
      <w:r/>
      <w:bookmarkEnd w:id="271"/>
      <w:r/>
      <w:bookmarkEnd w:id="272"/>
      <w:r/>
      <w:bookmarkEnd w:id="273"/>
      <w:r/>
      <w:bookmarkEnd w:id="274"/>
      <w:r/>
      <w:bookmarkEnd w:id="275"/>
      <w:r/>
      <w:bookmarkEnd w:id="276"/>
      <w:r/>
      <w:bookmarkEnd w:id="277"/>
      <w:r/>
      <w:bookmarkEnd w:id="278"/>
      <w:r/>
      <w:bookmarkEnd w:id="279"/>
      <w:r/>
      <w:bookmarkEnd w:id="280"/>
      <w:r/>
      <w:bookmarkEnd w:id="281"/>
      <w:r/>
      <w:bookmarkEnd w:id="282"/>
      <w:r/>
      <w:bookmarkEnd w:id="283"/>
      <w:r/>
      <w:bookmarkEnd w:id="284"/>
      <w:r/>
      <w:bookmarkEnd w:id="285"/>
      <w:r/>
      <w:bookmarkEnd w:id="286"/>
      <w:r/>
      <w:bookmarkEnd w:id="287"/>
      <w:r/>
      <w:bookmarkEnd w:id="288"/>
      <w:r/>
      <w:bookmarkEnd w:id="289"/>
      <w:r/>
      <w:bookmarkEnd w:id="290"/>
      <w:r/>
      <w:bookmarkEnd w:id="291"/>
      <w:r/>
      <w:bookmarkEnd w:id="292"/>
      <w:r/>
      <w:bookmarkEnd w:id="293"/>
      <w:r/>
      <w:bookmarkEnd w:id="294"/>
      <w:r/>
      <w:bookmarkEnd w:id="295"/>
      <w:r/>
      <w:bookmarkEnd w:id="296"/>
      <w:r/>
      <w:bookmarkEnd w:id="297"/>
      <w:r/>
      <w:bookmarkEnd w:id="298"/>
      <w:r/>
      <w:bookmarkEnd w:id="299"/>
      <w:r/>
      <w:bookmarkEnd w:id="300"/>
      <w:r/>
      <w:bookmarkEnd w:id="301"/>
      <w:r/>
      <w:bookmarkEnd w:id="302"/>
      <w:r/>
      <w:bookmarkEnd w:id="303"/>
      <w:r/>
      <w:bookmarkEnd w:id="304"/>
      <w:r/>
      <w:bookmarkEnd w:id="305"/>
      <w:r/>
      <w:bookmarkEnd w:id="306"/>
      <w:r/>
      <w:bookmarkEnd w:id="307"/>
      <w:r/>
      <w:bookmarkEnd w:id="308"/>
      <w:r/>
      <w:bookmarkEnd w:id="309"/>
      <w:r/>
      <w:bookmarkEnd w:id="310"/>
      <w:r/>
      <w:bookmarkEnd w:id="311"/>
      <w:r/>
      <w:bookmarkEnd w:id="312"/>
      <w:r/>
      <w:bookmarkEnd w:id="313"/>
      <w:r/>
      <w:bookmarkEnd w:id="314"/>
      <w:r/>
      <w:bookmarkEnd w:id="315"/>
      <w:r/>
      <w:bookmarkEnd w:id="316"/>
      <w:r/>
      <w:bookmarkEnd w:id="317"/>
      <w:r/>
      <w:bookmarkEnd w:id="318"/>
      <w:r/>
      <w:bookmarkEnd w:id="319"/>
      <w:r/>
      <w:bookmarkEnd w:id="320"/>
      <w:r/>
      <w:bookmarkEnd w:id="321"/>
      <w:r/>
      <w:bookmarkEnd w:id="322"/>
      <w:r/>
      <w:bookmarkEnd w:id="323"/>
      <w:r/>
      <w:bookmarkEnd w:id="324"/>
      <w:r/>
      <w:bookmarkEnd w:id="325"/>
      <w:r/>
      <w:bookmarkEnd w:id="326"/>
      <w:r/>
      <w:bookmarkEnd w:id="327"/>
      <w:r/>
      <w:bookmarkEnd w:id="328"/>
      <w:r/>
      <w:bookmarkEnd w:id="329"/>
      <w:r/>
      <w:bookmarkEnd w:id="330"/>
      <w:r/>
      <w:bookmarkEnd w:id="331"/>
      <w:r/>
      <w:bookmarkEnd w:id="332"/>
      <w:r/>
      <w:bookmarkEnd w:id="333"/>
      <w:r/>
      <w:bookmarkEnd w:id="334"/>
      <w:r/>
      <w:bookmarkEnd w:id="335"/>
      <w:r/>
      <w:bookmarkEnd w:id="336"/>
      <w:r/>
      <w:bookmarkEnd w:id="337"/>
      <w:r/>
      <w:bookmarkEnd w:id="338"/>
      <w:r/>
      <w:bookmarkEnd w:id="339"/>
      <w:r/>
      <w:bookmarkEnd w:id="340"/>
      <w:r/>
      <w:bookmarkEnd w:id="341"/>
      <w:r/>
      <w:bookmarkEnd w:id="342"/>
      <w:r/>
      <w:bookmarkEnd w:id="343"/>
      <w:r/>
      <w:bookmarkEnd w:id="344"/>
      <w:r/>
      <w:bookmarkEnd w:id="345"/>
      <w:r/>
      <w:bookmarkEnd w:id="346"/>
      <w:r/>
      <w:bookmarkEnd w:id="347"/>
      <w:r/>
      <w:bookmarkEnd w:id="348"/>
      <w:r/>
      <w:bookmarkEnd w:id="349"/>
      <w:r/>
      <w:bookmarkEnd w:id="350"/>
      <w:r/>
      <w:bookmarkEnd w:id="351"/>
      <w:r/>
      <w:bookmarkEnd w:id="352"/>
      <w:r/>
      <w:bookmarkEnd w:id="353"/>
      <w:r/>
      <w:bookmarkEnd w:id="354"/>
      <w:r/>
      <w:bookmarkEnd w:id="355"/>
      <w:r/>
      <w:bookmarkEnd w:id="356"/>
      <w:r/>
      <w:bookmarkEnd w:id="357"/>
      <w:r/>
      <w:bookmarkEnd w:id="358"/>
      <w:r/>
      <w:bookmarkEnd w:id="359"/>
      <w:r/>
      <w:bookmarkEnd w:id="360"/>
      <w:r/>
      <w:bookmarkEnd w:id="361"/>
      <w:r/>
      <w:bookmarkEnd w:id="362"/>
      <w:r/>
      <w:bookmarkEnd w:id="363"/>
      <w:r/>
      <w:bookmarkEnd w:id="364"/>
      <w:r/>
      <w:bookmarkEnd w:id="365"/>
      <w:r/>
      <w:bookmarkEnd w:id="366"/>
      <w:r/>
      <w:bookmarkEnd w:id="367"/>
      <w:r/>
      <w:bookmarkEnd w:id="368"/>
      <w:r/>
      <w:bookmarkEnd w:id="369"/>
      <w:r/>
      <w:bookmarkEnd w:id="370"/>
      <w:r/>
      <w:bookmarkEnd w:id="371"/>
      <w:r/>
      <w:bookmarkEnd w:id="372"/>
      <w:r/>
      <w:bookmarkEnd w:id="373"/>
      <w:r/>
      <w:bookmarkEnd w:id="374"/>
      <w:r>
        <w:rPr>
          <w:b/>
          <w:bCs/>
          <w:lang w:eastAsia="en-US"/>
        </w:rPr>
        <w:t xml:space="preserve">4.5. Требования к организации взаимодействия на Проекте</w:t>
      </w:r>
      <w:bookmarkEnd w:id="375"/>
      <w:r/>
      <w:bookmarkEnd w:id="376"/>
      <w:r>
        <w:rPr>
          <w:b/>
          <w:bCs/>
          <w:lang w:eastAsia="en-US"/>
        </w:rPr>
      </w:r>
      <w:r>
        <w:rPr>
          <w:b/>
          <w:bCs/>
          <w:lang w:eastAsia="en-US"/>
        </w:rPr>
      </w:r>
    </w:p>
    <w:p>
      <w:pPr>
        <w:contextualSpacing/>
        <w:ind w:firstLine="709"/>
        <w:jc w:val="both"/>
      </w:pPr>
      <w:r>
        <w:t xml:space="preserve">Подготовку отчетной документации по проекту осуществляет руководитель проектной команды со стороны Исполнителя.</w:t>
      </w:r>
      <w:r/>
    </w:p>
    <w:p>
      <w:pPr>
        <w:contextualSpacing/>
        <w:ind w:firstLine="709"/>
        <w:jc w:val="both"/>
      </w:pPr>
      <w:r>
        <w:t xml:space="preserve">Исполнитель обеспечивает, при необходимости, личное общение специалистов проектной команды с представителями Заказчика.</w:t>
      </w:r>
      <w:r/>
    </w:p>
    <w:p>
      <w:pPr>
        <w:contextualSpacing/>
        <w:ind w:firstLine="709"/>
        <w:jc w:val="both"/>
      </w:pPr>
      <w:r>
        <w:rPr>
          <w:rFonts w:eastAsia="Calibri"/>
          <w:iCs/>
        </w:rPr>
        <w:t xml:space="preserve">Оказание услуг может осуществляться Исполнителем как на территории Заказчика (при необходимости и по требованию Заказчика), так и удаленно.</w:t>
      </w:r>
      <w:r/>
    </w:p>
    <w:p>
      <w:pPr>
        <w:contextualSpacing/>
        <w:ind w:firstLine="709"/>
        <w:jc w:val="both"/>
      </w:pPr>
      <w:r>
        <w:t xml:space="preserve">Руководитель рабочей группы Заказчика обеспечивает направление Исполнителю согласованных и утвержденных ЧТЗ до начала выполнения задач по настройке Системы. </w:t>
      </w:r>
      <w:r/>
    </w:p>
    <w:p>
      <w:pPr>
        <w:contextualSpacing/>
        <w:ind w:firstLine="709"/>
        <w:jc w:val="both"/>
      </w:pPr>
      <w:r>
        <w:t xml:space="preserve">Исполнитель предоставляет Заказчику на согласование и утверждение расчеты времени (РВ) реализации ЧТЗ на настройку Системы до начала выполнения задач по настройке Системы.</w:t>
      </w:r>
      <w:r/>
    </w:p>
    <w:p>
      <w:pPr>
        <w:contextualSpacing/>
        <w:ind w:firstLine="709"/>
        <w:jc w:val="both"/>
      </w:pPr>
      <w:r>
        <w:t xml:space="preserve">Руководитель рабочей группы Заказчика обеспечивает согласование и утверждение РВ, непротиворечащих ЧТЗ, до начала выполнения задач по настройке Системы. </w:t>
      </w:r>
      <w:r/>
    </w:p>
    <w:p>
      <w:pPr>
        <w:contextualSpacing/>
        <w:ind w:firstLine="709"/>
        <w:jc w:val="both"/>
      </w:pPr>
      <w:r>
        <w:t xml:space="preserve">Руководитель рабочей группы обеспечивает соблюдение сроков рассмотрения РВ ответственными специалистами Заказчика.</w:t>
      </w:r>
      <w:r/>
    </w:p>
    <w:p>
      <w:pPr>
        <w:contextualSpacing/>
        <w:ind w:firstLine="709"/>
        <w:jc w:val="both"/>
      </w:pPr>
      <w:r>
        <w:t xml:space="preserve">Конкретные сроки согласования и утверждения ЧТЗ и РВ определяются Заказчиком и Исполнителем переговорным путём. Исполнитель не должен выполнять настройку функциональности Системы по требованиям Заказчика без наличия согласованных и утвержденных ЧТЗ и РВ.</w:t>
      </w:r>
      <w:r/>
    </w:p>
    <w:p>
      <w:pPr>
        <w:contextualSpacing/>
        <w:ind w:firstLine="709"/>
        <w:jc w:val="both"/>
      </w:pPr>
      <w:r>
        <w:t xml:space="preserve">Согласованные и ут</w:t>
      </w:r>
      <w:r>
        <w:t xml:space="preserve">вержденные ЧТЗ и РВ передаются на хранение руководителю Проекта Заказчика. Согласованные Заказчиком и Исполнителем ЧТЗ и РВ являются единственными документами для обоснования замечаний к функциональности Системы, по которому Исполнитель выполнял настройку.</w:t>
      </w:r>
      <w:r/>
    </w:p>
    <w:p>
      <w:pPr>
        <w:contextualSpacing/>
        <w:ind w:firstLine="709"/>
        <w:jc w:val="both"/>
      </w:pPr>
      <w:r>
        <w:t xml:space="preserve">Замечания устраняются Исполнителем без дополнительной оплаты в течение срока действия договора и, после завершения договора, до истечения гарантийного срока.</w:t>
      </w:r>
      <w:r/>
    </w:p>
    <w:p>
      <w:pPr>
        <w:contextualSpacing/>
        <w:ind w:firstLine="709"/>
        <w:jc w:val="both"/>
      </w:pPr>
      <w:r>
        <w:t xml:space="preserve">Руководитель Проекта координирует действия сотрудников Исполнителя и Заказчика, привлеченных к проекту, и принимает окончательные решения по проблемным вопросам Проекта.</w:t>
      </w:r>
      <w:r/>
    </w:p>
    <w:p>
      <w:pPr>
        <w:numPr>
          <w:ilvl w:val="0"/>
          <w:numId w:val="49"/>
        </w:numPr>
        <w:ind w:left="1145" w:hanging="436"/>
        <w:spacing w:after="160" w:line="264" w:lineRule="auto"/>
        <w:rPr>
          <w:b/>
          <w:sz w:val="28"/>
          <w:szCs w:val="28"/>
        </w:rPr>
        <w:outlineLvl w:val="1"/>
      </w:pPr>
      <w:r/>
      <w:bookmarkStart w:id="377" w:name="_Toc238629815"/>
      <w:r>
        <w:rPr>
          <w:b/>
          <w:sz w:val="28"/>
          <w:szCs w:val="28"/>
        </w:rPr>
        <w:t xml:space="preserve">Обязанности Исполнителя</w:t>
      </w:r>
      <w:bookmarkEnd w:id="377"/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5.1. Исполнитель принимает и обрабатывает заявки Пользователей в целях оказания Услуг в соответствии с ТЗ. 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5.2. Исполнитель предоставляет следующие контакты для взаимодействия: адрес электронной почты Службы технической поддержки, номер телефона.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5.3. Заявки регистрируются пользователями функциональных направлений Заказчика в рамках оказания Услуг системе запросов пользователей Заказчика. Поддержка работоспособности системы запросов пользователей осуществляется силами и за счёт </w:t>
      </w:r>
      <w:r>
        <w:rPr>
          <w:iCs/>
        </w:rPr>
        <w:t xml:space="preserve">Заказчика</w:t>
      </w:r>
      <w:r>
        <w:rPr>
          <w:color w:val="000000"/>
        </w:rPr>
        <w:t xml:space="preserve">.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5.4. Исполнитель осуществляет работы только по заявкам, если иное не указано в описании Услуг.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5.5. Исполнитель согласует с Заказчиком проведение работ по обслуживанию программных, аппаратных и инженерных компонентов </w:t>
      </w:r>
      <w:r>
        <w:rPr>
          <w:rFonts w:eastAsia="Calibri"/>
          <w:color w:val="000000"/>
          <w:szCs w:val="26"/>
        </w:rPr>
        <w:t xml:space="preserve">АИС ОКО</w:t>
      </w:r>
      <w:r>
        <w:rPr>
          <w:color w:val="000000"/>
        </w:rPr>
        <w:t xml:space="preserve">, требующих полную или частичную остановку </w:t>
      </w:r>
      <w:r>
        <w:rPr>
          <w:rFonts w:eastAsia="Calibri"/>
          <w:color w:val="000000"/>
          <w:szCs w:val="26"/>
        </w:rPr>
        <w:t xml:space="preserve">АИС ОКО</w:t>
      </w:r>
      <w:r>
        <w:rPr>
          <w:color w:val="000000"/>
        </w:rPr>
        <w:t xml:space="preserve">.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numPr>
          <w:ilvl w:val="0"/>
          <w:numId w:val="49"/>
        </w:numPr>
        <w:ind w:left="1145" w:hanging="436"/>
        <w:spacing w:after="160" w:line="264" w:lineRule="auto"/>
        <w:rPr>
          <w:b/>
          <w:sz w:val="28"/>
          <w:szCs w:val="28"/>
        </w:rPr>
        <w:outlineLvl w:val="1"/>
      </w:pPr>
      <w:r/>
      <w:bookmarkStart w:id="378" w:name="_Toc238629816"/>
      <w:r>
        <w:rPr>
          <w:b/>
          <w:sz w:val="28"/>
          <w:szCs w:val="28"/>
        </w:rPr>
        <w:t xml:space="preserve">Обязанности Заказчика</w:t>
      </w:r>
      <w:bookmarkEnd w:id="378"/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6.1. Заказчик обеспечивает направление заявок Исполнителю через систему запросов пользователей или на предоставленные контактные данные.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6.2. Заказчик обеспечивает предоставление Исполнителю всей необходимой информации и документации для оказания Услуг и выполнения связанных с ними работ.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6.3. Сотрудники З</w:t>
      </w:r>
      <w:r>
        <w:rPr>
          <w:color w:val="000000"/>
        </w:rPr>
        <w:t xml:space="preserve">аказчика при обращении в Службу технической поддержки Исполнителя руководствуются следующим принципом: направляемая в системе запросов пользователей заявка должна содержать вопрос или проблему, которые Специалист Службы технической поддержки Исполнителя мо</w:t>
      </w:r>
      <w:r>
        <w:rPr>
          <w:color w:val="000000"/>
        </w:rPr>
        <w:t xml:space="preserve">жет решить в рамках одной Услуги. Если у сотрудника Заказчика имеется потребность в решении нескольких вопросов, соответствующих разным услугам или одной, но с разной критичностью, то сотрудник Заказчика должен направить данные вопросы отдельными заявками.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numPr>
          <w:ilvl w:val="0"/>
          <w:numId w:val="49"/>
        </w:numPr>
        <w:ind w:left="1145" w:hanging="436"/>
        <w:spacing w:after="160" w:line="264" w:lineRule="auto"/>
        <w:rPr>
          <w:b/>
          <w:sz w:val="28"/>
          <w:szCs w:val="28"/>
        </w:rPr>
        <w:outlineLvl w:val="1"/>
      </w:pPr>
      <w:r/>
      <w:bookmarkStart w:id="379" w:name="_Toc238629817"/>
      <w:r>
        <w:rPr>
          <w:b/>
          <w:sz w:val="28"/>
          <w:szCs w:val="28"/>
        </w:rPr>
        <w:t xml:space="preserve">Роли и ответственность</w:t>
      </w:r>
      <w:bookmarkEnd w:id="379"/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jc w:val="both"/>
        <w:rPr>
          <w:color w:val="000000"/>
        </w:rPr>
      </w:pPr>
      <w:r/>
      <w:bookmarkStart w:id="380" w:name="_Ref301341045"/>
      <w:r/>
      <w:bookmarkStart w:id="381" w:name="_Ref304196348"/>
      <w:r>
        <w:rPr>
          <w:color w:val="000000"/>
        </w:rPr>
        <w:t xml:space="preserve">7.1. Для определения порядка взаимодействия, а также для распределения ответственности за полученный результат, со стороны Заказчика и Исполнителя должны быть назначены ответственные сотрудники с ролями, указанными в Табл.14.</w:t>
      </w:r>
      <w:r>
        <w:rPr>
          <w:color w:val="000000"/>
        </w:rPr>
      </w:r>
      <w:r>
        <w:rPr>
          <w:color w:val="000000"/>
        </w:rPr>
      </w:r>
    </w:p>
    <w:p>
      <w:pPr>
        <w:jc w:val="right"/>
        <w:keepNext/>
        <w:widowControl w:val="off"/>
        <w:rPr>
          <w:color w:val="000000"/>
          <w:sz w:val="20"/>
          <w:szCs w:val="20"/>
        </w:rPr>
      </w:pPr>
      <w:r/>
      <w:bookmarkStart w:id="382" w:name="_Ref113476312"/>
      <w:r/>
      <w:bookmarkEnd w:id="380"/>
      <w:r/>
      <w:bookmarkEnd w:id="381"/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jc w:val="right"/>
        <w:keepNext/>
        <w:widowControl w:val="off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Табл. </w:t>
      </w:r>
      <w:bookmarkEnd w:id="382"/>
      <w:r>
        <w:rPr>
          <w:color w:val="000000"/>
          <w:sz w:val="20"/>
          <w:szCs w:val="20"/>
        </w:rPr>
        <w:t xml:space="preserve">14 Роли и ответственность участников процесса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tbl>
      <w:tblPr>
        <w:tblW w:w="94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0"/>
        <w:gridCol w:w="5061"/>
        <w:gridCol w:w="2312"/>
      </w:tblGrid>
      <w:tr>
        <w:tblPrEx/>
        <w:trPr>
          <w:tblHeader/>
        </w:trPr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12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Роль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506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Краткое описание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312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Ф.И.О. и контакты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6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120" w:type="dxa"/>
            <w:textDirection w:val="lrTb"/>
            <w:noWrap w:val="false"/>
          </w:tcPr>
          <w:p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 проекта</w:t>
            </w: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5061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 стороны Заказчика.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Осуществляет контроль качества предоставления Услуг.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Координирует работу Рабочих групп, взаимодействует с Руководителем проектной команды Исполнителя.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312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8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120" w:type="dxa"/>
            <w:textDirection w:val="lrTb"/>
            <w:noWrap w:val="false"/>
          </w:tcPr>
          <w:p>
            <w:pPr>
              <w:rPr>
                <w:bCs/>
                <w:iCs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Руководитель Рабочей группы по функциональному направлению</w:t>
            </w:r>
            <w:r>
              <w:rPr>
                <w:bCs/>
                <w:iCs/>
                <w:color w:val="000000"/>
                <w:sz w:val="20"/>
                <w:szCs w:val="20"/>
              </w:rPr>
            </w:r>
            <w:r>
              <w:rPr>
                <w:bCs/>
                <w:iCs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5061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 стороны Заказчика.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Осуществляет согласование и утверждение настроек (ЧТЗ), РВ предоставляемых Услуг.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31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8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120" w:type="dxa"/>
            <w:textDirection w:val="lrTb"/>
            <w:noWrap w:val="false"/>
          </w:tcPr>
          <w:p>
            <w:pPr>
              <w:rPr>
                <w:bCs/>
                <w:iCs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Члены Рабочей группы по функциональному направлению</w:t>
            </w:r>
            <w:r>
              <w:rPr>
                <w:bCs/>
                <w:iCs/>
                <w:color w:val="000000"/>
                <w:sz w:val="20"/>
                <w:szCs w:val="20"/>
              </w:rPr>
            </w:r>
            <w:r>
              <w:rPr>
                <w:bCs/>
                <w:iCs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5061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 стороны Заказчика.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Подготовка ЧТЗ, тестирование выполненных настроек в соответствии с ЧТЗ.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31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8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120" w:type="dxa"/>
            <w:textDirection w:val="lrTb"/>
            <w:noWrap w:val="false"/>
          </w:tcPr>
          <w:p>
            <w:pPr>
              <w:rPr>
                <w:bCs/>
                <w:iCs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Прикладной администратор АИС ОКО</w:t>
            </w:r>
            <w:r>
              <w:rPr>
                <w:bCs/>
                <w:iCs/>
                <w:color w:val="000000"/>
                <w:sz w:val="20"/>
                <w:szCs w:val="20"/>
              </w:rPr>
            </w:r>
            <w:r>
              <w:rPr>
                <w:bCs/>
                <w:iCs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5061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 стороны Заказчика.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Администрирование прикладного ПО АИС ОКО, пользователей АИС ОКО.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31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8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120" w:type="dxa"/>
            <w:textDirection w:val="lrTb"/>
            <w:noWrap w:val="false"/>
          </w:tcPr>
          <w:p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Руководитель проектной команды Исполнителя</w:t>
            </w: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5061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 стороны Исполнителя.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Отвечает за решение вопросов, связанных с организацией предоставления Услуг; подготовку РВ по ЗНН.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31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120" w:type="dxa"/>
            <w:textDirection w:val="lrTb"/>
            <w:noWrap w:val="false"/>
          </w:tcPr>
          <w:p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Члены проектной команды Исполнителя</w:t>
            </w: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5061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 стороны Исполнителя.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Отвечает за решение вопросов, связанных с непосредственным оказанием Услуг.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31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120" w:type="dxa"/>
            <w:textDirection w:val="lrTb"/>
            <w:noWrap w:val="false"/>
          </w:tcPr>
          <w:p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Пользователи </w:t>
            </w: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5061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Сотрудники Заказчика, использующие АИС ОКО в служебных целях. 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312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предоставляются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numPr>
          <w:ilvl w:val="0"/>
          <w:numId w:val="49"/>
        </w:numPr>
        <w:ind w:left="1145" w:hanging="436"/>
        <w:spacing w:after="160" w:line="264" w:lineRule="auto"/>
        <w:rPr>
          <w:b/>
          <w:sz w:val="28"/>
          <w:szCs w:val="28"/>
        </w:rPr>
        <w:outlineLvl w:val="1"/>
      </w:pPr>
      <w:r/>
      <w:bookmarkStart w:id="383" w:name="_Toc238629818"/>
      <w:r>
        <w:rPr>
          <w:b/>
          <w:sz w:val="28"/>
          <w:szCs w:val="28"/>
        </w:rPr>
        <w:t xml:space="preserve">Обработка заявок пользователей АИС ОКО</w:t>
      </w:r>
      <w:bookmarkEnd w:id="383"/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8.1. Общие положения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8.1.1. В настоящем Разделе приводятся основные принципы обработки заявок Пользователей.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8.1.2. Основанием для выполнения работ Исполнителем, является заявка, зарегистрированная в системе запросов пользователей. В случае необходимости к заявке могут прилагаться дополнительные материалы, уточняющие и поясняющие запрос.</w:t>
      </w:r>
      <w:r>
        <w:rPr>
          <w:color w:val="000000"/>
        </w:rPr>
      </w:r>
      <w:r>
        <w:rPr>
          <w:color w:val="000000"/>
        </w:rPr>
      </w:r>
    </w:p>
    <w:p>
      <w:pPr>
        <w:contextualSpacing/>
        <w:ind w:firstLine="720"/>
        <w:jc w:val="both"/>
        <w:rPr>
          <w:color w:val="000000"/>
        </w:rPr>
      </w:pPr>
      <w:r>
        <w:rPr>
          <w:color w:val="000000"/>
        </w:rPr>
        <w:t xml:space="preserve">8.1.3.</w:t>
      </w:r>
      <w:r>
        <w:rPr>
          <w:color w:val="000000"/>
        </w:rPr>
        <w:tab/>
        <w:t xml:space="preserve">Пользователи АИС ОКО могут подавать заявки типа: консультация; исправление ошибки, возникшей при работе с функциональностью; замечание к функциональности, если работа с ним не соответствует ранее выполненным настройкам в рамках ЗНН.  </w:t>
      </w:r>
      <w:r>
        <w:rPr>
          <w:color w:val="000000"/>
        </w:rPr>
      </w:r>
      <w:r>
        <w:rPr>
          <w:color w:val="000000"/>
        </w:rPr>
      </w:r>
    </w:p>
    <w:p>
      <w:pPr>
        <w:contextualSpacing/>
        <w:ind w:firstLine="720"/>
        <w:jc w:val="both"/>
        <w:rPr>
          <w:color w:val="000000"/>
        </w:rPr>
      </w:pPr>
      <w:r>
        <w:rPr>
          <w:color w:val="000000"/>
        </w:rPr>
        <w:t xml:space="preserve">8.1.4.</w:t>
      </w:r>
      <w:r>
        <w:rPr>
          <w:color w:val="000000"/>
        </w:rPr>
        <w:tab/>
        <w:t xml:space="preserve">Запросы на настройку функциональности АИС ОКО (ЗНН) создаются в системе запросов пользователей ответственным сотрудником со стороны ИТ-службы Заказчика при поступлении согласованного ЧТЗ руководителем рабочей группы по функциональному направлению.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numPr>
          <w:ilvl w:val="0"/>
          <w:numId w:val="49"/>
        </w:numPr>
        <w:ind w:left="1145" w:hanging="436"/>
        <w:spacing w:after="160" w:line="264" w:lineRule="auto"/>
        <w:rPr>
          <w:b/>
          <w:sz w:val="28"/>
          <w:szCs w:val="28"/>
        </w:rPr>
        <w:outlineLvl w:val="1"/>
      </w:pPr>
      <w:r/>
      <w:bookmarkStart w:id="384" w:name="_Toc238629819"/>
      <w:r>
        <w:rPr>
          <w:b/>
          <w:sz w:val="28"/>
          <w:szCs w:val="28"/>
        </w:rPr>
        <w:t xml:space="preserve">Порядок проведение работ</w:t>
      </w:r>
      <w:bookmarkEnd w:id="384"/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jc w:val="both"/>
        <w:rPr>
          <w:color w:val="000000"/>
        </w:rPr>
      </w:pPr>
      <w:r/>
      <w:bookmarkStart w:id="385" w:name="_Ref404091278"/>
      <w:r>
        <w:rPr>
          <w:color w:val="000000"/>
        </w:rPr>
        <w:t xml:space="preserve">9.1. Плановые работы</w:t>
      </w:r>
      <w:bookmarkEnd w:id="385"/>
      <w:r>
        <w:rPr>
          <w:color w:val="000000"/>
        </w:rPr>
        <w:t xml:space="preserve">, связанные с полной или частичной недоступностью функций АИС ОКО.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9.1.1. Время технологического окна предварительно согласовывается с Заказчиком по электронной почте. </w:t>
      </w:r>
      <w:bookmarkStart w:id="386" w:name="_Ref403052245"/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9.2. Внеплановые работы</w:t>
      </w:r>
      <w:bookmarkEnd w:id="386"/>
      <w:r>
        <w:rPr>
          <w:color w:val="000000"/>
        </w:rPr>
        <w:t xml:space="preserve">, связанные с устранением сбоев в работе АИС ОКО.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9.2.1. В случае необходимости устранения сбоев в работе АИС ОКО Исполнитель имеет право инициировать и согласовать с Заказчиком проведение внеплановых аварийных работ. Для этого Исполнитель</w:t>
      </w:r>
      <w:r>
        <w:rPr>
          <w:color w:val="000000"/>
        </w:rPr>
        <w:t xml:space="preserve"> обязан немедленно уведомить Прикладного администратора АИС ОКО Заказчика по электронной почте либо по телефону о необходимости проведения внеплановых работ и согласовать время и длительность проведения работ. Заранее, перед началом работ Прикладной админи</w:t>
      </w:r>
      <w:r>
        <w:rPr>
          <w:color w:val="000000"/>
        </w:rPr>
        <w:t xml:space="preserve">стратор оповещает Пользователей АИС ОКО о внеплановых работах и, при необходимости, завершает работу пользователей. После выполнения работ, Исполнитель оповещает Прикладного администратора об их окончании, Прикладной администратор оповещает Пользователей. 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9.3. Ответственность Заказчика.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9.3.1. Заказчик имеет право перенести время проведения работ (как плановых, так и внеплановых), а также отказать Исполнителю в проведении работ.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9.3.2. При отказе либо переносе времени проведения плановых работ Заказчик обязан уведомить об этом Исполнителя по электронной почте.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9.3.4. Исполнитель не несет ответственности за функционирование АИС ОКО в случае, если Заказчик отменил или перенес плановые или неплановые работы по проведению работ с АИС ОКО.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9.3.5. Заказчик самостоятельно уведомляет Пользователей о плановых или неплановых работах.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9.4. Ответственность Исполнителя.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9.4.1. Исполнитель несёт ответственность за некачественное оказание Услуг в соответствии с описанными в карточках Услуг штрафными санкциями.</w:t>
      </w:r>
      <w:r>
        <w:rPr>
          <w:color w:val="000000"/>
        </w:rPr>
      </w:r>
      <w:r>
        <w:rPr>
          <w:color w:val="000000"/>
        </w:rPr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9.4.2. Исполнитель несёт ответственность за своевременную подготовку и предоставление отчётных документов в соответствии с п.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REF _Ref120527797 \r \h  \* MERGEFORMAT </w:instrText>
      </w:r>
      <w:r>
        <w:rPr>
          <w:color w:val="000000"/>
        </w:rPr>
        <w:fldChar w:fldCharType="separate"/>
      </w:r>
      <w:r>
        <w:rPr>
          <w:color w:val="000000"/>
        </w:rPr>
        <w:t xml:space="preserve">6.2.2</w:t>
      </w:r>
      <w:r>
        <w:rPr>
          <w:color w:val="000000"/>
        </w:rPr>
        <w:fldChar w:fldCharType="end"/>
      </w:r>
      <w:r>
        <w:rPr>
          <w:color w:val="000000"/>
        </w:rPr>
        <w:t xml:space="preserve"> ТЗ.</w:t>
      </w:r>
      <w:r>
        <w:rPr>
          <w:color w:val="000000"/>
        </w:rPr>
      </w:r>
      <w:r>
        <w:rPr>
          <w:color w:val="000000"/>
        </w:rPr>
      </w:r>
    </w:p>
    <w:p>
      <w:pPr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numPr>
          <w:ilvl w:val="0"/>
          <w:numId w:val="27"/>
        </w:numPr>
        <w:ind w:left="432" w:right="170" w:hanging="432"/>
        <w:jc w:val="both"/>
        <w:keepNext/>
        <w:spacing w:after="360" w:line="360" w:lineRule="auto"/>
        <w:tabs>
          <w:tab w:val="left" w:pos="1134" w:leader="none"/>
        </w:tabs>
        <w:rPr>
          <w:rFonts w:ascii="Times New Roman Полужирный" w:hAnsi="Times New Roman Полужирный"/>
          <w:b/>
          <w:color w:val="000000"/>
          <w:sz w:val="32"/>
          <w:szCs w:val="32"/>
          <w:lang w:eastAsia="en-US"/>
        </w:rPr>
        <w:sectPr>
          <w:footnotePr/>
          <w:endnotePr/>
          <w:type w:val="nextPage"/>
          <w:pgSz w:w="11906" w:h="16838" w:orient="portrait"/>
          <w:pgMar w:top="1134" w:right="709" w:bottom="426" w:left="1701" w:header="709" w:footer="709" w:gutter="0"/>
          <w:cols w:num="1" w:sep="0" w:space="708" w:equalWidth="1"/>
          <w:docGrid w:linePitch="360"/>
          <w:titlePg/>
        </w:sectPr>
        <w:outlineLvl w:val="0"/>
      </w:pPr>
      <w:r/>
      <w:bookmarkStart w:id="387" w:name="_Toc111030566"/>
      <w:r>
        <w:rPr>
          <w:rFonts w:ascii="Times New Roman Полужирный" w:hAnsi="Times New Roman Полужирный"/>
          <w:b/>
          <w:color w:val="000000"/>
          <w:sz w:val="32"/>
          <w:szCs w:val="32"/>
          <w:lang w:eastAsia="en-US"/>
        </w:rPr>
      </w:r>
      <w:r>
        <w:rPr>
          <w:rFonts w:ascii="Times New Roman Полужирный" w:hAnsi="Times New Roman Полужирный"/>
          <w:b/>
          <w:color w:val="000000"/>
          <w:sz w:val="32"/>
          <w:szCs w:val="32"/>
          <w:lang w:eastAsia="en-US"/>
        </w:rPr>
      </w:r>
    </w:p>
    <w:p>
      <w:pPr>
        <w:ind w:left="5670"/>
        <w:keepNext/>
        <w:pageBreakBefore/>
        <w:rPr>
          <w:bCs/>
          <w:color w:val="000000"/>
          <w:lang w:eastAsia="en-US"/>
        </w:rPr>
        <w:outlineLvl w:val="0"/>
      </w:pPr>
      <w:r/>
      <w:bookmarkStart w:id="388" w:name="_Toc238629820"/>
      <w:r>
        <w:rPr>
          <w:bCs/>
          <w:color w:val="000000"/>
          <w:lang w:eastAsia="en-US"/>
        </w:rPr>
        <w:t xml:space="preserve">Приложение 4</w:t>
      </w:r>
      <w:bookmarkEnd w:id="388"/>
      <w:r>
        <w:rPr>
          <w:bCs/>
          <w:color w:val="000000"/>
          <w:lang w:eastAsia="en-US"/>
        </w:rPr>
      </w:r>
      <w:r>
        <w:rPr>
          <w:bCs/>
          <w:color w:val="000000"/>
          <w:lang w:eastAsia="en-US"/>
        </w:rPr>
      </w:r>
    </w:p>
    <w:p>
      <w:pPr>
        <w:ind w:left="5670"/>
        <w:tabs>
          <w:tab w:val="left" w:pos="7797" w:leader="none"/>
        </w:tabs>
        <w:rPr>
          <w:szCs w:val="20"/>
          <w:lang w:eastAsia="en-US"/>
        </w:rPr>
      </w:pPr>
      <w:r>
        <w:rPr>
          <w:szCs w:val="20"/>
          <w:lang w:eastAsia="en-US"/>
        </w:rPr>
        <w:t xml:space="preserve">к Техническому заданию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p>
      <w:pPr>
        <w:ind w:left="6521"/>
        <w:rPr>
          <w:szCs w:val="20"/>
        </w:rPr>
      </w:pPr>
      <w:r>
        <w:rPr>
          <w:szCs w:val="20"/>
        </w:rPr>
      </w:r>
      <w:r>
        <w:rPr>
          <w:szCs w:val="20"/>
        </w:rPr>
      </w:r>
      <w:r>
        <w:rPr>
          <w:szCs w:val="20"/>
        </w:rPr>
      </w:r>
    </w:p>
    <w:p>
      <w:pPr>
        <w:pStyle w:val="1180"/>
        <w:rPr>
          <w:b w:val="0"/>
        </w:rPr>
      </w:pPr>
      <w:r/>
      <w:bookmarkStart w:id="389" w:name="_Toc238629821"/>
      <w:r>
        <w:rPr>
          <w:b w:val="0"/>
        </w:rPr>
        <w:t xml:space="preserve">Формы отчётных документов</w:t>
      </w:r>
      <w:bookmarkEnd w:id="387"/>
      <w:r/>
      <w:bookmarkEnd w:id="389"/>
      <w:r>
        <w:rPr>
          <w:b w:val="0"/>
        </w:rPr>
      </w:r>
      <w:r>
        <w:rPr>
          <w:b w:val="0"/>
        </w:rPr>
      </w:r>
    </w:p>
    <w:p>
      <w:pPr>
        <w:ind w:firstLine="680"/>
        <w:jc w:val="both"/>
        <w:spacing w:line="360" w:lineRule="auto"/>
      </w:pPr>
      <w:r>
        <w:t xml:space="preserve">Отчет об оказанных услугах по сопровождению автоматизированной информационной системы обработки клиентских обращений филиала ПАО «Россети Юг» – «Кубаньэнерго» (АИС ОКО).</w:t>
      </w:r>
      <w:r/>
    </w:p>
    <w:p>
      <w:pPr>
        <w:ind w:firstLine="709"/>
        <w:jc w:val="both"/>
        <w:rPr>
          <w:szCs w:val="20"/>
          <w:lang w:eastAsia="en-US"/>
        </w:rPr>
      </w:pPr>
      <w:r>
        <w:rPr>
          <w:szCs w:val="20"/>
          <w:lang w:eastAsia="en-US"/>
        </w:rPr>
        <w:t xml:space="preserve">за ______________ 20___ года по договору №</w:t>
      </w:r>
      <w:r>
        <w:rPr>
          <w:szCs w:val="20"/>
          <w:lang w:val="en-US" w:eastAsia="en-US"/>
        </w:rPr>
        <w:t xml:space="preserve"> </w:t>
      </w:r>
      <w:r>
        <w:rPr>
          <w:szCs w:val="20"/>
          <w:lang w:eastAsia="en-US"/>
        </w:rPr>
        <w:t xml:space="preserve">_______________ между</w:t>
      </w:r>
      <w:r>
        <w:t xml:space="preserve"> филиалом ПАО «Россети Юг» – «Кубаньэнерго»</w:t>
      </w:r>
      <w:r>
        <w:rPr>
          <w:szCs w:val="20"/>
          <w:lang w:eastAsia="en-US"/>
        </w:rPr>
        <w:t xml:space="preserve"> и ___________________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p>
      <w:pPr>
        <w:ind w:firstLine="709"/>
        <w:jc w:val="both"/>
        <w:spacing w:before="240" w:line="360" w:lineRule="auto"/>
        <w:rPr>
          <w:bCs/>
          <w:szCs w:val="20"/>
          <w:lang w:eastAsia="en-US"/>
        </w:rPr>
      </w:pPr>
      <w:r>
        <w:rPr>
          <w:bCs/>
          <w:szCs w:val="20"/>
          <w:lang w:eastAsia="en-US"/>
        </w:rPr>
        <w:t xml:space="preserve">ТАБЛИЦА 1. Услуги по сопровождению за____________20__ г.</w:t>
      </w:r>
      <w:r>
        <w:rPr>
          <w:bCs/>
          <w:szCs w:val="20"/>
          <w:lang w:eastAsia="en-US"/>
        </w:rPr>
      </w:r>
      <w:r>
        <w:rPr>
          <w:bCs/>
          <w:szCs w:val="20"/>
          <w:lang w:eastAsia="en-US"/>
        </w:rPr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979"/>
        <w:gridCol w:w="4990"/>
        <w:gridCol w:w="3827"/>
      </w:tblGrid>
      <w:tr>
        <w:tblPrEx/>
        <w:trPr>
          <w:trHeight w:val="323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9" w:type="dxa"/>
            <w:vAlign w:val="bottom"/>
            <w:textDirection w:val="lrTb"/>
            <w:noWrap/>
          </w:tcPr>
          <w:p>
            <w:pPr>
              <w:pStyle w:val="1010"/>
              <w:ind w:firstLine="49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№ п/п</w:t>
            </w:r>
            <w:r>
              <w:rPr>
                <w:bCs/>
                <w:lang w:eastAsia="en-US"/>
              </w:rPr>
            </w:r>
            <w:r>
              <w:rPr>
                <w:bCs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vAlign w:val="bottom"/>
            <w:textDirection w:val="lrTb"/>
            <w:noWrap/>
          </w:tcPr>
          <w:p>
            <w:pPr>
              <w:pStyle w:val="101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Описание услуги</w:t>
            </w:r>
            <w:r>
              <w:rPr>
                <w:bCs/>
                <w:lang w:eastAsia="en-US"/>
              </w:rPr>
            </w:r>
            <w:r>
              <w:rPr>
                <w:bCs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  <w:vAlign w:val="bottom"/>
            <w:textDirection w:val="lrTb"/>
            <w:noWrap/>
          </w:tcPr>
          <w:p>
            <w:pPr>
              <w:pStyle w:val="101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Комментарии</w:t>
            </w:r>
            <w:r>
              <w:rPr>
                <w:bCs/>
                <w:lang w:eastAsia="en-US"/>
              </w:rPr>
            </w:r>
            <w:r>
              <w:rPr>
                <w:bCs/>
                <w:lang w:eastAsia="en-US"/>
              </w:rPr>
            </w:r>
          </w:p>
        </w:tc>
      </w:tr>
      <w:tr>
        <w:tblPrEx/>
        <w:trPr>
          <w:trHeight w:val="272"/>
        </w:trPr>
        <w:tc>
          <w:tcPr>
            <w:shd w:val="clear" w:color="auto" w:fill="auto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9" w:type="dxa"/>
            <w:textDirection w:val="lrTb"/>
            <w:noWrap/>
          </w:tcPr>
          <w:p>
            <w:pPr>
              <w:pStyle w:val="1010"/>
              <w:rPr>
                <w:lang w:eastAsia="en-US"/>
              </w:rPr>
            </w:pPr>
            <w:r>
              <w:rPr>
                <w:lang w:eastAsia="en-US"/>
              </w:rPr>
              <w:t xml:space="preserve"> 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pStyle w:val="1010"/>
              <w:rPr>
                <w:lang w:eastAsia="en-US"/>
              </w:rPr>
            </w:pPr>
            <w:r>
              <w:rPr>
                <w:lang w:eastAsia="en-US"/>
              </w:rPr>
              <w:t xml:space="preserve"> 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  <w:textDirection w:val="lrTb"/>
            <w:noWrap w:val="false"/>
          </w:tcPr>
          <w:p>
            <w:pPr>
              <w:pStyle w:val="1010"/>
              <w:rPr>
                <w:lang w:eastAsia="en-US"/>
              </w:rPr>
            </w:pPr>
            <w:r>
              <w:rPr>
                <w:lang w:eastAsia="en-US"/>
              </w:rPr>
              <w:t xml:space="preserve"> 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>
          <w:trHeight w:val="276"/>
        </w:trPr>
        <w:tc>
          <w:tcPr>
            <w:shd w:val="clear" w:color="auto" w:fill="auto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9" w:type="dxa"/>
            <w:textDirection w:val="lrTb"/>
            <w:noWrap/>
          </w:tcPr>
          <w:p>
            <w:pPr>
              <w:pStyle w:val="1010"/>
              <w:rPr>
                <w:lang w:eastAsia="en-US"/>
              </w:rPr>
            </w:pPr>
            <w:r>
              <w:rPr>
                <w:lang w:eastAsia="en-US"/>
              </w:rPr>
              <w:t xml:space="preserve"> 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pStyle w:val="1010"/>
              <w:rPr>
                <w:lang w:eastAsia="en-US"/>
              </w:rPr>
            </w:pPr>
            <w:r>
              <w:rPr>
                <w:lang w:eastAsia="en-US"/>
              </w:rPr>
              <w:t xml:space="preserve"> 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  <w:textDirection w:val="lrTb"/>
            <w:noWrap w:val="false"/>
          </w:tcPr>
          <w:p>
            <w:pPr>
              <w:pStyle w:val="1010"/>
              <w:rPr>
                <w:lang w:eastAsia="en-US"/>
              </w:rPr>
            </w:pPr>
            <w:r>
              <w:rPr>
                <w:lang w:eastAsia="en-US"/>
              </w:rPr>
              <w:t xml:space="preserve"> 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>
          <w:trHeight w:val="266"/>
        </w:trPr>
        <w:tc>
          <w:tcPr>
            <w:shd w:val="clear" w:color="auto" w:fill="auto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9" w:type="dxa"/>
            <w:textDirection w:val="lrTb"/>
            <w:noWrap/>
          </w:tcPr>
          <w:p>
            <w:pPr>
              <w:pStyle w:val="1010"/>
              <w:rPr>
                <w:lang w:eastAsia="en-US"/>
              </w:rPr>
            </w:pPr>
            <w:r>
              <w:rPr>
                <w:lang w:eastAsia="en-US"/>
              </w:rPr>
              <w:t xml:space="preserve"> 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990" w:type="dxa"/>
            <w:textDirection w:val="lrTb"/>
            <w:noWrap w:val="false"/>
          </w:tcPr>
          <w:p>
            <w:pPr>
              <w:pStyle w:val="1010"/>
              <w:rPr>
                <w:lang w:eastAsia="en-US"/>
              </w:rPr>
            </w:pPr>
            <w:r>
              <w:rPr>
                <w:lang w:eastAsia="en-US"/>
              </w:rPr>
              <w:t xml:space="preserve"> 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  <w:textDirection w:val="lrTb"/>
            <w:noWrap w:val="false"/>
          </w:tcPr>
          <w:p>
            <w:pPr>
              <w:pStyle w:val="1010"/>
              <w:rPr>
                <w:lang w:eastAsia="en-US"/>
              </w:rPr>
            </w:pPr>
            <w:r>
              <w:rPr>
                <w:lang w:eastAsia="en-US"/>
              </w:rPr>
              <w:t xml:space="preserve"> 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96" w:type="dxa"/>
            <w:vAlign w:val="bottom"/>
            <w:textDirection w:val="lrTb"/>
            <w:noWrap/>
          </w:tcPr>
          <w:p>
            <w:pPr>
              <w:pStyle w:val="101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ИТОГО: (руб.)</w:t>
            </w:r>
            <w:r>
              <w:rPr>
                <w:bCs/>
                <w:lang w:eastAsia="en-US"/>
              </w:rPr>
            </w:r>
            <w:r>
              <w:rPr>
                <w:bCs/>
                <w:lang w:eastAsia="en-US"/>
              </w:rPr>
            </w:r>
          </w:p>
        </w:tc>
      </w:tr>
    </w:tbl>
    <w:p>
      <w:pPr>
        <w:ind w:firstLine="709"/>
        <w:jc w:val="both"/>
        <w:spacing w:before="240" w:line="360" w:lineRule="auto"/>
        <w:rPr>
          <w:szCs w:val="20"/>
          <w:lang w:eastAsia="en-US"/>
        </w:rPr>
      </w:pPr>
      <w:r>
        <w:rPr>
          <w:szCs w:val="20"/>
          <w:lang w:eastAsia="en-US"/>
        </w:rPr>
        <w:t xml:space="preserve">ТАБЛИЦА 2. Детальная статистика по настройкам за____________20__ г.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tbl>
      <w:tblPr>
        <w:tblW w:w="47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2522"/>
        <w:gridCol w:w="2212"/>
        <w:gridCol w:w="1773"/>
        <w:gridCol w:w="1793"/>
      </w:tblGrid>
      <w:tr>
        <w:tblPrEx/>
        <w:trPr>
          <w:jc w:val="center"/>
          <w:trHeight w:val="12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" w:type="pct"/>
            <w:vAlign w:val="center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ТЧТЗ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5" w:type="pct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Дата и время начала/продолжения настройки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34" w:type="pct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Дата и время передачи на тестирование/принятия настройки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pct"/>
            <w:vAlign w:val="center"/>
            <w:textDirection w:val="lrTb"/>
            <w:noWrap w:val="false"/>
          </w:tcPr>
          <w:p>
            <w:pPr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Комментарий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pct"/>
            <w:vAlign w:val="center"/>
            <w:textDirection w:val="lrTb"/>
            <w:noWrap w:val="false"/>
          </w:tcPr>
          <w:p>
            <w:pPr>
              <w:ind w:firstLine="10"/>
              <w:jc w:val="center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Фактическое время настройки (час)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</w:tr>
      <w:tr>
        <w:tblPrEx/>
        <w:trPr>
          <w:jc w:val="center"/>
          <w:trHeight w:val="2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1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5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34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</w:tr>
      <w:tr>
        <w:tblPrEx/>
        <w:trPr>
          <w:jc w:val="center"/>
          <w:trHeight w:val="25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5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34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</w:tr>
      <w:tr>
        <w:tblPrEx/>
        <w:trPr>
          <w:jc w:val="center"/>
          <w:trHeight w:val="2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5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34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</w:tr>
      <w:tr>
        <w:tblPrEx/>
        <w:trPr>
          <w:jc w:val="center"/>
          <w:trHeight w:val="2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5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34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" w:type="pct"/>
            <w:textDirection w:val="lrTb"/>
            <w:noWrap w:val="false"/>
          </w:tcPr>
          <w:p>
            <w:pPr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pct"/>
            <w:textDirection w:val="lrTb"/>
            <w:noWrap w:val="false"/>
          </w:tcPr>
          <w:p>
            <w:pPr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Итого: (час)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</w:tr>
    </w:tbl>
    <w:p>
      <w:pPr>
        <w:ind w:firstLine="709"/>
        <w:jc w:val="both"/>
        <w:spacing w:before="240" w:line="360" w:lineRule="auto"/>
        <w:rPr>
          <w:szCs w:val="20"/>
          <w:lang w:eastAsia="en-US"/>
        </w:rPr>
      </w:pPr>
      <w:r>
        <w:rPr>
          <w:szCs w:val="20"/>
          <w:lang w:eastAsia="en-US"/>
        </w:rPr>
        <w:t xml:space="preserve">ТАБЛИЦА 3. Итоговая статистика по настройкам за _____________20__ г.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1638"/>
        <w:gridCol w:w="2010"/>
        <w:gridCol w:w="1794"/>
        <w:gridCol w:w="1658"/>
        <w:gridCol w:w="1579"/>
      </w:tblGrid>
      <w:tr>
        <w:tblPrEx/>
        <w:trPr>
          <w:jc w:val="center"/>
          <w:trHeight w:val="113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" w:type="pct"/>
            <w:vAlign w:val="center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ТЧТЗ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Название ЧТЗ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5" w:type="pct"/>
            <w:vAlign w:val="center"/>
            <w:textDirection w:val="lrTb"/>
            <w:noWrap w:val="false"/>
          </w:tcPr>
          <w:p>
            <w:pPr>
              <w:ind w:firstLine="33"/>
              <w:jc w:val="center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Расчетное время настройки (час)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0" w:type="pct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Фактическое время настройки (час)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7" w:type="pct"/>
            <w:vAlign w:val="center"/>
            <w:textDirection w:val="lrTb"/>
            <w:noWrap w:val="false"/>
          </w:tcPr>
          <w:p>
            <w:pPr>
              <w:ind w:firstLine="14"/>
              <w:jc w:val="center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Превышение расчетного времени настройки (час)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5" w:type="pct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Сумма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</w:tr>
      <w:tr>
        <w:tblPrEx/>
        <w:trPr>
          <w:jc w:val="center"/>
          <w:trHeight w:val="24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1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5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0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7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5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</w:tr>
      <w:tr>
        <w:tblPrEx/>
        <w:trPr>
          <w:jc w:val="center"/>
          <w:trHeight w:val="24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3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5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0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7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5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</w:tr>
      <w:tr>
        <w:tblPrEx/>
        <w:trPr>
          <w:jc w:val="center"/>
          <w:trHeight w:val="23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…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5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0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7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5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</w:tr>
      <w:tr>
        <w:tblPrEx/>
        <w:trPr>
          <w:jc w:val="center"/>
          <w:trHeight w:val="23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6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5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0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7" w:type="pct"/>
            <w:textDirection w:val="lrTb"/>
            <w:noWrap w:val="false"/>
          </w:tcPr>
          <w:p>
            <w:pPr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5" w:type="pct"/>
            <w:textDirection w:val="lrTb"/>
            <w:noWrap w:val="false"/>
          </w:tcPr>
          <w:p>
            <w:pPr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Итого:(руб.)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</w:tr>
    </w:tbl>
    <w:p>
      <w:pPr>
        <w:ind w:firstLine="709"/>
        <w:jc w:val="both"/>
        <w:spacing w:before="240" w:line="360" w:lineRule="auto"/>
        <w:rPr>
          <w:szCs w:val="20"/>
          <w:lang w:eastAsia="en-US"/>
        </w:rPr>
      </w:pPr>
      <w:r>
        <w:rPr>
          <w:szCs w:val="20"/>
          <w:lang w:eastAsia="en-US"/>
        </w:rPr>
        <w:t xml:space="preserve">ТАБЛИЦА 4. Нарушение СУО (уровня обслуживания) за _____________20__ г.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tbl>
      <w:tblPr>
        <w:tblW w:w="481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2487"/>
        <w:gridCol w:w="2552"/>
        <w:gridCol w:w="1843"/>
        <w:gridCol w:w="1630"/>
      </w:tblGrid>
      <w:tr>
        <w:tblPrEx/>
        <w:trPr>
          <w:jc w:val="center"/>
          <w:trHeight w:val="64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0" w:type="pct"/>
            <w:vAlign w:val="center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№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2" w:type="pct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Нарушение СУО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pct"/>
            <w:vAlign w:val="center"/>
            <w:textDirection w:val="lrTb"/>
            <w:noWrap w:val="false"/>
          </w:tcPr>
          <w:p>
            <w:pPr>
              <w:ind w:hanging="10"/>
              <w:jc w:val="center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Дата и время нарушения СУО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4" w:type="pct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Причины нарушения СУО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6" w:type="pct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Принятые меры по нарушению СУО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</w:tr>
      <w:tr>
        <w:tblPrEx/>
        <w:trPr>
          <w:jc w:val="center"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0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1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2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4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6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</w:tr>
      <w:tr>
        <w:tblPrEx/>
        <w:trPr>
          <w:jc w:val="center"/>
          <w:trHeight w:val="28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0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2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2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4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6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</w:tr>
      <w:tr>
        <w:tblPrEx/>
        <w:trPr>
          <w:jc w:val="center"/>
          <w:trHeight w:val="27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0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3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2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4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6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</w:tr>
      <w:tr>
        <w:tblPrEx/>
        <w:trPr>
          <w:jc w:val="center"/>
          <w:trHeight w:val="27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0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…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2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4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6" w:type="pct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</w:tr>
    </w:tbl>
    <w:p>
      <w:pPr>
        <w:ind w:firstLine="709"/>
        <w:jc w:val="both"/>
        <w:spacing w:line="360" w:lineRule="auto"/>
        <w:rPr>
          <w:szCs w:val="20"/>
          <w:lang w:eastAsia="en-US"/>
        </w:rPr>
      </w:pPr>
      <w:r>
        <w:rPr>
          <w:szCs w:val="20"/>
          <w:lang w:eastAsia="en-US"/>
        </w:rPr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p>
      <w:pPr>
        <w:ind w:firstLine="709"/>
        <w:jc w:val="both"/>
        <w:rPr>
          <w:szCs w:val="20"/>
          <w:lang w:eastAsia="en-US"/>
        </w:rPr>
      </w:pPr>
      <w:r>
        <w:rPr>
          <w:szCs w:val="20"/>
          <w:lang w:eastAsia="en-US"/>
        </w:rPr>
        <w:t xml:space="preserve">Расчет стоимости оказанных в отчетном месяце услуг.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p>
      <w:pPr>
        <w:ind w:firstLine="709"/>
        <w:jc w:val="both"/>
        <w:rPr>
          <w:szCs w:val="20"/>
          <w:lang w:eastAsia="en-US"/>
        </w:rPr>
      </w:pPr>
      <w:r>
        <w:rPr>
          <w:szCs w:val="20"/>
          <w:lang w:eastAsia="en-US"/>
        </w:rPr>
        <w:t xml:space="preserve">Расчет стоимости оказанных в _______________ 20__г. услуг осуществлен на основании: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p>
      <w:pPr>
        <w:numPr>
          <w:ilvl w:val="0"/>
          <w:numId w:val="25"/>
        </w:numPr>
        <w:jc w:val="both"/>
        <w:rPr>
          <w:szCs w:val="20"/>
          <w:lang w:eastAsia="en-US"/>
        </w:rPr>
      </w:pPr>
      <w:r>
        <w:rPr>
          <w:szCs w:val="20"/>
          <w:lang w:eastAsia="en-US"/>
        </w:rPr>
        <w:t xml:space="preserve">фактических данных таблиц 1, 2, 3, 4;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p>
      <w:pPr>
        <w:numPr>
          <w:ilvl w:val="0"/>
          <w:numId w:val="25"/>
        </w:numPr>
        <w:jc w:val="both"/>
        <w:rPr>
          <w:szCs w:val="20"/>
          <w:lang w:eastAsia="en-US"/>
        </w:rPr>
      </w:pPr>
      <w:r>
        <w:rPr>
          <w:szCs w:val="20"/>
          <w:lang w:eastAsia="en-US"/>
        </w:rPr>
        <w:t xml:space="preserve">методологии определения стоимости;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p>
      <w:pPr>
        <w:numPr>
          <w:ilvl w:val="0"/>
          <w:numId w:val="25"/>
        </w:numPr>
        <w:jc w:val="both"/>
        <w:rPr>
          <w:szCs w:val="20"/>
          <w:lang w:eastAsia="en-US"/>
        </w:rPr>
      </w:pPr>
      <w:r>
        <w:rPr>
          <w:szCs w:val="20"/>
          <w:lang w:eastAsia="en-US"/>
        </w:rPr>
        <w:t xml:space="preserve">стоимости нормо-часа работ;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p>
      <w:pPr>
        <w:ind w:firstLine="709"/>
        <w:jc w:val="both"/>
        <w:rPr>
          <w:szCs w:val="20"/>
          <w:lang w:eastAsia="en-US"/>
        </w:rPr>
      </w:pPr>
      <w:r>
        <w:rPr>
          <w:szCs w:val="20"/>
          <w:lang w:eastAsia="en-US"/>
        </w:rPr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p>
      <w:pPr>
        <w:ind w:firstLine="709"/>
        <w:jc w:val="both"/>
        <w:rPr>
          <w:szCs w:val="20"/>
          <w:lang w:eastAsia="en-US"/>
        </w:rPr>
      </w:pPr>
      <w:r>
        <w:rPr>
          <w:szCs w:val="20"/>
          <w:lang w:eastAsia="en-US"/>
        </w:rPr>
        <w:t xml:space="preserve">Итоговая стоимость услуг за ___________ 20__г. составила С_итог = _____ руб.  ___ коп.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p>
      <w:pPr>
        <w:ind w:firstLine="709"/>
        <w:jc w:val="both"/>
        <w:spacing w:line="360" w:lineRule="auto"/>
        <w:rPr>
          <w:szCs w:val="20"/>
          <w:lang w:eastAsia="en-US"/>
        </w:rPr>
      </w:pPr>
      <w:r>
        <w:rPr>
          <w:szCs w:val="20"/>
          <w:lang w:eastAsia="en-US"/>
        </w:rPr>
        <w:t xml:space="preserve">От Исполнителя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p>
      <w:pPr>
        <w:ind w:firstLine="709"/>
        <w:jc w:val="both"/>
        <w:spacing w:line="360" w:lineRule="auto"/>
        <w:rPr>
          <w:szCs w:val="20"/>
          <w:lang w:eastAsia="en-US"/>
        </w:rPr>
      </w:pPr>
      <w:r>
        <w:rPr>
          <w:szCs w:val="20"/>
          <w:lang w:eastAsia="en-US"/>
        </w:rPr>
        <w:t xml:space="preserve">Сформировано: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p>
      <w:pPr>
        <w:ind w:firstLine="709"/>
        <w:jc w:val="both"/>
        <w:spacing w:line="360" w:lineRule="auto"/>
        <w:rPr>
          <w:szCs w:val="20"/>
          <w:lang w:eastAsia="en-US"/>
        </w:rPr>
      </w:pPr>
      <w:r>
        <w:rPr>
          <w:szCs w:val="20"/>
          <w:lang w:eastAsia="en-US"/>
        </w:rPr>
        <w:t xml:space="preserve">Руководитель проектной команды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tbl>
      <w:tblPr>
        <w:tblW w:w="14693" w:type="dxa"/>
        <w:tblInd w:w="-993" w:type="dxa"/>
        <w:tblLook w:val="04A0" w:firstRow="1" w:lastRow="0" w:firstColumn="1" w:lastColumn="0" w:noHBand="0" w:noVBand="1"/>
      </w:tblPr>
      <w:tblGrid>
        <w:gridCol w:w="3305"/>
        <w:gridCol w:w="236"/>
        <w:gridCol w:w="47"/>
        <w:gridCol w:w="10774"/>
        <w:gridCol w:w="331"/>
      </w:tblGrid>
      <w:tr>
        <w:tblPrEx/>
        <w:trPr>
          <w:trHeight w:val="300"/>
        </w:trPr>
        <w:tc>
          <w:tcPr>
            <w:tcW w:w="3305" w:type="dxa"/>
            <w:vAlign w:val="bottom"/>
            <w:textDirection w:val="lrTb"/>
            <w:noWrap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_________________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gridSpan w:val="2"/>
            <w:tcW w:w="283" w:type="dxa"/>
            <w:vAlign w:val="bottom"/>
            <w:textDirection w:val="lrTb"/>
            <w:noWrap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gridSpan w:val="2"/>
            <w:tcW w:w="11105" w:type="dxa"/>
            <w:vAlign w:val="bottom"/>
            <w:textDirection w:val="lrTb"/>
            <w:noWrap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__________    _____      ________________________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tcW w:w="3305" w:type="dxa"/>
            <w:textDirection w:val="lrTb"/>
            <w:noWrap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val="en-US" w:eastAsia="en-US"/>
              </w:rPr>
              <w:t xml:space="preserve">          </w:t>
            </w:r>
            <w:r>
              <w:rPr>
                <w:szCs w:val="20"/>
                <w:lang w:eastAsia="en-US"/>
              </w:rPr>
              <w:t xml:space="preserve">Дата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W w:w="236" w:type="dxa"/>
            <w:vAlign w:val="bottom"/>
            <w:textDirection w:val="lrTb"/>
            <w:noWrap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gridSpan w:val="2"/>
            <w:tcW w:w="10821" w:type="dxa"/>
            <w:textDirection w:val="lrTb"/>
            <w:noWrap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val="en-US" w:eastAsia="en-US"/>
              </w:rPr>
              <w:t xml:space="preserve">    </w:t>
            </w:r>
            <w:r>
              <w:rPr>
                <w:szCs w:val="20"/>
                <w:lang w:eastAsia="en-US"/>
              </w:rPr>
              <w:t xml:space="preserve">подпись       ФИО                      должность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</w:tr>
    </w:tbl>
    <w:p>
      <w:pPr>
        <w:ind w:firstLine="709"/>
        <w:jc w:val="both"/>
        <w:spacing w:line="360" w:lineRule="auto"/>
        <w:rPr>
          <w:szCs w:val="20"/>
          <w:lang w:eastAsia="en-US"/>
        </w:rPr>
      </w:pPr>
      <w:r>
        <w:rPr>
          <w:szCs w:val="20"/>
          <w:lang w:eastAsia="en-US"/>
        </w:rPr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p>
      <w:pPr>
        <w:ind w:firstLine="709"/>
        <w:jc w:val="both"/>
        <w:spacing w:line="360" w:lineRule="auto"/>
        <w:rPr>
          <w:szCs w:val="20"/>
          <w:lang w:eastAsia="en-US"/>
        </w:rPr>
      </w:pPr>
      <w:r>
        <w:rPr>
          <w:szCs w:val="20"/>
          <w:lang w:eastAsia="en-US"/>
        </w:rPr>
        <w:t xml:space="preserve">От Заказчика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p>
      <w:pPr>
        <w:ind w:firstLine="709"/>
        <w:jc w:val="both"/>
        <w:spacing w:line="360" w:lineRule="auto"/>
        <w:rPr>
          <w:szCs w:val="20"/>
          <w:lang w:eastAsia="en-US"/>
        </w:rPr>
      </w:pPr>
      <w:r>
        <w:rPr>
          <w:szCs w:val="20"/>
          <w:lang w:eastAsia="en-US"/>
        </w:rPr>
        <w:t xml:space="preserve">Согласовано (в части перечня и качества работ):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p>
      <w:pPr>
        <w:ind w:firstLine="709"/>
        <w:jc w:val="both"/>
        <w:spacing w:line="360" w:lineRule="auto"/>
        <w:rPr>
          <w:szCs w:val="20"/>
          <w:lang w:eastAsia="en-US"/>
        </w:rPr>
      </w:pPr>
      <w:r>
        <w:rPr>
          <w:szCs w:val="20"/>
          <w:lang w:eastAsia="en-US"/>
        </w:rPr>
        <w:t xml:space="preserve">Руководитель РГ по функциональному направлению (ответственный сотрудник ФЗ)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tbl>
      <w:tblPr>
        <w:tblW w:w="14693" w:type="dxa"/>
        <w:tblInd w:w="-993" w:type="dxa"/>
        <w:tblLook w:val="04A0" w:firstRow="1" w:lastRow="0" w:firstColumn="1" w:lastColumn="0" w:noHBand="0" w:noVBand="1"/>
      </w:tblPr>
      <w:tblGrid>
        <w:gridCol w:w="3305"/>
        <w:gridCol w:w="236"/>
        <w:gridCol w:w="47"/>
        <w:gridCol w:w="10774"/>
        <w:gridCol w:w="331"/>
      </w:tblGrid>
      <w:tr>
        <w:tblPrEx/>
        <w:trPr>
          <w:trHeight w:val="300"/>
        </w:trPr>
        <w:tc>
          <w:tcPr>
            <w:tcW w:w="3305" w:type="dxa"/>
            <w:vAlign w:val="bottom"/>
            <w:textDirection w:val="lrTb"/>
            <w:noWrap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_________________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gridSpan w:val="2"/>
            <w:tcW w:w="283" w:type="dxa"/>
            <w:vAlign w:val="bottom"/>
            <w:textDirection w:val="lrTb"/>
            <w:noWrap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gridSpan w:val="2"/>
            <w:tcW w:w="11105" w:type="dxa"/>
            <w:vAlign w:val="bottom"/>
            <w:textDirection w:val="lrTb"/>
            <w:noWrap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__________    _____      ________________________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</w:tr>
      <w:tr>
        <w:tblPrEx/>
        <w:trPr>
          <w:gridAfter w:val="1"/>
          <w:trHeight w:val="300"/>
        </w:trPr>
        <w:tc>
          <w:tcPr>
            <w:tcW w:w="3305" w:type="dxa"/>
            <w:textDirection w:val="lrTb"/>
            <w:noWrap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val="en-US" w:eastAsia="en-US"/>
              </w:rPr>
              <w:t xml:space="preserve">          </w:t>
            </w:r>
            <w:r>
              <w:rPr>
                <w:szCs w:val="20"/>
                <w:lang w:eastAsia="en-US"/>
              </w:rPr>
              <w:t xml:space="preserve">Дата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W w:w="236" w:type="dxa"/>
            <w:vAlign w:val="bottom"/>
            <w:textDirection w:val="lrTb"/>
            <w:noWrap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gridSpan w:val="2"/>
            <w:tcW w:w="10821" w:type="dxa"/>
            <w:textDirection w:val="lrTb"/>
            <w:noWrap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val="en-US" w:eastAsia="en-US"/>
              </w:rPr>
              <w:t xml:space="preserve">    </w:t>
            </w:r>
            <w:r>
              <w:rPr>
                <w:szCs w:val="20"/>
                <w:lang w:eastAsia="en-US"/>
              </w:rPr>
              <w:t xml:space="preserve">подпись       ФИО                      должность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</w:tr>
    </w:tbl>
    <w:p>
      <w:pPr>
        <w:jc w:val="both"/>
        <w:rPr>
          <w:szCs w:val="20"/>
          <w:lang w:eastAsia="en-US"/>
        </w:rPr>
      </w:pPr>
      <w:r>
        <w:rPr>
          <w:szCs w:val="20"/>
          <w:lang w:eastAsia="en-US"/>
        </w:rPr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p>
      <w:pPr>
        <w:jc w:val="both"/>
        <w:spacing w:line="360" w:lineRule="auto"/>
        <w:rPr>
          <w:szCs w:val="20"/>
          <w:lang w:eastAsia="en-US"/>
        </w:rPr>
      </w:pPr>
      <w:r>
        <w:rPr>
          <w:szCs w:val="20"/>
          <w:lang w:eastAsia="en-US"/>
        </w:rPr>
        <w:t xml:space="preserve">Руководитель Проекта (ответственный сотрудник ДИТ)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tbl>
      <w:tblPr>
        <w:tblW w:w="9247" w:type="dxa"/>
        <w:tblInd w:w="-993" w:type="dxa"/>
        <w:tblLook w:val="04A0" w:firstRow="1" w:lastRow="0" w:firstColumn="1" w:lastColumn="0" w:noHBand="0" w:noVBand="1"/>
      </w:tblPr>
      <w:tblGrid>
        <w:gridCol w:w="2786"/>
        <w:gridCol w:w="280"/>
        <w:gridCol w:w="6181"/>
      </w:tblGrid>
      <w:tr>
        <w:tblPrEx/>
        <w:trPr>
          <w:trHeight w:val="300"/>
        </w:trPr>
        <w:tc>
          <w:tcPr>
            <w:tcW w:w="2786" w:type="dxa"/>
            <w:vAlign w:val="bottom"/>
            <w:textDirection w:val="lrTb"/>
            <w:noWrap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_____________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W w:w="280" w:type="dxa"/>
            <w:vAlign w:val="bottom"/>
            <w:textDirection w:val="lrTb"/>
            <w:noWrap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W w:w="6181" w:type="dxa"/>
            <w:vAlign w:val="bottom"/>
            <w:textDirection w:val="lrTb"/>
            <w:noWrap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__________             _____       _________________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</w:tr>
      <w:tr>
        <w:tblPrEx/>
        <w:trPr>
          <w:trHeight w:val="300"/>
        </w:trPr>
        <w:tc>
          <w:tcPr>
            <w:tcW w:w="2786" w:type="dxa"/>
            <w:vAlign w:val="bottom"/>
            <w:textDirection w:val="lrTb"/>
            <w:noWrap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          Дата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W w:w="280" w:type="dxa"/>
            <w:vAlign w:val="bottom"/>
            <w:textDirection w:val="lrTb"/>
            <w:noWrap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  <w:tc>
          <w:tcPr>
            <w:tcW w:w="6181" w:type="dxa"/>
            <w:vAlign w:val="bottom"/>
            <w:textDirection w:val="lrTb"/>
            <w:noWrap/>
          </w:tcPr>
          <w:p>
            <w:pPr>
              <w:ind w:firstLine="709"/>
              <w:jc w:val="both"/>
              <w:spacing w:line="360" w:lineRule="auto"/>
              <w:rPr>
                <w:szCs w:val="20"/>
                <w:lang w:eastAsia="en-US"/>
              </w:rPr>
            </w:pPr>
            <w:r>
              <w:rPr>
                <w:szCs w:val="20"/>
                <w:lang w:val="en-US" w:eastAsia="en-US"/>
              </w:rPr>
              <w:t xml:space="preserve">    </w:t>
            </w:r>
            <w:r>
              <w:rPr>
                <w:szCs w:val="20"/>
                <w:lang w:eastAsia="en-US"/>
              </w:rPr>
              <w:t xml:space="preserve">подпись               ФИО                 должность</w:t>
            </w:r>
            <w:r>
              <w:rPr>
                <w:szCs w:val="20"/>
                <w:lang w:eastAsia="en-US"/>
              </w:rPr>
            </w:r>
            <w:r>
              <w:rPr>
                <w:szCs w:val="20"/>
                <w:lang w:eastAsia="en-US"/>
              </w:rPr>
            </w:r>
          </w:p>
        </w:tc>
      </w:tr>
    </w:tbl>
    <w:p>
      <w:pPr>
        <w:ind w:left="5954"/>
        <w:keepNext/>
        <w:pageBreakBefore/>
        <w:rPr>
          <w:bCs/>
          <w:color w:val="000000"/>
          <w:lang w:eastAsia="en-US"/>
        </w:rPr>
        <w:outlineLvl w:val="0"/>
      </w:pPr>
      <w:r/>
      <w:bookmarkStart w:id="390" w:name="_Toc238629822"/>
      <w:r>
        <w:rPr>
          <w:bCs/>
          <w:color w:val="000000"/>
          <w:lang w:eastAsia="en-US"/>
        </w:rPr>
        <w:t xml:space="preserve">Приложение 5</w:t>
      </w:r>
      <w:bookmarkEnd w:id="390"/>
      <w:r>
        <w:rPr>
          <w:bCs/>
          <w:color w:val="000000"/>
          <w:lang w:eastAsia="en-US"/>
        </w:rPr>
      </w:r>
      <w:r>
        <w:rPr>
          <w:bCs/>
          <w:color w:val="000000"/>
          <w:lang w:eastAsia="en-US"/>
        </w:rPr>
      </w:r>
    </w:p>
    <w:p>
      <w:pPr>
        <w:ind w:left="5954"/>
        <w:rPr>
          <w:lang w:eastAsia="en-US"/>
        </w:rPr>
      </w:pPr>
      <w:r>
        <w:rPr>
          <w:lang w:eastAsia="en-US"/>
        </w:rPr>
        <w:t xml:space="preserve">к Техническому заданию</w:t>
      </w:r>
      <w:r>
        <w:rPr>
          <w:lang w:eastAsia="en-US"/>
        </w:rPr>
      </w:r>
      <w:r>
        <w:rPr>
          <w:lang w:eastAsia="en-US"/>
        </w:rPr>
      </w:r>
    </w:p>
    <w:p>
      <w:pPr>
        <w:ind w:firstLine="709"/>
        <w:jc w:val="right"/>
        <w:spacing w:line="360" w:lineRule="auto"/>
        <w:rPr>
          <w:szCs w:val="20"/>
        </w:rPr>
      </w:pPr>
      <w:r>
        <w:rPr>
          <w:szCs w:val="20"/>
        </w:rPr>
      </w:r>
      <w:r>
        <w:rPr>
          <w:szCs w:val="20"/>
        </w:rPr>
      </w:r>
      <w:r>
        <w:rPr>
          <w:szCs w:val="20"/>
        </w:rPr>
      </w:r>
    </w:p>
    <w:p>
      <w:pPr>
        <w:ind w:left="207"/>
        <w:jc w:val="center"/>
        <w:spacing w:after="160" w:line="264" w:lineRule="auto"/>
        <w:rPr>
          <w:sz w:val="32"/>
          <w:szCs w:val="32"/>
        </w:rPr>
        <w:outlineLvl w:val="1"/>
      </w:pPr>
      <w:r/>
      <w:bookmarkStart w:id="391" w:name="_Toc140753930"/>
      <w:r/>
      <w:bookmarkStart w:id="392" w:name="_Toc141265959"/>
      <w:r/>
      <w:bookmarkStart w:id="393" w:name="_Toc238629823"/>
      <w:r>
        <w:rPr>
          <w:sz w:val="32"/>
          <w:szCs w:val="32"/>
        </w:rPr>
        <w:t xml:space="preserve">Методика расчета времени на </w:t>
      </w:r>
      <w:bookmarkEnd w:id="391"/>
      <w:r/>
      <w:bookmarkEnd w:id="392"/>
      <w:r>
        <w:rPr>
          <w:sz w:val="32"/>
          <w:szCs w:val="32"/>
        </w:rPr>
        <w:t xml:space="preserve">настройку</w:t>
      </w:r>
      <w:bookmarkEnd w:id="393"/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spacing w:line="360" w:lineRule="auto"/>
        <w:rPr>
          <w:i/>
          <w:szCs w:val="20"/>
          <w:lang w:eastAsia="en-US"/>
        </w:rPr>
      </w:pPr>
      <w:r>
        <w:rPr>
          <w:i/>
          <w:szCs w:val="20"/>
          <w:lang w:eastAsia="en-US"/>
        </w:rPr>
        <w:t xml:space="preserve">Приложена в электронном виде</w:t>
      </w:r>
      <w:r>
        <w:rPr>
          <w:i/>
          <w:szCs w:val="20"/>
          <w:lang w:eastAsia="en-US"/>
        </w:rPr>
      </w:r>
      <w:r>
        <w:rPr>
          <w:i/>
          <w:szCs w:val="20"/>
          <w:lang w:eastAsia="en-US"/>
        </w:rPr>
      </w:r>
    </w:p>
    <w:p>
      <w:pPr>
        <w:rPr>
          <w:szCs w:val="20"/>
        </w:rPr>
      </w:pPr>
      <w:r>
        <w:rPr>
          <w:sz w:val="20"/>
          <w:szCs w:val="20"/>
        </w:rPr>
        <w:br w:type="page" w:clear="all"/>
      </w:r>
      <w:r>
        <w:rPr>
          <w:szCs w:val="20"/>
        </w:rPr>
      </w:r>
      <w:r>
        <w:rPr>
          <w:szCs w:val="20"/>
        </w:rPr>
      </w:r>
    </w:p>
    <w:p>
      <w:pPr>
        <w:ind w:left="5954"/>
        <w:keepNext/>
        <w:pageBreakBefore/>
        <w:rPr>
          <w:bCs/>
          <w:color w:val="000000"/>
          <w:lang w:eastAsia="en-US"/>
        </w:rPr>
        <w:outlineLvl w:val="0"/>
      </w:pPr>
      <w:r/>
      <w:bookmarkStart w:id="394" w:name="_Toc238629824"/>
      <w:r>
        <w:rPr>
          <w:bCs/>
          <w:color w:val="000000"/>
          <w:lang w:eastAsia="en-US"/>
        </w:rPr>
        <w:t xml:space="preserve">Приложение 6</w:t>
      </w:r>
      <w:bookmarkEnd w:id="394"/>
      <w:r>
        <w:rPr>
          <w:bCs/>
          <w:color w:val="000000"/>
          <w:lang w:eastAsia="en-US"/>
        </w:rPr>
      </w:r>
      <w:r>
        <w:rPr>
          <w:bCs/>
          <w:color w:val="000000"/>
          <w:lang w:eastAsia="en-US"/>
        </w:rPr>
      </w:r>
    </w:p>
    <w:p>
      <w:pPr>
        <w:ind w:left="5954"/>
        <w:rPr>
          <w:lang w:eastAsia="en-US"/>
        </w:rPr>
      </w:pPr>
      <w:r>
        <w:rPr>
          <w:lang w:eastAsia="en-US"/>
        </w:rPr>
        <w:t xml:space="preserve">к Техническому заданию</w:t>
      </w:r>
      <w:r>
        <w:rPr>
          <w:lang w:eastAsia="en-US"/>
        </w:rPr>
      </w:r>
      <w:r>
        <w:rPr>
          <w:lang w:eastAsia="en-US"/>
        </w:rPr>
      </w:r>
    </w:p>
    <w:p>
      <w:pPr>
        <w:ind w:left="6521"/>
        <w:rPr>
          <w:szCs w:val="20"/>
        </w:rPr>
      </w:pPr>
      <w:r>
        <w:rPr>
          <w:szCs w:val="20"/>
        </w:rPr>
      </w:r>
      <w:r>
        <w:rPr>
          <w:szCs w:val="20"/>
        </w:rPr>
      </w:r>
      <w:r>
        <w:rPr>
          <w:szCs w:val="20"/>
        </w:rPr>
      </w:r>
    </w:p>
    <w:p>
      <w:pPr>
        <w:ind w:left="207"/>
        <w:jc w:val="center"/>
        <w:spacing w:after="160" w:line="264" w:lineRule="auto"/>
        <w:rPr>
          <w:sz w:val="28"/>
          <w:szCs w:val="28"/>
        </w:rPr>
        <w:outlineLvl w:val="1"/>
      </w:pPr>
      <w:r/>
      <w:bookmarkStart w:id="395" w:name="_Toc172886463"/>
      <w:r/>
      <w:bookmarkStart w:id="396" w:name="_Toc238629825"/>
      <w:r>
        <w:rPr>
          <w:sz w:val="28"/>
          <w:szCs w:val="28"/>
        </w:rPr>
        <w:t xml:space="preserve">Форма соглашения на нетиповую настройку</w:t>
      </w:r>
      <w:bookmarkEnd w:id="395"/>
      <w:r/>
      <w:bookmarkEnd w:id="396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rFonts w:cs="Arial"/>
          <w:b/>
          <w:sz w:val="28"/>
          <w:szCs w:val="32"/>
          <w:lang w:bidi="en-US"/>
        </w:rPr>
      </w:pPr>
      <w:r>
        <w:rPr>
          <w:rFonts w:cs="Arial"/>
          <w:b/>
          <w:sz w:val="28"/>
          <w:szCs w:val="32"/>
          <w:lang w:bidi="en-US"/>
        </w:rPr>
        <w:t xml:space="preserve">Соглашение на нетиповую настройку АИС ________ №__________</w:t>
      </w:r>
      <w:r>
        <w:rPr>
          <w:rFonts w:cs="Arial"/>
          <w:b/>
          <w:sz w:val="28"/>
          <w:szCs w:val="32"/>
          <w:lang w:bidi="en-US"/>
        </w:rPr>
      </w:r>
      <w:r>
        <w:rPr>
          <w:rFonts w:cs="Arial"/>
          <w:b/>
          <w:sz w:val="28"/>
          <w:szCs w:val="32"/>
          <w:lang w:bidi="en-US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360" w:lineRule="auto"/>
        <w:tabs>
          <w:tab w:val="left" w:pos="6804" w:leader="none"/>
        </w:tabs>
      </w:pPr>
      <w:r>
        <w:t xml:space="preserve">г. Краснодар</w:t>
      </w:r>
      <w:r>
        <w:tab/>
        <w:t xml:space="preserve">«____» _____ 20__ г.</w:t>
      </w:r>
      <w:r/>
    </w:p>
    <w:p>
      <w:pPr>
        <w:ind w:right="29"/>
        <w:spacing w:line="360" w:lineRule="auto"/>
        <w:tabs>
          <w:tab w:val="left" w:pos="9498" w:leader="none"/>
        </w:tabs>
      </w:pPr>
      <w:r/>
      <w:r/>
    </w:p>
    <w:p>
      <w:pPr>
        <w:spacing w:line="360" w:lineRule="auto"/>
        <w:tabs>
          <w:tab w:val="num" w:pos="540" w:leader="none"/>
        </w:tabs>
      </w:pPr>
      <w:r>
        <w:t xml:space="preserve">________________________, именуемое в дальнейшем Исполнитель, и фи</w:t>
      </w:r>
      <w:r>
        <w:t xml:space="preserve">лиал Публичного акционерного общества «Россети Юг» – «Кубаньэнерго», именуемое в дальнейшем Заказчик, заключили настоящее соглашение на нетиповую настройку АИС ________(далее - Соглашение) к Договору № _________________ от ___.____.20__ г. о нижеследующем:</w:t>
      </w:r>
      <w:r/>
    </w:p>
    <w:p>
      <w:pPr>
        <w:numPr>
          <w:ilvl w:val="0"/>
          <w:numId w:val="43"/>
        </w:numPr>
        <w:ind w:firstLine="556"/>
        <w:spacing w:line="360" w:lineRule="auto"/>
        <w:tabs>
          <w:tab w:val="left" w:pos="1134" w:leader="none"/>
        </w:tabs>
        <w:rPr>
          <w:b/>
        </w:rPr>
      </w:pPr>
      <w:r>
        <w:rPr>
          <w:b/>
        </w:rPr>
        <w:t xml:space="preserve">ПРЕДМЕТ СОГЛАШЕНИЯ</w:t>
      </w:r>
      <w:r>
        <w:rPr>
          <w:b/>
        </w:rPr>
      </w:r>
      <w:r>
        <w:rPr>
          <w:b/>
        </w:rPr>
      </w:r>
    </w:p>
    <w:p>
      <w:pPr>
        <w:ind w:firstLine="567"/>
        <w:spacing w:line="360" w:lineRule="auto"/>
        <w:tabs>
          <w:tab w:val="left" w:pos="1134" w:leader="none"/>
        </w:tabs>
      </w:pPr>
      <w:r>
        <w:t xml:space="preserve">1.1</w:t>
      </w:r>
      <w:r>
        <w:tab/>
        <w:t xml:space="preserve"> Заказчик поручает, а Исполнитель принимает на себя обязательство произвести по настоящему Соглашению работы, направленные на реализацию нетиповой настройки АИС______.</w:t>
      </w:r>
      <w:r/>
    </w:p>
    <w:p>
      <w:pPr>
        <w:ind w:firstLine="567"/>
        <w:spacing w:line="360" w:lineRule="auto"/>
        <w:tabs>
          <w:tab w:val="left" w:pos="1134" w:leader="none"/>
        </w:tabs>
      </w:pPr>
      <w:r>
        <w:t xml:space="preserve">1.2.</w:t>
      </w:r>
      <w:r>
        <w:tab/>
        <w:t xml:space="preserve">Перечень, объем и этапность выполняемых работ указаны в частном техническом задании (Приложение №___ к настоящему Соглашению).</w:t>
      </w:r>
      <w:r/>
    </w:p>
    <w:p>
      <w:pPr>
        <w:ind w:firstLine="567"/>
        <w:spacing w:line="360" w:lineRule="auto"/>
        <w:tabs>
          <w:tab w:val="left" w:pos="1134" w:leader="none"/>
        </w:tabs>
      </w:pPr>
      <w:r>
        <w:t xml:space="preserve">1.3.</w:t>
      </w:r>
      <w:r>
        <w:tab/>
        <w:t xml:space="preserve">Общая стоимость работ по данному Соглашению составляет _________ (_____) руб.</w:t>
      </w:r>
      <w:r/>
    </w:p>
    <w:p>
      <w:pPr>
        <w:numPr>
          <w:ilvl w:val="0"/>
          <w:numId w:val="43"/>
        </w:numPr>
        <w:ind w:firstLine="567"/>
        <w:spacing w:line="360" w:lineRule="auto"/>
        <w:tabs>
          <w:tab w:val="left" w:pos="1134" w:leader="none"/>
        </w:tabs>
        <w:rPr>
          <w:b/>
        </w:rPr>
      </w:pPr>
      <w:r>
        <w:rPr>
          <w:b/>
        </w:rPr>
        <w:t xml:space="preserve">СРОКИ ВЫПОЛНЕНИЯ РАБОТ</w:t>
      </w:r>
      <w:r>
        <w:rPr>
          <w:b/>
        </w:rPr>
      </w:r>
      <w:r>
        <w:rPr>
          <w:b/>
        </w:rPr>
      </w:r>
    </w:p>
    <w:p>
      <w:pPr>
        <w:numPr>
          <w:ilvl w:val="1"/>
          <w:numId w:val="43"/>
        </w:numPr>
        <w:ind w:firstLine="567"/>
        <w:spacing w:line="360" w:lineRule="auto"/>
        <w:tabs>
          <w:tab w:val="left" w:pos="1134" w:leader="none"/>
        </w:tabs>
      </w:pPr>
      <w:r>
        <w:t xml:space="preserve">Работы по данному Соглашению проводятся с ___. _____.20__ г. по ___.____.20__ г.</w:t>
      </w:r>
      <w:r/>
    </w:p>
    <w:p>
      <w:pPr>
        <w:ind w:left="567"/>
        <w:spacing w:line="360" w:lineRule="auto"/>
        <w:tabs>
          <w:tab w:val="left" w:pos="1134" w:leader="none"/>
        </w:tabs>
        <w:rPr>
          <w:b/>
          <w:color w:val="000000"/>
        </w:rPr>
      </w:pPr>
      <w:r>
        <w:rPr>
          <w:b/>
          <w:color w:val="000000"/>
        </w:rPr>
        <w:t xml:space="preserve">3.</w:t>
      </w:r>
      <w:r>
        <w:rPr>
          <w:b/>
          <w:color w:val="000000"/>
        </w:rPr>
        <w:tab/>
        <w:t xml:space="preserve">ПРИЕМКА РАБОТ</w:t>
      </w:r>
      <w:r>
        <w:rPr>
          <w:b/>
          <w:color w:val="000000"/>
        </w:rPr>
      </w:r>
      <w:r>
        <w:rPr>
          <w:b/>
          <w:color w:val="000000"/>
        </w:rPr>
      </w:r>
    </w:p>
    <w:p>
      <w:pPr>
        <w:ind w:firstLine="567"/>
        <w:spacing w:line="360" w:lineRule="auto"/>
        <w:tabs>
          <w:tab w:val="left" w:pos="1134" w:leader="none"/>
        </w:tabs>
      </w:pPr>
      <w:r>
        <w:rPr>
          <w:color w:val="000000"/>
        </w:rPr>
        <w:t xml:space="preserve">3.1. </w:t>
      </w:r>
      <w:r>
        <w:rPr>
          <w:color w:val="000000"/>
        </w:rPr>
        <w:tab/>
      </w:r>
      <w:r>
        <w:t xml:space="preserve">Приемка Заказчиком выполненных работ по настоящему Соглашению производится поэтапно в течение пяти рабочих дней с момента извещения его Исполнителем о выполнении соответствующего этапа.</w:t>
      </w:r>
      <w:r/>
    </w:p>
    <w:p>
      <w:pPr>
        <w:ind w:firstLine="567"/>
        <w:spacing w:line="360" w:lineRule="auto"/>
        <w:tabs>
          <w:tab w:val="left" w:pos="1134" w:leader="none"/>
        </w:tabs>
      </w:pPr>
      <w:r>
        <w:t xml:space="preserve">3.2.</w:t>
      </w:r>
      <w:r>
        <w:tab/>
        <w:t xml:space="preserve">Порядок приема выполненных работ описан в частном техническом задании.</w:t>
      </w:r>
      <w:r/>
    </w:p>
    <w:p>
      <w:pPr>
        <w:ind w:firstLine="567"/>
        <w:spacing w:line="360" w:lineRule="auto"/>
        <w:tabs>
          <w:tab w:val="left" w:pos="1134" w:leader="none"/>
        </w:tabs>
      </w:pPr>
      <w:r/>
      <w:r/>
    </w:p>
    <w:p>
      <w:pPr>
        <w:ind w:firstLine="567"/>
        <w:spacing w:line="360" w:lineRule="auto"/>
        <w:tabs>
          <w:tab w:val="left" w:pos="1134" w:leader="none"/>
        </w:tabs>
      </w:pPr>
      <w:r>
        <w:t xml:space="preserve">Приложение №___ к Соглашению - «Частное техническое задание».</w:t>
      </w:r>
      <w:r/>
    </w:p>
    <w:p>
      <w:pPr>
        <w:ind w:firstLine="567"/>
        <w:spacing w:line="360" w:lineRule="auto"/>
        <w:tabs>
          <w:tab w:val="left" w:pos="1134" w:leader="none"/>
        </w:tabs>
      </w:pPr>
      <w:r/>
      <w:r/>
    </w:p>
    <w:tbl>
      <w:tblPr>
        <w:tblW w:w="9608" w:type="dxa"/>
        <w:jc w:val="center"/>
        <w:tblLayout w:type="fixed"/>
        <w:tblLook w:val="04A0" w:firstRow="1" w:lastRow="0" w:firstColumn="1" w:lastColumn="0" w:noHBand="0" w:noVBand="1"/>
      </w:tblPr>
      <w:tblGrid>
        <w:gridCol w:w="4659"/>
        <w:gridCol w:w="300"/>
        <w:gridCol w:w="248"/>
        <w:gridCol w:w="4401"/>
      </w:tblGrid>
      <w:tr>
        <w:tblPrEx/>
        <w:trPr>
          <w:jc w:val="center"/>
          <w:trHeight w:val="544"/>
        </w:trPr>
        <w:tc>
          <w:tcPr>
            <w:gridSpan w:val="2"/>
            <w:tcW w:w="4959" w:type="dxa"/>
            <w:textDirection w:val="lrTb"/>
            <w:noWrap w:val="false"/>
          </w:tcPr>
          <w:p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ЗАКАЗЧИК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spacing w:line="360" w:lineRule="auto"/>
            </w:pPr>
            <w:r>
              <w:rPr>
                <w:b/>
              </w:rPr>
              <w:t xml:space="preserve">начальник ДИТ</w:t>
            </w:r>
            <w:r/>
          </w:p>
        </w:tc>
        <w:tc>
          <w:tcPr>
            <w:tcW w:w="248" w:type="dxa"/>
            <w:textDirection w:val="lrTb"/>
            <w:noWrap w:val="false"/>
          </w:tcPr>
          <w:p>
            <w:pPr>
              <w:spacing w:line="360" w:lineRule="auto"/>
            </w:pPr>
            <w:r>
              <w:t xml:space="preserve">         </w:t>
            </w:r>
            <w:r/>
          </w:p>
        </w:tc>
        <w:tc>
          <w:tcPr>
            <w:tcW w:w="4401" w:type="dxa"/>
            <w:textDirection w:val="lrTb"/>
            <w:noWrap w:val="false"/>
          </w:tcPr>
          <w:p>
            <w:pPr>
              <w:spacing w:line="360" w:lineRule="auto"/>
            </w:pPr>
            <w:r>
              <w:rPr>
                <w:b/>
              </w:rPr>
              <w:t xml:space="preserve">ИСПОЛНИТЕЛЬ</w:t>
            </w:r>
            <w:r/>
          </w:p>
        </w:tc>
      </w:tr>
      <w:tr>
        <w:tblPrEx/>
        <w:trPr>
          <w:jc w:val="center"/>
          <w:trHeight w:val="698"/>
        </w:trPr>
        <w:tc>
          <w:tcPr>
            <w:tcW w:w="4659" w:type="dxa"/>
            <w:textDirection w:val="lrTb"/>
            <w:noWrap w:val="false"/>
          </w:tcPr>
          <w:p>
            <w:pPr>
              <w:ind w:right="-28"/>
            </w:pPr>
            <w:r>
              <w:t xml:space="preserve">________________ /_________/</w:t>
            </w:r>
            <w:r/>
          </w:p>
        </w:tc>
        <w:tc>
          <w:tcPr>
            <w:gridSpan w:val="2"/>
            <w:tcW w:w="548" w:type="dxa"/>
            <w:textDirection w:val="lrTb"/>
            <w:noWrap w:val="false"/>
          </w:tcPr>
          <w:p>
            <w:r/>
            <w:r/>
          </w:p>
        </w:tc>
        <w:tc>
          <w:tcPr>
            <w:tcW w:w="4401" w:type="dxa"/>
            <w:textDirection w:val="lrTb"/>
            <w:noWrap w:val="false"/>
          </w:tcPr>
          <w:p>
            <w:pPr>
              <w:ind w:right="-28"/>
            </w:pPr>
            <w:r>
              <w:t xml:space="preserve">______________ / ____________ /</w:t>
            </w:r>
            <w:r/>
          </w:p>
        </w:tc>
      </w:tr>
    </w:tbl>
    <w:p>
      <w:pPr>
        <w:jc w:val="right"/>
        <w:spacing w:line="276" w:lineRule="auto"/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/>
      <w:bookmarkStart w:id="397" w:name="_Toc342557867"/>
      <w:r/>
      <w:bookmarkStart w:id="398" w:name="_Toc342558277"/>
      <w:r/>
      <w:bookmarkStart w:id="399" w:name="_Toc341350197"/>
      <w:r/>
      <w:bookmarkStart w:id="400" w:name="_Toc341350348"/>
      <w:r/>
      <w:bookmarkStart w:id="401" w:name="_Toc342557883"/>
      <w:r/>
      <w:bookmarkStart w:id="402" w:name="_Toc342558293"/>
      <w:r/>
      <w:bookmarkStart w:id="403" w:name="_Toc343171771"/>
      <w:r/>
      <w:bookmarkStart w:id="404" w:name="_Toc343267807"/>
      <w:r/>
      <w:bookmarkStart w:id="405" w:name="_Toc343270190"/>
      <w:r/>
      <w:bookmarkStart w:id="406" w:name="_Toc343590626"/>
      <w:r/>
      <w:bookmarkStart w:id="407" w:name="_Toc343602328"/>
      <w:r/>
      <w:bookmarkStart w:id="408" w:name="_Toc341350198"/>
      <w:r/>
      <w:bookmarkStart w:id="409" w:name="_Toc341350349"/>
      <w:r/>
      <w:bookmarkStart w:id="410" w:name="_Toc342557884"/>
      <w:r/>
      <w:bookmarkStart w:id="411" w:name="_Toc342558294"/>
      <w:r/>
      <w:bookmarkStart w:id="412" w:name="_Toc343171772"/>
      <w:r/>
      <w:bookmarkStart w:id="413" w:name="_Toc343267808"/>
      <w:r/>
      <w:bookmarkStart w:id="414" w:name="_Toc343270191"/>
      <w:r/>
      <w:bookmarkStart w:id="415" w:name="_Toc343590627"/>
      <w:r/>
      <w:bookmarkStart w:id="416" w:name="_Toc343602329"/>
      <w:r/>
      <w:bookmarkStart w:id="417" w:name="_Toc345587010"/>
      <w:r/>
      <w:bookmarkStart w:id="418" w:name="_Toc345587775"/>
      <w:r/>
      <w:bookmarkStart w:id="419" w:name="_Toc345594231"/>
      <w:r/>
      <w:bookmarkStart w:id="420" w:name="_Toc345594327"/>
      <w:r/>
      <w:bookmarkStart w:id="421" w:name="_Toc345594758"/>
      <w:r/>
      <w:bookmarkStart w:id="422" w:name="_Toc345595640"/>
      <w:r/>
      <w:bookmarkStart w:id="423" w:name="_Toc345595815"/>
      <w:r/>
      <w:bookmarkStart w:id="424" w:name="_Toc345587011"/>
      <w:r/>
      <w:bookmarkStart w:id="425" w:name="_Toc345587776"/>
      <w:r/>
      <w:bookmarkStart w:id="426" w:name="_Toc345594232"/>
      <w:r/>
      <w:bookmarkStart w:id="427" w:name="_Toc345594328"/>
      <w:r/>
      <w:bookmarkStart w:id="428" w:name="_Toc345594759"/>
      <w:r/>
      <w:bookmarkStart w:id="429" w:name="_Toc345595641"/>
      <w:r/>
      <w:bookmarkStart w:id="430" w:name="_Toc345595816"/>
      <w:r/>
      <w:bookmarkStart w:id="431" w:name="_Toc345587013"/>
      <w:r/>
      <w:bookmarkStart w:id="432" w:name="_Toc345587778"/>
      <w:r/>
      <w:bookmarkStart w:id="433" w:name="_Toc345587015"/>
      <w:r/>
      <w:bookmarkStart w:id="434" w:name="_Toc345587780"/>
      <w:r/>
      <w:bookmarkStart w:id="435" w:name="_Toc345587016"/>
      <w:r/>
      <w:bookmarkStart w:id="436" w:name="_Toc345587781"/>
      <w:r/>
      <w:bookmarkStart w:id="437" w:name="_Toc345594236"/>
      <w:r/>
      <w:bookmarkStart w:id="438" w:name="_Toc345594332"/>
      <w:r/>
      <w:bookmarkStart w:id="439" w:name="_Toc345594762"/>
      <w:r/>
      <w:bookmarkStart w:id="440" w:name="_Toc345595644"/>
      <w:r/>
      <w:bookmarkStart w:id="441" w:name="_Toc345587017"/>
      <w:r/>
      <w:bookmarkStart w:id="442" w:name="_Toc345587782"/>
      <w:r/>
      <w:bookmarkStart w:id="443" w:name="_Toc345594237"/>
      <w:r/>
      <w:bookmarkStart w:id="444" w:name="_Toc345594333"/>
      <w:r/>
      <w:bookmarkStart w:id="445" w:name="_Toc345594763"/>
      <w:r/>
      <w:bookmarkStart w:id="446" w:name="_Toc345595645"/>
      <w:r/>
      <w:bookmarkStart w:id="447" w:name="_Toc345587018"/>
      <w:r/>
      <w:bookmarkStart w:id="448" w:name="_Toc345587783"/>
      <w:r/>
      <w:bookmarkStart w:id="449" w:name="_Toc345594238"/>
      <w:r/>
      <w:bookmarkStart w:id="450" w:name="_Toc345594334"/>
      <w:r/>
      <w:bookmarkStart w:id="451" w:name="_Toc345594764"/>
      <w:r/>
      <w:bookmarkStart w:id="452" w:name="_Toc345595646"/>
      <w:r/>
      <w:bookmarkStart w:id="453" w:name="_Toc345587019"/>
      <w:r/>
      <w:bookmarkStart w:id="454" w:name="_Toc345587784"/>
      <w:r/>
      <w:bookmarkStart w:id="455" w:name="_Toc345594239"/>
      <w:r/>
      <w:bookmarkStart w:id="456" w:name="_Toc345594335"/>
      <w:r/>
      <w:bookmarkStart w:id="457" w:name="_Toc345594765"/>
      <w:r/>
      <w:bookmarkStart w:id="458" w:name="_Toc345595647"/>
      <w:r/>
      <w:bookmarkStart w:id="459" w:name="_Toc345587020"/>
      <w:r/>
      <w:bookmarkStart w:id="460" w:name="_Toc345587785"/>
      <w:r/>
      <w:bookmarkStart w:id="461" w:name="_Toc345594240"/>
      <w:r/>
      <w:bookmarkStart w:id="462" w:name="_Toc345594336"/>
      <w:r/>
      <w:bookmarkStart w:id="463" w:name="_Toc345594766"/>
      <w:r/>
      <w:bookmarkStart w:id="464" w:name="_Toc345595648"/>
      <w:r/>
      <w:bookmarkStart w:id="465" w:name="_Toc345587021"/>
      <w:r/>
      <w:bookmarkStart w:id="466" w:name="_Toc345587786"/>
      <w:r/>
      <w:bookmarkStart w:id="467" w:name="_Toc345594241"/>
      <w:r/>
      <w:bookmarkStart w:id="468" w:name="_Toc345594337"/>
      <w:r/>
      <w:bookmarkStart w:id="469" w:name="_Toc345594767"/>
      <w:r/>
      <w:bookmarkStart w:id="470" w:name="_Toc345595649"/>
      <w:r/>
      <w:bookmarkStart w:id="471" w:name="_Toc345587022"/>
      <w:r/>
      <w:bookmarkStart w:id="472" w:name="_Toc345587787"/>
      <w:r/>
      <w:bookmarkStart w:id="473" w:name="_Toc345594242"/>
      <w:r/>
      <w:bookmarkStart w:id="474" w:name="_Toc345594338"/>
      <w:r/>
      <w:bookmarkStart w:id="475" w:name="_Toc345594768"/>
      <w:r/>
      <w:bookmarkStart w:id="476" w:name="_Toc345595650"/>
      <w:r/>
      <w:bookmarkStart w:id="477" w:name="_Toc345587023"/>
      <w:r/>
      <w:bookmarkStart w:id="478" w:name="_Toc345587788"/>
      <w:r/>
      <w:bookmarkStart w:id="479" w:name="_Toc345594243"/>
      <w:r/>
      <w:bookmarkStart w:id="480" w:name="_Toc345594339"/>
      <w:r/>
      <w:bookmarkStart w:id="481" w:name="_Toc345594769"/>
      <w:r/>
      <w:bookmarkStart w:id="482" w:name="_Toc345595651"/>
      <w:r/>
      <w:bookmarkStart w:id="483" w:name="_Toc345587024"/>
      <w:r/>
      <w:bookmarkStart w:id="484" w:name="_Toc345587789"/>
      <w:r/>
      <w:bookmarkStart w:id="485" w:name="_Toc345594244"/>
      <w:r/>
      <w:bookmarkStart w:id="486" w:name="_Toc345594340"/>
      <w:r/>
      <w:bookmarkStart w:id="487" w:name="_Toc345594770"/>
      <w:r/>
      <w:bookmarkStart w:id="488" w:name="_Toc345595652"/>
      <w:r/>
      <w:bookmarkStart w:id="489" w:name="_Toc345587025"/>
      <w:r/>
      <w:bookmarkStart w:id="490" w:name="_Toc345587790"/>
      <w:r/>
      <w:bookmarkStart w:id="491" w:name="_Toc345594245"/>
      <w:r/>
      <w:bookmarkStart w:id="492" w:name="_Toc345594341"/>
      <w:r/>
      <w:bookmarkStart w:id="493" w:name="_Toc345594771"/>
      <w:r/>
      <w:bookmarkStart w:id="494" w:name="_Toc345595653"/>
      <w:r/>
      <w:bookmarkStart w:id="495" w:name="_Toc345587026"/>
      <w:r/>
      <w:bookmarkStart w:id="496" w:name="_Toc345587791"/>
      <w:r/>
      <w:bookmarkStart w:id="497" w:name="_Toc345594246"/>
      <w:r/>
      <w:bookmarkStart w:id="498" w:name="_Toc345594342"/>
      <w:r/>
      <w:bookmarkStart w:id="499" w:name="_Toc345594772"/>
      <w:r/>
      <w:bookmarkStart w:id="500" w:name="_Toc345595654"/>
      <w:r/>
      <w:bookmarkStart w:id="501" w:name="_Toc345587027"/>
      <w:r/>
      <w:bookmarkStart w:id="502" w:name="_Toc345587792"/>
      <w:r/>
      <w:bookmarkStart w:id="503" w:name="_Toc345594247"/>
      <w:r/>
      <w:bookmarkStart w:id="504" w:name="_Toc345594343"/>
      <w:r/>
      <w:bookmarkStart w:id="505" w:name="_Toc345594773"/>
      <w:r/>
      <w:bookmarkStart w:id="506" w:name="_Toc345595655"/>
      <w:r/>
      <w:bookmarkStart w:id="507" w:name="_Toc345587028"/>
      <w:r/>
      <w:bookmarkStart w:id="508" w:name="_Toc345587793"/>
      <w:r/>
      <w:bookmarkStart w:id="509" w:name="_Toc345594248"/>
      <w:r/>
      <w:bookmarkStart w:id="510" w:name="_Toc345594344"/>
      <w:r/>
      <w:bookmarkStart w:id="511" w:name="_Toc345594774"/>
      <w:r/>
      <w:bookmarkStart w:id="512" w:name="_Toc345595656"/>
      <w:r/>
      <w:bookmarkStart w:id="513" w:name="_Toc345587029"/>
      <w:r/>
      <w:bookmarkStart w:id="514" w:name="_Toc345587794"/>
      <w:r/>
      <w:bookmarkStart w:id="515" w:name="_Toc345594249"/>
      <w:r/>
      <w:bookmarkStart w:id="516" w:name="_Toc345594345"/>
      <w:r/>
      <w:bookmarkStart w:id="517" w:name="_Toc345594775"/>
      <w:r/>
      <w:bookmarkStart w:id="518" w:name="_Toc345595657"/>
      <w:r/>
      <w:bookmarkStart w:id="519" w:name="_Toc345587030"/>
      <w:r/>
      <w:bookmarkStart w:id="520" w:name="_Toc345587795"/>
      <w:r/>
      <w:bookmarkStart w:id="521" w:name="_Toc345594250"/>
      <w:r/>
      <w:bookmarkStart w:id="522" w:name="_Toc345594346"/>
      <w:r/>
      <w:bookmarkStart w:id="523" w:name="_Toc345594776"/>
      <w:r/>
      <w:bookmarkStart w:id="524" w:name="_Toc345595658"/>
      <w:r/>
      <w:bookmarkStart w:id="525" w:name="_Toc345587031"/>
      <w:r/>
      <w:bookmarkStart w:id="526" w:name="_Toc345587796"/>
      <w:r/>
      <w:bookmarkStart w:id="527" w:name="_Toc345594251"/>
      <w:r/>
      <w:bookmarkStart w:id="528" w:name="_Toc345594347"/>
      <w:r/>
      <w:bookmarkStart w:id="529" w:name="_Toc345594777"/>
      <w:r/>
      <w:bookmarkStart w:id="530" w:name="_Toc345595659"/>
      <w:r/>
      <w:bookmarkStart w:id="531" w:name="_Toc345587032"/>
      <w:r/>
      <w:bookmarkStart w:id="532" w:name="_Toc345587797"/>
      <w:r/>
      <w:bookmarkStart w:id="533" w:name="_Toc345594252"/>
      <w:r/>
      <w:bookmarkStart w:id="534" w:name="_Toc345594348"/>
      <w:r/>
      <w:bookmarkStart w:id="535" w:name="_Toc345594778"/>
      <w:r/>
      <w:bookmarkStart w:id="536" w:name="_Toc345595660"/>
      <w:r/>
      <w:bookmarkStart w:id="537" w:name="_Toc345587033"/>
      <w:r/>
      <w:bookmarkStart w:id="538" w:name="_Toc345587798"/>
      <w:r/>
      <w:bookmarkStart w:id="539" w:name="_Toc345594253"/>
      <w:r/>
      <w:bookmarkStart w:id="540" w:name="_Toc345594349"/>
      <w:r/>
      <w:bookmarkStart w:id="541" w:name="_Toc345594779"/>
      <w:r/>
      <w:bookmarkStart w:id="542" w:name="_Toc345595661"/>
      <w:r/>
      <w:bookmarkStart w:id="543" w:name="_Toc345587034"/>
      <w:r/>
      <w:bookmarkStart w:id="544" w:name="_Toc345587799"/>
      <w:r/>
      <w:bookmarkStart w:id="545" w:name="_Toc345594254"/>
      <w:r/>
      <w:bookmarkStart w:id="546" w:name="_Toc345594350"/>
      <w:r/>
      <w:bookmarkStart w:id="547" w:name="_Toc345594780"/>
      <w:r/>
      <w:bookmarkStart w:id="548" w:name="_Toc345595662"/>
      <w:r/>
      <w:bookmarkStart w:id="549" w:name="_Toc345587035"/>
      <w:r/>
      <w:bookmarkStart w:id="550" w:name="_Toc345587800"/>
      <w:r/>
      <w:bookmarkStart w:id="551" w:name="_Toc345594255"/>
      <w:r/>
      <w:bookmarkStart w:id="552" w:name="_Toc345594351"/>
      <w:r/>
      <w:bookmarkStart w:id="553" w:name="_Toc345594781"/>
      <w:r/>
      <w:bookmarkStart w:id="554" w:name="_Toc345595663"/>
      <w:r/>
      <w:bookmarkStart w:id="555" w:name="_Toc345587045"/>
      <w:r/>
      <w:bookmarkStart w:id="556" w:name="_Toc345587810"/>
      <w:r/>
      <w:bookmarkStart w:id="557" w:name="_Toc345594265"/>
      <w:r/>
      <w:bookmarkStart w:id="558" w:name="_Toc345594361"/>
      <w:r/>
      <w:bookmarkStart w:id="559" w:name="_Toc345594791"/>
      <w:r/>
      <w:bookmarkStart w:id="560" w:name="_Toc345595673"/>
      <w:r/>
      <w:bookmarkStart w:id="561" w:name="_Toc345587046"/>
      <w:r/>
      <w:bookmarkStart w:id="562" w:name="_Toc345587811"/>
      <w:r/>
      <w:bookmarkStart w:id="563" w:name="_Toc345594266"/>
      <w:r/>
      <w:bookmarkStart w:id="564" w:name="_Toc345594362"/>
      <w:r/>
      <w:bookmarkStart w:id="565" w:name="_Toc345594792"/>
      <w:r/>
      <w:bookmarkStart w:id="566" w:name="_Toc345595674"/>
      <w:r/>
      <w:bookmarkStart w:id="567" w:name="_Toc345587047"/>
      <w:r/>
      <w:bookmarkStart w:id="568" w:name="_Toc345587812"/>
      <w:r/>
      <w:bookmarkStart w:id="569" w:name="_Toc345594267"/>
      <w:r/>
      <w:bookmarkStart w:id="570" w:name="_Toc345594363"/>
      <w:r/>
      <w:bookmarkStart w:id="571" w:name="_Toc345594793"/>
      <w:r/>
      <w:bookmarkStart w:id="572" w:name="_Toc345595675"/>
      <w:r/>
      <w:bookmarkStart w:id="573" w:name="_Toc345587048"/>
      <w:r/>
      <w:bookmarkStart w:id="574" w:name="_Toc345587813"/>
      <w:r/>
      <w:bookmarkStart w:id="575" w:name="_Toc345594268"/>
      <w:r/>
      <w:bookmarkStart w:id="576" w:name="_Toc345594364"/>
      <w:r/>
      <w:bookmarkStart w:id="577" w:name="_Toc345594794"/>
      <w:r/>
      <w:bookmarkStart w:id="578" w:name="_Toc345595676"/>
      <w:r/>
      <w:bookmarkStart w:id="579" w:name="_Toc345587049"/>
      <w:r/>
      <w:bookmarkStart w:id="580" w:name="_Toc345587814"/>
      <w:r/>
      <w:bookmarkStart w:id="581" w:name="_Toc345594269"/>
      <w:r/>
      <w:bookmarkStart w:id="582" w:name="_Toc345594365"/>
      <w:r/>
      <w:bookmarkStart w:id="583" w:name="_Toc345594795"/>
      <w:r/>
      <w:bookmarkStart w:id="584" w:name="_Toc345595677"/>
      <w:r/>
      <w:bookmarkStart w:id="585" w:name="_Toc345587050"/>
      <w:r/>
      <w:bookmarkStart w:id="586" w:name="_Toc345587815"/>
      <w:r/>
      <w:bookmarkStart w:id="587" w:name="_Toc345594270"/>
      <w:r/>
      <w:bookmarkStart w:id="588" w:name="_Toc345594366"/>
      <w:r/>
      <w:bookmarkStart w:id="589" w:name="_Toc345594796"/>
      <w:r/>
      <w:bookmarkStart w:id="590" w:name="_Toc345595678"/>
      <w:r/>
      <w:bookmarkStart w:id="591" w:name="_Toc345587051"/>
      <w:r/>
      <w:bookmarkStart w:id="592" w:name="_Toc345587816"/>
      <w:r/>
      <w:bookmarkStart w:id="593" w:name="_Toc345594271"/>
      <w:r/>
      <w:bookmarkStart w:id="594" w:name="_Toc345594367"/>
      <w:r/>
      <w:bookmarkStart w:id="595" w:name="_Toc345594797"/>
      <w:r/>
      <w:bookmarkStart w:id="596" w:name="_Toc345595679"/>
      <w:r/>
      <w:bookmarkStart w:id="597" w:name="_Toc345587052"/>
      <w:r/>
      <w:bookmarkStart w:id="598" w:name="_Toc345587817"/>
      <w:r/>
      <w:bookmarkStart w:id="599" w:name="_Toc345594272"/>
      <w:r/>
      <w:bookmarkStart w:id="600" w:name="_Toc345594368"/>
      <w:r/>
      <w:bookmarkStart w:id="601" w:name="_Toc345594798"/>
      <w:r/>
      <w:bookmarkStart w:id="602" w:name="_Toc345595680"/>
      <w:r/>
      <w:bookmarkStart w:id="603" w:name="_Toc345587053"/>
      <w:r/>
      <w:bookmarkStart w:id="604" w:name="_Toc345587818"/>
      <w:r/>
      <w:bookmarkStart w:id="605" w:name="_Toc345594273"/>
      <w:r/>
      <w:bookmarkStart w:id="606" w:name="_Toc345594369"/>
      <w:r/>
      <w:bookmarkStart w:id="607" w:name="_Toc345594799"/>
      <w:r/>
      <w:bookmarkStart w:id="608" w:name="_Toc345595681"/>
      <w:r/>
      <w:bookmarkStart w:id="609" w:name="_Toc345587054"/>
      <w:r/>
      <w:bookmarkStart w:id="610" w:name="_Toc345587819"/>
      <w:r/>
      <w:bookmarkStart w:id="611" w:name="_Toc345594274"/>
      <w:r/>
      <w:bookmarkStart w:id="612" w:name="_Toc345594370"/>
      <w:r/>
      <w:bookmarkStart w:id="613" w:name="_Toc345594800"/>
      <w:r/>
      <w:bookmarkStart w:id="614" w:name="_Toc345595682"/>
      <w:r/>
      <w:bookmarkStart w:id="615" w:name="_Toc345587055"/>
      <w:r/>
      <w:bookmarkStart w:id="616" w:name="_Toc345587820"/>
      <w:r/>
      <w:bookmarkStart w:id="617" w:name="_Toc345594275"/>
      <w:r/>
      <w:bookmarkStart w:id="618" w:name="_Toc345594371"/>
      <w:r/>
      <w:bookmarkStart w:id="619" w:name="_Toc345594801"/>
      <w:r/>
      <w:bookmarkStart w:id="620" w:name="_Toc345595683"/>
      <w:r/>
      <w:bookmarkStart w:id="621" w:name="_Toc345587056"/>
      <w:r/>
      <w:bookmarkStart w:id="622" w:name="_Toc345587821"/>
      <w:r/>
      <w:bookmarkStart w:id="623" w:name="_Toc345594276"/>
      <w:r/>
      <w:bookmarkStart w:id="624" w:name="_Toc345594372"/>
      <w:r/>
      <w:bookmarkStart w:id="625" w:name="_Toc345594802"/>
      <w:r/>
      <w:bookmarkStart w:id="626" w:name="_Toc345595684"/>
      <w:r/>
      <w:bookmarkStart w:id="627" w:name="_Toc345587057"/>
      <w:r/>
      <w:bookmarkStart w:id="628" w:name="_Toc345587822"/>
      <w:r/>
      <w:bookmarkStart w:id="629" w:name="_Toc345594277"/>
      <w:r/>
      <w:bookmarkStart w:id="630" w:name="_Toc345594373"/>
      <w:r/>
      <w:bookmarkStart w:id="631" w:name="_Toc345594803"/>
      <w:r/>
      <w:bookmarkStart w:id="632" w:name="_Toc345595685"/>
      <w:r/>
      <w:bookmarkStart w:id="633" w:name="_Toc345587058"/>
      <w:r/>
      <w:bookmarkStart w:id="634" w:name="_Toc345587823"/>
      <w:r/>
      <w:bookmarkStart w:id="635" w:name="_Toc345594278"/>
      <w:r/>
      <w:bookmarkStart w:id="636" w:name="_Toc345594374"/>
      <w:r/>
      <w:bookmarkStart w:id="637" w:name="_Toc345594804"/>
      <w:r/>
      <w:bookmarkStart w:id="638" w:name="_Toc345595686"/>
      <w:r/>
      <w:bookmarkStart w:id="639" w:name="_Toc345587059"/>
      <w:r/>
      <w:bookmarkStart w:id="640" w:name="_Toc345587824"/>
      <w:r/>
      <w:bookmarkStart w:id="641" w:name="_Toc345594279"/>
      <w:r/>
      <w:bookmarkStart w:id="642" w:name="_Toc345594375"/>
      <w:r/>
      <w:bookmarkStart w:id="643" w:name="_Toc345594805"/>
      <w:r/>
      <w:bookmarkStart w:id="644" w:name="_Toc345595687"/>
      <w:r/>
      <w:bookmarkStart w:id="645" w:name="_Toc345587060"/>
      <w:r/>
      <w:bookmarkStart w:id="646" w:name="_Toc345587825"/>
      <w:r/>
      <w:bookmarkStart w:id="647" w:name="_Toc345594280"/>
      <w:r/>
      <w:bookmarkStart w:id="648" w:name="_Toc345594376"/>
      <w:r/>
      <w:bookmarkStart w:id="649" w:name="_Toc345594806"/>
      <w:r/>
      <w:bookmarkStart w:id="650" w:name="_Toc345595688"/>
      <w:r/>
      <w:bookmarkStart w:id="651" w:name="_Toc345587061"/>
      <w:r/>
      <w:bookmarkStart w:id="652" w:name="_Toc345587826"/>
      <w:r/>
      <w:bookmarkStart w:id="653" w:name="_Toc345594281"/>
      <w:r/>
      <w:bookmarkStart w:id="654" w:name="_Toc345594377"/>
      <w:r/>
      <w:bookmarkStart w:id="655" w:name="_Toc345594807"/>
      <w:r/>
      <w:bookmarkStart w:id="656" w:name="_Toc345595689"/>
      <w:r/>
      <w:bookmarkStart w:id="657" w:name="_Toc345587062"/>
      <w:r/>
      <w:bookmarkStart w:id="658" w:name="_Toc345587827"/>
      <w:r/>
      <w:bookmarkStart w:id="659" w:name="_Toc345594282"/>
      <w:r/>
      <w:bookmarkStart w:id="660" w:name="_Toc345594378"/>
      <w:r/>
      <w:bookmarkStart w:id="661" w:name="_Toc345594808"/>
      <w:r/>
      <w:bookmarkStart w:id="662" w:name="_Toc345595690"/>
      <w:r/>
      <w:bookmarkStart w:id="663" w:name="_Toc345587063"/>
      <w:r/>
      <w:bookmarkStart w:id="664" w:name="_Toc345587828"/>
      <w:r/>
      <w:bookmarkStart w:id="665" w:name="_Toc345594283"/>
      <w:r/>
      <w:bookmarkStart w:id="666" w:name="_Toc345594379"/>
      <w:r/>
      <w:bookmarkStart w:id="667" w:name="_Toc345594809"/>
      <w:r/>
      <w:bookmarkStart w:id="668" w:name="_Toc345595691"/>
      <w:r/>
      <w:bookmarkStart w:id="669" w:name="_Toc345587064"/>
      <w:r/>
      <w:bookmarkStart w:id="670" w:name="_Toc345587829"/>
      <w:r/>
      <w:bookmarkStart w:id="671" w:name="_Toc345594284"/>
      <w:r/>
      <w:bookmarkStart w:id="672" w:name="_Toc345594380"/>
      <w:r/>
      <w:bookmarkStart w:id="673" w:name="_Toc345594810"/>
      <w:r/>
      <w:bookmarkStart w:id="674" w:name="_Toc345595692"/>
      <w:r/>
      <w:bookmarkStart w:id="675" w:name="_Toc345587065"/>
      <w:r/>
      <w:bookmarkStart w:id="676" w:name="_Toc345587830"/>
      <w:r/>
      <w:bookmarkStart w:id="677" w:name="_Toc345594285"/>
      <w:r/>
      <w:bookmarkStart w:id="678" w:name="_Toc345594381"/>
      <w:r/>
      <w:bookmarkStart w:id="679" w:name="_Toc345594811"/>
      <w:r/>
      <w:bookmarkStart w:id="680" w:name="_Toc345595693"/>
      <w:r/>
      <w:bookmarkStart w:id="681" w:name="_Toc345587066"/>
      <w:r/>
      <w:bookmarkStart w:id="682" w:name="_Toc345587831"/>
      <w:r/>
      <w:bookmarkStart w:id="683" w:name="_Toc345594286"/>
      <w:r/>
      <w:bookmarkStart w:id="684" w:name="_Toc345594382"/>
      <w:r/>
      <w:bookmarkStart w:id="685" w:name="_Toc345594812"/>
      <w:r/>
      <w:bookmarkStart w:id="686" w:name="_Toc345595694"/>
      <w:r/>
      <w:bookmarkStart w:id="687" w:name="_Toc345587067"/>
      <w:r/>
      <w:bookmarkStart w:id="688" w:name="_Toc345587832"/>
      <w:r/>
      <w:bookmarkStart w:id="689" w:name="_Toc345594287"/>
      <w:r/>
      <w:bookmarkStart w:id="690" w:name="_Toc345594383"/>
      <w:r/>
      <w:bookmarkStart w:id="691" w:name="_Toc345594813"/>
      <w:r/>
      <w:bookmarkStart w:id="692" w:name="_Toc345595695"/>
      <w:r/>
      <w:bookmarkStart w:id="693" w:name="_Toc345587068"/>
      <w:r/>
      <w:bookmarkStart w:id="694" w:name="_Toc345587833"/>
      <w:r/>
      <w:bookmarkStart w:id="695" w:name="_Toc345594288"/>
      <w:r/>
      <w:bookmarkStart w:id="696" w:name="_Toc345594384"/>
      <w:r/>
      <w:bookmarkStart w:id="697" w:name="_Toc345594814"/>
      <w:r/>
      <w:bookmarkStart w:id="698" w:name="_Toc345595696"/>
      <w:r/>
      <w:bookmarkStart w:id="699" w:name="_Toc345587069"/>
      <w:r/>
      <w:bookmarkStart w:id="700" w:name="_Toc345587834"/>
      <w:r/>
      <w:bookmarkStart w:id="701" w:name="_Toc345594289"/>
      <w:r/>
      <w:bookmarkStart w:id="702" w:name="_Toc345594385"/>
      <w:r/>
      <w:bookmarkStart w:id="703" w:name="_Toc345594815"/>
      <w:r/>
      <w:bookmarkStart w:id="704" w:name="_Toc345595697"/>
      <w:r/>
      <w:bookmarkStart w:id="705" w:name="_Toc345587070"/>
      <w:r/>
      <w:bookmarkStart w:id="706" w:name="_Toc345587835"/>
      <w:r/>
      <w:bookmarkStart w:id="707" w:name="_Toc345594290"/>
      <w:r/>
      <w:bookmarkStart w:id="708" w:name="_Toc345594386"/>
      <w:r/>
      <w:bookmarkStart w:id="709" w:name="_Toc345594816"/>
      <w:r/>
      <w:bookmarkStart w:id="710" w:name="_Toc345595698"/>
      <w:r/>
      <w:bookmarkStart w:id="711" w:name="_Toc345587071"/>
      <w:r/>
      <w:bookmarkStart w:id="712" w:name="_Toc345587836"/>
      <w:r/>
      <w:bookmarkStart w:id="713" w:name="_Toc345594291"/>
      <w:r/>
      <w:bookmarkStart w:id="714" w:name="_Toc345594387"/>
      <w:r/>
      <w:bookmarkStart w:id="715" w:name="_Toc345594817"/>
      <w:r/>
      <w:bookmarkStart w:id="716" w:name="_Toc345595699"/>
      <w:r/>
      <w:bookmarkStart w:id="717" w:name="_Toc345587072"/>
      <w:r/>
      <w:bookmarkStart w:id="718" w:name="_Toc345587837"/>
      <w:r/>
      <w:bookmarkStart w:id="719" w:name="_Toc345594292"/>
      <w:r/>
      <w:bookmarkStart w:id="720" w:name="_Toc345594388"/>
      <w:r/>
      <w:bookmarkStart w:id="721" w:name="_Toc345594818"/>
      <w:r/>
      <w:bookmarkStart w:id="722" w:name="_Toc345595700"/>
      <w:r/>
      <w:bookmarkStart w:id="723" w:name="_Toc345587073"/>
      <w:r/>
      <w:bookmarkStart w:id="724" w:name="_Toc345587838"/>
      <w:r/>
      <w:bookmarkStart w:id="725" w:name="_Toc345594293"/>
      <w:r/>
      <w:bookmarkStart w:id="726" w:name="_Toc345594389"/>
      <w:r/>
      <w:bookmarkStart w:id="727" w:name="_Toc345594819"/>
      <w:r/>
      <w:bookmarkStart w:id="728" w:name="_Toc345595701"/>
      <w:r/>
      <w:bookmarkStart w:id="729" w:name="_Toc345587074"/>
      <w:r/>
      <w:bookmarkStart w:id="730" w:name="_Toc345587839"/>
      <w:r/>
      <w:bookmarkStart w:id="731" w:name="_Toc345594294"/>
      <w:r/>
      <w:bookmarkStart w:id="732" w:name="_Toc345594390"/>
      <w:r/>
      <w:bookmarkStart w:id="733" w:name="_Toc345594820"/>
      <w:r/>
      <w:bookmarkStart w:id="734" w:name="_Toc345595702"/>
      <w:r/>
      <w:bookmarkStart w:id="735" w:name="_Toc345587075"/>
      <w:r/>
      <w:bookmarkStart w:id="736" w:name="_Toc345587840"/>
      <w:r/>
      <w:bookmarkStart w:id="737" w:name="_Toc345594295"/>
      <w:r/>
      <w:bookmarkStart w:id="738" w:name="_Toc345594391"/>
      <w:r/>
      <w:bookmarkStart w:id="739" w:name="_Toc345594821"/>
      <w:r/>
      <w:bookmarkStart w:id="740" w:name="_Toc345595703"/>
      <w:r/>
      <w:bookmarkStart w:id="741" w:name="_Toc345587076"/>
      <w:r/>
      <w:bookmarkStart w:id="742" w:name="_Toc345587841"/>
      <w:r/>
      <w:bookmarkStart w:id="743" w:name="_Toc345594296"/>
      <w:r/>
      <w:bookmarkStart w:id="744" w:name="_Toc345594392"/>
      <w:r/>
      <w:bookmarkStart w:id="745" w:name="_Toc345594822"/>
      <w:r/>
      <w:bookmarkStart w:id="746" w:name="_Toc345595704"/>
      <w:r/>
      <w:bookmarkStart w:id="747" w:name="_Toc345587077"/>
      <w:r/>
      <w:bookmarkStart w:id="748" w:name="_Toc345587842"/>
      <w:r/>
      <w:bookmarkStart w:id="749" w:name="_Toc345594297"/>
      <w:r/>
      <w:bookmarkStart w:id="750" w:name="_Toc345594393"/>
      <w:r/>
      <w:bookmarkStart w:id="751" w:name="_Toc345594823"/>
      <w:r/>
      <w:bookmarkStart w:id="752" w:name="_Toc345595705"/>
      <w:r/>
      <w:bookmarkStart w:id="753" w:name="_Toc345587078"/>
      <w:r/>
      <w:bookmarkStart w:id="754" w:name="_Toc345587843"/>
      <w:r/>
      <w:bookmarkStart w:id="755" w:name="_Toc345594298"/>
      <w:r/>
      <w:bookmarkStart w:id="756" w:name="_Toc345594394"/>
      <w:r/>
      <w:bookmarkStart w:id="757" w:name="_Toc345594824"/>
      <w:r/>
      <w:bookmarkStart w:id="758" w:name="_Toc345595706"/>
      <w:r/>
      <w:bookmarkStart w:id="759" w:name="_Toc345587079"/>
      <w:r/>
      <w:bookmarkStart w:id="760" w:name="_Toc345587844"/>
      <w:r/>
      <w:bookmarkStart w:id="761" w:name="_Toc345594299"/>
      <w:r/>
      <w:bookmarkStart w:id="762" w:name="_Toc345594395"/>
      <w:r/>
      <w:bookmarkStart w:id="763" w:name="_Toc345594825"/>
      <w:r/>
      <w:bookmarkStart w:id="764" w:name="_Toc345595707"/>
      <w:r/>
      <w:bookmarkStart w:id="765" w:name="_Toc343171783"/>
      <w:r/>
      <w:bookmarkStart w:id="766" w:name="_Toc343267819"/>
      <w:r/>
      <w:bookmarkStart w:id="767" w:name="_Toc343270202"/>
      <w:r/>
      <w:bookmarkStart w:id="768" w:name="_Toc343590645"/>
      <w:r/>
      <w:bookmarkStart w:id="769" w:name="_Toc343602344"/>
      <w:r/>
      <w:bookmarkStart w:id="770" w:name="_Toc343171784"/>
      <w:r/>
      <w:bookmarkStart w:id="771" w:name="_Toc343267820"/>
      <w:r/>
      <w:bookmarkStart w:id="772" w:name="_Toc343270203"/>
      <w:r/>
      <w:bookmarkStart w:id="773" w:name="_Toc343590646"/>
      <w:r/>
      <w:bookmarkStart w:id="774" w:name="_Toc343602345"/>
      <w:r/>
      <w:bookmarkStart w:id="775" w:name="_Toc343171787"/>
      <w:r/>
      <w:bookmarkStart w:id="776" w:name="_Toc343267823"/>
      <w:r/>
      <w:bookmarkStart w:id="777" w:name="_Toc343270206"/>
      <w:r/>
      <w:bookmarkStart w:id="778" w:name="_Toc343590649"/>
      <w:r/>
      <w:bookmarkStart w:id="779" w:name="_Toc343602348"/>
      <w:r/>
      <w:bookmarkStart w:id="780" w:name="_Toc343171788"/>
      <w:r/>
      <w:bookmarkStart w:id="781" w:name="_Toc343267824"/>
      <w:r/>
      <w:bookmarkStart w:id="782" w:name="_Toc343270207"/>
      <w:r/>
      <w:bookmarkStart w:id="783" w:name="_Toc343590650"/>
      <w:r/>
      <w:bookmarkStart w:id="784" w:name="_Toc343602349"/>
      <w:r/>
      <w:bookmarkStart w:id="785" w:name="_Toc343171789"/>
      <w:r/>
      <w:bookmarkStart w:id="786" w:name="_Toc343267825"/>
      <w:r/>
      <w:bookmarkStart w:id="787" w:name="_Toc343270208"/>
      <w:r/>
      <w:bookmarkStart w:id="788" w:name="_Toc343590651"/>
      <w:r/>
      <w:bookmarkStart w:id="789" w:name="_Toc343602350"/>
      <w:r/>
      <w:bookmarkEnd w:id="397"/>
      <w:r/>
      <w:bookmarkEnd w:id="398"/>
      <w:r/>
      <w:bookmarkEnd w:id="399"/>
      <w:r/>
      <w:bookmarkEnd w:id="400"/>
      <w:r/>
      <w:bookmarkEnd w:id="401"/>
      <w:r/>
      <w:bookmarkEnd w:id="402"/>
      <w:r/>
      <w:bookmarkEnd w:id="403"/>
      <w:r/>
      <w:bookmarkEnd w:id="404"/>
      <w:r/>
      <w:bookmarkEnd w:id="405"/>
      <w:r/>
      <w:bookmarkEnd w:id="406"/>
      <w:r/>
      <w:bookmarkEnd w:id="407"/>
      <w:r/>
      <w:bookmarkEnd w:id="408"/>
      <w:r/>
      <w:bookmarkEnd w:id="409"/>
      <w:r/>
      <w:bookmarkEnd w:id="410"/>
      <w:r/>
      <w:bookmarkEnd w:id="411"/>
      <w:r/>
      <w:bookmarkEnd w:id="412"/>
      <w:r/>
      <w:bookmarkEnd w:id="413"/>
      <w:r/>
      <w:bookmarkEnd w:id="414"/>
      <w:r/>
      <w:bookmarkEnd w:id="415"/>
      <w:r/>
      <w:bookmarkEnd w:id="416"/>
      <w:r/>
      <w:bookmarkEnd w:id="417"/>
      <w:r/>
      <w:bookmarkEnd w:id="418"/>
      <w:r/>
      <w:bookmarkEnd w:id="419"/>
      <w:r/>
      <w:bookmarkEnd w:id="420"/>
      <w:r/>
      <w:bookmarkEnd w:id="421"/>
      <w:r/>
      <w:bookmarkEnd w:id="422"/>
      <w:r/>
      <w:bookmarkEnd w:id="423"/>
      <w:r/>
      <w:bookmarkEnd w:id="424"/>
      <w:r/>
      <w:bookmarkEnd w:id="425"/>
      <w:r/>
      <w:bookmarkEnd w:id="426"/>
      <w:r/>
      <w:bookmarkEnd w:id="427"/>
      <w:r/>
      <w:bookmarkEnd w:id="428"/>
      <w:r/>
      <w:bookmarkEnd w:id="429"/>
      <w:r/>
      <w:bookmarkEnd w:id="430"/>
      <w:r/>
      <w:bookmarkEnd w:id="431"/>
      <w:r/>
      <w:bookmarkEnd w:id="432"/>
      <w:r/>
      <w:bookmarkEnd w:id="433"/>
      <w:r/>
      <w:bookmarkEnd w:id="434"/>
      <w:r/>
      <w:bookmarkEnd w:id="435"/>
      <w:r/>
      <w:bookmarkEnd w:id="436"/>
      <w:r/>
      <w:bookmarkEnd w:id="437"/>
      <w:r/>
      <w:bookmarkEnd w:id="438"/>
      <w:r/>
      <w:bookmarkEnd w:id="439"/>
      <w:r/>
      <w:bookmarkEnd w:id="440"/>
      <w:r/>
      <w:bookmarkEnd w:id="441"/>
      <w:r/>
      <w:bookmarkEnd w:id="442"/>
      <w:r/>
      <w:bookmarkEnd w:id="443"/>
      <w:r/>
      <w:bookmarkEnd w:id="444"/>
      <w:r/>
      <w:bookmarkEnd w:id="445"/>
      <w:r/>
      <w:bookmarkEnd w:id="446"/>
      <w:r/>
      <w:bookmarkEnd w:id="447"/>
      <w:r/>
      <w:bookmarkEnd w:id="448"/>
      <w:r/>
      <w:bookmarkEnd w:id="449"/>
      <w:r/>
      <w:bookmarkEnd w:id="450"/>
      <w:r/>
      <w:bookmarkEnd w:id="451"/>
      <w:r/>
      <w:bookmarkEnd w:id="452"/>
      <w:r/>
      <w:bookmarkEnd w:id="453"/>
      <w:r/>
      <w:bookmarkEnd w:id="454"/>
      <w:r/>
      <w:bookmarkEnd w:id="455"/>
      <w:r/>
      <w:bookmarkEnd w:id="456"/>
      <w:r/>
      <w:bookmarkEnd w:id="457"/>
      <w:r/>
      <w:bookmarkEnd w:id="458"/>
      <w:r/>
      <w:bookmarkEnd w:id="459"/>
      <w:r/>
      <w:bookmarkEnd w:id="460"/>
      <w:r/>
      <w:bookmarkEnd w:id="461"/>
      <w:r/>
      <w:bookmarkEnd w:id="462"/>
      <w:r/>
      <w:bookmarkEnd w:id="463"/>
      <w:r/>
      <w:bookmarkEnd w:id="464"/>
      <w:r/>
      <w:bookmarkEnd w:id="465"/>
      <w:r/>
      <w:bookmarkEnd w:id="466"/>
      <w:r/>
      <w:bookmarkEnd w:id="467"/>
      <w:r/>
      <w:bookmarkEnd w:id="468"/>
      <w:r/>
      <w:bookmarkEnd w:id="469"/>
      <w:r/>
      <w:bookmarkEnd w:id="470"/>
      <w:r/>
      <w:bookmarkEnd w:id="471"/>
      <w:r/>
      <w:bookmarkEnd w:id="472"/>
      <w:r/>
      <w:bookmarkEnd w:id="473"/>
      <w:r/>
      <w:bookmarkEnd w:id="474"/>
      <w:r/>
      <w:bookmarkEnd w:id="475"/>
      <w:r/>
      <w:bookmarkEnd w:id="476"/>
      <w:r/>
      <w:bookmarkEnd w:id="477"/>
      <w:r/>
      <w:bookmarkEnd w:id="478"/>
      <w:r/>
      <w:bookmarkEnd w:id="479"/>
      <w:r/>
      <w:bookmarkEnd w:id="480"/>
      <w:r/>
      <w:bookmarkEnd w:id="481"/>
      <w:r/>
      <w:bookmarkEnd w:id="482"/>
      <w:r/>
      <w:bookmarkEnd w:id="483"/>
      <w:r/>
      <w:bookmarkEnd w:id="484"/>
      <w:r/>
      <w:bookmarkEnd w:id="485"/>
      <w:r/>
      <w:bookmarkEnd w:id="486"/>
      <w:r/>
      <w:bookmarkEnd w:id="487"/>
      <w:r/>
      <w:bookmarkEnd w:id="488"/>
      <w:r/>
      <w:bookmarkEnd w:id="489"/>
      <w:r/>
      <w:bookmarkEnd w:id="490"/>
      <w:r/>
      <w:bookmarkEnd w:id="491"/>
      <w:r/>
      <w:bookmarkEnd w:id="492"/>
      <w:r/>
      <w:bookmarkEnd w:id="493"/>
      <w:r/>
      <w:bookmarkEnd w:id="494"/>
      <w:r/>
      <w:bookmarkEnd w:id="495"/>
      <w:r/>
      <w:bookmarkEnd w:id="496"/>
      <w:r/>
      <w:bookmarkEnd w:id="497"/>
      <w:r/>
      <w:bookmarkEnd w:id="498"/>
      <w:r/>
      <w:bookmarkEnd w:id="499"/>
      <w:r/>
      <w:bookmarkEnd w:id="500"/>
      <w:r/>
      <w:bookmarkEnd w:id="501"/>
      <w:r/>
      <w:bookmarkEnd w:id="502"/>
      <w:r/>
      <w:bookmarkEnd w:id="503"/>
      <w:r/>
      <w:bookmarkEnd w:id="504"/>
      <w:r/>
      <w:bookmarkEnd w:id="505"/>
      <w:r/>
      <w:bookmarkEnd w:id="506"/>
      <w:r/>
      <w:bookmarkEnd w:id="507"/>
      <w:r/>
      <w:bookmarkEnd w:id="508"/>
      <w:r/>
      <w:bookmarkEnd w:id="509"/>
      <w:r/>
      <w:bookmarkEnd w:id="510"/>
      <w:r/>
      <w:bookmarkEnd w:id="511"/>
      <w:r/>
      <w:bookmarkEnd w:id="512"/>
      <w:r/>
      <w:bookmarkEnd w:id="513"/>
      <w:r/>
      <w:bookmarkEnd w:id="514"/>
      <w:r/>
      <w:bookmarkEnd w:id="515"/>
      <w:r/>
      <w:bookmarkEnd w:id="516"/>
      <w:r/>
      <w:bookmarkEnd w:id="517"/>
      <w:r/>
      <w:bookmarkEnd w:id="518"/>
      <w:r/>
      <w:bookmarkEnd w:id="519"/>
      <w:r/>
      <w:bookmarkEnd w:id="520"/>
      <w:r/>
      <w:bookmarkEnd w:id="521"/>
      <w:r/>
      <w:bookmarkEnd w:id="522"/>
      <w:r/>
      <w:bookmarkEnd w:id="523"/>
      <w:r/>
      <w:bookmarkEnd w:id="524"/>
      <w:r/>
      <w:bookmarkEnd w:id="525"/>
      <w:r/>
      <w:bookmarkEnd w:id="526"/>
      <w:r/>
      <w:bookmarkEnd w:id="527"/>
      <w:r/>
      <w:bookmarkEnd w:id="528"/>
      <w:r/>
      <w:bookmarkEnd w:id="529"/>
      <w:r/>
      <w:bookmarkEnd w:id="530"/>
      <w:r/>
      <w:bookmarkEnd w:id="531"/>
      <w:r/>
      <w:bookmarkEnd w:id="532"/>
      <w:r/>
      <w:bookmarkEnd w:id="533"/>
      <w:r/>
      <w:bookmarkEnd w:id="534"/>
      <w:r/>
      <w:bookmarkEnd w:id="535"/>
      <w:r/>
      <w:bookmarkEnd w:id="536"/>
      <w:r/>
      <w:bookmarkEnd w:id="537"/>
      <w:r/>
      <w:bookmarkEnd w:id="538"/>
      <w:r/>
      <w:bookmarkEnd w:id="539"/>
      <w:r/>
      <w:bookmarkEnd w:id="540"/>
      <w:r/>
      <w:bookmarkEnd w:id="541"/>
      <w:r/>
      <w:bookmarkEnd w:id="542"/>
      <w:r/>
      <w:bookmarkEnd w:id="543"/>
      <w:r/>
      <w:bookmarkEnd w:id="544"/>
      <w:r/>
      <w:bookmarkEnd w:id="545"/>
      <w:r/>
      <w:bookmarkEnd w:id="546"/>
      <w:r/>
      <w:bookmarkEnd w:id="547"/>
      <w:r/>
      <w:bookmarkEnd w:id="548"/>
      <w:r/>
      <w:bookmarkEnd w:id="549"/>
      <w:r/>
      <w:bookmarkEnd w:id="550"/>
      <w:r/>
      <w:bookmarkEnd w:id="551"/>
      <w:r/>
      <w:bookmarkEnd w:id="552"/>
      <w:r/>
      <w:bookmarkEnd w:id="553"/>
      <w:r/>
      <w:bookmarkEnd w:id="554"/>
      <w:r/>
      <w:bookmarkEnd w:id="555"/>
      <w:r/>
      <w:bookmarkEnd w:id="556"/>
      <w:r/>
      <w:bookmarkEnd w:id="557"/>
      <w:r/>
      <w:bookmarkEnd w:id="558"/>
      <w:r/>
      <w:bookmarkEnd w:id="559"/>
      <w:r/>
      <w:bookmarkEnd w:id="560"/>
      <w:r/>
      <w:bookmarkEnd w:id="561"/>
      <w:r/>
      <w:bookmarkEnd w:id="562"/>
      <w:r/>
      <w:bookmarkEnd w:id="563"/>
      <w:r/>
      <w:bookmarkEnd w:id="564"/>
      <w:r/>
      <w:bookmarkEnd w:id="565"/>
      <w:r/>
      <w:bookmarkEnd w:id="566"/>
      <w:r/>
      <w:bookmarkEnd w:id="567"/>
      <w:r/>
      <w:bookmarkEnd w:id="568"/>
      <w:r/>
      <w:bookmarkEnd w:id="569"/>
      <w:r/>
      <w:bookmarkEnd w:id="570"/>
      <w:r/>
      <w:bookmarkEnd w:id="571"/>
      <w:r/>
      <w:bookmarkEnd w:id="572"/>
      <w:r/>
      <w:bookmarkEnd w:id="573"/>
      <w:r/>
      <w:bookmarkEnd w:id="574"/>
      <w:r/>
      <w:bookmarkEnd w:id="575"/>
      <w:r/>
      <w:bookmarkEnd w:id="576"/>
      <w:r/>
      <w:bookmarkEnd w:id="577"/>
      <w:r/>
      <w:bookmarkEnd w:id="578"/>
      <w:r/>
      <w:bookmarkEnd w:id="579"/>
      <w:r/>
      <w:bookmarkEnd w:id="580"/>
      <w:r/>
      <w:bookmarkEnd w:id="581"/>
      <w:r/>
      <w:bookmarkEnd w:id="582"/>
      <w:r/>
      <w:bookmarkEnd w:id="583"/>
      <w:r/>
      <w:bookmarkEnd w:id="584"/>
      <w:r/>
      <w:bookmarkEnd w:id="585"/>
      <w:r/>
      <w:bookmarkEnd w:id="586"/>
      <w:r/>
      <w:bookmarkEnd w:id="587"/>
      <w:r/>
      <w:bookmarkEnd w:id="588"/>
      <w:r/>
      <w:bookmarkEnd w:id="589"/>
      <w:r/>
      <w:bookmarkEnd w:id="590"/>
      <w:r/>
      <w:bookmarkEnd w:id="591"/>
      <w:r/>
      <w:bookmarkEnd w:id="592"/>
      <w:r/>
      <w:bookmarkEnd w:id="593"/>
      <w:r/>
      <w:bookmarkEnd w:id="594"/>
      <w:r/>
      <w:bookmarkEnd w:id="595"/>
      <w:r/>
      <w:bookmarkEnd w:id="596"/>
      <w:r/>
      <w:bookmarkEnd w:id="597"/>
      <w:r/>
      <w:bookmarkEnd w:id="598"/>
      <w:r/>
      <w:bookmarkEnd w:id="599"/>
      <w:r/>
      <w:bookmarkEnd w:id="600"/>
      <w:r/>
      <w:bookmarkEnd w:id="601"/>
      <w:r/>
      <w:bookmarkEnd w:id="602"/>
      <w:r/>
      <w:bookmarkEnd w:id="603"/>
      <w:r/>
      <w:bookmarkEnd w:id="604"/>
      <w:r/>
      <w:bookmarkEnd w:id="605"/>
      <w:r/>
      <w:bookmarkEnd w:id="606"/>
      <w:r/>
      <w:bookmarkEnd w:id="607"/>
      <w:r/>
      <w:bookmarkEnd w:id="608"/>
      <w:r/>
      <w:bookmarkEnd w:id="609"/>
      <w:r/>
      <w:bookmarkEnd w:id="610"/>
      <w:r/>
      <w:bookmarkEnd w:id="611"/>
      <w:r/>
      <w:bookmarkEnd w:id="612"/>
      <w:r/>
      <w:bookmarkEnd w:id="613"/>
      <w:r/>
      <w:bookmarkEnd w:id="614"/>
      <w:r/>
      <w:bookmarkEnd w:id="615"/>
      <w:r/>
      <w:bookmarkEnd w:id="616"/>
      <w:r/>
      <w:bookmarkEnd w:id="617"/>
      <w:r/>
      <w:bookmarkEnd w:id="618"/>
      <w:r/>
      <w:bookmarkEnd w:id="619"/>
      <w:r/>
      <w:bookmarkEnd w:id="620"/>
      <w:r/>
      <w:bookmarkEnd w:id="621"/>
      <w:r/>
      <w:bookmarkEnd w:id="622"/>
      <w:r/>
      <w:bookmarkEnd w:id="623"/>
      <w:r/>
      <w:bookmarkEnd w:id="624"/>
      <w:r/>
      <w:bookmarkEnd w:id="625"/>
      <w:r/>
      <w:bookmarkEnd w:id="626"/>
      <w:r/>
      <w:bookmarkEnd w:id="627"/>
      <w:r/>
      <w:bookmarkEnd w:id="628"/>
      <w:r/>
      <w:bookmarkEnd w:id="629"/>
      <w:r/>
      <w:bookmarkEnd w:id="630"/>
      <w:r/>
      <w:bookmarkEnd w:id="631"/>
      <w:r/>
      <w:bookmarkEnd w:id="632"/>
      <w:r/>
      <w:bookmarkEnd w:id="633"/>
      <w:r/>
      <w:bookmarkEnd w:id="634"/>
      <w:r/>
      <w:bookmarkEnd w:id="635"/>
      <w:r/>
      <w:bookmarkEnd w:id="636"/>
      <w:r/>
      <w:bookmarkEnd w:id="637"/>
      <w:r/>
      <w:bookmarkEnd w:id="638"/>
      <w:r/>
      <w:bookmarkEnd w:id="639"/>
      <w:r/>
      <w:bookmarkEnd w:id="640"/>
      <w:r/>
      <w:bookmarkEnd w:id="641"/>
      <w:r/>
      <w:bookmarkEnd w:id="642"/>
      <w:r/>
      <w:bookmarkEnd w:id="643"/>
      <w:r/>
      <w:bookmarkEnd w:id="644"/>
      <w:r/>
      <w:bookmarkEnd w:id="645"/>
      <w:r/>
      <w:bookmarkEnd w:id="646"/>
      <w:r/>
      <w:bookmarkEnd w:id="647"/>
      <w:r/>
      <w:bookmarkEnd w:id="648"/>
      <w:r/>
      <w:bookmarkEnd w:id="649"/>
      <w:r/>
      <w:bookmarkEnd w:id="650"/>
      <w:r/>
      <w:bookmarkEnd w:id="651"/>
      <w:r/>
      <w:bookmarkEnd w:id="652"/>
      <w:r/>
      <w:bookmarkEnd w:id="653"/>
      <w:r/>
      <w:bookmarkEnd w:id="654"/>
      <w:r/>
      <w:bookmarkEnd w:id="655"/>
      <w:r/>
      <w:bookmarkEnd w:id="656"/>
      <w:r/>
      <w:bookmarkEnd w:id="657"/>
      <w:r/>
      <w:bookmarkEnd w:id="658"/>
      <w:r/>
      <w:bookmarkEnd w:id="659"/>
      <w:r/>
      <w:bookmarkEnd w:id="660"/>
      <w:r/>
      <w:bookmarkEnd w:id="661"/>
      <w:r/>
      <w:bookmarkEnd w:id="662"/>
      <w:r/>
      <w:bookmarkEnd w:id="663"/>
      <w:r/>
      <w:bookmarkEnd w:id="664"/>
      <w:r/>
      <w:bookmarkEnd w:id="665"/>
      <w:r/>
      <w:bookmarkEnd w:id="666"/>
      <w:r/>
      <w:bookmarkEnd w:id="667"/>
      <w:r/>
      <w:bookmarkEnd w:id="668"/>
      <w:r/>
      <w:bookmarkEnd w:id="669"/>
      <w:r/>
      <w:bookmarkEnd w:id="670"/>
      <w:r/>
      <w:bookmarkEnd w:id="671"/>
      <w:r/>
      <w:bookmarkEnd w:id="672"/>
      <w:r/>
      <w:bookmarkEnd w:id="673"/>
      <w:r/>
      <w:bookmarkEnd w:id="674"/>
      <w:r/>
      <w:bookmarkEnd w:id="675"/>
      <w:r/>
      <w:bookmarkEnd w:id="676"/>
      <w:r/>
      <w:bookmarkEnd w:id="677"/>
      <w:r/>
      <w:bookmarkEnd w:id="678"/>
      <w:r/>
      <w:bookmarkEnd w:id="679"/>
      <w:r/>
      <w:bookmarkEnd w:id="680"/>
      <w:r/>
      <w:bookmarkEnd w:id="681"/>
      <w:r/>
      <w:bookmarkEnd w:id="682"/>
      <w:r/>
      <w:bookmarkEnd w:id="683"/>
      <w:r/>
      <w:bookmarkEnd w:id="684"/>
      <w:r/>
      <w:bookmarkEnd w:id="685"/>
      <w:r/>
      <w:bookmarkEnd w:id="686"/>
      <w:r/>
      <w:bookmarkEnd w:id="687"/>
      <w:r/>
      <w:bookmarkEnd w:id="688"/>
      <w:r/>
      <w:bookmarkEnd w:id="689"/>
      <w:r/>
      <w:bookmarkEnd w:id="690"/>
      <w:r/>
      <w:bookmarkEnd w:id="691"/>
      <w:r/>
      <w:bookmarkEnd w:id="692"/>
      <w:r/>
      <w:bookmarkEnd w:id="693"/>
      <w:r/>
      <w:bookmarkEnd w:id="694"/>
      <w:r/>
      <w:bookmarkEnd w:id="695"/>
      <w:r/>
      <w:bookmarkEnd w:id="696"/>
      <w:r/>
      <w:bookmarkEnd w:id="697"/>
      <w:r/>
      <w:bookmarkEnd w:id="698"/>
      <w:r/>
      <w:bookmarkEnd w:id="699"/>
      <w:r/>
      <w:bookmarkEnd w:id="700"/>
      <w:r/>
      <w:bookmarkEnd w:id="701"/>
      <w:r/>
      <w:bookmarkEnd w:id="702"/>
      <w:r/>
      <w:bookmarkEnd w:id="703"/>
      <w:r/>
      <w:bookmarkEnd w:id="704"/>
      <w:r/>
      <w:bookmarkEnd w:id="705"/>
      <w:r/>
      <w:bookmarkEnd w:id="706"/>
      <w:r/>
      <w:bookmarkEnd w:id="707"/>
      <w:r/>
      <w:bookmarkEnd w:id="708"/>
      <w:r/>
      <w:bookmarkEnd w:id="709"/>
      <w:r/>
      <w:bookmarkEnd w:id="710"/>
      <w:r/>
      <w:bookmarkEnd w:id="711"/>
      <w:r/>
      <w:bookmarkEnd w:id="712"/>
      <w:r/>
      <w:bookmarkEnd w:id="713"/>
      <w:r/>
      <w:bookmarkEnd w:id="714"/>
      <w:r/>
      <w:bookmarkEnd w:id="715"/>
      <w:r/>
      <w:bookmarkEnd w:id="716"/>
      <w:r/>
      <w:bookmarkEnd w:id="717"/>
      <w:r/>
      <w:bookmarkEnd w:id="718"/>
      <w:r/>
      <w:bookmarkEnd w:id="719"/>
      <w:r/>
      <w:bookmarkEnd w:id="720"/>
      <w:r/>
      <w:bookmarkEnd w:id="721"/>
      <w:r/>
      <w:bookmarkEnd w:id="722"/>
      <w:r/>
      <w:bookmarkEnd w:id="723"/>
      <w:r/>
      <w:bookmarkEnd w:id="724"/>
      <w:r/>
      <w:bookmarkEnd w:id="725"/>
      <w:r/>
      <w:bookmarkEnd w:id="726"/>
      <w:r/>
      <w:bookmarkEnd w:id="727"/>
      <w:r/>
      <w:bookmarkEnd w:id="728"/>
      <w:r/>
      <w:bookmarkEnd w:id="729"/>
      <w:r/>
      <w:bookmarkEnd w:id="730"/>
      <w:r/>
      <w:bookmarkEnd w:id="731"/>
      <w:r/>
      <w:bookmarkEnd w:id="732"/>
      <w:r/>
      <w:bookmarkEnd w:id="733"/>
      <w:r/>
      <w:bookmarkEnd w:id="734"/>
      <w:r/>
      <w:bookmarkEnd w:id="735"/>
      <w:r/>
      <w:bookmarkEnd w:id="736"/>
      <w:r/>
      <w:bookmarkEnd w:id="737"/>
      <w:r/>
      <w:bookmarkEnd w:id="738"/>
      <w:r/>
      <w:bookmarkEnd w:id="739"/>
      <w:r/>
      <w:bookmarkEnd w:id="740"/>
      <w:r/>
      <w:bookmarkEnd w:id="741"/>
      <w:r/>
      <w:bookmarkEnd w:id="742"/>
      <w:r/>
      <w:bookmarkEnd w:id="743"/>
      <w:r/>
      <w:bookmarkEnd w:id="744"/>
      <w:r/>
      <w:bookmarkEnd w:id="745"/>
      <w:r/>
      <w:bookmarkEnd w:id="746"/>
      <w:r/>
      <w:bookmarkEnd w:id="747"/>
      <w:r/>
      <w:bookmarkEnd w:id="748"/>
      <w:r/>
      <w:bookmarkEnd w:id="749"/>
      <w:r/>
      <w:bookmarkEnd w:id="750"/>
      <w:r/>
      <w:bookmarkEnd w:id="751"/>
      <w:r/>
      <w:bookmarkEnd w:id="752"/>
      <w:r/>
      <w:bookmarkEnd w:id="753"/>
      <w:r/>
      <w:bookmarkEnd w:id="754"/>
      <w:r/>
      <w:bookmarkEnd w:id="755"/>
      <w:r/>
      <w:bookmarkEnd w:id="756"/>
      <w:r/>
      <w:bookmarkEnd w:id="757"/>
      <w:r/>
      <w:bookmarkEnd w:id="758"/>
      <w:r/>
      <w:bookmarkEnd w:id="759"/>
      <w:r/>
      <w:bookmarkEnd w:id="760"/>
      <w:r/>
      <w:bookmarkEnd w:id="761"/>
      <w:r/>
      <w:bookmarkEnd w:id="762"/>
      <w:r/>
      <w:bookmarkEnd w:id="763"/>
      <w:r/>
      <w:bookmarkEnd w:id="764"/>
      <w:r/>
      <w:bookmarkEnd w:id="765"/>
      <w:r/>
      <w:bookmarkEnd w:id="766"/>
      <w:r/>
      <w:bookmarkEnd w:id="767"/>
      <w:r/>
      <w:bookmarkEnd w:id="768"/>
      <w:r/>
      <w:bookmarkEnd w:id="769"/>
      <w:r/>
      <w:bookmarkEnd w:id="770"/>
      <w:r/>
      <w:bookmarkEnd w:id="771"/>
      <w:r/>
      <w:bookmarkEnd w:id="772"/>
      <w:r/>
      <w:bookmarkEnd w:id="773"/>
      <w:r/>
      <w:bookmarkEnd w:id="774"/>
      <w:r/>
      <w:bookmarkEnd w:id="775"/>
      <w:r/>
      <w:bookmarkEnd w:id="776"/>
      <w:r/>
      <w:bookmarkEnd w:id="777"/>
      <w:r/>
      <w:bookmarkEnd w:id="778"/>
      <w:r/>
      <w:bookmarkEnd w:id="779"/>
      <w:r/>
      <w:bookmarkEnd w:id="780"/>
      <w:r/>
      <w:bookmarkEnd w:id="781"/>
      <w:r/>
      <w:bookmarkEnd w:id="782"/>
      <w:r/>
      <w:bookmarkEnd w:id="783"/>
      <w:r/>
      <w:bookmarkEnd w:id="784"/>
      <w:r/>
      <w:bookmarkEnd w:id="785"/>
      <w:r/>
      <w:bookmarkEnd w:id="786"/>
      <w:r/>
      <w:bookmarkEnd w:id="787"/>
      <w:r/>
      <w:bookmarkEnd w:id="788"/>
      <w:r/>
      <w:bookmarkEnd w:id="789"/>
      <w:r/>
      <w:r/>
    </w:p>
    <w:p>
      <w:pPr>
        <w:ind w:left="6237" w:firstLine="426"/>
        <w:keepNext/>
        <w:pageBreakBefore/>
        <w:rPr>
          <w:bCs/>
          <w:color w:val="000000"/>
          <w:lang w:eastAsia="en-US"/>
        </w:rPr>
        <w:outlineLvl w:val="0"/>
      </w:pPr>
      <w:r/>
      <w:bookmarkStart w:id="790" w:name="_Toc238629827"/>
      <w:r>
        <w:rPr>
          <w:bCs/>
          <w:color w:val="000000"/>
          <w:lang w:eastAsia="en-US"/>
        </w:rPr>
        <w:t xml:space="preserve">Приложение 7</w:t>
      </w:r>
      <w:bookmarkEnd w:id="790"/>
      <w:r>
        <w:rPr>
          <w:bCs/>
          <w:color w:val="000000"/>
          <w:lang w:eastAsia="en-US"/>
        </w:rPr>
      </w:r>
      <w:r>
        <w:rPr>
          <w:bCs/>
          <w:color w:val="000000"/>
          <w:lang w:eastAsia="en-US"/>
        </w:rPr>
      </w:r>
    </w:p>
    <w:p>
      <w:pPr>
        <w:ind w:left="6237" w:firstLine="426"/>
        <w:rPr>
          <w:szCs w:val="20"/>
          <w:lang w:eastAsia="en-US"/>
        </w:rPr>
      </w:pPr>
      <w:r>
        <w:rPr>
          <w:szCs w:val="20"/>
          <w:lang w:eastAsia="en-US"/>
        </w:rPr>
        <w:t xml:space="preserve">к Техническому заданию</w:t>
      </w:r>
      <w:r>
        <w:rPr>
          <w:szCs w:val="20"/>
          <w:lang w:eastAsia="en-US"/>
        </w:rPr>
      </w:r>
      <w:r>
        <w:rPr>
          <w:szCs w:val="20"/>
          <w:lang w:eastAsia="en-US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180"/>
        <w:rPr>
          <w:b w:val="0"/>
        </w:rPr>
      </w:pPr>
      <w:r/>
      <w:bookmarkStart w:id="791" w:name="_Toc238629828"/>
      <w:r>
        <w:rPr>
          <w:b w:val="0"/>
        </w:rPr>
        <w:t xml:space="preserve">ПРИМЕР: Карточка резервного копирования сервера обмена NIFI</w:t>
      </w:r>
      <w:bookmarkEnd w:id="791"/>
      <w:r>
        <w:rPr>
          <w:b w:val="0"/>
        </w:rPr>
      </w:r>
      <w:r>
        <w:rPr>
          <w:b w:val="0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515"/>
        <w:gridCol w:w="1449"/>
        <w:gridCol w:w="309"/>
        <w:gridCol w:w="1418"/>
        <w:gridCol w:w="1515"/>
        <w:gridCol w:w="1415"/>
        <w:gridCol w:w="1724"/>
      </w:tblGrid>
      <w:tr>
        <w:tblPrEx/>
        <w:trPr/>
        <w:tc>
          <w:tcPr>
            <w:gridSpan w:val="3"/>
            <w:tcW w:w="3099" w:type="dxa"/>
            <w:textDirection w:val="lrTb"/>
            <w:noWrap w:val="false"/>
          </w:tcPr>
          <w:p>
            <w:pPr>
              <w:jc w:val="both"/>
              <w:spacing w:line="276" w:lineRule="auto"/>
            </w:pPr>
            <w:r>
              <w:t xml:space="preserve">Название ресурса</w:t>
            </w:r>
            <w:r/>
          </w:p>
        </w:tc>
        <w:tc>
          <w:tcPr>
            <w:gridSpan w:val="4"/>
            <w:tcW w:w="7047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i/>
                <w:lang w:val="en-US"/>
              </w:rPr>
            </w:pPr>
            <w:r>
              <w:rPr>
                <w:sz w:val="28"/>
                <w:szCs w:val="28"/>
              </w:rPr>
              <w:t xml:space="preserve">ПРИМЕР</w:t>
            </w:r>
            <w:r>
              <w:rPr>
                <w:sz w:val="28"/>
                <w:szCs w:val="28"/>
                <w:lang w:val="en-US"/>
              </w:rPr>
              <w:t xml:space="preserve">:</w:t>
            </w:r>
            <w:r>
              <w:rPr>
                <w:i/>
                <w:lang w:val="en-US"/>
              </w:rPr>
              <w:t xml:space="preserve"> server-nifi</w:t>
            </w:r>
            <w:r>
              <w:rPr>
                <w:i/>
                <w:lang w:val="en-US"/>
              </w:rPr>
            </w:r>
            <w:r>
              <w:rPr>
                <w:i/>
                <w:lang w:val="en-US"/>
              </w:rPr>
            </w:r>
          </w:p>
          <w:p>
            <w:pPr>
              <w:rPr>
                <w:i/>
                <w:lang w:val="en-US"/>
              </w:rPr>
            </w:pPr>
            <w:r>
              <w:rPr>
                <w:sz w:val="28"/>
                <w:szCs w:val="28"/>
              </w:rPr>
              <w:t xml:space="preserve">ПРИМЕР</w:t>
            </w:r>
            <w:r>
              <w:rPr>
                <w:sz w:val="28"/>
                <w:szCs w:val="28"/>
                <w:lang w:val="en-US"/>
              </w:rPr>
              <w:t xml:space="preserve">:</w:t>
            </w:r>
            <w:r>
              <w:rPr>
                <w:i/>
                <w:lang w:val="en-US"/>
              </w:rPr>
              <w:t xml:space="preserve"> </w:t>
            </w:r>
            <w:r>
              <w:rPr>
                <w:rFonts w:ascii="Calibri" w:hAnsi="Calibri" w:cs="Calibri"/>
                <w:lang w:val="en-US"/>
              </w:rPr>
              <w:t xml:space="preserve">server.rosseti-kuban.ru</w:t>
            </w:r>
            <w:r>
              <w:rPr>
                <w:i/>
                <w:lang w:val="en-US"/>
              </w:rPr>
            </w:r>
            <w:r>
              <w:rPr>
                <w:i/>
                <w:lang w:val="en-US"/>
              </w:rPr>
            </w:r>
          </w:p>
        </w:tc>
      </w:tr>
      <w:tr>
        <w:tblPrEx/>
        <w:trPr>
          <w:trHeight w:val="747"/>
        </w:trPr>
        <w:tc>
          <w:tcPr>
            <w:gridSpan w:val="3"/>
            <w:tcW w:w="3099" w:type="dxa"/>
            <w:textDirection w:val="lrTb"/>
            <w:noWrap w:val="false"/>
          </w:tcPr>
          <w:p>
            <w:pPr>
              <w:jc w:val="both"/>
              <w:spacing w:line="276" w:lineRule="auto"/>
            </w:pPr>
            <w:r>
              <w:t xml:space="preserve">Роль сервера</w:t>
            </w:r>
            <w:r/>
          </w:p>
        </w:tc>
        <w:tc>
          <w:tcPr>
            <w:gridSpan w:val="4"/>
            <w:tcW w:w="7047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i/>
              </w:rPr>
            </w:pPr>
            <w:r>
              <w:rPr>
                <w:sz w:val="28"/>
                <w:szCs w:val="28"/>
              </w:rPr>
              <w:t xml:space="preserve">ПРИМЕР:</w:t>
            </w:r>
            <w:r>
              <w:rPr>
                <w:i/>
                <w:lang w:val="en-US"/>
              </w:rPr>
              <w:t xml:space="preserve"> </w:t>
            </w:r>
            <w:r>
              <w:rPr>
                <w:color w:val="000000" w:themeColor="text1"/>
              </w:rPr>
              <w:t xml:space="preserve">Веб-сервер</w:t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  <w:tr>
        <w:tblPrEx/>
        <w:trPr>
          <w:trHeight w:val="353"/>
        </w:trPr>
        <w:tc>
          <w:tcPr>
            <w:gridSpan w:val="3"/>
            <w:tcW w:w="3099" w:type="dxa"/>
            <w:textDirection w:val="lrTb"/>
            <w:noWrap w:val="false"/>
          </w:tcPr>
          <w:p>
            <w:pPr>
              <w:jc w:val="both"/>
              <w:spacing w:line="276" w:lineRule="auto"/>
            </w:pPr>
            <w:r>
              <w:t xml:space="preserve">Ответственный за РК</w:t>
            </w:r>
            <w:r/>
          </w:p>
        </w:tc>
        <w:tc>
          <w:tcPr>
            <w:gridSpan w:val="4"/>
            <w:tcW w:w="7047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i/>
              </w:rPr>
            </w:pPr>
            <w:r>
              <w:rPr>
                <w:sz w:val="28"/>
                <w:szCs w:val="28"/>
              </w:rPr>
              <w:t xml:space="preserve">ПРИМЕР:</w:t>
            </w:r>
            <w:r>
              <w:rPr>
                <w:i/>
                <w:lang w:val="en-US"/>
              </w:rPr>
              <w:t xml:space="preserve"> </w:t>
            </w:r>
            <w:r>
              <w:rPr>
                <w:i/>
              </w:rPr>
              <w:t xml:space="preserve">ФИО</w:t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  <w:tr>
        <w:tblPrEx/>
        <w:trPr/>
        <w:tc>
          <w:tcPr>
            <w:gridSpan w:val="3"/>
            <w:tcW w:w="3099" w:type="dxa"/>
            <w:textDirection w:val="lrTb"/>
            <w:noWrap w:val="false"/>
          </w:tcPr>
          <w:p>
            <w:pPr>
              <w:spacing w:line="276" w:lineRule="auto"/>
            </w:pPr>
            <w:r>
              <w:t xml:space="preserve">Срок хранения полной резервной копии</w:t>
            </w:r>
            <w:r/>
          </w:p>
        </w:tc>
        <w:tc>
          <w:tcPr>
            <w:gridSpan w:val="4"/>
            <w:tcW w:w="7047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i/>
              </w:rPr>
            </w:pPr>
            <w:r>
              <w:rPr>
                <w:sz w:val="28"/>
                <w:szCs w:val="28"/>
              </w:rPr>
              <w:t xml:space="preserve">ПРИМЕР:</w:t>
            </w:r>
            <w:r>
              <w:rPr>
                <w:i/>
                <w:lang w:val="en-US"/>
              </w:rPr>
              <w:t xml:space="preserve"> </w:t>
            </w:r>
            <w:r>
              <w:rPr>
                <w:i/>
              </w:rPr>
              <w:t xml:space="preserve">До 1 месяца</w:t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  <w:tr>
        <w:tblPrEx/>
        <w:trPr/>
        <w:tc>
          <w:tcPr>
            <w:gridSpan w:val="3"/>
            <w:tcW w:w="3099" w:type="dxa"/>
            <w:textDirection w:val="lrTb"/>
            <w:noWrap w:val="false"/>
          </w:tcPr>
          <w:p>
            <w:pPr>
              <w:spacing w:line="276" w:lineRule="auto"/>
            </w:pPr>
            <w:r>
              <w:t xml:space="preserve">Зерно резервного копирования</w:t>
            </w:r>
            <w:r/>
          </w:p>
        </w:tc>
        <w:tc>
          <w:tcPr>
            <w:gridSpan w:val="4"/>
            <w:tcW w:w="7047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i/>
              </w:rPr>
            </w:pPr>
            <w:r>
              <w:rPr>
                <w:sz w:val="28"/>
                <w:szCs w:val="28"/>
              </w:rPr>
              <w:t xml:space="preserve">ПРИМЕР:</w:t>
            </w:r>
            <w:r>
              <w:rPr>
                <w:i/>
                <w:lang w:val="en-US"/>
              </w:rPr>
              <w:t xml:space="preserve"> </w:t>
            </w:r>
            <w:r>
              <w:rPr>
                <w:i/>
              </w:rPr>
              <w:t xml:space="preserve">База данных</w:t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  <w:tr>
        <w:tblPrEx/>
        <w:trPr/>
        <w:tc>
          <w:tcPr>
            <w:gridSpan w:val="7"/>
            <w:tcW w:w="10146" w:type="dxa"/>
            <w:textDirection w:val="lrTb"/>
            <w:noWrap w:val="false"/>
          </w:tcPr>
          <w:p>
            <w:pPr>
              <w:jc w:val="center"/>
              <w:spacing w:line="276" w:lineRule="auto"/>
            </w:pPr>
            <w:r>
              <w:t xml:space="preserve">Расписание резервного копирования</w:t>
            </w:r>
            <w:r/>
          </w:p>
        </w:tc>
      </w:tr>
      <w:tr>
        <w:tblPrEx/>
        <w:trPr>
          <w:trHeight w:val="420"/>
        </w:trPr>
        <w:tc>
          <w:tcPr>
            <w:gridSpan w:val="4"/>
            <w:tcW w:w="46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b/>
                <w:i/>
              </w:rPr>
            </w:pPr>
            <w:r>
              <w:rPr>
                <w:b/>
              </w:rPr>
              <w:t xml:space="preserve">Инкрементное резервное копирование</w:t>
            </w: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</w:tc>
        <w:tc>
          <w:tcPr>
            <w:gridSpan w:val="3"/>
            <w:tcW w:w="549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b/>
              </w:rPr>
            </w:pPr>
            <w:r>
              <w:rPr>
                <w:b/>
              </w:rPr>
              <w:t xml:space="preserve">Полное резервное копирование ВМ (Full backup) 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>
          <w:trHeight w:val="675"/>
        </w:trPr>
        <w:tc>
          <w:tcPr>
            <w:tcW w:w="183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Дни недели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951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Время бэкапа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tcW w:w="18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Повторы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2005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i/>
                <w:color w:val="ff0000"/>
              </w:rPr>
            </w:pPr>
            <w:r>
              <w:rPr>
                <w:color w:val="000000"/>
              </w:rPr>
              <w:t xml:space="preserve">Дни недели</w:t>
            </w:r>
            <w:r>
              <w:rPr>
                <w:i/>
                <w:color w:val="ff0000"/>
              </w:rPr>
            </w:r>
            <w:r>
              <w:rPr>
                <w:i/>
                <w:color w:val="ff0000"/>
              </w:rPr>
            </w:r>
          </w:p>
        </w:tc>
        <w:tc>
          <w:tcPr>
            <w:tcW w:w="91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i/>
                <w:color w:val="ff0000"/>
              </w:rPr>
            </w:pPr>
            <w:r>
              <w:rPr>
                <w:color w:val="000000"/>
              </w:rPr>
              <w:t xml:space="preserve">Время бэкапа</w:t>
            </w:r>
            <w:r>
              <w:rPr>
                <w:i/>
                <w:color w:val="ff0000"/>
              </w:rPr>
            </w:r>
            <w:r>
              <w:rPr>
                <w:i/>
                <w:color w:val="ff0000"/>
              </w:rPr>
            </w:r>
          </w:p>
        </w:tc>
        <w:tc>
          <w:tcPr>
            <w:tcW w:w="2575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</w:pPr>
            <w:r>
              <w:rPr>
                <w:color w:val="000000"/>
              </w:rPr>
              <w:t xml:space="preserve">Повторы</w:t>
            </w:r>
            <w:r/>
          </w:p>
        </w:tc>
      </w:tr>
      <w:tr>
        <w:tblPrEx/>
        <w:trPr>
          <w:trHeight w:val="2996"/>
        </w:trPr>
        <w:tc>
          <w:tcPr>
            <w:tcW w:w="1838" w:type="dxa"/>
            <w:vAlign w:val="center"/>
            <w:textDirection w:val="lrTb"/>
            <w:noWrap w:val="false"/>
          </w:tcPr>
          <w:p>
            <w:pPr>
              <w:spacing w:line="276" w:lineRule="auto"/>
              <w:rPr>
                <w:rFonts w:eastAsia="Calibri"/>
              </w:rPr>
            </w:pPr>
            <w:r>
              <w:rPr>
                <w:sz w:val="28"/>
                <w:szCs w:val="28"/>
              </w:rPr>
              <w:t xml:space="preserve">ПРИМЕР:</w:t>
            </w:r>
            <w:r>
              <w:rPr>
                <w:i/>
              </w:rPr>
              <w:t xml:space="preserve"> </w:t>
            </w:r>
            <w:r>
              <w:rPr>
                <w:rFonts w:ascii="Segoe UI Symbol" w:hAnsi="Segoe UI Symbol" w:cs="Segoe UI Symbol"/>
              </w:rPr>
              <w:t xml:space="preserve">☐</w:t>
            </w:r>
            <w:r>
              <w:rPr>
                <w:rFonts w:eastAsia="Calibri"/>
              </w:rPr>
              <w:t xml:space="preserve"> понедельник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spacing w:line="276" w:lineRule="auto"/>
              <w:rPr>
                <w:rFonts w:eastAsia="Calibri"/>
              </w:rPr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rPr>
                <w:rFonts w:eastAsia="Calibri"/>
              </w:rPr>
              <w:t xml:space="preserve"> вторник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spacing w:line="276" w:lineRule="auto"/>
              <w:rPr>
                <w:rFonts w:eastAsia="Calibri"/>
              </w:rPr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rPr>
                <w:rFonts w:eastAsia="Calibri"/>
              </w:rPr>
              <w:t xml:space="preserve"> среда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spacing w:line="276" w:lineRule="auto"/>
              <w:rPr>
                <w:rFonts w:eastAsia="Calibri"/>
              </w:rPr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rPr>
                <w:rFonts w:eastAsia="Calibri"/>
              </w:rPr>
              <w:t xml:space="preserve"> четверг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spacing w:line="276" w:lineRule="auto"/>
              <w:rPr>
                <w:rFonts w:eastAsia="Calibri"/>
              </w:rPr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rPr>
                <w:rFonts w:eastAsia="Calibri"/>
              </w:rPr>
              <w:t xml:space="preserve"> пятница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spacing w:line="276" w:lineRule="auto"/>
              <w:rPr>
                <w:rFonts w:eastAsia="Calibri"/>
              </w:rPr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rPr>
                <w:rFonts w:eastAsia="Calibri"/>
              </w:rPr>
              <w:t xml:space="preserve"> суббота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jc w:val="both"/>
              <w:spacing w:line="276" w:lineRule="auto"/>
              <w:rPr>
                <w:color w:val="000000"/>
              </w:rPr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rPr>
                <w:rFonts w:eastAsia="Calibri"/>
              </w:rPr>
              <w:t xml:space="preserve"> воскресенье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951" w:type="dxa"/>
            <w:vAlign w:val="center"/>
            <w:textDirection w:val="lrTb"/>
            <w:noWrap w:val="false"/>
          </w:tcPr>
          <w:p>
            <w:pPr>
              <w:ind w:firstLine="34"/>
              <w:jc w:val="center"/>
              <w:spacing w:line="276" w:lineRule="auto"/>
              <w:rPr>
                <w:i/>
                <w:color w:val="ff0000"/>
              </w:rPr>
            </w:pPr>
            <w:r>
              <w:rPr>
                <w:sz w:val="28"/>
                <w:szCs w:val="28"/>
              </w:rPr>
              <w:t xml:space="preserve">ПРИМЕР:</w:t>
            </w:r>
            <w:r>
              <w:rPr>
                <w:i/>
                <w:lang w:val="en-US"/>
              </w:rPr>
              <w:t xml:space="preserve"> </w:t>
            </w:r>
            <w:r>
              <w:rPr>
                <w:i/>
                <w:color w:val="ff0000"/>
              </w:rPr>
              <w:t xml:space="preserve">00:00–01:00</w:t>
            </w:r>
            <w:r>
              <w:rPr>
                <w:i/>
                <w:color w:val="ff0000"/>
              </w:rPr>
            </w:r>
            <w:r>
              <w:rPr>
                <w:i/>
                <w:color w:val="ff0000"/>
              </w:rPr>
            </w:r>
          </w:p>
        </w:tc>
        <w:tc>
          <w:tcPr>
            <w:gridSpan w:val="2"/>
            <w:tcW w:w="1864" w:type="dxa"/>
            <w:vAlign w:val="center"/>
            <w:textDirection w:val="lrTb"/>
            <w:noWrap w:val="false"/>
          </w:tcPr>
          <w:p>
            <w:pPr>
              <w:spacing w:line="276" w:lineRule="auto"/>
              <w:rPr>
                <w:rFonts w:eastAsia="Calibri"/>
              </w:rPr>
            </w:pPr>
            <w:r>
              <w:rPr>
                <w:sz w:val="28"/>
                <w:szCs w:val="28"/>
              </w:rPr>
              <w:t xml:space="preserve">ПРИМЕР:</w:t>
            </w:r>
            <w:r>
              <w:rPr>
                <w:i/>
              </w:rPr>
              <w:t xml:space="preserve"> </w:t>
            </w:r>
            <w:r>
              <w:rPr>
                <w:rFonts w:ascii="Segoe UI Symbol" w:hAnsi="Segoe UI Symbol" w:cs="Segoe UI Symbol"/>
              </w:rPr>
              <w:t xml:space="preserve">☐</w:t>
            </w:r>
            <w:r>
              <w:rPr>
                <w:rFonts w:eastAsia="Calibri"/>
              </w:rPr>
              <w:t xml:space="preserve">еженедельно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spacing w:line="276" w:lineRule="auto"/>
              <w:rPr>
                <w:rFonts w:eastAsia="Calibri"/>
              </w:rPr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rPr>
                <w:rFonts w:eastAsia="Calibri"/>
              </w:rPr>
              <w:t xml:space="preserve">каждую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ind w:left="340"/>
              <w:spacing w:line="276" w:lineRule="auto"/>
              <w:rPr>
                <w:rFonts w:eastAsia="Calibri"/>
              </w:rPr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rPr>
                <w:rFonts w:eastAsia="Calibri"/>
              </w:rPr>
              <w:t xml:space="preserve"> 1 неделю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ind w:left="340"/>
              <w:spacing w:line="276" w:lineRule="auto"/>
              <w:rPr>
                <w:rFonts w:eastAsia="Calibri"/>
              </w:rPr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rPr>
                <w:rFonts w:eastAsia="Calibri"/>
              </w:rPr>
              <w:t xml:space="preserve"> 2 неделю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ind w:left="340"/>
              <w:spacing w:line="276" w:lineRule="auto"/>
              <w:rPr>
                <w:rFonts w:eastAsia="Calibri"/>
              </w:rPr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rPr>
                <w:rFonts w:eastAsia="Calibri"/>
              </w:rPr>
              <w:t xml:space="preserve"> 3 неделю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ind w:left="340"/>
              <w:spacing w:line="276" w:lineRule="auto"/>
              <w:rPr>
                <w:i/>
                <w:color w:val="ff0000"/>
              </w:rPr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rPr>
                <w:rFonts w:eastAsia="Calibri"/>
              </w:rPr>
              <w:t xml:space="preserve"> 4 неделю</w:t>
            </w:r>
            <w:r>
              <w:rPr>
                <w:i/>
                <w:color w:val="ff0000"/>
              </w:rPr>
            </w:r>
            <w:r>
              <w:rPr>
                <w:i/>
                <w:color w:val="ff0000"/>
              </w:rPr>
            </w:r>
          </w:p>
        </w:tc>
        <w:tc>
          <w:tcPr>
            <w:tcW w:w="2005" w:type="dxa"/>
            <w:vAlign w:val="center"/>
            <w:textDirection w:val="lrTb"/>
            <w:noWrap w:val="false"/>
          </w:tcPr>
          <w:p>
            <w:pPr>
              <w:spacing w:line="276" w:lineRule="auto"/>
              <w:rPr>
                <w:rFonts w:eastAsia="Calibri"/>
              </w:rPr>
            </w:pPr>
            <w:r>
              <w:rPr>
                <w:sz w:val="28"/>
                <w:szCs w:val="28"/>
              </w:rPr>
              <w:t xml:space="preserve">ПРИМЕР:</w:t>
            </w:r>
            <w:r>
              <w:rPr>
                <w:i/>
              </w:rPr>
              <w:t xml:space="preserve"> </w:t>
            </w:r>
            <w:r>
              <w:rPr>
                <w:rFonts w:ascii="Segoe UI Symbol" w:hAnsi="Segoe UI Symbol" w:cs="Segoe UI Symbol"/>
              </w:rPr>
              <w:t xml:space="preserve">☒</w:t>
            </w:r>
            <w:r>
              <w:rPr>
                <w:rFonts w:eastAsia="Calibri"/>
              </w:rPr>
              <w:t xml:space="preserve"> понедельник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spacing w:line="276" w:lineRule="auto"/>
              <w:rPr>
                <w:rFonts w:eastAsia="Calibri"/>
              </w:rPr>
            </w:pPr>
            <w:r>
              <w:rPr>
                <w:rFonts w:ascii="Segoe UI Symbol" w:hAnsi="Segoe UI Symbol" w:cs="Segoe UI Symbol"/>
              </w:rPr>
              <w:t xml:space="preserve">☒</w:t>
            </w:r>
            <w:r>
              <w:rPr>
                <w:rFonts w:eastAsia="Calibri"/>
              </w:rPr>
              <w:t xml:space="preserve"> вторник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spacing w:line="276" w:lineRule="auto"/>
              <w:rPr>
                <w:rFonts w:eastAsia="Calibri"/>
              </w:rPr>
            </w:pPr>
            <w:r>
              <w:rPr>
                <w:rFonts w:ascii="Segoe UI Symbol" w:hAnsi="Segoe UI Symbol" w:cs="Segoe UI Symbol"/>
              </w:rPr>
              <w:t xml:space="preserve">☒ </w:t>
            </w:r>
            <w:r>
              <w:rPr>
                <w:rFonts w:eastAsia="Calibri"/>
              </w:rPr>
              <w:t xml:space="preserve">среда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spacing w:line="276" w:lineRule="auto"/>
              <w:rPr>
                <w:rFonts w:eastAsia="Calibri"/>
              </w:rPr>
            </w:pPr>
            <w:r>
              <w:rPr>
                <w:rFonts w:ascii="Segoe UI Symbol" w:hAnsi="Segoe UI Symbol" w:cs="Segoe UI Symbol"/>
              </w:rPr>
              <w:t xml:space="preserve">☒</w:t>
            </w:r>
            <w:r>
              <w:rPr>
                <w:rFonts w:eastAsia="Calibri"/>
              </w:rPr>
              <w:t xml:space="preserve"> четверг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spacing w:line="276" w:lineRule="auto"/>
              <w:rPr>
                <w:rFonts w:eastAsia="Calibri"/>
              </w:rPr>
            </w:pPr>
            <w:r>
              <w:rPr>
                <w:rFonts w:ascii="Segoe UI Symbol" w:hAnsi="Segoe UI Symbol" w:cs="Segoe UI Symbol"/>
              </w:rPr>
              <w:t xml:space="preserve">☒</w:t>
            </w:r>
            <w:r>
              <w:rPr>
                <w:rFonts w:eastAsia="Calibri"/>
              </w:rPr>
              <w:t xml:space="preserve"> пятница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spacing w:line="276" w:lineRule="auto"/>
              <w:rPr>
                <w:rFonts w:eastAsia="Calibri"/>
              </w:rPr>
            </w:pPr>
            <w:r>
              <w:rPr>
                <w:rFonts w:ascii="Segoe UI Symbol" w:hAnsi="Segoe UI Symbol" w:cs="Segoe UI Symbol"/>
              </w:rPr>
              <w:t xml:space="preserve">☒</w:t>
            </w:r>
            <w:r>
              <w:rPr>
                <w:rFonts w:eastAsia="Calibri"/>
              </w:rPr>
              <w:t xml:space="preserve"> суббота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spacing w:line="276" w:lineRule="auto"/>
              <w:rPr>
                <w:i/>
                <w:color w:val="ff0000"/>
              </w:rPr>
            </w:pPr>
            <w:r>
              <w:rPr>
                <w:rFonts w:ascii="Segoe UI Symbol" w:hAnsi="Segoe UI Symbol" w:cs="Segoe UI Symbol"/>
              </w:rPr>
              <w:t xml:space="preserve">☒</w:t>
            </w:r>
            <w:r>
              <w:rPr>
                <w:rFonts w:eastAsia="Calibri"/>
              </w:rPr>
              <w:t xml:space="preserve"> воскресенье</w:t>
            </w:r>
            <w:r>
              <w:rPr>
                <w:i/>
                <w:color w:val="ff0000"/>
              </w:rPr>
            </w:r>
            <w:r>
              <w:rPr>
                <w:i/>
                <w:color w:val="ff0000"/>
              </w:rPr>
            </w:r>
          </w:p>
        </w:tc>
        <w:tc>
          <w:tcPr>
            <w:tcW w:w="91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i/>
                <w:color w:val="ff0000"/>
              </w:rPr>
            </w:pPr>
            <w:r>
              <w:rPr>
                <w:sz w:val="28"/>
                <w:szCs w:val="28"/>
              </w:rPr>
              <w:t xml:space="preserve">ПРИМЕР:</w:t>
            </w:r>
            <w:r>
              <w:rPr>
                <w:i/>
                <w:lang w:val="en-US"/>
              </w:rPr>
              <w:t xml:space="preserve"> </w:t>
            </w:r>
            <w:r>
              <w:rPr>
                <w:i/>
                <w:color w:val="ff0000"/>
              </w:rPr>
              <w:t xml:space="preserve">03:00–04:00</w:t>
            </w:r>
            <w:r>
              <w:rPr>
                <w:i/>
                <w:color w:val="ff0000"/>
              </w:rPr>
            </w:r>
            <w:r>
              <w:rPr>
                <w:i/>
                <w:color w:val="ff0000"/>
              </w:rPr>
            </w:r>
          </w:p>
        </w:tc>
        <w:tc>
          <w:tcPr>
            <w:tcW w:w="2575" w:type="dxa"/>
            <w:vAlign w:val="center"/>
            <w:textDirection w:val="lrTb"/>
            <w:noWrap w:val="false"/>
          </w:tcPr>
          <w:p>
            <w:pPr>
              <w:spacing w:line="276" w:lineRule="auto"/>
              <w:rPr>
                <w:rFonts w:eastAsia="Calibri"/>
              </w:rPr>
            </w:pPr>
            <w:r>
              <w:rPr>
                <w:sz w:val="28"/>
                <w:szCs w:val="28"/>
              </w:rPr>
              <w:t xml:space="preserve">ПРИМЕР:</w:t>
            </w:r>
            <w:r>
              <w:rPr>
                <w:i/>
              </w:rPr>
              <w:t xml:space="preserve"> </w:t>
            </w:r>
            <w:r>
              <w:rPr>
                <w:rFonts w:ascii="Segoe UI Symbol" w:hAnsi="Segoe UI Symbol" w:cs="Segoe UI Symbol"/>
              </w:rPr>
              <w:t xml:space="preserve">☒</w:t>
            </w:r>
            <w:r>
              <w:rPr>
                <w:rFonts w:eastAsia="Calibri"/>
              </w:rPr>
              <w:t xml:space="preserve">еженедельно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spacing w:line="276" w:lineRule="auto"/>
              <w:rPr>
                <w:rFonts w:eastAsia="Calibri"/>
              </w:rPr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rPr>
                <w:rFonts w:eastAsia="Calibri"/>
              </w:rPr>
              <w:t xml:space="preserve">каждую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ind w:left="340"/>
              <w:spacing w:line="276" w:lineRule="auto"/>
              <w:rPr>
                <w:rFonts w:eastAsia="Calibri"/>
              </w:rPr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rPr>
                <w:rFonts w:eastAsia="Calibri"/>
              </w:rPr>
              <w:t xml:space="preserve"> 1 неделю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ind w:left="340"/>
              <w:spacing w:line="276" w:lineRule="auto"/>
              <w:rPr>
                <w:rFonts w:eastAsia="Calibri"/>
              </w:rPr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rPr>
                <w:rFonts w:eastAsia="Calibri"/>
              </w:rPr>
              <w:t xml:space="preserve"> 2 неделю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ind w:left="340"/>
              <w:spacing w:line="276" w:lineRule="auto"/>
              <w:rPr>
                <w:rFonts w:eastAsia="Calibri"/>
              </w:rPr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rPr>
                <w:rFonts w:eastAsia="Calibri"/>
              </w:rPr>
              <w:t xml:space="preserve"> 3 неделю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ind w:left="340"/>
              <w:spacing w:line="276" w:lineRule="auto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rPr>
                <w:rFonts w:eastAsia="Calibri"/>
              </w:rPr>
              <w:t xml:space="preserve"> 4 неделю</w:t>
            </w:r>
            <w:r/>
          </w:p>
        </w:tc>
      </w:tr>
      <w:tr>
        <w:tblPrEx/>
        <w:trPr>
          <w:trHeight w:val="1203"/>
        </w:trPr>
        <w:tc>
          <w:tcPr>
            <w:gridSpan w:val="7"/>
            <w:tcW w:w="10146" w:type="dxa"/>
            <w:textDirection w:val="lrTb"/>
            <w:noWrap w:val="false"/>
          </w:tcPr>
          <w:p>
            <w:pPr>
              <w:pStyle w:val="1177"/>
              <w:ind w:left="108" w:firstLine="567"/>
              <w:spacing w:before="0"/>
              <w:tabs>
                <w:tab w:val="left" w:pos="9540" w:leader="none"/>
              </w:tabs>
            </w:pPr>
            <w:r>
              <w:t xml:space="preserve">Примечание</w:t>
            </w:r>
            <w:r/>
          </w:p>
          <w:p>
            <w:pPr>
              <w:pStyle w:val="1177"/>
              <w:ind w:left="108" w:firstLine="567"/>
              <w:spacing w:before="0"/>
              <w:tabs>
                <w:tab w:val="left" w:pos="9540" w:leader="none"/>
              </w:tabs>
            </w:pPr>
            <w:r>
              <w:rPr>
                <w:sz w:val="28"/>
                <w:szCs w:val="28"/>
              </w:rPr>
              <w:t xml:space="preserve">ПРИМЕР:</w:t>
            </w:r>
            <w:r>
              <w:rPr>
                <w:i/>
              </w:rPr>
              <w:t xml:space="preserve"> </w:t>
            </w:r>
            <w:r>
              <w:t xml:space="preserve">Хранится 1 копия на 1 число месяца, 3 субботних бэкапа, 6 ежедневных</w:t>
            </w:r>
            <w:r/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504020204"/>
  </w:font>
  <w:font w:name="Symbol">
    <w:panose1 w:val="05010000000000000000"/>
  </w:font>
  <w:font w:name="Times New Roman Полужирный">
    <w:panose1 w:val="02020603050405020304"/>
  </w:font>
  <w:font w:name="Courier New">
    <w:panose1 w:val="02070309020205020404"/>
  </w:font>
  <w:font w:name="open-sans">
    <w:panose1 w:val="020B0606030504020204"/>
  </w:font>
  <w:font w:name="Tahoma">
    <w:panose1 w:val="020B0604030504040204"/>
  </w:font>
  <w:font w:name="Verdana">
    <w:panose1 w:val="020B0604030504040204"/>
  </w:font>
  <w:font w:name="Calibri">
    <w:panose1 w:val="020F0502020204030204"/>
  </w:font>
  <w:font w:name="SimSun">
    <w:panose1 w:val="02000603000000000000"/>
  </w:font>
  <w:font w:name="Liberation Sans">
    <w:panose1 w:val="020B0604020202020204"/>
  </w:font>
  <w:font w:name="Wingdings">
    <w:panose1 w:val="05010000000000000000"/>
  </w:font>
  <w:font w:name="Arial CYR">
    <w:panose1 w:val="020B0604020202020204"/>
  </w:font>
  <w:font w:name="Noto Sans Devanagari">
    <w:panose1 w:val="020B0502040504020204"/>
  </w:font>
  <w:font w:name="Cambria">
    <w:panose1 w:val="02040503050406030204"/>
  </w:font>
  <w:font w:name="Arial Unicode MS">
    <w:panose1 w:val="020B0604020202020204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725567970"/>
      <w:docPartObj>
        <w:docPartGallery w:val="Page Numbers (Bottom of Page)"/>
        <w:docPartUnique w:val="true"/>
      </w:docPartObj>
      <w:rPr/>
    </w:sdtPr>
    <w:sdtContent>
      <w:p>
        <w:pPr>
          <w:pStyle w:val="993"/>
          <w:jc w:val="center"/>
        </w:pPr>
        <w:r/>
        <w:r/>
      </w:p>
      <w:p>
        <w:pPr>
          <w:pStyle w:val="993"/>
          <w:jc w:val="center"/>
          <w:rPr>
            <w:sz w:val="32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23</w:t>
        </w:r>
        <w:r>
          <w:fldChar w:fldCharType="end"/>
        </w:r>
        <w:r>
          <w:rPr>
            <w:sz w:val="32"/>
          </w:rPr>
        </w:r>
        <w:r>
          <w:rPr>
            <w:sz w:val="32"/>
          </w:rPr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57567600"/>
      <w:docPartObj>
        <w:docPartGallery w:val="Page Numbers (Bottom of Page)"/>
        <w:docPartUnique w:val="true"/>
      </w:docPartObj>
      <w:rPr/>
    </w:sdtPr>
    <w:sdtContent>
      <w:p>
        <w:pPr>
          <w:pStyle w:val="99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18</w:t>
        </w:r>
        <w:r>
          <w:fldChar w:fldCharType="end"/>
        </w:r>
        <w:r/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8"/>
      <w:numFmt w:val="decimal"/>
      <w:isLgl w:val="false"/>
      <w:suff w:val="tab"/>
      <w:lvlText w:val="6.%1."/>
      <w:legacy w:legacy="1" w:legacyIndent="490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pStyle w:val="1041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4.%1."/>
      <w:legacy w:legacy="1" w:legacyIndent="461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pStyle w:val="1043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pStyle w:val="1044"/>
      <w:isLgl w:val="false"/>
      <w:suff w:val="tab"/>
      <w:lvlText w:val="%1.%2"/>
      <w:lvlJc w:val="left"/>
      <w:pPr>
        <w:ind w:left="612" w:hanging="432"/>
        <w:tabs>
          <w:tab w:val="num" w:pos="612" w:leader="none"/>
        </w:tabs>
      </w:pPr>
      <w:rPr>
        <w:rFonts w:hint="default" w:cs="Times New Roman"/>
        <w:b/>
        <w:i w:val="0"/>
        <w:color w:val="000000"/>
      </w:rPr>
    </w:lvl>
    <w:lvl w:ilvl="2">
      <w:start w:val="1"/>
      <w:numFmt w:val="decimal"/>
      <w:pStyle w:val="1043"/>
      <w:isLgl w:val="false"/>
      <w:suff w:val="tab"/>
      <w:lvlText w:val="%1.%2.%3"/>
      <w:lvlJc w:val="left"/>
      <w:pPr>
        <w:ind w:left="1584" w:hanging="504"/>
        <w:tabs>
          <w:tab w:val="num" w:pos="1800" w:leader="none"/>
        </w:tabs>
      </w:pPr>
      <w:rPr>
        <w:rFonts w:hint="default" w:cs="Times New Roman"/>
        <w:i w:val="0"/>
        <w:color w:val="00000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728" w:hanging="648"/>
        <w:tabs>
          <w:tab w:val="num" w:pos="2160" w:leader="none"/>
        </w:tabs>
      </w:pPr>
      <w:rPr>
        <w:rFonts w:hint="default" w:cs="Times New Roman"/>
        <w:i w:val="0"/>
        <w:color w:val="000000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232" w:hanging="792"/>
        <w:tabs>
          <w:tab w:val="num" w:pos="252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  <w:rPr>
        <w:rFonts w:hint="default" w:cs="Times New Roman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3.%1."/>
      <w:legacy w:legacy="1" w:legacyIndent="446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  <w:tabs>
          <w:tab w:val="num" w:pos="540" w:leader="none"/>
        </w:tabs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/>
        <w:sz w:val="22"/>
        <w:szCs w:val="22"/>
      </w:rPr>
    </w:lvl>
    <w:lvl w:ilvl="2">
      <w:start w:val="1"/>
      <w:numFmt w:val="decimal"/>
      <w:pStyle w:val="824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  <w:sz w:val="22"/>
        <w:szCs w:val="22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/>
        <w:sz w:val="22"/>
        <w:szCs w:val="22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pStyle w:val="1098"/>
      <w:isLgl w:val="false"/>
      <w:suff w:val="tab"/>
      <w:lvlText w:val=""/>
      <w:lvlJc w:val="left"/>
      <w:pPr>
        <w:ind w:left="19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pStyle w:val="1176"/>
      <w:isLgl w:val="false"/>
      <w:suff w:val="tab"/>
      <w:lvlText w:val=""/>
      <w:lvlJc w:val="left"/>
      <w:pPr>
        <w:ind w:left="171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43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15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87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9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31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03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75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473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6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2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8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pStyle w:val="1020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isLgl w:val="false"/>
      <w:suff w:val="tab"/>
      <w:lvlText w:val="%1.%2."/>
      <w:lvlJc w:val="left"/>
      <w:pPr>
        <w:ind w:left="1288" w:hanging="720"/>
      </w:pPr>
      <w:rPr>
        <w:rFonts w:hint="default"/>
      </w:rPr>
    </w:lvl>
    <w:lvl w:ilvl="2">
      <w:start w:val="2"/>
      <w:numFmt w:val="decimal"/>
      <w:isLgl w:val="false"/>
      <w:suff w:val="tab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Глава 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756" w:hanging="576"/>
        <w:tabs>
          <w:tab w:val="num" w:pos="75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pStyle w:val="827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pStyle w:val="828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pStyle w:val="829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pStyle w:val="830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pStyle w:val="1016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pStyle w:val="1016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pStyle w:val="1017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pStyle w:val="1018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16">
    <w:multiLevelType w:val="hybridMultilevel"/>
    <w:lvl w:ilvl="0">
      <w:start w:val="5"/>
      <w:numFmt w:val="decimal"/>
      <w:isLgl w:val="false"/>
      <w:suff w:val="tab"/>
      <w:lvlText w:val="%1"/>
      <w:lvlJc w:val="left"/>
      <w:pPr>
        <w:ind w:left="645" w:hanging="645"/>
        <w:tabs>
          <w:tab w:val="num" w:pos="645" w:leader="none"/>
        </w:tabs>
      </w:pPr>
      <w:rPr>
        <w:rFonts w:hint="default" w:ascii="Times New Roman" w:hAnsi="Times New Roman" w:cs="Times New Roman"/>
      </w:rPr>
    </w:lvl>
    <w:lvl w:ilvl="1">
      <w:start w:val="2"/>
      <w:numFmt w:val="decimal"/>
      <w:isLgl w:val="false"/>
      <w:suff w:val="tab"/>
      <w:lvlText w:val="%1.%2"/>
      <w:lvlJc w:val="left"/>
      <w:pPr>
        <w:ind w:left="791" w:hanging="720"/>
        <w:tabs>
          <w:tab w:val="num" w:pos="791" w:leader="none"/>
        </w:tabs>
      </w:pPr>
      <w:rPr>
        <w:rFonts w:hint="default" w:ascii="Times New Roman" w:hAnsi="Times New Roman" w:cs="Times New Roman"/>
      </w:rPr>
    </w:lvl>
    <w:lvl w:ilvl="2">
      <w:start w:val="1"/>
      <w:numFmt w:val="decimal"/>
      <w:pStyle w:val="1023"/>
      <w:isLgl w:val="false"/>
      <w:suff w:val="tab"/>
      <w:lvlText w:val="%1.%2.%3"/>
      <w:lvlJc w:val="left"/>
      <w:pPr>
        <w:ind w:left="862" w:hanging="720"/>
        <w:tabs>
          <w:tab w:val="num" w:pos="862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sz w:val="28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293" w:hanging="1080"/>
        <w:tabs>
          <w:tab w:val="num" w:pos="1293" w:leader="none"/>
        </w:tabs>
      </w:pPr>
      <w:rPr>
        <w:rFonts w:hint="default" w:ascii="Times New Roman" w:hAnsi="Times New Roman" w:cs="Times New Roman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724" w:hanging="1440"/>
        <w:tabs>
          <w:tab w:val="num" w:pos="1724" w:leader="none"/>
        </w:tabs>
      </w:pPr>
      <w:rPr>
        <w:rFonts w:hint="default" w:ascii="Times New Roman" w:hAnsi="Times New Roman"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795" w:hanging="1440"/>
        <w:tabs>
          <w:tab w:val="num" w:pos="1795" w:leader="none"/>
        </w:tabs>
      </w:pPr>
      <w:rPr>
        <w:rFonts w:hint="default" w:ascii="Times New Roman" w:hAnsi="Times New Roman"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2226" w:hanging="1800"/>
        <w:tabs>
          <w:tab w:val="num" w:pos="2226" w:leader="none"/>
        </w:tabs>
      </w:pPr>
      <w:rPr>
        <w:rFonts w:hint="default" w:ascii="Times New Roman" w:hAnsi="Times New Roman"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297" w:hanging="1800"/>
        <w:tabs>
          <w:tab w:val="num" w:pos="2297" w:leader="none"/>
        </w:tabs>
      </w:pPr>
      <w:rPr>
        <w:rFonts w:hint="default" w:ascii="Times New Roman" w:hAnsi="Times New Roman"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728" w:hanging="2160"/>
        <w:tabs>
          <w:tab w:val="num" w:pos="2728" w:leader="none"/>
        </w:tabs>
      </w:pPr>
      <w:rPr>
        <w:rFonts w:hint="default" w:ascii="Times New Roman" w:hAnsi="Times New Roman" w:cs="Times New Roman"/>
      </w:rPr>
    </w:lvl>
  </w:abstractNum>
  <w:abstractNum w:abstractNumId="17">
    <w:multiLevelType w:val="hybridMultilevel"/>
    <w:lvl w:ilvl="0">
      <w:start w:val="1"/>
      <w:numFmt w:val="lowerLetter"/>
      <w:pStyle w:val="1042"/>
      <w:isLgl w:val="false"/>
      <w:suff w:val="space"/>
      <w:lvlText w:val="%1)  "/>
      <w:lvlJc w:val="left"/>
      <w:pPr>
        <w:ind w:left="964" w:hanging="397"/>
      </w:pPr>
      <w:rPr>
        <w:rFonts w:hint="default"/>
      </w:rPr>
    </w:lvl>
    <w:lvl w:ilvl="1">
      <w:start w:val="1"/>
      <w:numFmt w:val="decimal"/>
      <w:isLgl w:val="false"/>
      <w:suff w:val="space"/>
      <w:lvlText w:val="%2)  "/>
      <w:lvlJc w:val="left"/>
      <w:pPr>
        <w:ind w:left="1361" w:hanging="397"/>
      </w:pPr>
      <w:rPr>
        <w:rFonts w:hint="default" w:ascii="Arial" w:hAnsi="Arial"/>
      </w:rPr>
    </w:lvl>
    <w:lvl w:ilvl="2">
      <w:start w:val="1"/>
      <w:numFmt w:val="bullet"/>
      <w:isLgl w:val="false"/>
      <w:suff w:val="tab"/>
      <w:lvlText w:val=""/>
      <w:lvlJc w:val="left"/>
      <w:pPr>
        <w:ind w:left="1758" w:hanging="397"/>
        <w:tabs>
          <w:tab w:val="num" w:pos="1758" w:leader="none"/>
        </w:tabs>
      </w:pPr>
      <w:rPr>
        <w:rFonts w:hint="default" w:ascii="Symbol" w:hAnsi="Symbol"/>
      </w:rPr>
    </w:lvl>
    <w:lvl w:ilvl="3">
      <w:start w:val="1"/>
      <w:numFmt w:val="decimal"/>
      <w:isLgl w:val="false"/>
      <w:suff w:val="space"/>
      <w:lvlText w:val="(%4)"/>
      <w:lvlJc w:val="left"/>
      <w:pPr>
        <w:ind w:left="589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949" w:hanging="360"/>
        <w:tabs>
          <w:tab w:val="num" w:pos="949" w:leader="none"/>
        </w:tabs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1309" w:hanging="360"/>
        <w:tabs>
          <w:tab w:val="num" w:pos="1669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1669" w:hanging="360"/>
        <w:tabs>
          <w:tab w:val="num" w:pos="1669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029" w:hanging="360"/>
        <w:tabs>
          <w:tab w:val="num" w:pos="2029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2389" w:hanging="360"/>
        <w:tabs>
          <w:tab w:val="num" w:pos="2389" w:leader="none"/>
        </w:tabs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pStyle w:val="1112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19">
    <w:multiLevelType w:val="hybridMultilevel"/>
    <w:lvl w:ilvl="0">
      <w:start w:val="1"/>
      <w:numFmt w:val="bullet"/>
      <w:pStyle w:val="1012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pStyle w:val="822"/>
      <w:isLgl w:val="false"/>
      <w:suff w:val="tab"/>
      <w:lvlText w:val="%1."/>
      <w:lvlJc w:val="left"/>
      <w:pPr>
        <w:ind w:left="2694" w:hanging="567"/>
        <w:tabs>
          <w:tab w:val="num" w:pos="2694" w:leader="none"/>
        </w:tabs>
      </w:pPr>
      <w:rPr>
        <w:rFonts w:hint="default"/>
      </w:rPr>
    </w:lvl>
    <w:lvl w:ilvl="1">
      <w:start w:val="1"/>
      <w:numFmt w:val="decimal"/>
      <w:pStyle w:val="999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2">
      <w:start w:val="1"/>
      <w:numFmt w:val="decimal"/>
      <w:pStyle w:val="999"/>
      <w:isLgl w:val="false"/>
      <w:suff w:val="tab"/>
      <w:lvlText w:val="%1.%2.%3"/>
      <w:lvlJc w:val="left"/>
      <w:pPr>
        <w:ind w:left="1844" w:hanging="851"/>
        <w:tabs>
          <w:tab w:val="num" w:pos="1844" w:leader="none"/>
        </w:tabs>
      </w:pPr>
      <w:rPr>
        <w:rFonts w:hint="default"/>
        <w:b w:val="0"/>
        <w:i w:val="0"/>
        <w:color w:val="auto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119" w:hanging="1134"/>
        <w:tabs>
          <w:tab w:val="num" w:pos="3119" w:leader="none"/>
        </w:tabs>
      </w:pPr>
      <w:rPr>
        <w:rFonts w:hint="default"/>
        <w:b w:val="0"/>
        <w:i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99" w:hanging="792"/>
        <w:tabs>
          <w:tab w:val="num" w:pos="380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303" w:hanging="936"/>
        <w:tabs>
          <w:tab w:val="num" w:pos="452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807" w:hanging="1080"/>
        <w:tabs>
          <w:tab w:val="num" w:pos="524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11" w:hanging="1224"/>
        <w:tabs>
          <w:tab w:val="num" w:pos="596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87" w:hanging="1440"/>
        <w:tabs>
          <w:tab w:val="num" w:pos="6687" w:leader="none"/>
        </w:tabs>
      </w:pPr>
      <w:rPr>
        <w:rFonts w:hint="default"/>
      </w:rPr>
    </w:lvl>
  </w:abstractNum>
  <w:abstractNum w:abstractNumId="21">
    <w:multiLevelType w:val="hybridMultilevel"/>
    <w:styleLink w:val="1095"/>
    <w:lvl w:ilvl="0">
      <w:start w:val="1"/>
      <w:numFmt w:val="decimal"/>
      <w:pStyle w:val="1095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22">
    <w:multiLevelType w:val="hybridMultilevel"/>
    <w:lvl w:ilvl="0">
      <w:start w:val="1"/>
      <w:numFmt w:val="decimal"/>
      <w:pStyle w:val="1126"/>
      <w:isLgl w:val="false"/>
      <w:suff w:val="tab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caps w:val="0"/>
        <w:strike w:val="0"/>
        <w:vanish w:val="0"/>
        <w:color w:val="000000"/>
        <w:sz w:val="28"/>
        <w:szCs w:val="28"/>
        <w:vertAlign w:val="baseline"/>
      </w:rPr>
    </w:lvl>
    <w:lvl w:ilvl="1">
      <w:start w:val="1"/>
      <w:numFmt w:val="decimal"/>
      <w:pStyle w:val="1127"/>
      <w:isLgl w:val="false"/>
      <w:suff w:val="tab"/>
      <w:lvlText w:val="%1.%2"/>
      <w:lvlJc w:val="left"/>
      <w:pPr>
        <w:ind w:left="0" w:firstLine="0"/>
      </w:pPr>
      <w:rPr>
        <w:rFonts w:hint="default" w:ascii="Times New Roman" w:hAnsi="Times New Roman"/>
        <w:b/>
        <w:i w:val="0"/>
        <w:caps w:val="0"/>
        <w:strike w:val="0"/>
        <w:vanish w:val="0"/>
        <w:color w:val="000000"/>
        <w:sz w:val="26"/>
        <w:vertAlign w:val="baseline"/>
      </w:rPr>
    </w:lvl>
    <w:lvl w:ilvl="2">
      <w:start w:val="1"/>
      <w:numFmt w:val="decimal"/>
      <w:pStyle w:val="1129"/>
      <w:isLgl w:val="false"/>
      <w:suff w:val="tab"/>
      <w:lvlText w:val="%1.%2.%3"/>
      <w:lvlJc w:val="left"/>
      <w:pPr>
        <w:ind w:left="0" w:firstLine="0"/>
      </w:pPr>
      <w:rPr>
        <w:rFonts w:hint="default" w:ascii="Times New Roman" w:hAnsi="Times New Roman"/>
        <w:b/>
        <w:i w:val="0"/>
        <w:caps w:val="0"/>
        <w:strike w:val="0"/>
        <w:vanish w:val="0"/>
        <w:color w:val="000000"/>
        <w:sz w:val="24"/>
        <w:vertAlign w:val="baseline"/>
      </w:rPr>
    </w:lvl>
    <w:lvl w:ilvl="3">
      <w:start w:val="1"/>
      <w:numFmt w:val="decimal"/>
      <w:pStyle w:val="1130"/>
      <w:isLgl w:val="false"/>
      <w:suff w:val="tab"/>
      <w:lvlText w:val="%1.%2.%3.%4"/>
      <w:lvlJc w:val="left"/>
      <w:pPr>
        <w:ind w:left="0" w:firstLine="0"/>
      </w:pPr>
      <w:rPr>
        <w:rFonts w:hint="default" w:ascii="Times New Roman" w:hAnsi="Times New Roman"/>
        <w:b/>
        <w:i w:val="0"/>
        <w:caps w:val="0"/>
        <w:strike w:val="0"/>
        <w:vanish w:val="0"/>
        <w:color w:val="000000"/>
        <w:sz w:val="24"/>
        <w:vertAlign w:val="baseline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/>
        <w:b w:val="0"/>
        <w:i/>
        <w:caps/>
        <w:strike w:val="0"/>
        <w:vanish w:val="0"/>
        <w:color w:val="000000"/>
        <w:sz w:val="20"/>
        <w:vertAlign w:val="baseline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50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576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68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7560" w:leader="none"/>
        </w:tabs>
      </w:pPr>
      <w:rPr>
        <w:rFonts w:hint="default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3"/>
      <w:numFmt w:val="decimal"/>
      <w:isLgl w:val="false"/>
      <w:suff w:val="tab"/>
      <w:lvlText w:val="6.%1."/>
      <w:legacy w:legacy="1" w:legacyIndent="453" w:legacySpace="0"/>
      <w:lvlJc w:val="left"/>
      <w:pPr/>
      <w:rPr>
        <w:rFonts w:hint="default" w:ascii="Times New Roman" w:hAnsi="Times New Roman" w:cs="Times New Roman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bullet"/>
      <w:pStyle w:val="1015"/>
      <w:isLgl w:val="false"/>
      <w:suff w:val="tab"/>
      <w:lvlText w:val=""/>
      <w:lvlJc w:val="left"/>
      <w:pPr>
        <w:ind w:left="926" w:hanging="360"/>
        <w:tabs>
          <w:tab w:val="num" w:pos="926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2.%1."/>
      <w:legacy w:legacy="1" w:legacyIndent="439" w:legacySpace="0"/>
      <w:lvlJc w:val="left"/>
      <w:pPr/>
      <w:rPr>
        <w:rFonts w:hint="default" w:ascii="Times New Roman" w:hAnsi="Times New Roman" w:cs="Times New Roman"/>
        <w:b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bullet"/>
      <w:pStyle w:val="1014"/>
      <w:isLgl w:val="false"/>
      <w:suff w:val="tab"/>
      <w:lvlText w:val=""/>
      <w:lvlJc w:val="left"/>
      <w:pPr>
        <w:ind w:left="530" w:hanging="17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6"/>
      <w:numFmt w:val="decimal"/>
      <w:isLgl w:val="false"/>
      <w:suff w:val="tab"/>
      <w:lvlText w:val="6.%1."/>
      <w:legacy w:legacy="1" w:legacyIndent="417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decimal"/>
      <w:pStyle w:val="1058"/>
      <w:isLgl w:val="false"/>
      <w:suff w:val="tab"/>
      <w:lvlText w:val="%1."/>
      <w:lvlJc w:val="left"/>
      <w:pPr>
        <w:ind w:left="0" w:firstLine="1418"/>
        <w:tabs>
          <w:tab w:val="num" w:pos="1418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hint="default"/>
        <w:color w:val="auto"/>
        <w:sz w:val="24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hint="default"/>
      </w:rPr>
    </w:lvl>
  </w:abstractNum>
  <w:abstractNum w:abstractNumId="31">
    <w:multiLevelType w:val="hybridMultilevel"/>
    <w:lvl w:ilvl="0">
      <w:start w:val="1"/>
      <w:numFmt w:val="decimal"/>
      <w:pStyle w:val="1078"/>
      <w:isLgl w:val="false"/>
      <w:suff w:val="tab"/>
      <w:lvlText w:val="3.1.%1."/>
      <w:lvlJc w:val="left"/>
      <w:pPr>
        <w:ind w:left="-643" w:firstLine="927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bullet"/>
      <w:pStyle w:val="1103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pStyle w:val="1013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5.%1."/>
      <w:legacy w:legacy="1" w:legacyIndent="554" w:legacySpace="0"/>
      <w:lvlJc w:val="left"/>
      <w:pPr/>
      <w:rPr>
        <w:rFonts w:hint="default" w:ascii="Times New Roman" w:hAnsi="Times New Roman" w:cs="Times New Roman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7">
    <w:multiLevelType w:val="hybridMultilevel"/>
    <w:lvl w:ilvl="0">
      <w:start w:val="1"/>
      <w:numFmt w:val="decimal"/>
      <w:pStyle w:val="1147"/>
      <w:isLgl w:val="false"/>
      <w:suff w:val="tab"/>
      <w:lvlText w:val="%1"/>
      <w:lvlJc w:val="left"/>
      <w:pPr>
        <w:ind w:left="432" w:hanging="432"/>
      </w:pPr>
      <w:rPr>
        <w:rFonts w:cs="Times New Roman"/>
        <w:b/>
        <w:i w:val="0"/>
      </w:rPr>
    </w:lvl>
    <w:lvl w:ilvl="1">
      <w:start w:val="1"/>
      <w:numFmt w:val="decimal"/>
      <w:pStyle w:val="1149"/>
      <w:isLgl w:val="false"/>
      <w:suff w:val="tab"/>
      <w:lvlText w:val="%1.%2"/>
      <w:lvlJc w:val="left"/>
      <w:pPr>
        <w:ind w:left="576" w:hanging="576"/>
      </w:pPr>
      <w:rPr>
        <w:rFonts w:cs="Times New Roman"/>
        <w:b/>
        <w:sz w:val="28"/>
        <w:szCs w:val="28"/>
      </w:rPr>
    </w:lvl>
    <w:lvl w:ilvl="2">
      <w:start w:val="1"/>
      <w:numFmt w:val="decimal"/>
      <w:pStyle w:val="1150"/>
      <w:isLgl w:val="false"/>
      <w:suff w:val="tab"/>
      <w:lvlText w:val="%1.%2.%3 "/>
      <w:lvlJc w:val="left"/>
      <w:pPr>
        <w:ind w:left="720" w:hanging="720"/>
      </w:pPr>
      <w:rPr>
        <w:rFonts w:cs="Times New Roman"/>
        <w:b w:val="0"/>
        <w:sz w:val="28"/>
        <w:szCs w:val="28"/>
      </w:rPr>
    </w:lvl>
    <w:lvl w:ilvl="3">
      <w:start w:val="1"/>
      <w:numFmt w:val="decimal"/>
      <w:pStyle w:val="1151"/>
      <w:isLgl w:val="false"/>
      <w:suff w:val="tab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1152"/>
      <w:isLgl w:val="false"/>
      <w:suff w:val="tab"/>
      <w:lvlText w:val="%1.%2.%3.%4.%5"/>
      <w:lvlJc w:val="left"/>
      <w:pPr>
        <w:ind w:left="2143" w:hanging="1008"/>
      </w:pPr>
      <w:rPr>
        <w:rFonts w:cs="Times New Roman"/>
      </w:rPr>
    </w:lvl>
    <w:lvl w:ilvl="5">
      <w:start w:val="1"/>
      <w:numFmt w:val="decimal"/>
      <w:pStyle w:val="1153"/>
      <w:isLgl w:val="false"/>
      <w:suff w:val="tab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1154"/>
      <w:isLgl w:val="false"/>
      <w:suff w:val="tab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1155"/>
      <w:isLgl w:val="false"/>
      <w:suff w:val="tab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8">
    <w:multiLevelType w:val="hybridMultilevel"/>
    <w:styleLink w:val="1089"/>
    <w:lvl w:ilvl="0">
      <w:start w:val="1"/>
      <w:numFmt w:val="lowerLetter"/>
      <w:pStyle w:val="1089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9">
    <w:multiLevelType w:val="hybridMultilevel"/>
    <w:lvl w:ilvl="0">
      <w:start w:val="1"/>
      <w:numFmt w:val="bullet"/>
      <w:pStyle w:val="1161"/>
      <w:isLgl w:val="false"/>
      <w:suff w:val="tab"/>
      <w:lvlText w:val=""/>
      <w:lvlJc w:val="left"/>
      <w:pPr>
        <w:ind w:left="1287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6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8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0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2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4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6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8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06" w:hanging="180"/>
      </w:pPr>
    </w:lvl>
  </w:abstractNum>
  <w:abstractNum w:abstractNumId="41">
    <w:multiLevelType w:val="hybridMultilevel"/>
    <w:lvl w:ilvl="0">
      <w:start w:val="1"/>
      <w:numFmt w:val="bullet"/>
      <w:pStyle w:val="1117"/>
      <w:isLgl w:val="false"/>
      <w:suff w:val="tab"/>
      <w:lvlText w:val=""/>
      <w:lvlJc w:val="left"/>
      <w:pPr>
        <w:ind w:left="1211" w:hanging="360"/>
        <w:tabs>
          <w:tab w:val="num" w:pos="1211" w:leader="none"/>
        </w:tabs>
      </w:pPr>
      <w:rPr>
        <w:rFonts w:hint="default" w:ascii="Symbol" w:hAnsi="Symbol"/>
        <w:sz w:val="16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3">
    <w:multiLevelType w:val="hybridMultilevel"/>
    <w:lvl w:ilvl="0">
      <w:start w:val="1"/>
      <w:numFmt w:val="russianLower"/>
      <w:pStyle w:val="992"/>
      <w:isLgl w:val="false"/>
      <w:suff w:val="tab"/>
      <w:lvlText w:val="%1)"/>
      <w:lvlJc w:val="left"/>
      <w:pPr>
        <w:ind w:left="3119" w:hanging="567"/>
        <w:tabs>
          <w:tab w:val="num" w:pos="3119" w:leader="none"/>
        </w:tabs>
      </w:pPr>
      <w:rPr>
        <w:rFonts w:hint="default"/>
      </w:rPr>
    </w:lvl>
    <w:lvl w:ilvl="1">
      <w:start w:val="1"/>
      <w:numFmt w:val="upperRoman"/>
      <w:isLgl w:val="false"/>
      <w:suff w:val="tab"/>
      <w:lvlText w:val="%2."/>
      <w:lvlJc w:val="left"/>
      <w:pPr>
        <w:ind w:left="3785" w:hanging="720"/>
        <w:tabs>
          <w:tab w:val="num" w:pos="3785" w:leader="none"/>
        </w:tabs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4145" w:hanging="180"/>
        <w:tabs>
          <w:tab w:val="num" w:pos="4145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4865" w:hanging="360"/>
        <w:tabs>
          <w:tab w:val="num" w:pos="4865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5585" w:hanging="360"/>
        <w:tabs>
          <w:tab w:val="num" w:pos="5585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6305" w:hanging="180"/>
        <w:tabs>
          <w:tab w:val="num" w:pos="630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7025" w:hanging="360"/>
        <w:tabs>
          <w:tab w:val="num" w:pos="7025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7745" w:hanging="360"/>
        <w:tabs>
          <w:tab w:val="num" w:pos="7745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8465" w:hanging="180"/>
        <w:tabs>
          <w:tab w:val="num" w:pos="8465" w:leader="none"/>
        </w:tabs>
      </w:pPr>
    </w:lvl>
  </w:abstractNum>
  <w:abstractNum w:abstractNumId="44">
    <w:multiLevelType w:val="hybridMultilevel"/>
    <w:lvl w:ilvl="0">
      <w:start w:val="1"/>
      <w:numFmt w:val="bullet"/>
      <w:pStyle w:val="1113"/>
      <w:isLgl w:val="false"/>
      <w:suff w:val="tab"/>
      <w:lvlText w:val="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45">
    <w:multiLevelType w:val="hybridMultilevel"/>
    <w:lvl w:ilvl="0">
      <w:start w:val="1"/>
      <w:numFmt w:val="bullet"/>
      <w:pStyle w:val="1102"/>
      <w:isLgl w:val="false"/>
      <w:suff w:val="tab"/>
      <w:lvlText w:val=""/>
      <w:lvlJc w:val="left"/>
      <w:pPr>
        <w:ind w:left="1080" w:hanging="360"/>
        <w:tabs>
          <w:tab w:val="num" w:pos="1080" w:leader="none"/>
        </w:tabs>
      </w:pPr>
      <w:rPr>
        <w:rFonts w:hint="default" w:ascii="Symbol" w:hAnsi="Symbol"/>
        <w:sz w:val="16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46">
    <w:multiLevelType w:val="hybridMultilevel"/>
    <w:lvl w:ilvl="0">
      <w:start w:val="1"/>
      <w:numFmt w:val="bullet"/>
      <w:pStyle w:val="1172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288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suff w:val="tab"/>
      <w:lvlText w:val="%1.%2.%3."/>
      <w:lvlJc w:val="left"/>
      <w:pPr>
        <w:ind w:left="2705" w:hanging="720"/>
      </w:pPr>
      <w:rPr>
        <w:rFonts w:hint="default"/>
        <w:b w:val="0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8">
    <w:multiLevelType w:val="hybridMultilevel"/>
    <w:lvl w:ilvl="0">
      <w:start w:val="1"/>
      <w:numFmt w:val="bullet"/>
      <w:pStyle w:val="1118"/>
      <w:isLgl w:val="false"/>
      <w:suff w:val="tab"/>
      <w:lvlText w:val="-"/>
      <w:lvlJc w:val="left"/>
      <w:pPr>
        <w:ind w:left="1429" w:hanging="360"/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20"/>
  </w:num>
  <w:num w:numId="2">
    <w:abstractNumId w:val="43"/>
    <w:lvlOverride w:ilvl="0">
      <w:startOverride w:val="1"/>
    </w:lvlOverride>
  </w:num>
  <w:num w:numId="3">
    <w:abstractNumId w:val="34"/>
  </w:num>
  <w:num w:numId="4">
    <w:abstractNumId w:val="19"/>
  </w:num>
  <w:num w:numId="5">
    <w:abstractNumId w:val="28"/>
  </w:num>
  <w:num w:numId="6">
    <w:abstractNumId w:val="25"/>
  </w:num>
  <w:num w:numId="7">
    <w:abstractNumId w:val="15"/>
    <w:lvlOverride w:ilvl="0">
      <w:lvl w:ilvl="0">
        <w:start w:val="1"/>
        <w:numFmt w:val="decimal"/>
        <w:pStyle w:val="1016"/>
        <w:isLgl w:val="false"/>
        <w:suff w:val="tab"/>
        <w:lvlText w:val="%1."/>
        <w:lvlJc w:val="left"/>
        <w:pPr>
          <w:ind w:left="360" w:hanging="360"/>
          <w:tabs>
            <w:tab w:val="num" w:pos="360" w:leader="none"/>
          </w:tabs>
        </w:pPr>
      </w:lvl>
    </w:lvlOverride>
    <w:lvlOverride w:ilvl="1">
      <w:lvl w:ilvl="1">
        <w:start w:val="1"/>
        <w:numFmt w:val="decimal"/>
        <w:pStyle w:val="1016"/>
        <w:isLgl w:val="false"/>
        <w:suff w:val="tab"/>
        <w:lvlText w:val="%1.%2."/>
        <w:lvlJc w:val="left"/>
        <w:pPr>
          <w:ind w:left="792" w:hanging="432"/>
          <w:tabs>
            <w:tab w:val="num" w:pos="792" w:leader="none"/>
          </w:tabs>
        </w:pPr>
      </w:lvl>
    </w:lvlOverride>
    <w:lvlOverride w:ilvl="2">
      <w:lvl w:ilvl="2">
        <w:start w:val="1"/>
        <w:numFmt w:val="decimal"/>
        <w:pStyle w:val="1017"/>
        <w:isLgl w:val="false"/>
        <w:suff w:val="tab"/>
        <w:lvlText w:val="%1.%2.%3."/>
        <w:lvlJc w:val="left"/>
        <w:pPr>
          <w:ind w:left="1224" w:hanging="504"/>
          <w:tabs>
            <w:tab w:val="num" w:pos="1440" w:leader="none"/>
          </w:tabs>
        </w:pPr>
        <w:rPr>
          <w:sz w:val="24"/>
          <w:szCs w:val="24"/>
        </w:rPr>
      </w:lvl>
    </w:lvlOverride>
    <w:lvlOverride w:ilvl="3">
      <w:lvl w:ilvl="3">
        <w:start w:val="1"/>
        <w:numFmt w:val="decimal"/>
        <w:pStyle w:val="1018"/>
        <w:isLgl w:val="false"/>
        <w:suff w:val="tab"/>
        <w:lvlText w:val="%1.%2.%3.%4."/>
        <w:lvlJc w:val="left"/>
        <w:pPr>
          <w:ind w:left="1728" w:hanging="648"/>
          <w:tabs>
            <w:tab w:val="num" w:pos="1800" w:leader="none"/>
          </w:tabs>
        </w:pPr>
      </w:lvl>
    </w:lvlOverride>
    <w:lvlOverride w:ilvl="4">
      <w:lvl w:ilvl="4">
        <w:start w:val="1"/>
        <w:numFmt w:val="decimal"/>
        <w:isLgl w:val="false"/>
        <w:suff w:val="tab"/>
        <w:lvlText w:val="%1.%2.%3.%4.%5."/>
        <w:lvlJc w:val="left"/>
        <w:pPr>
          <w:ind w:left="2232" w:hanging="792"/>
          <w:tabs>
            <w:tab w:val="num" w:pos="2520" w:leader="none"/>
          </w:tabs>
        </w:pPr>
      </w:lvl>
    </w:lvlOverride>
    <w:lvlOverride w:ilvl="5">
      <w:lvl w:ilvl="5">
        <w:start w:val="1"/>
        <w:numFmt w:val="decimal"/>
        <w:isLgl w:val="false"/>
        <w:suff w:val="tab"/>
        <w:lvlText w:val="%1.%2.%3.%4.%5.%6."/>
        <w:lvlJc w:val="left"/>
        <w:pPr>
          <w:ind w:left="2736" w:hanging="936"/>
          <w:tabs>
            <w:tab w:val="num" w:pos="2880" w:leader="none"/>
          </w:tabs>
        </w:pPr>
      </w:lvl>
    </w:lvlOverride>
    <w:lvlOverride w:ilvl="6">
      <w:lvl w:ilvl="6">
        <w:start w:val="1"/>
        <w:numFmt w:val="decimal"/>
        <w:isLgl w:val="false"/>
        <w:suff w:val="tab"/>
        <w:lvlText w:val="%1.%2.%3.%4.%5.%6.%7."/>
        <w:lvlJc w:val="left"/>
        <w:pPr>
          <w:ind w:left="3240" w:hanging="1080"/>
          <w:tabs>
            <w:tab w:val="num" w:pos="3600" w:leader="none"/>
          </w:tabs>
        </w:pPr>
      </w:lvl>
    </w:lvlOverride>
    <w:lvlOverride w:ilvl="7">
      <w:lvl w:ilvl="7">
        <w:start w:val="1"/>
        <w:numFmt w:val="decimal"/>
        <w:isLgl w:val="false"/>
        <w:suff w:val="tab"/>
        <w:lvlText w:val="%1.%2.%3.%4.%5.%6.%7.%8."/>
        <w:lvlJc w:val="left"/>
        <w:pPr>
          <w:ind w:left="3744" w:hanging="1224"/>
          <w:tabs>
            <w:tab w:val="num" w:pos="3960" w:leader="none"/>
          </w:tabs>
        </w:pPr>
      </w:lvl>
    </w:lvlOverride>
    <w:lvlOverride w:ilvl="8">
      <w:lvl w:ilvl="8">
        <w:start w:val="1"/>
        <w:numFmt w:val="decimal"/>
        <w:isLgl w:val="false"/>
        <w:suff w:val="tab"/>
        <w:lvlText w:val="%1.%2.%3.%4.%5.%6.%7.%8.%9."/>
        <w:lvlJc w:val="left"/>
        <w:pPr>
          <w:ind w:left="4320" w:hanging="1440"/>
          <w:tabs>
            <w:tab w:val="num" w:pos="4680" w:leader="none"/>
          </w:tabs>
        </w:pPr>
      </w:lvl>
    </w:lvlOverride>
  </w:num>
  <w:num w:numId="8">
    <w:abstractNumId w:val="14"/>
  </w:num>
  <w:num w:numId="9">
    <w:abstractNumId w:val="12"/>
  </w:num>
  <w:num w:numId="10">
    <w:abstractNumId w:val="16"/>
  </w:num>
  <w:num w:numId="11">
    <w:abstractNumId w:val="7"/>
  </w:num>
  <w:num w:numId="12">
    <w:abstractNumId w:val="1"/>
  </w:num>
  <w:num w:numId="13">
    <w:abstractNumId w:val="17"/>
  </w:num>
  <w:num w:numId="14">
    <w:abstractNumId w:val="3"/>
  </w:num>
  <w:num w:numId="15">
    <w:abstractNumId w:val="30"/>
  </w:num>
  <w:num w:numId="16">
    <w:abstractNumId w:val="27"/>
    <w:lvlOverride w:ilvl="0">
      <w:startOverride w:val="1"/>
    </w:lvlOverride>
  </w:num>
  <w:num w:numId="17">
    <w:abstractNumId w:val="5"/>
    <w:lvlOverride w:ilvl="0">
      <w:startOverride w:val="1"/>
    </w:lvlOverride>
  </w:num>
  <w:num w:numId="18">
    <w:abstractNumId w:val="2"/>
    <w:lvlOverride w:ilvl="0">
      <w:startOverride w:val="2"/>
    </w:lvlOverride>
  </w:num>
  <w:num w:numId="19">
    <w:abstractNumId w:val="36"/>
    <w:lvlOverride w:ilvl="0">
      <w:startOverride w:val="1"/>
    </w:lvlOverride>
  </w:num>
  <w:num w:numId="20">
    <w:abstractNumId w:val="24"/>
    <w:lvlOverride w:ilvl="0">
      <w:startOverride w:val="3"/>
    </w:lvlOverride>
  </w:num>
  <w:num w:numId="21">
    <w:abstractNumId w:val="29"/>
    <w:lvlOverride w:ilvl="0">
      <w:startOverride w:val="6"/>
    </w:lvlOverride>
  </w:num>
  <w:num w:numId="22">
    <w:abstractNumId w:val="0"/>
    <w:lvlOverride w:ilvl="0">
      <w:startOverride w:val="8"/>
    </w:lvlOverride>
  </w:num>
  <w:num w:numId="2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32"/>
  </w:num>
  <w:num w:numId="26">
    <w:abstractNumId w:val="31"/>
  </w:num>
  <w:num w:numId="27">
    <w:abstractNumId w:val="38"/>
  </w:num>
  <w:num w:numId="28">
    <w:abstractNumId w:val="21"/>
  </w:num>
  <w:num w:numId="29">
    <w:abstractNumId w:val="8"/>
  </w:num>
  <w:num w:numId="30">
    <w:abstractNumId w:val="45"/>
  </w:num>
  <w:num w:numId="31">
    <w:abstractNumId w:val="33"/>
  </w:num>
  <w:num w:numId="32">
    <w:abstractNumId w:val="18"/>
  </w:num>
  <w:num w:numId="33">
    <w:abstractNumId w:val="44"/>
  </w:num>
  <w:num w:numId="34">
    <w:abstractNumId w:val="41"/>
  </w:num>
  <w:num w:numId="35">
    <w:abstractNumId w:val="48"/>
  </w:num>
  <w:num w:numId="36">
    <w:abstractNumId w:val="22"/>
  </w:num>
  <w:num w:numId="37">
    <w:abstractNumId w:val="47"/>
  </w:num>
  <w:num w:numId="38">
    <w:abstractNumId w:val="47"/>
    <w:lvlOverride w:ilvl="0">
      <w:startOverride w:val="1"/>
    </w:lvlOverride>
  </w:num>
  <w:num w:numId="3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</w:num>
  <w:num w:numId="41">
    <w:abstractNumId w:val="39"/>
  </w:num>
  <w:num w:numId="42">
    <w:abstractNumId w:val="23"/>
  </w:num>
  <w:num w:numId="43">
    <w:abstractNumId w:val="26"/>
  </w:num>
  <w:num w:numId="44">
    <w:abstractNumId w:val="13"/>
  </w:num>
  <w:num w:numId="45">
    <w:abstractNumId w:val="46"/>
  </w:num>
  <w:num w:numId="46">
    <w:abstractNumId w:val="42"/>
  </w:num>
  <w:num w:numId="47">
    <w:abstractNumId w:val="11"/>
  </w:num>
  <w:num w:numId="48">
    <w:abstractNumId w:val="10"/>
  </w:num>
  <w:num w:numId="49">
    <w:abstractNumId w:val="40"/>
  </w:num>
  <w:num w:numId="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2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22">
    <w:name w:val="Heading 1"/>
    <w:basedOn w:val="821"/>
    <w:next w:val="821"/>
    <w:link w:val="983"/>
    <w:uiPriority w:val="9"/>
    <w:qFormat/>
    <w:pPr>
      <w:numPr>
        <w:ilvl w:val="0"/>
        <w:numId w:val="1"/>
      </w:numPr>
      <w:ind w:left="900" w:hanging="900"/>
      <w:jc w:val="both"/>
      <w:keepLines/>
      <w:keepNext/>
      <w:pageBreakBefore/>
      <w:spacing w:before="240" w:after="240"/>
      <w:tabs>
        <w:tab w:val="num" w:pos="900" w:leader="none"/>
      </w:tabs>
      <w:outlineLvl w:val="0"/>
    </w:pPr>
    <w:rPr>
      <w:rFonts w:ascii="Arial" w:hAnsi="Arial" w:cs="Arial"/>
      <w:b/>
      <w:bCs/>
      <w:sz w:val="28"/>
      <w:szCs w:val="28"/>
    </w:rPr>
  </w:style>
  <w:style w:type="paragraph" w:styleId="823">
    <w:name w:val="Heading 2"/>
    <w:basedOn w:val="821"/>
    <w:next w:val="821"/>
    <w:link w:val="1062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24">
    <w:name w:val="Heading 3"/>
    <w:basedOn w:val="822"/>
    <w:next w:val="821"/>
    <w:link w:val="985"/>
    <w:uiPriority w:val="9"/>
    <w:qFormat/>
    <w:pPr>
      <w:numPr>
        <w:ilvl w:val="2"/>
        <w:numId w:val="11"/>
      </w:numPr>
      <w:ind w:left="1080" w:hanging="1080"/>
      <w:jc w:val="left"/>
      <w:keepLines w:val="0"/>
      <w:keepNext w:val="0"/>
      <w:pageBreakBefore w:val="0"/>
      <w:widowControl w:val="off"/>
      <w:tabs>
        <w:tab w:val="clear" w:pos="720" w:leader="none"/>
        <w:tab w:val="num" w:pos="1080" w:leader="none"/>
      </w:tabs>
      <w:outlineLvl w:val="2"/>
    </w:pPr>
    <w:rPr>
      <w:sz w:val="22"/>
      <w:szCs w:val="22"/>
    </w:rPr>
  </w:style>
  <w:style w:type="paragraph" w:styleId="825">
    <w:name w:val="Heading 4"/>
    <w:basedOn w:val="821"/>
    <w:next w:val="821"/>
    <w:link w:val="986"/>
    <w:uiPriority w:val="9"/>
    <w:unhideWhenUsed/>
    <w:qFormat/>
    <w:pPr>
      <w:keepLines/>
      <w:keepNext/>
      <w:spacing w:before="40" w:line="259" w:lineRule="auto"/>
      <w:outlineLvl w:val="3"/>
    </w:pPr>
    <w:rPr>
      <w:rFonts w:ascii="Cambria" w:hAnsi="Cambria"/>
      <w:i/>
      <w:iCs/>
      <w:color w:val="365f91"/>
      <w:sz w:val="22"/>
      <w:szCs w:val="22"/>
    </w:rPr>
  </w:style>
  <w:style w:type="paragraph" w:styleId="826">
    <w:name w:val="Heading 5"/>
    <w:basedOn w:val="821"/>
    <w:next w:val="821"/>
    <w:link w:val="987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27">
    <w:name w:val="Heading 6"/>
    <w:basedOn w:val="821"/>
    <w:next w:val="821"/>
    <w:link w:val="988"/>
    <w:qFormat/>
    <w:pPr>
      <w:numPr>
        <w:ilvl w:val="5"/>
        <w:numId w:val="8"/>
      </w:numPr>
      <w:ind w:right="1843"/>
      <w:jc w:val="center"/>
      <w:keepNext/>
      <w:spacing w:before="1920" w:after="120" w:line="360" w:lineRule="auto"/>
      <w:widowControl w:val="off"/>
      <w:outlineLvl w:val="5"/>
    </w:pPr>
    <w:rPr>
      <w:b/>
      <w:sz w:val="48"/>
    </w:rPr>
  </w:style>
  <w:style w:type="paragraph" w:styleId="828">
    <w:name w:val="Heading 7"/>
    <w:basedOn w:val="821"/>
    <w:next w:val="821"/>
    <w:link w:val="989"/>
    <w:qFormat/>
    <w:pPr>
      <w:numPr>
        <w:ilvl w:val="6"/>
        <w:numId w:val="8"/>
      </w:numPr>
      <w:jc w:val="both"/>
      <w:spacing w:before="240" w:after="60" w:line="360" w:lineRule="auto"/>
      <w:widowControl w:val="off"/>
      <w:outlineLvl w:val="6"/>
    </w:pPr>
  </w:style>
  <w:style w:type="paragraph" w:styleId="829">
    <w:name w:val="Heading 8"/>
    <w:basedOn w:val="821"/>
    <w:next w:val="821"/>
    <w:link w:val="990"/>
    <w:qFormat/>
    <w:pPr>
      <w:numPr>
        <w:ilvl w:val="7"/>
        <w:numId w:val="8"/>
      </w:numPr>
      <w:jc w:val="both"/>
      <w:spacing w:before="240" w:after="60" w:line="360" w:lineRule="auto"/>
      <w:widowControl w:val="off"/>
      <w:outlineLvl w:val="7"/>
    </w:pPr>
    <w:rPr>
      <w:i/>
      <w:iCs/>
    </w:rPr>
  </w:style>
  <w:style w:type="paragraph" w:styleId="830">
    <w:name w:val="Heading 9"/>
    <w:basedOn w:val="821"/>
    <w:next w:val="821"/>
    <w:link w:val="991"/>
    <w:qFormat/>
    <w:pPr>
      <w:numPr>
        <w:ilvl w:val="8"/>
        <w:numId w:val="8"/>
      </w:numPr>
      <w:jc w:val="both"/>
      <w:spacing w:before="240" w:after="60" w:line="360" w:lineRule="auto"/>
      <w:widowControl w:val="off"/>
      <w:outlineLvl w:val="8"/>
    </w:pPr>
    <w:rPr>
      <w:rFonts w:ascii="Arial" w:hAnsi="Arial" w:cs="Arial"/>
      <w:sz w:val="22"/>
      <w:szCs w:val="22"/>
    </w:r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character" w:styleId="834" w:customStyle="1">
    <w:name w:val="Heading 1 Char"/>
    <w:basedOn w:val="83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835" w:customStyle="1">
    <w:name w:val="Heading 2 Char"/>
    <w:basedOn w:val="831"/>
    <w:uiPriority w:val="9"/>
    <w:rPr>
      <w:rFonts w:ascii="Liberation Sans" w:hAnsi="Liberation Sans" w:eastAsia="Liberation Sans" w:cs="Liberation Sans"/>
      <w:sz w:val="34"/>
    </w:rPr>
  </w:style>
  <w:style w:type="character" w:styleId="836" w:customStyle="1">
    <w:name w:val="Heading 3 Char"/>
    <w:basedOn w:val="83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837" w:customStyle="1">
    <w:name w:val="Heading 4 Char"/>
    <w:basedOn w:val="83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38" w:customStyle="1">
    <w:name w:val="Heading 5 Char"/>
    <w:basedOn w:val="83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839" w:customStyle="1">
    <w:name w:val="Heading 6 Char"/>
    <w:basedOn w:val="83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40" w:customStyle="1">
    <w:name w:val="Heading 7 Char"/>
    <w:basedOn w:val="83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41" w:customStyle="1">
    <w:name w:val="Heading 8 Char"/>
    <w:basedOn w:val="83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42" w:customStyle="1">
    <w:name w:val="Heading 9 Char"/>
    <w:basedOn w:val="8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43" w:customStyle="1">
    <w:name w:val="Title Char"/>
    <w:basedOn w:val="831"/>
    <w:uiPriority w:val="10"/>
    <w:rPr>
      <w:sz w:val="48"/>
      <w:szCs w:val="48"/>
    </w:rPr>
  </w:style>
  <w:style w:type="character" w:styleId="844" w:customStyle="1">
    <w:name w:val="Subtitle Char"/>
    <w:basedOn w:val="831"/>
    <w:uiPriority w:val="11"/>
    <w:rPr>
      <w:sz w:val="24"/>
      <w:szCs w:val="24"/>
    </w:rPr>
  </w:style>
  <w:style w:type="character" w:styleId="845" w:customStyle="1">
    <w:name w:val="Quote Char"/>
    <w:uiPriority w:val="29"/>
    <w:rPr>
      <w:i/>
    </w:rPr>
  </w:style>
  <w:style w:type="character" w:styleId="846" w:customStyle="1">
    <w:name w:val="Intense Quote Char"/>
    <w:uiPriority w:val="30"/>
    <w:rPr>
      <w:i/>
    </w:rPr>
  </w:style>
  <w:style w:type="character" w:styleId="847" w:customStyle="1">
    <w:name w:val="Header Char"/>
    <w:basedOn w:val="831"/>
    <w:uiPriority w:val="99"/>
  </w:style>
  <w:style w:type="character" w:styleId="848" w:customStyle="1">
    <w:name w:val="Footer Char"/>
    <w:basedOn w:val="831"/>
    <w:uiPriority w:val="99"/>
  </w:style>
  <w:style w:type="character" w:styleId="849" w:customStyle="1">
    <w:name w:val="Caption Char"/>
    <w:basedOn w:val="831"/>
    <w:uiPriority w:val="35"/>
    <w:rPr>
      <w:b/>
      <w:bCs/>
      <w:color w:val="4472c4" w:themeColor="accent1"/>
      <w:sz w:val="18"/>
      <w:szCs w:val="18"/>
    </w:rPr>
  </w:style>
  <w:style w:type="table" w:styleId="850" w:customStyle="1">
    <w:name w:val="Table Grid Light"/>
    <w:basedOn w:val="83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51">
    <w:name w:val="Plain Table 1"/>
    <w:basedOn w:val="83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52">
    <w:name w:val="Plain Table 2"/>
    <w:basedOn w:val="83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53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4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6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8" w:customStyle="1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879" w:customStyle="1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80" w:customStyle="1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81" w:customStyle="1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82" w:customStyle="1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883" w:customStyle="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84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85" w:customStyle="1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886" w:customStyle="1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87" w:customStyle="1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88" w:customStyle="1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89" w:customStyle="1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890" w:customStyle="1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91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92" w:customStyle="1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893" w:customStyle="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94" w:customStyle="1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95" w:customStyle="1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96" w:customStyle="1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97" w:customStyle="1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98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rFonts w:ascii="Liberation Sans" w:hAnsi="Liberation Sans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13" w:customStyle="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914" w:customStyle="1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15" w:customStyle="1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16" w:customStyle="1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17" w:customStyle="1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918" w:customStyle="1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19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 w:customStyle="1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 w:customStyle="1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 w:customStyle="1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 w:customStyle="1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 w:customStyle="1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 w:customStyle="1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 w:customStyle="1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34" w:customStyle="1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35" w:customStyle="1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36" w:customStyle="1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37" w:customStyle="1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38" w:customStyle="1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39" w:customStyle="1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40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41" w:customStyle="1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942" w:customStyle="1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43" w:customStyle="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44" w:customStyle="1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45" w:customStyle="1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946" w:customStyle="1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47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rFonts w:ascii="Liberation Sans" w:hAnsi="Liberation Sans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 w:customStyle="1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 w:customStyle="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 w:customStyle="1">
    <w:name w:val="Lined - Accent"/>
    <w:basedOn w:val="8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5" w:customStyle="1">
    <w:name w:val="Lined - Accent 1"/>
    <w:basedOn w:val="8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56" w:customStyle="1">
    <w:name w:val="Lined - Accent 2"/>
    <w:basedOn w:val="8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57" w:customStyle="1">
    <w:name w:val="Lined - Accent 3"/>
    <w:basedOn w:val="8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58" w:customStyle="1">
    <w:name w:val="Lined - Accent 4"/>
    <w:basedOn w:val="8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59" w:customStyle="1">
    <w:name w:val="Lined - Accent 5"/>
    <w:basedOn w:val="8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60" w:customStyle="1">
    <w:name w:val="Lined - Accent 6"/>
    <w:basedOn w:val="8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61" w:customStyle="1">
    <w:name w:val="Bordered &amp; Lined - Accent"/>
    <w:basedOn w:val="8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2" w:customStyle="1">
    <w:name w:val="Bordered &amp; Lined - Accent 1"/>
    <w:basedOn w:val="8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63" w:customStyle="1">
    <w:name w:val="Bordered &amp; Lined - Accent 2"/>
    <w:basedOn w:val="8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64" w:customStyle="1">
    <w:name w:val="Bordered &amp; Lined - Accent 3"/>
    <w:basedOn w:val="8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65" w:customStyle="1">
    <w:name w:val="Bordered &amp; Lined - Accent 4"/>
    <w:basedOn w:val="8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66" w:customStyle="1">
    <w:name w:val="Bordered &amp; Lined - Accent 5"/>
    <w:basedOn w:val="8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67" w:customStyle="1">
    <w:name w:val="Bordered &amp; Lined - Accent 6"/>
    <w:basedOn w:val="8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68" w:customStyle="1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69" w:customStyle="1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970" w:customStyle="1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71" w:customStyle="1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72" w:customStyle="1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73" w:customStyle="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974" w:customStyle="1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75" w:customStyle="1">
    <w:name w:val="Footnote Text Char"/>
    <w:uiPriority w:val="99"/>
    <w:rPr>
      <w:sz w:val="18"/>
    </w:rPr>
  </w:style>
  <w:style w:type="character" w:styleId="976" w:customStyle="1">
    <w:name w:val="Endnote Text Char"/>
    <w:uiPriority w:val="99"/>
    <w:rPr>
      <w:sz w:val="20"/>
    </w:rPr>
  </w:style>
  <w:style w:type="paragraph" w:styleId="977">
    <w:name w:val="toc 5"/>
    <w:basedOn w:val="821"/>
    <w:next w:val="821"/>
    <w:uiPriority w:val="39"/>
    <w:unhideWhenUsed/>
    <w:pPr>
      <w:ind w:left="1134"/>
      <w:spacing w:after="57"/>
    </w:pPr>
  </w:style>
  <w:style w:type="paragraph" w:styleId="978">
    <w:name w:val="toc 6"/>
    <w:basedOn w:val="821"/>
    <w:next w:val="821"/>
    <w:uiPriority w:val="39"/>
    <w:unhideWhenUsed/>
    <w:pPr>
      <w:ind w:left="1417"/>
      <w:spacing w:after="57"/>
    </w:pPr>
  </w:style>
  <w:style w:type="paragraph" w:styleId="979">
    <w:name w:val="toc 7"/>
    <w:basedOn w:val="821"/>
    <w:next w:val="821"/>
    <w:uiPriority w:val="39"/>
    <w:unhideWhenUsed/>
    <w:pPr>
      <w:ind w:left="1701"/>
      <w:spacing w:after="57"/>
    </w:pPr>
  </w:style>
  <w:style w:type="paragraph" w:styleId="980">
    <w:name w:val="toc 8"/>
    <w:basedOn w:val="821"/>
    <w:next w:val="821"/>
    <w:uiPriority w:val="39"/>
    <w:unhideWhenUsed/>
    <w:pPr>
      <w:ind w:left="1984"/>
      <w:spacing w:after="57"/>
    </w:pPr>
  </w:style>
  <w:style w:type="paragraph" w:styleId="981">
    <w:name w:val="toc 9"/>
    <w:basedOn w:val="821"/>
    <w:next w:val="821"/>
    <w:uiPriority w:val="39"/>
    <w:unhideWhenUsed/>
    <w:pPr>
      <w:ind w:left="2268"/>
      <w:spacing w:after="57"/>
    </w:pPr>
  </w:style>
  <w:style w:type="paragraph" w:styleId="982">
    <w:name w:val="table of figures"/>
    <w:basedOn w:val="821"/>
    <w:next w:val="821"/>
    <w:uiPriority w:val="99"/>
    <w:unhideWhenUsed/>
  </w:style>
  <w:style w:type="character" w:styleId="983" w:customStyle="1">
    <w:name w:val="Заголовок 1 Знак"/>
    <w:basedOn w:val="831"/>
    <w:link w:val="822"/>
    <w:uiPriority w:val="9"/>
    <w:rPr>
      <w:rFonts w:ascii="Arial" w:hAnsi="Arial" w:eastAsia="Times New Roman" w:cs="Arial"/>
      <w:b/>
      <w:bCs/>
      <w:sz w:val="28"/>
      <w:szCs w:val="28"/>
      <w:lang w:eastAsia="ru-RU"/>
    </w:rPr>
  </w:style>
  <w:style w:type="character" w:styleId="984" w:customStyle="1">
    <w:name w:val="Заголовок 2 Знак"/>
    <w:basedOn w:val="831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26"/>
      <w:szCs w:val="26"/>
      <w:lang w:eastAsia="ru-RU"/>
    </w:rPr>
  </w:style>
  <w:style w:type="character" w:styleId="985" w:customStyle="1">
    <w:name w:val="Заголовок 3 Знак"/>
    <w:basedOn w:val="831"/>
    <w:link w:val="824"/>
    <w:uiPriority w:val="9"/>
    <w:rPr>
      <w:rFonts w:ascii="Arial" w:hAnsi="Arial" w:eastAsia="Times New Roman" w:cs="Arial"/>
      <w:b/>
      <w:bCs/>
      <w:lang w:eastAsia="ru-RU"/>
    </w:rPr>
  </w:style>
  <w:style w:type="character" w:styleId="986" w:customStyle="1">
    <w:name w:val="Заголовок 4 Знак"/>
    <w:basedOn w:val="831"/>
    <w:link w:val="825"/>
    <w:uiPriority w:val="9"/>
    <w:rPr>
      <w:rFonts w:ascii="Cambria" w:hAnsi="Cambria" w:eastAsia="Times New Roman" w:cs="Times New Roman"/>
      <w:i/>
      <w:iCs/>
      <w:color w:val="365f91"/>
      <w:lang w:eastAsia="ru-RU"/>
    </w:rPr>
  </w:style>
  <w:style w:type="character" w:styleId="987" w:customStyle="1">
    <w:name w:val="Заголовок 5 Знак"/>
    <w:basedOn w:val="831"/>
    <w:link w:val="826"/>
    <w:rPr>
      <w:rFonts w:ascii="Times New Roman" w:hAnsi="Times New Roman" w:eastAsia="Times New Roman" w:cs="Times New Roman"/>
      <w:b/>
      <w:bCs/>
      <w:i/>
      <w:iCs/>
      <w:sz w:val="26"/>
      <w:szCs w:val="26"/>
      <w:lang w:eastAsia="ru-RU"/>
    </w:rPr>
  </w:style>
  <w:style w:type="character" w:styleId="988" w:customStyle="1">
    <w:name w:val="Заголовок 6 Знак"/>
    <w:basedOn w:val="831"/>
    <w:link w:val="827"/>
    <w:rPr>
      <w:rFonts w:ascii="Times New Roman" w:hAnsi="Times New Roman" w:eastAsia="Times New Roman" w:cs="Times New Roman"/>
      <w:b/>
      <w:sz w:val="48"/>
      <w:szCs w:val="24"/>
      <w:lang w:eastAsia="ru-RU"/>
    </w:rPr>
  </w:style>
  <w:style w:type="character" w:styleId="989" w:customStyle="1">
    <w:name w:val="Заголовок 7 Знак"/>
    <w:basedOn w:val="831"/>
    <w:link w:val="828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90" w:customStyle="1">
    <w:name w:val="Заголовок 8 Знак"/>
    <w:basedOn w:val="831"/>
    <w:link w:val="829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styleId="991" w:customStyle="1">
    <w:name w:val="Заголовок 9 Знак"/>
    <w:basedOn w:val="831"/>
    <w:link w:val="830"/>
    <w:rPr>
      <w:rFonts w:ascii="Arial" w:hAnsi="Arial" w:eastAsia="Times New Roman" w:cs="Arial"/>
      <w:lang w:eastAsia="ru-RU"/>
    </w:rPr>
  </w:style>
  <w:style w:type="paragraph" w:styleId="992" w:customStyle="1">
    <w:name w:val="Подподпункт"/>
    <w:basedOn w:val="821"/>
    <w:pPr>
      <w:numPr>
        <w:ilvl w:val="0"/>
        <w:numId w:val="2"/>
      </w:numPr>
      <w:jc w:val="both"/>
      <w:spacing w:line="360" w:lineRule="auto"/>
    </w:pPr>
    <w:rPr>
      <w:sz w:val="28"/>
      <w:szCs w:val="28"/>
    </w:rPr>
  </w:style>
  <w:style w:type="paragraph" w:styleId="993">
    <w:name w:val="Footer"/>
    <w:basedOn w:val="821"/>
    <w:link w:val="994"/>
    <w:uiPriority w:val="99"/>
    <w:pPr>
      <w:tabs>
        <w:tab w:val="center" w:pos="4677" w:leader="none"/>
        <w:tab w:val="right" w:pos="9355" w:leader="none"/>
      </w:tabs>
    </w:pPr>
  </w:style>
  <w:style w:type="character" w:styleId="994" w:customStyle="1">
    <w:name w:val="Нижний колонтитул Знак"/>
    <w:basedOn w:val="831"/>
    <w:link w:val="993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95">
    <w:name w:val="page number"/>
    <w:basedOn w:val="831"/>
  </w:style>
  <w:style w:type="paragraph" w:styleId="996">
    <w:name w:val="Header"/>
    <w:basedOn w:val="821"/>
    <w:link w:val="997"/>
    <w:uiPriority w:val="99"/>
    <w:pPr>
      <w:tabs>
        <w:tab w:val="center" w:pos="4677" w:leader="none"/>
        <w:tab w:val="right" w:pos="9355" w:leader="none"/>
      </w:tabs>
    </w:pPr>
  </w:style>
  <w:style w:type="character" w:styleId="997" w:customStyle="1">
    <w:name w:val="Верхний колонтитул Знак"/>
    <w:basedOn w:val="831"/>
    <w:link w:val="996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8" w:customStyle="1">
    <w:name w:val="xl48"/>
    <w:basedOn w:val="821"/>
    <w:pPr>
      <w:jc w:val="center"/>
      <w:spacing w:before="100" w:beforeAutospacing="1" w:after="100" w:afterAutospacing="1"/>
    </w:pPr>
    <w:rPr>
      <w:rFonts w:ascii="Arial CYR" w:hAnsi="Arial CYR" w:eastAsia="Arial Unicode MS" w:cs="Arial CYR"/>
      <w:b/>
      <w:bCs/>
    </w:rPr>
  </w:style>
  <w:style w:type="paragraph" w:styleId="999" w:customStyle="1">
    <w:name w:val="заголовок 3"/>
    <w:basedOn w:val="821"/>
    <w:next w:val="821"/>
    <w:pPr>
      <w:numPr>
        <w:ilvl w:val="2"/>
        <w:numId w:val="1"/>
      </w:numPr>
      <w:jc w:val="both"/>
      <w:spacing w:line="360" w:lineRule="auto"/>
      <w:tabs>
        <w:tab w:val="left" w:pos="900" w:leader="none"/>
      </w:tabs>
    </w:pPr>
    <w:rPr>
      <w:rFonts w:ascii="Arial" w:hAnsi="Arial" w:cs="Arial"/>
      <w:sz w:val="22"/>
      <w:szCs w:val="22"/>
    </w:rPr>
  </w:style>
  <w:style w:type="paragraph" w:styleId="1000" w:customStyle="1">
    <w:name w:val="заголовок 2"/>
    <w:basedOn w:val="823"/>
    <w:next w:val="821"/>
    <w:pPr>
      <w:ind w:left="567" w:hanging="567"/>
      <w:jc w:val="both"/>
      <w:spacing w:before="120" w:after="120"/>
      <w:tabs>
        <w:tab w:val="num" w:pos="567" w:leader="none"/>
      </w:tabs>
    </w:pPr>
    <w:rPr>
      <w:i w:val="0"/>
      <w:iCs w:val="0"/>
      <w:sz w:val="24"/>
      <w:szCs w:val="24"/>
    </w:rPr>
  </w:style>
  <w:style w:type="paragraph" w:styleId="1001" w:customStyle="1">
    <w:name w:val="Стиль начало"/>
    <w:basedOn w:val="821"/>
    <w:pPr>
      <w:spacing w:line="264" w:lineRule="auto"/>
    </w:pPr>
    <w:rPr>
      <w:sz w:val="28"/>
      <w:szCs w:val="20"/>
    </w:rPr>
  </w:style>
  <w:style w:type="paragraph" w:styleId="1002" w:customStyle="1">
    <w:name w:val="Стиль14"/>
    <w:basedOn w:val="821"/>
    <w:pPr>
      <w:ind w:firstLine="720"/>
      <w:jc w:val="both"/>
      <w:spacing w:line="264" w:lineRule="auto"/>
    </w:pPr>
    <w:rPr>
      <w:sz w:val="28"/>
      <w:szCs w:val="20"/>
    </w:rPr>
  </w:style>
  <w:style w:type="paragraph" w:styleId="1003" w:customStyle="1">
    <w:name w:val="Стиль адрес"/>
    <w:basedOn w:val="821"/>
    <w:pPr>
      <w:ind w:left="4820"/>
      <w:spacing w:line="264" w:lineRule="auto"/>
    </w:pPr>
    <w:rPr>
      <w:sz w:val="28"/>
      <w:szCs w:val="20"/>
    </w:rPr>
  </w:style>
  <w:style w:type="character" w:styleId="1004" w:customStyle="1">
    <w:name w:val="Подпункт Знак"/>
    <w:rPr>
      <w:sz w:val="28"/>
      <w:lang w:val="ru-RU" w:eastAsia="ru-RU" w:bidi="ar-SA"/>
    </w:rPr>
  </w:style>
  <w:style w:type="paragraph" w:styleId="1005">
    <w:name w:val="Caption"/>
    <w:basedOn w:val="821"/>
    <w:next w:val="821"/>
    <w:link w:val="1160"/>
    <w:qFormat/>
    <w:pPr>
      <w:jc w:val="both"/>
      <w:pageBreakBefore/>
      <w:spacing w:before="120" w:after="120"/>
    </w:pPr>
    <w:rPr>
      <w:i/>
      <w:iCs/>
    </w:rPr>
  </w:style>
  <w:style w:type="paragraph" w:styleId="1006">
    <w:name w:val="Block Text"/>
    <w:basedOn w:val="821"/>
    <w:pPr>
      <w:ind w:left="-32" w:right="-90"/>
      <w:jc w:val="both"/>
      <w:spacing w:before="120" w:after="120" w:line="360" w:lineRule="auto"/>
      <w:widowControl w:val="off"/>
    </w:pPr>
    <w:rPr>
      <w:szCs w:val="20"/>
    </w:rPr>
  </w:style>
  <w:style w:type="paragraph" w:styleId="1007">
    <w:name w:val="toc 1"/>
    <w:basedOn w:val="821"/>
    <w:next w:val="821"/>
    <w:uiPriority w:val="39"/>
    <w:qFormat/>
    <w:pPr>
      <w:spacing w:before="120" w:after="120"/>
    </w:pPr>
    <w:rPr>
      <w:b/>
      <w:bCs/>
      <w:caps/>
      <w:sz w:val="20"/>
      <w:szCs w:val="20"/>
    </w:rPr>
  </w:style>
  <w:style w:type="paragraph" w:styleId="1008">
    <w:name w:val="toc 3"/>
    <w:basedOn w:val="821"/>
    <w:next w:val="821"/>
    <w:uiPriority w:val="39"/>
    <w:qFormat/>
    <w:pPr>
      <w:ind w:left="480"/>
    </w:pPr>
    <w:rPr>
      <w:i/>
      <w:iCs/>
      <w:sz w:val="20"/>
      <w:szCs w:val="20"/>
    </w:rPr>
  </w:style>
  <w:style w:type="character" w:styleId="1009">
    <w:name w:val="Hyperlink"/>
    <w:link w:val="1159"/>
    <w:uiPriority w:val="99"/>
    <w:rPr>
      <w:color w:val="0000ff"/>
      <w:u w:val="single"/>
    </w:rPr>
  </w:style>
  <w:style w:type="paragraph" w:styleId="1010">
    <w:name w:val="Body Text"/>
    <w:basedOn w:val="821"/>
    <w:link w:val="1011"/>
    <w:uiPriority w:val="99"/>
    <w:pPr>
      <w:jc w:val="both"/>
      <w:spacing w:before="120" w:after="120" w:line="360" w:lineRule="auto"/>
      <w:widowControl w:val="off"/>
    </w:pPr>
  </w:style>
  <w:style w:type="character" w:styleId="1011" w:customStyle="1">
    <w:name w:val="Основной текст Знак"/>
    <w:basedOn w:val="831"/>
    <w:link w:val="10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2" w:customStyle="1">
    <w:name w:val="Список_1"/>
    <w:basedOn w:val="821"/>
    <w:pPr>
      <w:numPr>
        <w:ilvl w:val="0"/>
        <w:numId w:val="4"/>
      </w:numPr>
      <w:jc w:val="both"/>
      <w:spacing w:before="120" w:after="120" w:line="360" w:lineRule="auto"/>
      <w:widowControl w:val="off"/>
    </w:pPr>
    <w:rPr>
      <w:sz w:val="20"/>
      <w:szCs w:val="20"/>
    </w:rPr>
  </w:style>
  <w:style w:type="paragraph" w:styleId="1013">
    <w:name w:val="List Number"/>
    <w:basedOn w:val="1010"/>
    <w:pPr>
      <w:numPr>
        <w:ilvl w:val="3"/>
        <w:numId w:val="3"/>
      </w:numPr>
    </w:pPr>
  </w:style>
  <w:style w:type="paragraph" w:styleId="1014" w:customStyle="1">
    <w:name w:val="Cover Author"/>
    <w:basedOn w:val="821"/>
    <w:pPr>
      <w:numPr>
        <w:ilvl w:val="0"/>
        <w:numId w:val="5"/>
      </w:numPr>
      <w:ind w:left="0" w:firstLine="0"/>
      <w:spacing w:line="240" w:lineRule="atLeast"/>
      <w:widowControl w:val="off"/>
      <w:tabs>
        <w:tab w:val="clear" w:pos="720" w:leader="none"/>
      </w:tabs>
    </w:pPr>
    <w:rPr>
      <w:rFonts w:ascii="Arial" w:hAnsi="Arial"/>
      <w:spacing w:val="-5"/>
      <w:sz w:val="28"/>
      <w:szCs w:val="20"/>
      <w:lang w:eastAsia="en-US"/>
    </w:rPr>
  </w:style>
  <w:style w:type="paragraph" w:styleId="1015" w:customStyle="1">
    <w:name w:val="Пункт"/>
    <w:basedOn w:val="821"/>
    <w:pPr>
      <w:numPr>
        <w:ilvl w:val="0"/>
        <w:numId w:val="6"/>
      </w:numPr>
      <w:ind w:left="1134" w:hanging="1134"/>
      <w:jc w:val="both"/>
      <w:spacing w:line="360" w:lineRule="auto"/>
      <w:widowControl w:val="off"/>
      <w:tabs>
        <w:tab w:val="clear" w:pos="926" w:leader="none"/>
        <w:tab w:val="num" w:pos="1134" w:leader="none"/>
      </w:tabs>
    </w:pPr>
    <w:rPr>
      <w:sz w:val="28"/>
      <w:szCs w:val="28"/>
    </w:rPr>
  </w:style>
  <w:style w:type="paragraph" w:styleId="1016" w:customStyle="1">
    <w:name w:val="мнсп-2"/>
    <w:basedOn w:val="821"/>
    <w:pPr>
      <w:numPr>
        <w:ilvl w:val="1"/>
        <w:numId w:val="7"/>
      </w:numPr>
      <w:jc w:val="both"/>
      <w:spacing w:before="120" w:after="120" w:line="360" w:lineRule="auto"/>
      <w:widowControl w:val="off"/>
    </w:pPr>
    <w:rPr>
      <w:rFonts w:eastAsia="SimSun"/>
      <w:lang w:eastAsia="zh-CN"/>
    </w:rPr>
  </w:style>
  <w:style w:type="paragraph" w:styleId="1017" w:customStyle="1">
    <w:name w:val="мнсп-3"/>
    <w:basedOn w:val="1016"/>
    <w:pPr>
      <w:numPr>
        <w:ilvl w:val="2"/>
      </w:numPr>
    </w:pPr>
  </w:style>
  <w:style w:type="paragraph" w:styleId="1018" w:customStyle="1">
    <w:name w:val="мнсп-4"/>
    <w:basedOn w:val="1017"/>
    <w:pPr>
      <w:numPr>
        <w:ilvl w:val="3"/>
      </w:numPr>
      <w:ind w:left="360" w:hanging="360"/>
      <w:tabs>
        <w:tab w:val="num" w:pos="360" w:leader="none"/>
        <w:tab w:val="clear" w:pos="1800" w:leader="none"/>
      </w:tabs>
    </w:pPr>
  </w:style>
  <w:style w:type="paragraph" w:styleId="1019">
    <w:name w:val="List Bullet"/>
    <w:basedOn w:val="821"/>
    <w:uiPriority w:val="99"/>
    <w:pPr>
      <w:ind w:left="360" w:hanging="360"/>
      <w:jc w:val="both"/>
      <w:spacing w:before="120" w:after="120" w:line="360" w:lineRule="auto"/>
      <w:widowControl w:val="off"/>
      <w:tabs>
        <w:tab w:val="num" w:pos="360" w:leader="none"/>
      </w:tabs>
    </w:pPr>
  </w:style>
  <w:style w:type="paragraph" w:styleId="1020">
    <w:name w:val="Title"/>
    <w:basedOn w:val="821"/>
    <w:link w:val="1022"/>
    <w:qFormat/>
    <w:pPr>
      <w:numPr>
        <w:ilvl w:val="0"/>
        <w:numId w:val="9"/>
      </w:numPr>
      <w:ind w:left="0" w:firstLine="0"/>
      <w:jc w:val="center"/>
      <w:widowControl w:val="off"/>
      <w:tabs>
        <w:tab w:val="clear" w:pos="360" w:leader="none"/>
      </w:tabs>
    </w:pPr>
    <w:rPr>
      <w:b/>
      <w:bCs/>
      <w:lang w:val="en-US"/>
    </w:rPr>
  </w:style>
  <w:style w:type="character" w:styleId="1021" w:customStyle="1">
    <w:name w:val="Заголовок Знак"/>
    <w:basedOn w:val="831"/>
    <w:rPr>
      <w:rFonts w:asciiTheme="majorHAnsi" w:hAnsiTheme="majorHAnsi" w:eastAsiaTheme="majorEastAsia" w:cstheme="majorBidi"/>
      <w:spacing w:val="-10"/>
      <w:sz w:val="56"/>
      <w:szCs w:val="56"/>
      <w:lang w:eastAsia="ru-RU"/>
    </w:rPr>
  </w:style>
  <w:style w:type="character" w:styleId="1022" w:customStyle="1">
    <w:name w:val="Заголовок Знак1"/>
    <w:link w:val="1020"/>
    <w:rPr>
      <w:rFonts w:ascii="Times New Roman" w:hAnsi="Times New Roman" w:eastAsia="Times New Roman" w:cs="Times New Roman"/>
      <w:b/>
      <w:bCs/>
      <w:sz w:val="24"/>
      <w:szCs w:val="24"/>
      <w:lang w:val="en-US"/>
    </w:rPr>
  </w:style>
  <w:style w:type="paragraph" w:styleId="1023" w:customStyle="1">
    <w:name w:val="ConsNormal"/>
    <w:pPr>
      <w:numPr>
        <w:ilvl w:val="2"/>
        <w:numId w:val="10"/>
      </w:numPr>
      <w:ind w:left="0" w:firstLine="720"/>
      <w:spacing w:after="0" w:line="240" w:lineRule="auto"/>
      <w:widowControl w:val="off"/>
      <w:tabs>
        <w:tab w:val="clear" w:pos="862" w:leader="none"/>
      </w:tabs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1024" w:customStyle="1">
    <w:name w:val="Таблица текст"/>
    <w:basedOn w:val="821"/>
    <w:pPr>
      <w:ind w:left="57" w:right="57"/>
      <w:spacing w:before="40" w:after="40"/>
    </w:pPr>
  </w:style>
  <w:style w:type="table" w:styleId="1025">
    <w:name w:val="Table Grid"/>
    <w:basedOn w:val="832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26">
    <w:name w:val="Body Text Indent"/>
    <w:basedOn w:val="821"/>
    <w:link w:val="1027"/>
    <w:pPr>
      <w:ind w:left="283"/>
      <w:spacing w:after="120"/>
    </w:pPr>
  </w:style>
  <w:style w:type="character" w:styleId="1027" w:customStyle="1">
    <w:name w:val="Основной текст с отступом Знак"/>
    <w:basedOn w:val="831"/>
    <w:link w:val="1026"/>
    <w:rPr>
      <w:rFonts w:ascii="Times New Roman" w:hAnsi="Times New Roman" w:eastAsia="Times New Roman" w:cs="Times New Roman"/>
      <w:sz w:val="24"/>
      <w:szCs w:val="24"/>
    </w:rPr>
  </w:style>
  <w:style w:type="paragraph" w:styleId="1028" w:customStyle="1">
    <w:name w:val="Char Char Car Car Char Char Car Car Char Char Car Car Char Char"/>
    <w:basedOn w:val="82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1029">
    <w:name w:val="Balloon Text"/>
    <w:basedOn w:val="821"/>
    <w:link w:val="1030"/>
    <w:uiPriority w:val="99"/>
    <w:rPr>
      <w:rFonts w:ascii="Tahoma" w:hAnsi="Tahoma"/>
      <w:sz w:val="16"/>
      <w:szCs w:val="16"/>
    </w:rPr>
  </w:style>
  <w:style w:type="character" w:styleId="1030" w:customStyle="1">
    <w:name w:val="Текст выноски Знак"/>
    <w:basedOn w:val="831"/>
    <w:link w:val="1029"/>
    <w:uiPriority w:val="99"/>
    <w:rPr>
      <w:rFonts w:ascii="Tahoma" w:hAnsi="Tahoma" w:eastAsia="Times New Roman" w:cs="Times New Roman"/>
      <w:sz w:val="16"/>
      <w:szCs w:val="16"/>
    </w:rPr>
  </w:style>
  <w:style w:type="character" w:styleId="1031">
    <w:name w:val="annotation reference"/>
    <w:uiPriority w:val="99"/>
    <w:rPr>
      <w:sz w:val="16"/>
      <w:szCs w:val="16"/>
    </w:rPr>
  </w:style>
  <w:style w:type="paragraph" w:styleId="1032">
    <w:name w:val="annotation text"/>
    <w:basedOn w:val="821"/>
    <w:link w:val="1033"/>
    <w:qFormat/>
    <w:rPr>
      <w:sz w:val="20"/>
      <w:szCs w:val="20"/>
    </w:rPr>
  </w:style>
  <w:style w:type="character" w:styleId="1033" w:customStyle="1">
    <w:name w:val="Текст примечания Знак"/>
    <w:basedOn w:val="831"/>
    <w:link w:val="1032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34">
    <w:name w:val="annotation subject"/>
    <w:basedOn w:val="1032"/>
    <w:next w:val="1032"/>
    <w:link w:val="1035"/>
    <w:uiPriority w:val="99"/>
    <w:rPr>
      <w:b/>
      <w:bCs/>
    </w:rPr>
  </w:style>
  <w:style w:type="character" w:styleId="1035" w:customStyle="1">
    <w:name w:val="Тема примечания Знак"/>
    <w:basedOn w:val="1033"/>
    <w:link w:val="1034"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1036">
    <w:name w:val="Body Text 2"/>
    <w:basedOn w:val="821"/>
    <w:link w:val="1037"/>
    <w:pPr>
      <w:spacing w:after="120" w:line="480" w:lineRule="auto"/>
    </w:pPr>
  </w:style>
  <w:style w:type="character" w:styleId="1037" w:customStyle="1">
    <w:name w:val="Основной текст 2 Знак"/>
    <w:basedOn w:val="831"/>
    <w:link w:val="1036"/>
    <w:rPr>
      <w:rFonts w:ascii="Times New Roman" w:hAnsi="Times New Roman" w:eastAsia="Times New Roman" w:cs="Times New Roman"/>
      <w:sz w:val="24"/>
      <w:szCs w:val="24"/>
    </w:rPr>
  </w:style>
  <w:style w:type="paragraph" w:styleId="1038">
    <w:name w:val="List Paragraph"/>
    <w:basedOn w:val="821"/>
    <w:link w:val="1039"/>
    <w:uiPriority w:val="34"/>
    <w:qFormat/>
    <w:pPr>
      <w:jc w:val="both"/>
      <w:spacing w:before="120" w:after="120" w:line="276" w:lineRule="auto"/>
      <w:widowControl w:val="off"/>
    </w:pPr>
  </w:style>
  <w:style w:type="character" w:styleId="1039" w:customStyle="1">
    <w:name w:val="Абзац списка Знак"/>
    <w:link w:val="1038"/>
    <w:uiPriority w:val="34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40">
    <w:name w:val="toc 2"/>
    <w:basedOn w:val="821"/>
    <w:next w:val="821"/>
    <w:uiPriority w:val="39"/>
    <w:qFormat/>
    <w:pPr>
      <w:ind w:left="240"/>
    </w:pPr>
  </w:style>
  <w:style w:type="paragraph" w:styleId="1041">
    <w:name w:val="List Bullet 2"/>
    <w:basedOn w:val="821"/>
    <w:pPr>
      <w:numPr>
        <w:ilvl w:val="0"/>
        <w:numId w:val="12"/>
      </w:numPr>
      <w:contextualSpacing/>
    </w:pPr>
  </w:style>
  <w:style w:type="paragraph" w:styleId="1042" w:customStyle="1">
    <w:name w:val="Список многоуровневый"/>
    <w:basedOn w:val="821"/>
    <w:pPr>
      <w:numPr>
        <w:ilvl w:val="0"/>
        <w:numId w:val="13"/>
      </w:numPr>
      <w:spacing w:after="60"/>
    </w:pPr>
    <w:rPr>
      <w:rFonts w:ascii="Arial" w:hAnsi="Arial"/>
      <w:color w:val="000000"/>
      <w:szCs w:val="20"/>
      <w:lang w:eastAsia="en-US"/>
    </w:rPr>
  </w:style>
  <w:style w:type="paragraph" w:styleId="1043" w:customStyle="1">
    <w:name w:val="уровень 1"/>
    <w:basedOn w:val="821"/>
    <w:next w:val="821"/>
    <w:pPr>
      <w:numPr>
        <w:ilvl w:val="2"/>
        <w:numId w:val="14"/>
      </w:numPr>
      <w:ind w:left="360" w:hanging="360"/>
      <w:keepNext/>
      <w:spacing w:before="360" w:after="240"/>
      <w:tabs>
        <w:tab w:val="num" w:pos="360" w:leader="none"/>
        <w:tab w:val="clear" w:pos="1800" w:leader="none"/>
      </w:tabs>
      <w:outlineLvl w:val="0"/>
    </w:pPr>
    <w:rPr>
      <w:b/>
      <w:sz w:val="32"/>
      <w:lang w:eastAsia="en-US"/>
    </w:rPr>
  </w:style>
  <w:style w:type="paragraph" w:styleId="1044" w:customStyle="1">
    <w:name w:val="уровень 2"/>
    <w:basedOn w:val="821"/>
    <w:pPr>
      <w:numPr>
        <w:ilvl w:val="1"/>
        <w:numId w:val="14"/>
      </w:numPr>
      <w:keepNext/>
      <w:spacing w:before="240" w:after="120"/>
      <w:tabs>
        <w:tab w:val="left" w:pos="1260" w:leader="none"/>
      </w:tabs>
      <w:outlineLvl w:val="1"/>
    </w:pPr>
    <w:rPr>
      <w:b/>
      <w:sz w:val="28"/>
    </w:rPr>
  </w:style>
  <w:style w:type="paragraph" w:styleId="1045" w:customStyle="1">
    <w:name w:val="уровень 3"/>
    <w:basedOn w:val="821"/>
    <w:pPr>
      <w:ind w:left="1584" w:hanging="504"/>
      <w:jc w:val="both"/>
      <w:spacing w:before="240" w:after="120"/>
      <w:tabs>
        <w:tab w:val="left" w:pos="720" w:leader="none"/>
        <w:tab w:val="left" w:pos="1440" w:leader="none"/>
        <w:tab w:val="left" w:pos="1620" w:leader="none"/>
        <w:tab w:val="num" w:pos="1800" w:leader="none"/>
      </w:tabs>
      <w:outlineLvl w:val="2"/>
    </w:pPr>
    <w:rPr>
      <w:i/>
      <w:color w:val="000000"/>
      <w:sz w:val="28"/>
    </w:rPr>
  </w:style>
  <w:style w:type="paragraph" w:styleId="1046" w:customStyle="1">
    <w:name w:val="Confirmation"/>
    <w:pPr>
      <w:ind w:firstLine="720"/>
      <w:keepNext/>
      <w:spacing w:before="120" w:after="120" w:line="360" w:lineRule="auto"/>
    </w:pPr>
    <w:rPr>
      <w:rFonts w:ascii="Times New Roman" w:hAnsi="Times New Roman" w:eastAsia="Times New Roman" w:cs="Times New Roman"/>
      <w:b/>
      <w:caps/>
      <w:sz w:val="24"/>
      <w:szCs w:val="28"/>
      <w:lang w:eastAsia="ru-RU"/>
    </w:rPr>
  </w:style>
  <w:style w:type="paragraph" w:styleId="1047" w:customStyle="1">
    <w:name w:val="Confirmation text"/>
    <w:basedOn w:val="821"/>
    <w:pPr>
      <w:keepLines/>
      <w:spacing w:before="120" w:after="120" w:line="360" w:lineRule="auto"/>
      <w:widowControl w:val="off"/>
    </w:pPr>
  </w:style>
  <w:style w:type="paragraph" w:styleId="1048" w:customStyle="1">
    <w:name w:val="Short System Name"/>
    <w:next w:val="821"/>
    <w:pPr>
      <w:ind w:firstLine="720"/>
      <w:jc w:val="center"/>
      <w:spacing w:before="240" w:after="120" w:line="288" w:lineRule="auto"/>
    </w:pPr>
    <w:rPr>
      <w:rFonts w:ascii="Times New Roman" w:hAnsi="Times New Roman" w:eastAsia="Times New Roman" w:cs="Times New Roman"/>
      <w:bCs/>
      <w:caps/>
      <w:sz w:val="28"/>
      <w:szCs w:val="28"/>
      <w:lang w:eastAsia="ru-RU"/>
    </w:rPr>
  </w:style>
  <w:style w:type="paragraph" w:styleId="1049">
    <w:name w:val="Body Text Indent 2"/>
    <w:basedOn w:val="821"/>
    <w:link w:val="1050"/>
    <w:pPr>
      <w:ind w:left="283"/>
      <w:spacing w:after="120" w:line="480" w:lineRule="auto"/>
    </w:pPr>
  </w:style>
  <w:style w:type="character" w:styleId="1050" w:customStyle="1">
    <w:name w:val="Основной текст с отступом 2 Знак"/>
    <w:basedOn w:val="831"/>
    <w:link w:val="104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51">
    <w:name w:val="footnote text"/>
    <w:basedOn w:val="821"/>
    <w:link w:val="1052"/>
    <w:uiPriority w:val="99"/>
    <w:rPr>
      <w:sz w:val="20"/>
      <w:szCs w:val="20"/>
    </w:rPr>
  </w:style>
  <w:style w:type="character" w:styleId="1052" w:customStyle="1">
    <w:name w:val="Текст сноски Знак"/>
    <w:basedOn w:val="831"/>
    <w:link w:val="1051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53">
    <w:name w:val="footnote reference"/>
    <w:uiPriority w:val="99"/>
    <w:rPr>
      <w:vertAlign w:val="superscript"/>
    </w:rPr>
  </w:style>
  <w:style w:type="paragraph" w:styleId="1054" w:customStyle="1">
    <w:name w:val="Подпункт"/>
    <w:basedOn w:val="1015"/>
    <w:pPr>
      <w:numPr>
        <w:ilvl w:val="0"/>
        <w:numId w:val="0"/>
      </w:numPr>
      <w:ind w:left="2880" w:hanging="360"/>
      <w:widowControl/>
      <w:tabs>
        <w:tab w:val="num" w:pos="2880" w:leader="none"/>
      </w:tabs>
    </w:pPr>
  </w:style>
  <w:style w:type="paragraph" w:styleId="1055">
    <w:name w:val="Normal (Web)"/>
    <w:basedOn w:val="821"/>
    <w:uiPriority w:val="99"/>
    <w:unhideWhenUsed/>
    <w:pPr>
      <w:spacing w:before="100" w:beforeAutospacing="1" w:after="100" w:afterAutospacing="1"/>
    </w:pPr>
    <w:rPr>
      <w:rFonts w:eastAsia="Calibri"/>
    </w:rPr>
  </w:style>
  <w:style w:type="paragraph" w:styleId="1056">
    <w:name w:val="No Spacing"/>
    <w:link w:val="1087"/>
    <w:uiPriority w:val="1"/>
    <w:qFormat/>
    <w:pPr>
      <w:jc w:val="both"/>
      <w:spacing w:after="0" w:line="240" w:lineRule="auto"/>
    </w:pPr>
    <w:rPr>
      <w:rFonts w:ascii="Calibri" w:hAnsi="Calibri" w:eastAsia="Calibri" w:cs="Times New Roman"/>
    </w:rPr>
  </w:style>
  <w:style w:type="paragraph" w:styleId="1057">
    <w:name w:val="TOC Heading"/>
    <w:basedOn w:val="822"/>
    <w:next w:val="821"/>
    <w:uiPriority w:val="39"/>
    <w:unhideWhenUsed/>
    <w:qFormat/>
    <w:pPr>
      <w:numPr>
        <w:ilvl w:val="0"/>
        <w:numId w:val="0"/>
      </w:numPr>
      <w:jc w:val="left"/>
      <w:pageBreakBefore w:val="0"/>
      <w:spacing w:before="480" w:after="0" w:line="276" w:lineRule="auto"/>
      <w:tabs>
        <w:tab w:val="num" w:pos="2694" w:leader="none"/>
      </w:tabs>
      <w:outlineLvl w:val="9"/>
    </w:pPr>
    <w:rPr>
      <w:rFonts w:ascii="Cambria" w:hAnsi="Cambria" w:cs="Times New Roman"/>
      <w:color w:val="365f91"/>
      <w:lang w:eastAsia="en-US"/>
    </w:rPr>
  </w:style>
  <w:style w:type="paragraph" w:styleId="1058" w:customStyle="1">
    <w:name w:val="нум"/>
    <w:basedOn w:val="1010"/>
    <w:qFormat/>
    <w:pPr>
      <w:numPr>
        <w:ilvl w:val="0"/>
        <w:numId w:val="15"/>
      </w:numPr>
      <w:ind w:left="964" w:hanging="397"/>
      <w:spacing w:before="0" w:after="0" w:line="360" w:lineRule="exact"/>
      <w:widowControl/>
      <w:tabs>
        <w:tab w:val="clear" w:pos="1418" w:leader="none"/>
        <w:tab w:val="left" w:pos="1843" w:leader="none"/>
      </w:tabs>
    </w:pPr>
    <w:rPr>
      <w:rFonts w:eastAsia="Calibri"/>
      <w:bCs/>
      <w:iCs/>
      <w:sz w:val="28"/>
      <w:szCs w:val="22"/>
      <w:lang w:eastAsia="en-US"/>
    </w:rPr>
  </w:style>
  <w:style w:type="character" w:styleId="1059">
    <w:name w:val="HTML Cite"/>
    <w:uiPriority w:val="99"/>
    <w:unhideWhenUsed/>
    <w:rPr>
      <w:i/>
      <w:iCs/>
    </w:rPr>
  </w:style>
  <w:style w:type="paragraph" w:styleId="1060">
    <w:name w:val="Revision"/>
    <w:hidden/>
    <w:uiPriority w:val="99"/>
    <w:semiHidden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61" w:customStyle="1">
    <w:name w:val="Normal1"/>
    <w:pPr>
      <w:ind w:firstLine="425"/>
      <w:jc w:val="both"/>
      <w:spacing w:before="120" w:after="120" w:line="240" w:lineRule="auto"/>
    </w:pPr>
    <w:rPr>
      <w:rFonts w:ascii="Times New Roman" w:hAnsi="Times New Roman" w:eastAsia="Times New Roman" w:cs="Times New Roman"/>
      <w:sz w:val="24"/>
      <w:szCs w:val="20"/>
      <w:lang w:val="en-US" w:eastAsia="ru-RU"/>
    </w:rPr>
  </w:style>
  <w:style w:type="character" w:styleId="1062" w:customStyle="1">
    <w:name w:val="Заголовок 2 Знак1"/>
    <w:link w:val="823"/>
    <w:uiPriority w:val="9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1063">
    <w:name w:val="FollowedHyperlink"/>
    <w:uiPriority w:val="99"/>
    <w:rPr>
      <w:color w:val="800080"/>
      <w:u w:val="single"/>
    </w:rPr>
  </w:style>
  <w:style w:type="paragraph" w:styleId="1064" w:customStyle="1">
    <w:name w:val="ConsPlusNormal"/>
    <w:pPr>
      <w:ind w:firstLine="720"/>
      <w:widowControl w:val="off"/>
    </w:pPr>
    <w:rPr>
      <w:rFonts w:ascii="Arial" w:hAnsi="Arial" w:eastAsia="Times New Roman" w:cs="Arial"/>
      <w:lang w:eastAsia="ru-RU"/>
    </w:rPr>
  </w:style>
  <w:style w:type="character" w:styleId="1065">
    <w:name w:val="Emphasis"/>
    <w:uiPriority w:val="20"/>
    <w:qFormat/>
    <w:rPr>
      <w:i/>
      <w:iCs/>
      <w:color w:val="auto"/>
    </w:rPr>
  </w:style>
  <w:style w:type="paragraph" w:styleId="1066">
    <w:name w:val="Subtitle"/>
    <w:basedOn w:val="821"/>
    <w:next w:val="821"/>
    <w:link w:val="1067"/>
    <w:uiPriority w:val="11"/>
    <w:qFormat/>
    <w:pPr>
      <w:numPr>
        <w:ilvl w:val="1"/>
      </w:numPr>
      <w:spacing w:after="160" w:line="259" w:lineRule="auto"/>
    </w:pPr>
    <w:rPr>
      <w:rFonts w:ascii="Calibri" w:hAnsi="Calibri"/>
      <w:color w:val="5a5a5a"/>
      <w:spacing w:val="15"/>
      <w:sz w:val="22"/>
      <w:szCs w:val="22"/>
    </w:rPr>
  </w:style>
  <w:style w:type="character" w:styleId="1067" w:customStyle="1">
    <w:name w:val="Подзаголовок Знак"/>
    <w:basedOn w:val="831"/>
    <w:link w:val="1066"/>
    <w:uiPriority w:val="11"/>
    <w:rPr>
      <w:rFonts w:ascii="Calibri" w:hAnsi="Calibri" w:eastAsia="Times New Roman" w:cs="Times New Roman"/>
      <w:color w:val="5a5a5a"/>
      <w:spacing w:val="15"/>
      <w:lang w:eastAsia="ru-RU"/>
    </w:rPr>
  </w:style>
  <w:style w:type="character" w:styleId="1068">
    <w:name w:val="Strong"/>
    <w:uiPriority w:val="22"/>
    <w:qFormat/>
    <w:rPr>
      <w:b/>
      <w:bCs/>
      <w:color w:val="auto"/>
    </w:rPr>
  </w:style>
  <w:style w:type="paragraph" w:styleId="1069">
    <w:name w:val="Quote"/>
    <w:basedOn w:val="821"/>
    <w:next w:val="821"/>
    <w:link w:val="1070"/>
    <w:uiPriority w:val="29"/>
    <w:qFormat/>
    <w:pPr>
      <w:ind w:left="864" w:right="864"/>
      <w:spacing w:before="200" w:after="160" w:line="259" w:lineRule="auto"/>
    </w:pPr>
    <w:rPr>
      <w:rFonts w:ascii="Calibri" w:hAnsi="Calibri"/>
      <w:i/>
      <w:iCs/>
      <w:color w:val="404040"/>
      <w:sz w:val="22"/>
      <w:szCs w:val="22"/>
    </w:rPr>
  </w:style>
  <w:style w:type="character" w:styleId="1070" w:customStyle="1">
    <w:name w:val="Цитата 2 Знак"/>
    <w:basedOn w:val="831"/>
    <w:link w:val="1069"/>
    <w:uiPriority w:val="29"/>
    <w:rPr>
      <w:rFonts w:ascii="Calibri" w:hAnsi="Calibri" w:eastAsia="Times New Roman" w:cs="Times New Roman"/>
      <w:i/>
      <w:iCs/>
      <w:color w:val="404040"/>
      <w:lang w:eastAsia="ru-RU"/>
    </w:rPr>
  </w:style>
  <w:style w:type="paragraph" w:styleId="1071">
    <w:name w:val="Intense Quote"/>
    <w:basedOn w:val="821"/>
    <w:next w:val="821"/>
    <w:link w:val="1072"/>
    <w:uiPriority w:val="30"/>
    <w:qFormat/>
    <w:pPr>
      <w:ind w:left="864" w:right="864"/>
      <w:jc w:val="center"/>
      <w:spacing w:before="360" w:after="360" w:line="259" w:lineRule="auto"/>
      <w:pBdr>
        <w:top w:val="single" w:color="4F81BD" w:sz="4" w:space="10"/>
        <w:bottom w:val="single" w:color="4F81BD" w:sz="4" w:space="10"/>
      </w:pBdr>
    </w:pPr>
    <w:rPr>
      <w:rFonts w:ascii="Calibri" w:hAnsi="Calibri"/>
      <w:i/>
      <w:iCs/>
      <w:color w:val="4f81bd"/>
      <w:sz w:val="22"/>
      <w:szCs w:val="22"/>
    </w:rPr>
  </w:style>
  <w:style w:type="character" w:styleId="1072" w:customStyle="1">
    <w:name w:val="Выделенная цитата Знак"/>
    <w:basedOn w:val="831"/>
    <w:link w:val="1071"/>
    <w:uiPriority w:val="30"/>
    <w:rPr>
      <w:rFonts w:ascii="Calibri" w:hAnsi="Calibri" w:eastAsia="Times New Roman" w:cs="Times New Roman"/>
      <w:i/>
      <w:iCs/>
      <w:color w:val="4f81bd"/>
      <w:lang w:eastAsia="ru-RU"/>
    </w:rPr>
  </w:style>
  <w:style w:type="character" w:styleId="1073">
    <w:name w:val="Subtle Emphasis"/>
    <w:uiPriority w:val="19"/>
    <w:qFormat/>
    <w:rPr>
      <w:i/>
      <w:iCs/>
      <w:color w:val="404040"/>
    </w:rPr>
  </w:style>
  <w:style w:type="character" w:styleId="1074">
    <w:name w:val="Intense Emphasis"/>
    <w:uiPriority w:val="21"/>
    <w:qFormat/>
    <w:rPr>
      <w:i/>
      <w:iCs/>
      <w:color w:val="4f81bd"/>
    </w:rPr>
  </w:style>
  <w:style w:type="character" w:styleId="1075">
    <w:name w:val="Subtle Reference"/>
    <w:uiPriority w:val="31"/>
    <w:qFormat/>
    <w:rPr>
      <w:smallCaps/>
      <w:color w:val="404040"/>
    </w:rPr>
  </w:style>
  <w:style w:type="character" w:styleId="1076">
    <w:name w:val="Intense Reference"/>
    <w:uiPriority w:val="32"/>
    <w:qFormat/>
    <w:rPr>
      <w:b/>
      <w:bCs/>
      <w:smallCaps/>
      <w:color w:val="4f81bd"/>
      <w:spacing w:val="5"/>
    </w:rPr>
  </w:style>
  <w:style w:type="character" w:styleId="1077">
    <w:name w:val="Book Title"/>
    <w:uiPriority w:val="33"/>
    <w:qFormat/>
    <w:rPr>
      <w:b/>
      <w:bCs/>
      <w:i/>
      <w:iCs/>
      <w:spacing w:val="5"/>
    </w:rPr>
  </w:style>
  <w:style w:type="paragraph" w:styleId="1078" w:customStyle="1">
    <w:name w:val="Нумер_без_отступа"/>
    <w:basedOn w:val="1038"/>
    <w:link w:val="1079"/>
    <w:qFormat/>
    <w:pPr>
      <w:numPr>
        <w:ilvl w:val="0"/>
        <w:numId w:val="26"/>
      </w:numPr>
    </w:pPr>
  </w:style>
  <w:style w:type="character" w:styleId="1079" w:customStyle="1">
    <w:name w:val="Нумер_без_отступа Знак"/>
    <w:basedOn w:val="1039"/>
    <w:link w:val="1078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80" w:customStyle="1">
    <w:name w:val="Без_нумерации"/>
    <w:basedOn w:val="1078"/>
    <w:link w:val="1081"/>
    <w:qFormat/>
    <w:pPr>
      <w:numPr>
        <w:ilvl w:val="0"/>
        <w:numId w:val="0"/>
      </w:numPr>
      <w:contextualSpacing/>
      <w:ind w:firstLine="567"/>
    </w:pPr>
  </w:style>
  <w:style w:type="character" w:styleId="1081" w:customStyle="1">
    <w:name w:val="Без_нумерации Знак"/>
    <w:basedOn w:val="1079"/>
    <w:link w:val="1080"/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1082" w:customStyle="1">
    <w:name w:val="Нет списка1"/>
    <w:next w:val="833"/>
    <w:uiPriority w:val="99"/>
    <w:semiHidden/>
    <w:unhideWhenUsed/>
  </w:style>
  <w:style w:type="character" w:styleId="1083" w:customStyle="1">
    <w:name w:val="blk"/>
    <w:basedOn w:val="831"/>
  </w:style>
  <w:style w:type="character" w:styleId="1084" w:customStyle="1">
    <w:name w:val="apple-converted-space"/>
    <w:basedOn w:val="831"/>
  </w:style>
  <w:style w:type="paragraph" w:styleId="1085" w:customStyle="1">
    <w:name w:val="Цветной список - Акцент 11"/>
    <w:basedOn w:val="821"/>
    <w:link w:val="1086"/>
    <w:uiPriority w:val="34"/>
    <w:qFormat/>
    <w:pPr>
      <w:contextualSpacing/>
      <w:ind w:left="720"/>
      <w:jc w:val="both"/>
      <w:spacing w:before="120"/>
    </w:pPr>
    <w:rPr>
      <w:sz w:val="28"/>
    </w:rPr>
  </w:style>
  <w:style w:type="character" w:styleId="1086" w:customStyle="1">
    <w:name w:val="Цветной список - Акцент 1 Знак"/>
    <w:link w:val="1085"/>
    <w:uiPriority w:val="34"/>
    <w:rPr>
      <w:rFonts w:ascii="Times New Roman" w:hAnsi="Times New Roman" w:eastAsia="Times New Roman" w:cs="Times New Roman"/>
      <w:sz w:val="28"/>
      <w:szCs w:val="24"/>
    </w:rPr>
  </w:style>
  <w:style w:type="character" w:styleId="1087" w:customStyle="1">
    <w:name w:val="Без интервала Знак"/>
    <w:link w:val="1056"/>
    <w:uiPriority w:val="1"/>
    <w:rPr>
      <w:rFonts w:ascii="Calibri" w:hAnsi="Calibri" w:eastAsia="Calibri" w:cs="Times New Roman"/>
    </w:rPr>
  </w:style>
  <w:style w:type="paragraph" w:styleId="1088" w:customStyle="1">
    <w:name w:val="m_ТекстТаблицы"/>
    <w:basedOn w:val="821"/>
    <w:rPr>
      <w:sz w:val="20"/>
    </w:rPr>
  </w:style>
  <w:style w:type="numbering" w:styleId="1089" w:customStyle="1">
    <w:name w:val="Нумерованные булеты"/>
    <w:pPr>
      <w:numPr>
        <w:ilvl w:val="0"/>
        <w:numId w:val="27"/>
      </w:numPr>
    </w:pPr>
  </w:style>
  <w:style w:type="paragraph" w:styleId="1090" w:customStyle="1">
    <w:name w:val="G_Текст"/>
    <w:basedOn w:val="821"/>
    <w:link w:val="1091"/>
    <w:qFormat/>
    <w:pPr>
      <w:ind w:firstLine="851"/>
      <w:jc w:val="both"/>
      <w:spacing w:after="120" w:line="312" w:lineRule="auto"/>
    </w:pPr>
    <w:rPr>
      <w:szCs w:val="20"/>
    </w:rPr>
  </w:style>
  <w:style w:type="character" w:styleId="1091" w:customStyle="1">
    <w:name w:val="G_Текст Знак"/>
    <w:link w:val="1090"/>
    <w:rPr>
      <w:rFonts w:ascii="Times New Roman" w:hAnsi="Times New Roman" w:eastAsia="Times New Roman" w:cs="Times New Roman"/>
      <w:sz w:val="24"/>
      <w:szCs w:val="20"/>
      <w:lang w:eastAsia="ru-RU"/>
    </w:rPr>
  </w:style>
  <w:style w:type="table" w:styleId="1092" w:customStyle="1">
    <w:name w:val="Table Grid Report1"/>
    <w:basedOn w:val="832"/>
    <w:next w:val="1025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93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1094" w:customStyle="1">
    <w:name w:val="Таблица. Шапка"/>
    <w:basedOn w:val="821"/>
    <w:next w:val="821"/>
    <w:qFormat/>
    <w:pPr>
      <w:spacing w:line="360" w:lineRule="auto"/>
    </w:pPr>
    <w:rPr>
      <w:rFonts w:eastAsia="Calibri"/>
      <w:b/>
      <w:lang w:eastAsia="en-US"/>
    </w:rPr>
  </w:style>
  <w:style w:type="numbering" w:styleId="1095">
    <w:name w:val="Outline List 2"/>
    <w:basedOn w:val="833"/>
    <w:pPr>
      <w:numPr>
        <w:ilvl w:val="0"/>
        <w:numId w:val="28"/>
      </w:numPr>
    </w:pPr>
  </w:style>
  <w:style w:type="paragraph" w:styleId="1096" w:customStyle="1">
    <w:name w:val="basic"/>
    <w:basedOn w:val="821"/>
    <w:link w:val="1097"/>
    <w:qFormat/>
    <w:pPr>
      <w:ind w:firstLine="567"/>
      <w:jc w:val="both"/>
      <w:spacing w:line="360" w:lineRule="auto"/>
      <w:widowControl w:val="off"/>
    </w:pPr>
  </w:style>
  <w:style w:type="character" w:styleId="1097" w:customStyle="1">
    <w:name w:val="basic Знак"/>
    <w:basedOn w:val="831"/>
    <w:link w:val="1096"/>
    <w:rPr>
      <w:rFonts w:ascii="Times New Roman" w:hAnsi="Times New Roman" w:eastAsia="Times New Roman" w:cs="Times New Roman"/>
      <w:sz w:val="24"/>
      <w:szCs w:val="24"/>
    </w:rPr>
  </w:style>
  <w:style w:type="paragraph" w:styleId="1098" w:customStyle="1">
    <w:name w:val="список 1"/>
    <w:basedOn w:val="1096"/>
    <w:link w:val="1099"/>
    <w:qFormat/>
    <w:pPr>
      <w:numPr>
        <w:ilvl w:val="0"/>
        <w:numId w:val="29"/>
      </w:numPr>
    </w:pPr>
  </w:style>
  <w:style w:type="character" w:styleId="1099" w:customStyle="1">
    <w:name w:val="список 1 Знак"/>
    <w:link w:val="1098"/>
    <w:rPr>
      <w:rFonts w:ascii="Times New Roman" w:hAnsi="Times New Roman" w:eastAsia="Times New Roman" w:cs="Times New Roman"/>
      <w:sz w:val="24"/>
      <w:szCs w:val="24"/>
    </w:rPr>
  </w:style>
  <w:style w:type="paragraph" w:styleId="1100" w:customStyle="1">
    <w:name w:val="Мой стиль"/>
    <w:basedOn w:val="821"/>
    <w:link w:val="1101"/>
    <w:pPr>
      <w:jc w:val="both"/>
      <w:spacing w:before="120" w:line="276" w:lineRule="auto"/>
    </w:pPr>
    <w:rPr>
      <w:rFonts w:eastAsia="Calibri"/>
      <w:lang w:val="en-GB" w:eastAsia="en-US"/>
    </w:rPr>
  </w:style>
  <w:style w:type="character" w:styleId="1101" w:customStyle="1">
    <w:name w:val="Мой стиль Знак"/>
    <w:basedOn w:val="831"/>
    <w:link w:val="1100"/>
    <w:rPr>
      <w:rFonts w:ascii="Times New Roman" w:hAnsi="Times New Roman" w:eastAsia="Calibri" w:cs="Times New Roman"/>
      <w:sz w:val="24"/>
      <w:szCs w:val="24"/>
      <w:lang w:val="en-GB"/>
    </w:rPr>
  </w:style>
  <w:style w:type="paragraph" w:styleId="1102" w:customStyle="1">
    <w:name w:val="Список М2"/>
    <w:pPr>
      <w:numPr>
        <w:ilvl w:val="0"/>
        <w:numId w:val="30"/>
      </w:numPr>
      <w:spacing w:after="0" w:line="360" w:lineRule="auto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1103" w:customStyle="1">
    <w:name w:val="Стиль1"/>
    <w:basedOn w:val="1038"/>
    <w:link w:val="1115"/>
    <w:qFormat/>
    <w:pPr>
      <w:numPr>
        <w:ilvl w:val="0"/>
        <w:numId w:val="31"/>
      </w:numPr>
      <w:contextualSpacing/>
      <w:widowControl/>
    </w:pPr>
    <w:rPr>
      <w:rFonts w:eastAsia="Calibri"/>
      <w:sz w:val="28"/>
      <w:szCs w:val="28"/>
      <w:lang w:eastAsia="en-US"/>
    </w:rPr>
  </w:style>
  <w:style w:type="paragraph" w:styleId="1104" w:customStyle="1">
    <w:name w:val="0.текст"/>
    <w:basedOn w:val="821"/>
    <w:qFormat/>
    <w:pPr>
      <w:ind w:firstLine="680"/>
      <w:jc w:val="both"/>
    </w:pPr>
    <w:rPr>
      <w:rFonts w:cs="Arial"/>
      <w:lang w:val="en-US" w:eastAsia="en-US" w:bidi="en-US"/>
    </w:rPr>
  </w:style>
  <w:style w:type="paragraph" w:styleId="1105" w:customStyle="1">
    <w:name w:val="заголовок 1"/>
    <w:basedOn w:val="821"/>
    <w:next w:val="821"/>
    <w:pPr>
      <w:keepNext/>
      <w:spacing w:before="240" w:after="60"/>
      <w:outlineLvl w:val="0"/>
    </w:pPr>
    <w:rPr>
      <w:rFonts w:ascii="Arial" w:hAnsi="Arial"/>
      <w:b/>
      <w:sz w:val="28"/>
      <w:szCs w:val="20"/>
    </w:rPr>
  </w:style>
  <w:style w:type="paragraph" w:styleId="1106" w:customStyle="1">
    <w:name w:val="заголовок 4"/>
    <w:basedOn w:val="821"/>
    <w:next w:val="821"/>
    <w:pPr>
      <w:keepNext/>
      <w:spacing w:before="240" w:after="60"/>
      <w:outlineLvl w:val="3"/>
    </w:pPr>
    <w:rPr>
      <w:rFonts w:ascii="Arial" w:hAnsi="Arial"/>
      <w:b/>
      <w:szCs w:val="20"/>
    </w:rPr>
  </w:style>
  <w:style w:type="paragraph" w:styleId="1107" w:customStyle="1">
    <w:name w:val="заголовок 5"/>
    <w:basedOn w:val="821"/>
    <w:next w:val="821"/>
    <w:pPr>
      <w:spacing w:before="240" w:after="60"/>
      <w:outlineLvl w:val="4"/>
    </w:pPr>
    <w:rPr>
      <w:sz w:val="22"/>
      <w:szCs w:val="20"/>
    </w:rPr>
  </w:style>
  <w:style w:type="paragraph" w:styleId="1108" w:customStyle="1">
    <w:name w:val="заголовок 6"/>
    <w:basedOn w:val="821"/>
    <w:next w:val="821"/>
    <w:pPr>
      <w:spacing w:before="240" w:after="60"/>
      <w:outlineLvl w:val="5"/>
    </w:pPr>
    <w:rPr>
      <w:i/>
      <w:sz w:val="22"/>
      <w:szCs w:val="20"/>
    </w:rPr>
  </w:style>
  <w:style w:type="paragraph" w:styleId="1109" w:customStyle="1">
    <w:name w:val="заголовок 7"/>
    <w:basedOn w:val="821"/>
    <w:next w:val="821"/>
    <w:pPr>
      <w:spacing w:before="240" w:after="60"/>
      <w:outlineLvl w:val="6"/>
    </w:pPr>
    <w:rPr>
      <w:rFonts w:ascii="Arial" w:hAnsi="Arial"/>
      <w:sz w:val="20"/>
      <w:szCs w:val="20"/>
    </w:rPr>
  </w:style>
  <w:style w:type="paragraph" w:styleId="1110" w:customStyle="1">
    <w:name w:val="заголовок 8"/>
    <w:basedOn w:val="821"/>
    <w:next w:val="821"/>
    <w:p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1111" w:customStyle="1">
    <w:name w:val="заголовок 9"/>
    <w:basedOn w:val="821"/>
    <w:next w:val="821"/>
    <w:p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paragraph" w:styleId="1112" w:customStyle="1">
    <w:name w:val="Стиль22"/>
    <w:basedOn w:val="821"/>
    <w:pPr>
      <w:numPr>
        <w:ilvl w:val="0"/>
        <w:numId w:val="32"/>
      </w:numPr>
      <w:jc w:val="both"/>
      <w:spacing w:before="120" w:after="120" w:line="360" w:lineRule="auto"/>
    </w:pPr>
    <w:rPr>
      <w:rFonts w:ascii="Arial" w:hAnsi="Arial"/>
      <w:sz w:val="20"/>
    </w:rPr>
  </w:style>
  <w:style w:type="paragraph" w:styleId="1113" w:customStyle="1">
    <w:name w:val="мой список"/>
    <w:basedOn w:val="821"/>
    <w:pPr>
      <w:numPr>
        <w:ilvl w:val="0"/>
        <w:numId w:val="33"/>
      </w:numPr>
      <w:jc w:val="both"/>
      <w:spacing w:before="120" w:line="360" w:lineRule="auto"/>
      <w:tabs>
        <w:tab w:val="left" w:pos="720" w:leader="none"/>
      </w:tabs>
    </w:pPr>
    <w:rPr>
      <w:rFonts w:ascii="Arial" w:hAnsi="Arial"/>
      <w:sz w:val="20"/>
    </w:rPr>
  </w:style>
  <w:style w:type="paragraph" w:styleId="1114" w:customStyle="1">
    <w:name w:val="Стиль2"/>
    <w:basedOn w:val="1038"/>
    <w:qFormat/>
    <w:pPr>
      <w:contextualSpacing/>
      <w:ind w:firstLine="709"/>
      <w:spacing w:before="0" w:after="0" w:line="240" w:lineRule="auto"/>
      <w:widowControl/>
      <w:tabs>
        <w:tab w:val="left" w:pos="1134" w:leader="none"/>
      </w:tabs>
    </w:pPr>
    <w:rPr>
      <w:sz w:val="28"/>
      <w:szCs w:val="28"/>
    </w:rPr>
  </w:style>
  <w:style w:type="character" w:styleId="1115" w:customStyle="1">
    <w:name w:val="Стиль1 Знак"/>
    <w:basedOn w:val="831"/>
    <w:link w:val="1103"/>
    <w:rPr>
      <w:rFonts w:ascii="Times New Roman" w:hAnsi="Times New Roman" w:eastAsia="Calibri" w:cs="Times New Roman"/>
      <w:sz w:val="28"/>
      <w:szCs w:val="28"/>
    </w:rPr>
  </w:style>
  <w:style w:type="table" w:styleId="1116" w:customStyle="1">
    <w:name w:val="Список-таблица 3 — акцент 11"/>
    <w:basedOn w:val="832"/>
    <w:uiPriority w:val="48"/>
    <w:pPr>
      <w:spacing w:after="0" w:line="240" w:lineRule="auto"/>
    </w:pPr>
    <w:rPr>
      <w:rFonts w:ascii="Calibri" w:hAnsi="Calibri" w:eastAsia="Calibri" w:cs="Times New Roman"/>
    </w:r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blStylePr w:type="band1Horz">
      <w:tcPr>
        <w:tcBorders>
          <w:top w:val="single" w:color="4F81BD" w:sz="4" w:space="0"/>
          <w:bottom w:val="single" w:color="4F81BD" w:sz="4" w:space="0"/>
        </w:tcBorders>
      </w:tcPr>
    </w:tblStylePr>
    <w:tblStylePr w:type="band1Vert">
      <w:tcPr>
        <w:tcBorders>
          <w:left w:val="single" w:color="4F81BD" w:sz="4" w:space="0"/>
          <w:right w:val="single" w:color="4F81BD" w:sz="4" w:space="0"/>
        </w:tcBorders>
      </w:tcPr>
    </w:tblStylePr>
    <w:tblStylePr w:type="firstCol">
      <w:rPr>
        <w:b/>
        <w:bCs/>
      </w:rPr>
      <w:tcPr>
        <w:shd w:val="clear" w:color="auto" w:fill="ffffff"/>
        <w:tcBorders>
          <w:right w:val="none" w:color="000000" w:sz="4" w:space="0"/>
        </w:tcBorders>
      </w:tcPr>
    </w:tblStylePr>
    <w:tblStylePr w:type="firstRow">
      <w:rPr>
        <w:b/>
        <w:bCs/>
        <w:color w:val="ffffff"/>
      </w:rPr>
      <w:tcPr>
        <w:shd w:val="clear" w:color="auto" w:fill="4f81bd"/>
      </w:tcPr>
    </w:tblStylePr>
    <w:tblStylePr w:type="lastCol">
      <w:rPr>
        <w:b/>
        <w:bCs/>
      </w:rPr>
      <w:tcPr>
        <w:shd w:val="clear" w:color="auto" w:fill="ffffff"/>
        <w:tcBorders>
          <w:left w:val="none" w:color="000000" w:sz="4" w:space="0"/>
        </w:tcBorders>
      </w:tcPr>
    </w:tblStylePr>
    <w:tblStylePr w:type="lastRow">
      <w:rPr>
        <w:b/>
        <w:bCs/>
      </w:rPr>
      <w:tcPr>
        <w:shd w:val="clear" w:color="auto" w:fill="ffffff"/>
        <w:tcBorders>
          <w:top w:val="single" w:color="4F81BD" w:sz="4" w:space="0"/>
        </w:tcBorders>
      </w:tcPr>
    </w:tblStylePr>
    <w:tblStylePr w:type="nwCell">
      <w:tcPr>
        <w:tcBorders>
          <w:bottom w:val="none" w:color="000000" w:sz="4" w:space="0"/>
          <w:right w:val="none" w:color="000000" w:sz="4" w:space="0"/>
        </w:tcBorders>
      </w:tcPr>
    </w:tblStylePr>
    <w:tblStylePr w:type="neCell">
      <w:tcPr>
        <w:tcBorders>
          <w:left w:val="none" w:color="000000" w:sz="4" w:space="0"/>
          <w:bottom w:val="none" w:color="000000" w:sz="4" w:space="0"/>
        </w:tcBorders>
      </w:tcPr>
    </w:tblStylePr>
    <w:tblStylePr w:type="swCell">
      <w:tcPr>
        <w:tcBorders>
          <w:top w:val="single" w:color="4F81BD" w:sz="4" w:space="0"/>
          <w:right w:val="none" w:color="000000" w:sz="4" w:space="0"/>
        </w:tcBorders>
      </w:tcPr>
    </w:tblStylePr>
    <w:tblStylePr w:type="seCell">
      <w:tcPr>
        <w:tcBorders>
          <w:top w:val="single" w:color="4F81BD" w:sz="4" w:space="0"/>
          <w:left w:val="none" w:color="000000" w:sz="4" w:space="0"/>
        </w:tcBorders>
      </w:tcPr>
    </w:tblStylePr>
  </w:style>
  <w:style w:type="paragraph" w:styleId="1117" w:customStyle="1">
    <w:name w:val="Список М1"/>
    <w:pPr>
      <w:numPr>
        <w:ilvl w:val="0"/>
        <w:numId w:val="34"/>
      </w:numPr>
      <w:spacing w:after="0" w:line="360" w:lineRule="auto"/>
      <w:tabs>
        <w:tab w:val="left" w:pos="357" w:leader="none"/>
      </w:tabs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1118" w:customStyle="1">
    <w:name w:val="Простой список"/>
    <w:basedOn w:val="1038"/>
    <w:link w:val="1119"/>
    <w:qFormat/>
    <w:pPr>
      <w:numPr>
        <w:ilvl w:val="0"/>
        <w:numId w:val="35"/>
      </w:numPr>
      <w:jc w:val="left"/>
      <w:spacing w:after="0" w:line="240" w:lineRule="auto"/>
      <w:widowControl/>
      <w:tabs>
        <w:tab w:val="left" w:pos="1418" w:leader="none"/>
      </w:tabs>
    </w:pPr>
    <w:rPr>
      <w:bCs/>
      <w:sz w:val="28"/>
      <w:szCs w:val="28"/>
    </w:rPr>
  </w:style>
  <w:style w:type="character" w:styleId="1119" w:customStyle="1">
    <w:name w:val="Простой список Знак"/>
    <w:basedOn w:val="831"/>
    <w:link w:val="1118"/>
    <w:rPr>
      <w:rFonts w:ascii="Times New Roman" w:hAnsi="Times New Roman" w:eastAsia="Times New Roman" w:cs="Times New Roman"/>
      <w:bCs/>
      <w:sz w:val="28"/>
      <w:szCs w:val="28"/>
      <w:lang w:eastAsia="ru-RU"/>
    </w:rPr>
  </w:style>
  <w:style w:type="paragraph" w:styleId="1120" w:customStyle="1">
    <w:name w:val="Пункт 2"/>
    <w:basedOn w:val="823"/>
    <w:pPr>
      <w:ind w:left="576" w:firstLine="567"/>
      <w:jc w:val="both"/>
      <w:keepNext w:val="0"/>
      <w:spacing w:before="120"/>
      <w:tabs>
        <w:tab w:val="left" w:pos="1134" w:leader="none"/>
      </w:tabs>
    </w:pPr>
    <w:rPr>
      <w:rFonts w:ascii="Times New Roman" w:hAnsi="Times New Roman" w:cs="Times New Roman"/>
      <w:b w:val="0"/>
      <w:i w:val="0"/>
      <w:szCs w:val="24"/>
    </w:rPr>
  </w:style>
  <w:style w:type="character" w:styleId="1121" w:customStyle="1">
    <w:name w:val="webofficeattributevalue1"/>
    <w:basedOn w:val="831"/>
    <w:rPr>
      <w:rFonts w:hint="default" w:ascii="open-sans" w:hAnsi="open-sans"/>
      <w:strike w:val="0"/>
      <w:color w:val="000000"/>
      <w:sz w:val="20"/>
      <w:szCs w:val="20"/>
      <w:u w:val="none"/>
    </w:rPr>
  </w:style>
  <w:style w:type="paragraph" w:styleId="1122" w:customStyle="1">
    <w:name w:val="МРСК_шрифт_абзаца"/>
    <w:basedOn w:val="821"/>
    <w:link w:val="1123"/>
    <w:pPr>
      <w:contextualSpacing/>
      <w:ind w:firstLine="709"/>
      <w:jc w:val="both"/>
      <w:keepLines/>
      <w:keepNext/>
      <w:spacing w:before="120" w:after="120" w:line="300" w:lineRule="auto"/>
      <w:widowControl w:val="off"/>
      <w:suppressLineNumbers/>
    </w:pPr>
  </w:style>
  <w:style w:type="character" w:styleId="1123" w:customStyle="1">
    <w:name w:val="МРСК_шрифт_абзаца Знак"/>
    <w:link w:val="112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124" w:customStyle="1">
    <w:name w:val="Основной текст (2)_"/>
    <w:basedOn w:val="831"/>
    <w:link w:val="1125"/>
    <w:rPr>
      <w:sz w:val="26"/>
      <w:szCs w:val="26"/>
      <w:shd w:val="clear" w:color="auto" w:fill="ffffff"/>
    </w:rPr>
  </w:style>
  <w:style w:type="paragraph" w:styleId="1125" w:customStyle="1">
    <w:name w:val="Основной текст (2)1"/>
    <w:basedOn w:val="821"/>
    <w:link w:val="1124"/>
    <w:pPr>
      <w:jc w:val="right"/>
      <w:spacing w:before="420" w:after="720" w:line="0" w:lineRule="atLeast"/>
      <w:shd w:val="clear" w:color="auto" w:fill="ffffff"/>
      <w:widowControl w:val="off"/>
    </w:pPr>
    <w:rPr>
      <w:rFonts w:asciiTheme="minorHAnsi" w:hAnsiTheme="minorHAnsi" w:eastAsiaTheme="minorHAnsi" w:cstheme="minorBidi"/>
      <w:sz w:val="26"/>
      <w:szCs w:val="26"/>
      <w:lang w:eastAsia="en-US"/>
    </w:rPr>
  </w:style>
  <w:style w:type="paragraph" w:styleId="1126" w:customStyle="1">
    <w:name w:val="МРСК_заголовок_1"/>
    <w:pPr>
      <w:numPr>
        <w:ilvl w:val="0"/>
        <w:numId w:val="36"/>
      </w:numPr>
      <w:spacing w:before="240" w:after="60" w:line="240" w:lineRule="auto"/>
    </w:pPr>
    <w:rPr>
      <w:rFonts w:ascii="Times New Roman" w:hAnsi="Times New Roman" w:eastAsia="Times New Roman" w:cs="Arial"/>
      <w:b/>
      <w:bCs/>
      <w:caps/>
      <w:sz w:val="28"/>
      <w:szCs w:val="28"/>
      <w:lang w:eastAsia="ru-RU"/>
    </w:rPr>
  </w:style>
  <w:style w:type="paragraph" w:styleId="1127" w:customStyle="1">
    <w:name w:val="МРСК_заголовок_2"/>
    <w:basedOn w:val="1122"/>
    <w:pPr>
      <w:numPr>
        <w:ilvl w:val="1"/>
        <w:numId w:val="36"/>
      </w:numPr>
      <w:ind w:left="360" w:hanging="360"/>
      <w:jc w:val="left"/>
      <w:spacing w:before="240" w:after="60" w:line="240" w:lineRule="auto"/>
      <w:tabs>
        <w:tab w:val="num" w:pos="360" w:leader="none"/>
      </w:tabs>
    </w:pPr>
    <w:rPr>
      <w:b/>
      <w:caps/>
      <w:sz w:val="26"/>
    </w:rPr>
  </w:style>
  <w:style w:type="paragraph" w:styleId="1128" w:customStyle="1">
    <w:name w:val="МРСК_заголовок_малый"/>
    <w:basedOn w:val="821"/>
    <w:pPr>
      <w:jc w:val="center"/>
      <w:keepNext/>
    </w:pPr>
    <w:rPr>
      <w:b/>
      <w:caps/>
    </w:rPr>
  </w:style>
  <w:style w:type="paragraph" w:styleId="1129" w:customStyle="1">
    <w:name w:val="МРСК_заголовок_3"/>
    <w:basedOn w:val="824"/>
    <w:qFormat/>
    <w:pPr>
      <w:numPr>
        <w:ilvl w:val="0"/>
        <w:numId w:val="0"/>
      </w:numPr>
      <w:jc w:val="both"/>
      <w:keepNext/>
      <w:spacing w:before="0" w:after="0" w:line="300" w:lineRule="auto"/>
      <w:widowControl/>
      <w:tabs>
        <w:tab w:val="clear" w:pos="2694" w:leader="none"/>
      </w:tabs>
    </w:pPr>
    <w:rPr>
      <w:rFonts w:ascii="Times New Roman" w:hAnsi="Times New Roman"/>
      <w:caps/>
      <w:sz w:val="24"/>
      <w:szCs w:val="26"/>
    </w:rPr>
  </w:style>
  <w:style w:type="paragraph" w:styleId="1130" w:customStyle="1">
    <w:name w:val="МРСК_заголовок_4"/>
    <w:basedOn w:val="1122"/>
    <w:qFormat/>
    <w:pPr>
      <w:numPr>
        <w:ilvl w:val="3"/>
        <w:numId w:val="36"/>
      </w:numPr>
      <w:ind w:left="360" w:hanging="360"/>
      <w:tabs>
        <w:tab w:val="num" w:pos="360" w:leader="none"/>
        <w:tab w:val="left" w:pos="1134" w:leader="none"/>
      </w:tabs>
    </w:pPr>
    <w:rPr>
      <w:b/>
    </w:rPr>
  </w:style>
  <w:style w:type="paragraph" w:styleId="1131" w:customStyle="1">
    <w:name w:val="Обычный + 12 пт"/>
    <w:basedOn w:val="821"/>
    <w:link w:val="1132"/>
    <w:pPr>
      <w:jc w:val="both"/>
      <w:tabs>
        <w:tab w:val="left" w:pos="9720" w:leader="none"/>
      </w:tabs>
    </w:pPr>
  </w:style>
  <w:style w:type="character" w:styleId="1132" w:customStyle="1">
    <w:name w:val="Обычный + 12 пт Знак"/>
    <w:link w:val="1131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33" w:customStyle="1">
    <w:name w:val="Нормальный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134">
    <w:name w:val="endnote text"/>
    <w:basedOn w:val="821"/>
    <w:link w:val="1135"/>
    <w:uiPriority w:val="99"/>
    <w:semiHidden/>
    <w:unhideWhenUsed/>
    <w:rPr>
      <w:b/>
      <w:sz w:val="20"/>
      <w:szCs w:val="20"/>
    </w:rPr>
  </w:style>
  <w:style w:type="character" w:styleId="1135" w:customStyle="1">
    <w:name w:val="Текст концевой сноски Знак"/>
    <w:basedOn w:val="831"/>
    <w:link w:val="1134"/>
    <w:uiPriority w:val="99"/>
    <w:semiHidden/>
    <w:rPr>
      <w:rFonts w:ascii="Times New Roman" w:hAnsi="Times New Roman" w:eastAsia="Times New Roman" w:cs="Times New Roman"/>
      <w:b/>
      <w:sz w:val="20"/>
      <w:szCs w:val="20"/>
      <w:lang w:eastAsia="ru-RU"/>
    </w:rPr>
  </w:style>
  <w:style w:type="character" w:styleId="1136">
    <w:name w:val="endnote reference"/>
    <w:basedOn w:val="831"/>
    <w:uiPriority w:val="99"/>
    <w:semiHidden/>
    <w:unhideWhenUsed/>
    <w:rPr>
      <w:vertAlign w:val="superscript"/>
    </w:rPr>
  </w:style>
  <w:style w:type="character" w:styleId="1137" w:customStyle="1">
    <w:name w:val="webofficeattributevalue"/>
    <w:basedOn w:val="831"/>
  </w:style>
  <w:style w:type="paragraph" w:styleId="1138" w:customStyle="1">
    <w:name w:val="formattext"/>
    <w:basedOn w:val="821"/>
    <w:pPr>
      <w:spacing w:before="100" w:beforeAutospacing="1" w:after="100" w:afterAutospacing="1"/>
    </w:pPr>
  </w:style>
  <w:style w:type="table" w:styleId="1139" w:customStyle="1">
    <w:name w:val="Сетка таблицы1"/>
    <w:basedOn w:val="832"/>
    <w:next w:val="1025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Calibri"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140" w:customStyle="1">
    <w:name w:val="extended-text__short"/>
    <w:basedOn w:val="831"/>
  </w:style>
  <w:style w:type="table" w:styleId="1141" w:customStyle="1">
    <w:name w:val="Сетка таблицы2"/>
    <w:basedOn w:val="832"/>
    <w:next w:val="1025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Calibri"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42" w:customStyle="1">
    <w:name w:val="Сетка таблицы3"/>
    <w:basedOn w:val="832"/>
    <w:next w:val="1025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143">
    <w:name w:val="line number"/>
    <w:basedOn w:val="831"/>
    <w:uiPriority w:val="99"/>
    <w:semiHidden/>
    <w:unhideWhenUsed/>
  </w:style>
  <w:style w:type="paragraph" w:styleId="1144">
    <w:name w:val="Plain Text"/>
    <w:basedOn w:val="821"/>
    <w:link w:val="1145"/>
    <w:rPr>
      <w:rFonts w:ascii="Courier New" w:hAnsi="Courier New"/>
      <w:sz w:val="20"/>
      <w:szCs w:val="20"/>
    </w:rPr>
  </w:style>
  <w:style w:type="character" w:styleId="1145" w:customStyle="1">
    <w:name w:val="Текст Знак"/>
    <w:basedOn w:val="831"/>
    <w:link w:val="1144"/>
    <w:rPr>
      <w:rFonts w:ascii="Courier New" w:hAnsi="Courier New" w:eastAsia="Times New Roman" w:cs="Times New Roman"/>
      <w:sz w:val="20"/>
      <w:szCs w:val="20"/>
      <w:lang w:eastAsia="ru-RU"/>
    </w:rPr>
  </w:style>
  <w:style w:type="table" w:styleId="1146" w:customStyle="1">
    <w:name w:val="Сетка таблицы1131"/>
    <w:basedOn w:val="832"/>
    <w:next w:val="1025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147" w:customStyle="1">
    <w:name w:val="ГА Заголовок 1"/>
    <w:basedOn w:val="821"/>
    <w:qFormat/>
    <w:pPr>
      <w:numPr>
        <w:ilvl w:val="0"/>
        <w:numId w:val="39"/>
      </w:numPr>
      <w:ind w:left="643" w:hanging="360"/>
      <w:jc w:val="both"/>
      <w:keepNext/>
      <w:spacing w:before="120" w:after="120"/>
      <w:tabs>
        <w:tab w:val="num" w:pos="643" w:leader="none"/>
      </w:tabs>
    </w:pPr>
    <w:rPr>
      <w:rFonts w:eastAsia="Calibri"/>
      <w:b/>
      <w:bCs/>
      <w:sz w:val="28"/>
      <w:szCs w:val="28"/>
      <w:lang w:eastAsia="en-US"/>
    </w:rPr>
  </w:style>
  <w:style w:type="character" w:styleId="1148" w:customStyle="1">
    <w:name w:val="ГА Заголовок 2 Знак"/>
    <w:basedOn w:val="831"/>
    <w:link w:val="1149"/>
    <w:rPr>
      <w:b/>
      <w:bCs/>
    </w:rPr>
  </w:style>
  <w:style w:type="paragraph" w:styleId="1149" w:customStyle="1">
    <w:name w:val="ГА Заголовок 2"/>
    <w:basedOn w:val="821"/>
    <w:next w:val="821"/>
    <w:link w:val="1148"/>
    <w:qFormat/>
    <w:pPr>
      <w:numPr>
        <w:ilvl w:val="1"/>
        <w:numId w:val="39"/>
      </w:numPr>
      <w:jc w:val="both"/>
      <w:keepNext/>
      <w:spacing w:before="240" w:after="120"/>
    </w:pPr>
    <w:rPr>
      <w:rFonts w:asciiTheme="minorHAnsi" w:hAnsiTheme="minorHAnsi" w:eastAsiaTheme="minorHAnsi" w:cstheme="minorBidi"/>
      <w:b/>
      <w:bCs/>
      <w:sz w:val="22"/>
      <w:szCs w:val="22"/>
      <w:lang w:eastAsia="en-US"/>
    </w:rPr>
  </w:style>
  <w:style w:type="paragraph" w:styleId="1150" w:customStyle="1">
    <w:name w:val="ГА Заголовок 3"/>
    <w:basedOn w:val="821"/>
    <w:qFormat/>
    <w:pPr>
      <w:numPr>
        <w:ilvl w:val="2"/>
        <w:numId w:val="39"/>
      </w:numPr>
      <w:jc w:val="both"/>
      <w:keepNext/>
      <w:spacing w:before="240" w:after="240"/>
    </w:pPr>
    <w:rPr>
      <w:b/>
      <w:bCs/>
      <w:caps/>
      <w:sz w:val="28"/>
      <w:szCs w:val="20"/>
    </w:rPr>
  </w:style>
  <w:style w:type="paragraph" w:styleId="1151" w:customStyle="1">
    <w:name w:val="ГА Заголовок 4"/>
    <w:basedOn w:val="821"/>
    <w:qFormat/>
    <w:pPr>
      <w:numPr>
        <w:ilvl w:val="3"/>
        <w:numId w:val="39"/>
      </w:numPr>
      <w:ind w:left="643" w:hanging="360"/>
      <w:jc w:val="both"/>
      <w:keepNext/>
      <w:spacing w:before="240" w:after="120"/>
      <w:tabs>
        <w:tab w:val="num" w:pos="643" w:leader="none"/>
      </w:tabs>
    </w:pPr>
    <w:rPr>
      <w:rFonts w:ascii="Calibri" w:hAnsi="Calibri" w:eastAsia="Calibri"/>
      <w:b/>
      <w:bCs/>
      <w:lang w:eastAsia="en-US"/>
    </w:rPr>
  </w:style>
  <w:style w:type="paragraph" w:styleId="1152" w:customStyle="1">
    <w:name w:val="ГА Заголовок 5"/>
    <w:basedOn w:val="821"/>
    <w:qFormat/>
    <w:pPr>
      <w:numPr>
        <w:ilvl w:val="4"/>
        <w:numId w:val="39"/>
      </w:numPr>
      <w:ind w:left="643" w:hanging="360"/>
      <w:jc w:val="both"/>
      <w:keepNext/>
      <w:spacing w:before="240" w:after="120"/>
      <w:tabs>
        <w:tab w:val="num" w:pos="643" w:leader="none"/>
      </w:tabs>
    </w:pPr>
    <w:rPr>
      <w:rFonts w:ascii="Calibri" w:hAnsi="Calibri" w:eastAsia="Calibri"/>
      <w:b/>
      <w:bCs/>
      <w:lang w:eastAsia="en-US"/>
    </w:rPr>
  </w:style>
  <w:style w:type="paragraph" w:styleId="1153" w:customStyle="1">
    <w:name w:val="ГА Заголовок 6"/>
    <w:basedOn w:val="821"/>
    <w:qFormat/>
    <w:pPr>
      <w:numPr>
        <w:ilvl w:val="5"/>
        <w:numId w:val="39"/>
      </w:numPr>
      <w:ind w:left="643" w:hanging="360"/>
      <w:jc w:val="both"/>
      <w:keepNext/>
      <w:spacing w:before="240" w:after="120"/>
      <w:tabs>
        <w:tab w:val="num" w:pos="643" w:leader="none"/>
      </w:tabs>
    </w:pPr>
    <w:rPr>
      <w:rFonts w:ascii="Calibri" w:hAnsi="Calibri" w:eastAsia="Calibri"/>
      <w:b/>
      <w:bCs/>
      <w:lang w:eastAsia="en-US"/>
    </w:rPr>
  </w:style>
  <w:style w:type="paragraph" w:styleId="1154" w:customStyle="1">
    <w:name w:val="ГА Заголовок 7"/>
    <w:basedOn w:val="821"/>
    <w:qFormat/>
    <w:pPr>
      <w:numPr>
        <w:ilvl w:val="6"/>
        <w:numId w:val="39"/>
      </w:numPr>
      <w:ind w:left="643" w:hanging="360"/>
      <w:jc w:val="both"/>
      <w:keepNext/>
      <w:spacing w:before="120" w:after="120"/>
      <w:tabs>
        <w:tab w:val="num" w:pos="643" w:leader="none"/>
      </w:tabs>
    </w:pPr>
    <w:rPr>
      <w:rFonts w:ascii="Calibri" w:hAnsi="Calibri" w:eastAsia="Calibri"/>
      <w:b/>
      <w:bCs/>
      <w:lang w:eastAsia="en-US"/>
    </w:rPr>
  </w:style>
  <w:style w:type="paragraph" w:styleId="1155" w:customStyle="1">
    <w:name w:val="ГА Заголовок 8"/>
    <w:basedOn w:val="821"/>
    <w:qFormat/>
    <w:pPr>
      <w:numPr>
        <w:ilvl w:val="7"/>
        <w:numId w:val="39"/>
      </w:numPr>
      <w:ind w:left="643" w:hanging="360"/>
      <w:jc w:val="both"/>
      <w:keepNext/>
      <w:spacing w:before="120" w:after="120"/>
      <w:tabs>
        <w:tab w:val="num" w:pos="643" w:leader="none"/>
      </w:tabs>
    </w:pPr>
    <w:rPr>
      <w:rFonts w:ascii="Calibri" w:hAnsi="Calibri" w:eastAsia="Calibri"/>
      <w:b/>
      <w:bCs/>
      <w:lang w:eastAsia="en-US"/>
    </w:rPr>
  </w:style>
  <w:style w:type="character" w:styleId="1156" w:customStyle="1">
    <w:name w:val="Обычный1"/>
    <w:rPr>
      <w:sz w:val="24"/>
    </w:rPr>
  </w:style>
  <w:style w:type="character" w:styleId="1157" w:customStyle="1">
    <w:name w:val="Абзац списка Знак1"/>
    <w:basedOn w:val="1156"/>
    <w:rPr>
      <w:rFonts w:ascii="Tahoma" w:hAnsi="Tahoma"/>
      <w:sz w:val="20"/>
    </w:rPr>
  </w:style>
  <w:style w:type="paragraph" w:styleId="1158" w:customStyle="1">
    <w:name w:val="Ви6 Таблица"/>
    <w:pPr>
      <w:ind w:firstLine="709"/>
      <w:jc w:val="both"/>
      <w:spacing w:before="120" w:after="120" w:line="240" w:lineRule="auto"/>
      <w:tabs>
        <w:tab w:val="left" w:pos="0" w:leader="none"/>
      </w:tabs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1159" w:customStyle="1">
    <w:name w:val="Гиперссылка1"/>
    <w:basedOn w:val="821"/>
    <w:link w:val="1009"/>
    <w:uiPriority w:val="99"/>
    <w:pPr>
      <w:jc w:val="both"/>
      <w:widowControl w:val="off"/>
    </w:pPr>
    <w:rPr>
      <w:rFonts w:asciiTheme="minorHAnsi" w:hAnsiTheme="minorHAnsi" w:eastAsiaTheme="minorHAnsi" w:cstheme="minorBidi"/>
      <w:color w:val="0000ff"/>
      <w:sz w:val="22"/>
      <w:szCs w:val="22"/>
      <w:u w:val="single"/>
      <w:lang w:eastAsia="en-US"/>
    </w:rPr>
  </w:style>
  <w:style w:type="character" w:styleId="1160" w:customStyle="1">
    <w:name w:val="Название объекта Знак"/>
    <w:basedOn w:val="1156"/>
    <w:link w:val="1005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paragraph" w:styleId="1161" w:customStyle="1">
    <w:name w:val="Осн список"/>
    <w:basedOn w:val="821"/>
    <w:pPr>
      <w:numPr>
        <w:ilvl w:val="0"/>
        <w:numId w:val="41"/>
      </w:numPr>
      <w:jc w:val="both"/>
      <w:spacing w:before="120" w:line="276" w:lineRule="auto"/>
      <w:widowControl w:val="off"/>
    </w:pPr>
    <w:rPr>
      <w:color w:val="000000"/>
      <w:szCs w:val="20"/>
    </w:rPr>
  </w:style>
  <w:style w:type="paragraph" w:styleId="1162">
    <w:name w:val="toc 4"/>
    <w:basedOn w:val="821"/>
    <w:next w:val="821"/>
    <w:uiPriority w:val="39"/>
    <w:semiHidden/>
    <w:unhideWhenUsed/>
    <w:pPr>
      <w:ind w:left="600"/>
      <w:spacing w:after="100"/>
    </w:pPr>
    <w:rPr>
      <w:sz w:val="22"/>
      <w:szCs w:val="20"/>
    </w:rPr>
  </w:style>
  <w:style w:type="paragraph" w:styleId="1163" w:customStyle="1">
    <w:name w:val="ТабОЛ"/>
    <w:basedOn w:val="821"/>
    <w:qFormat/>
    <w:pPr>
      <w:contextualSpacing/>
      <w:ind w:firstLine="425"/>
      <w:keepLines/>
      <w:spacing w:before="60" w:after="60"/>
      <w:tabs>
        <w:tab w:val="left" w:pos="425" w:leader="none"/>
      </w:tabs>
    </w:pPr>
    <w:rPr>
      <w:rFonts w:eastAsia="Tahoma" w:cs="Noto Sans Devanagari"/>
      <w:color w:val="000000"/>
      <w:szCs w:val="20"/>
      <w:lang w:eastAsia="zh-CN" w:bidi="hi-IN"/>
    </w:rPr>
  </w:style>
  <w:style w:type="paragraph" w:styleId="1164" w:customStyle="1">
    <w:name w:val="ТабЗЦ"/>
    <w:basedOn w:val="1163"/>
    <w:qFormat/>
    <w:pPr>
      <w:jc w:val="center"/>
      <w:keepNext/>
      <w:spacing w:before="0"/>
    </w:pPr>
    <w:rPr>
      <w:b/>
    </w:rPr>
  </w:style>
  <w:style w:type="table" w:styleId="1165" w:customStyle="1">
    <w:name w:val="Сетка таблицы4"/>
    <w:basedOn w:val="832"/>
    <w:next w:val="1025"/>
    <w:uiPriority w:val="59"/>
    <w:rPr>
      <w:rFonts w:ascii="Calibri" w:hAnsi="Calibri" w:eastAsia="Times New Roman" w:cs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166">
    <w:name w:val="Body Text 3"/>
    <w:basedOn w:val="821"/>
    <w:link w:val="1167"/>
    <w:uiPriority w:val="99"/>
    <w:semiHidden/>
    <w:unhideWhenUsed/>
    <w:pPr>
      <w:spacing w:after="120"/>
    </w:pPr>
    <w:rPr>
      <w:sz w:val="16"/>
      <w:szCs w:val="16"/>
    </w:rPr>
  </w:style>
  <w:style w:type="character" w:styleId="1167" w:customStyle="1">
    <w:name w:val="Основной текст 3 Знак"/>
    <w:basedOn w:val="831"/>
    <w:link w:val="1166"/>
    <w:uiPriority w:val="99"/>
    <w:semiHidden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1168" w:customStyle="1">
    <w:name w:val="Приложение"/>
    <w:basedOn w:val="821"/>
    <w:link w:val="1169"/>
    <w:qFormat/>
    <w:pPr>
      <w:ind w:left="6237"/>
      <w:keepNext/>
      <w:pageBreakBefore/>
      <w:outlineLvl w:val="0"/>
    </w:pPr>
    <w:rPr>
      <w:bCs/>
      <w:color w:val="000000"/>
      <w:lang w:eastAsia="en-US"/>
    </w:rPr>
  </w:style>
  <w:style w:type="character" w:styleId="1169" w:customStyle="1">
    <w:name w:val="Приложение Знак"/>
    <w:basedOn w:val="831"/>
    <w:link w:val="1168"/>
    <w:rPr>
      <w:rFonts w:ascii="Times New Roman" w:hAnsi="Times New Roman" w:eastAsia="Times New Roman" w:cs="Times New Roman"/>
      <w:bCs/>
      <w:color w:val="000000"/>
      <w:sz w:val="24"/>
      <w:szCs w:val="24"/>
    </w:rPr>
  </w:style>
  <w:style w:type="paragraph" w:styleId="1170" w:customStyle="1">
    <w:name w:val="Услуга"/>
    <w:basedOn w:val="821"/>
    <w:link w:val="1171"/>
    <w:qFormat/>
    <w:pPr>
      <w:outlineLvl w:val="1"/>
    </w:pPr>
    <w:rPr>
      <w:b/>
      <w:sz w:val="20"/>
      <w:szCs w:val="20"/>
    </w:rPr>
  </w:style>
  <w:style w:type="character" w:styleId="1171" w:customStyle="1">
    <w:name w:val="Услуга Знак"/>
    <w:basedOn w:val="831"/>
    <w:link w:val="1170"/>
    <w:rPr>
      <w:rFonts w:ascii="Times New Roman" w:hAnsi="Times New Roman" w:eastAsia="Times New Roman" w:cs="Times New Roman"/>
      <w:b/>
      <w:sz w:val="20"/>
      <w:szCs w:val="20"/>
      <w:lang w:eastAsia="ru-RU"/>
    </w:rPr>
  </w:style>
  <w:style w:type="paragraph" w:styleId="1172" w:customStyle="1">
    <w:name w:val="ТКВ Список"/>
    <w:basedOn w:val="821"/>
    <w:pPr>
      <w:numPr>
        <w:ilvl w:val="0"/>
        <w:numId w:val="45"/>
      </w:numPr>
    </w:pPr>
    <w:rPr>
      <w:sz w:val="20"/>
      <w:szCs w:val="20"/>
    </w:rPr>
  </w:style>
  <w:style w:type="paragraph" w:styleId="1173" w:customStyle="1">
    <w:name w:val="futurismarkdown-paragraph"/>
    <w:basedOn w:val="821"/>
    <w:pPr>
      <w:spacing w:before="100" w:beforeAutospacing="1" w:after="100" w:afterAutospacing="1"/>
    </w:pPr>
  </w:style>
  <w:style w:type="numbering" w:styleId="1174" w:customStyle="1">
    <w:name w:val="Нумерованные булеты1"/>
  </w:style>
  <w:style w:type="numbering" w:styleId="1175" w:customStyle="1">
    <w:name w:val="1 / 1.1 / 1.1.11"/>
    <w:basedOn w:val="833"/>
    <w:next w:val="1095"/>
  </w:style>
  <w:style w:type="paragraph" w:styleId="1176" w:customStyle="1">
    <w:name w:val="Спис_точка"/>
    <w:basedOn w:val="821"/>
    <w:link w:val="1178"/>
    <w:qFormat/>
    <w:pPr>
      <w:numPr>
        <w:ilvl w:val="0"/>
        <w:numId w:val="48"/>
      </w:numPr>
      <w:contextualSpacing/>
      <w:ind w:left="0" w:firstLine="709"/>
      <w:jc w:val="both"/>
    </w:pPr>
    <w:rPr>
      <w:rFonts w:eastAsia="Calibri"/>
      <w:color w:val="000000"/>
      <w:sz w:val="26"/>
      <w:szCs w:val="26"/>
    </w:rPr>
  </w:style>
  <w:style w:type="paragraph" w:styleId="1177" w:customStyle="1">
    <w:name w:val="S_Обычный"/>
    <w:basedOn w:val="821"/>
    <w:link w:val="1179"/>
    <w:pPr>
      <w:jc w:val="both"/>
      <w:spacing w:before="240"/>
      <w:widowControl w:val="off"/>
      <w:tabs>
        <w:tab w:val="left" w:pos="1690" w:leader="none"/>
      </w:tabs>
    </w:pPr>
  </w:style>
  <w:style w:type="character" w:styleId="1178" w:customStyle="1">
    <w:name w:val="Спис_точка Знак"/>
    <w:basedOn w:val="831"/>
    <w:link w:val="1176"/>
    <w:rPr>
      <w:rFonts w:ascii="Times New Roman" w:hAnsi="Times New Roman" w:eastAsia="Calibri" w:cs="Times New Roman"/>
      <w:color w:val="000000"/>
      <w:sz w:val="26"/>
      <w:szCs w:val="26"/>
      <w:lang w:eastAsia="ru-RU"/>
    </w:rPr>
  </w:style>
  <w:style w:type="character" w:styleId="1179" w:customStyle="1">
    <w:name w:val="S_Обычный Знак"/>
    <w:link w:val="1177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80" w:customStyle="1">
    <w:name w:val="Заголовок Приложения"/>
    <w:basedOn w:val="821"/>
    <w:link w:val="1181"/>
    <w:qFormat/>
    <w:pPr>
      <w:ind w:left="207"/>
      <w:jc w:val="center"/>
      <w:spacing w:after="160" w:line="264" w:lineRule="auto"/>
      <w:outlineLvl w:val="1"/>
    </w:pPr>
    <w:rPr>
      <w:b/>
      <w:sz w:val="32"/>
      <w:szCs w:val="32"/>
    </w:rPr>
  </w:style>
  <w:style w:type="character" w:styleId="1181" w:customStyle="1">
    <w:name w:val="Заголовок Приложения Знак"/>
    <w:basedOn w:val="831"/>
    <w:link w:val="1180"/>
    <w:rPr>
      <w:rFonts w:ascii="Times New Roman" w:hAnsi="Times New Roman" w:eastAsia="Times New Roman" w:cs="Times New Roman"/>
      <w:b/>
      <w:sz w:val="32"/>
      <w:szCs w:val="32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hyperlink" Target="https://reestr.fstec.ru/reg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35E1F-AADA-4CED-B1F1-D71AAB823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Р7-Офис/2026.1.3.2139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Клименко Михаил Александрович</dc:creator>
  <cp:keywords/>
  <dc:description/>
  <cp:lastModifiedBy>markovake</cp:lastModifiedBy>
  <cp:revision>108</cp:revision>
  <dcterms:created xsi:type="dcterms:W3CDTF">2026-08-11T11:11:00Z</dcterms:created>
  <dcterms:modified xsi:type="dcterms:W3CDTF">2026-09-09T12:04:11Z</dcterms:modified>
</cp:coreProperties>
</file>