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Liberation Serif" w:hAnsi="Liberation Serif" w:cs="Liberation Serif"/>
          <w:b/>
          <w:szCs w:val="28"/>
        </w:rPr>
      </w:pPr>
      <w:r>
        <w:rPr>
          <w:rFonts w:ascii="Liberation Serif" w:hAnsi="Liberation Serif" w:cs="Liberation Serif"/>
          <w:b/>
          <w:szCs w:val="28"/>
        </w:rPr>
      </w:r>
      <w:r>
        <w:rPr>
          <w:rFonts w:ascii="Liberation Serif" w:hAnsi="Liberation Serif" w:cs="Liberation Serif"/>
          <w:b/>
          <w:szCs w:val="28"/>
        </w:rPr>
      </w:r>
      <w:r>
        <w:rPr>
          <w:rFonts w:ascii="Liberation Serif" w:hAnsi="Liberation Serif" w:cs="Liberation Serif"/>
          <w:b/>
          <w:szCs w:val="28"/>
        </w:rPr>
      </w:r>
    </w:p>
    <w:p>
      <w:pPr>
        <w:jc w:val="center"/>
        <w:rPr>
          <w:rFonts w:ascii="Liberation Serif" w:hAnsi="Liberation Serif" w:cs="Liberation Serif"/>
          <w:b/>
          <w:szCs w:val="28"/>
        </w:rPr>
      </w:pPr>
      <w:r>
        <w:rPr>
          <w:rFonts w:ascii="Liberation Serif" w:hAnsi="Liberation Serif" w:cs="Liberation Serif"/>
          <w:b/>
          <w:szCs w:val="28"/>
        </w:rPr>
        <w:t xml:space="preserve">ИЗВЕЩЕНИЕ</w:t>
      </w:r>
      <w:r>
        <w:rPr>
          <w:rFonts w:ascii="Liberation Serif" w:hAnsi="Liberation Serif" w:cs="Liberation Serif"/>
          <w:b/>
          <w:szCs w:val="28"/>
        </w:rPr>
      </w:r>
      <w:r>
        <w:rPr>
          <w:rFonts w:ascii="Liberation Serif" w:hAnsi="Liberation Serif" w:cs="Liberation Serif"/>
          <w:b/>
          <w:szCs w:val="28"/>
        </w:rPr>
      </w:r>
    </w:p>
    <w:p>
      <w:pPr>
        <w:jc w:val="center"/>
        <w:spacing w:line="240" w:lineRule="auto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 xml:space="preserve">о проведении </w:t>
      </w:r>
      <w:r>
        <w:rPr>
          <w:rFonts w:ascii="Liberation Serif" w:hAnsi="Liberation Serif" w:cs="Liberation Serif"/>
          <w:b/>
          <w:sz w:val="26"/>
          <w:szCs w:val="26"/>
        </w:rPr>
        <w:t xml:space="preserve">закупки</w:t>
      </w:r>
      <w:r>
        <w:rPr>
          <w:rFonts w:ascii="Liberation Serif" w:hAnsi="Liberation Serif" w:cs="Liberation Serif"/>
          <w:b/>
          <w:sz w:val="26"/>
          <w:szCs w:val="26"/>
        </w:rPr>
      </w:r>
      <w:r>
        <w:rPr>
          <w:rFonts w:ascii="Liberation Serif" w:hAnsi="Liberation Serif" w:cs="Liberation Serif"/>
          <w:b/>
          <w:sz w:val="26"/>
          <w:szCs w:val="26"/>
        </w:rPr>
      </w:r>
    </w:p>
    <w:p>
      <w:pPr>
        <w:jc w:val="center"/>
        <w:spacing w:line="240" w:lineRule="auto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 xml:space="preserve">на право заключения договора</w:t>
      </w:r>
      <w:r>
        <w:rPr>
          <w:rFonts w:ascii="Liberation Serif" w:hAnsi="Liberation Serif" w:cs="Liberation Serif"/>
          <w:b/>
          <w:sz w:val="26"/>
          <w:szCs w:val="26"/>
        </w:rPr>
      </w:r>
      <w:r>
        <w:rPr>
          <w:rFonts w:ascii="Liberation Serif" w:hAnsi="Liberation Serif" w:cs="Liberation Serif"/>
          <w:b/>
          <w:sz w:val="26"/>
          <w:szCs w:val="26"/>
        </w:rPr>
      </w:r>
    </w:p>
    <w:p>
      <w:pPr>
        <w:jc w:val="center"/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3413"/>
        <w:gridCol w:w="3428"/>
      </w:tblGrid>
      <w:tr>
        <w:tblPrEx/>
        <w:trPr/>
        <w:tc>
          <w:tcPr>
            <w:shd w:val="clear" w:color="auto" w:fill="auto"/>
            <w:tcW w:w="3473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№</w:t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 xml:space="preserve">880.26.00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124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r>
          </w:p>
        </w:tc>
        <w:tc>
          <w:tcPr>
            <w:shd w:val="clear" w:color="auto" w:fill="auto"/>
            <w:tcW w:w="3474" w:type="dxa"/>
            <w:vAlign w:val="center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«05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»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ктября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2026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 г.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pPr>
        <w:jc w:val="center"/>
        <w:spacing w:line="240" w:lineRule="auto"/>
        <w:rPr>
          <w:rFonts w:ascii="Liberation Serif" w:hAnsi="Liberation Serif" w:cs="Liberation Serif"/>
          <w:sz w:val="24"/>
          <w:szCs w:val="24"/>
          <w:lang w:val="en-US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</w:r>
      <w:r>
        <w:rPr>
          <w:rFonts w:ascii="Liberation Serif" w:hAnsi="Liberation Serif" w:cs="Liberation Serif"/>
          <w:sz w:val="24"/>
          <w:szCs w:val="24"/>
          <w:lang w:val="en-US"/>
        </w:rPr>
      </w:r>
      <w:r>
        <w:rPr>
          <w:rFonts w:ascii="Liberation Serif" w:hAnsi="Liberation Serif" w:cs="Liberation Serif"/>
          <w:sz w:val="24"/>
          <w:szCs w:val="24"/>
          <w:lang w:val="en-US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Способ закупки: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i/>
          <w:color w:val="0070c0"/>
        </w:rPr>
        <w:t xml:space="preserve">запрос предложений в электронной форме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rPr>
          <w:rStyle w:val="1083"/>
          <w:rFonts w:ascii="Liberation Serif" w:hAnsi="Liberation Serif" w:cs="Liberation Serif"/>
          <w:color w:val="auto"/>
          <w:sz w:val="24"/>
          <w:szCs w:val="24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Нормативный документ, в соответствии с которым проводится закупка: </w:t>
      </w:r>
      <w:bookmarkStart w:id="0" w:name="_Toc422209950"/>
      <w:r/>
      <w:bookmarkStart w:id="1" w:name="_Toc422226770"/>
      <w:r/>
      <w:bookmarkStart w:id="2" w:name="_Toc422244122"/>
      <w:r>
        <w:rPr>
          <w:rFonts w:ascii="Liberation Serif" w:hAnsi="Liberation Serif" w:cs="Liberation Serif"/>
        </w:rPr>
        <w:t xml:space="preserve">Положение о порядке проведения регламентированных закупок товаров, работ, услуг для нужд АО Алтайэнергосбыт, утвержденное решением Совета директоров (далее - Положение о закупках).</w:t>
      </w:r>
      <w:bookmarkEnd w:id="0"/>
      <w:r/>
      <w:bookmarkEnd w:id="1"/>
      <w:r/>
      <w:bookmarkEnd w:id="2"/>
      <w:r>
        <w:rPr>
          <w:rStyle w:val="1083"/>
          <w:rFonts w:ascii="Liberation Serif" w:hAnsi="Liberation Serif" w:cs="Liberation Serif"/>
          <w:color w:val="auto"/>
          <w:sz w:val="24"/>
          <w:szCs w:val="24"/>
        </w:rPr>
      </w:r>
      <w:r>
        <w:rPr>
          <w:rStyle w:val="1083"/>
          <w:rFonts w:ascii="Liberation Serif" w:hAnsi="Liberation Serif" w:cs="Liberation Serif"/>
          <w:color w:val="auto"/>
          <w:sz w:val="24"/>
          <w:szCs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Информационное обеспечение проведения закупки: Интернет-сайт: </w:t>
      </w:r>
      <w:r>
        <w:rPr>
          <w:rFonts w:ascii="Liberation Serif" w:hAnsi="Liberation Serif" w:cs="Liberation Serif"/>
          <w:color w:val="548dd4"/>
        </w:rPr>
        <w:t xml:space="preserve">www.zakupki.gov.ru,</w:t>
      </w:r>
      <w:r>
        <w:rPr>
          <w:rFonts w:ascii="Liberation Serif" w:hAnsi="Liberation Serif" w:cs="Liberation Serif"/>
          <w:color w:val="0070c0"/>
        </w:rPr>
        <w:t xml:space="preserve"> </w:t>
      </w:r>
      <w:r>
        <w:rPr>
          <w:rFonts w:ascii="Liberation Serif" w:hAnsi="Liberation Serif" w:cs="Liberation Serif"/>
        </w:rPr>
        <w:t xml:space="preserve">а также сайт Организатора закупки </w:t>
      </w:r>
      <w:r>
        <w:rPr>
          <w:rFonts w:ascii="Liberation Serif" w:hAnsi="Liberation Serif" w:cs="Liberation Serif"/>
          <w:color w:val="548dd4"/>
        </w:rPr>
        <w:t xml:space="preserve">www.altaiensb.</w:t>
      </w:r>
      <w:r>
        <w:rPr>
          <w:rFonts w:ascii="Liberation Serif" w:hAnsi="Liberation Serif" w:cs="Liberation Serif"/>
          <w:color w:val="548dd4"/>
          <w:lang w:val="en-US"/>
        </w:rPr>
        <w:t xml:space="preserve">ru</w:t>
      </w:r>
      <w:r>
        <w:rPr>
          <w:rFonts w:ascii="Liberation Serif" w:hAnsi="Liberation Serif" w:cs="Liberation Serif"/>
          <w:color w:val="0070c0"/>
        </w:rPr>
        <w:t xml:space="preserve">,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Электронная торговая площадка: </w:t>
      </w:r>
      <w:r>
        <w:rPr>
          <w:rFonts w:ascii="Liberation Serif" w:hAnsi="Liberation Serif" w:cs="Liberation Serif"/>
          <w:color w:val="548dd4"/>
        </w:rPr>
        <w:t xml:space="preserve">inter-rao.etpgpb.ru.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Отмена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 закупки: </w:t>
      </w:r>
      <w:r>
        <w:rPr>
          <w:rFonts w:ascii="Liberation Serif" w:hAnsi="Liberation Serif" w:cs="Liberation Serif"/>
          <w:color w:val="000000"/>
        </w:rPr>
        <w:t xml:space="preserve">В любое время до наступления даты и времени окончания срока подачи заявок на участие в конкурентной закупке. Протокол об отказе от проведения закупки размещается организатором закупки в день принятия решения.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 По истечении срока отмены конкурентной закупки и до заключения договора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организатор закупки/заказчик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вправе</w:t>
      </w:r>
      <w:r>
        <w:rPr>
          <w:rFonts w:ascii="Liberation Serif" w:hAnsi="Liberation Serif" w:cs="Liberation Serif"/>
          <w:szCs w:val="28"/>
        </w:rPr>
        <w:t xml:space="preserve">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Наименование </w:t>
      </w:r>
      <w:r>
        <w:rPr>
          <w:rFonts w:ascii="Liberation Serif" w:hAnsi="Liberation Serif" w:cs="Liberation Serif"/>
        </w:rPr>
        <w:t xml:space="preserve">Заказчик</w:t>
      </w:r>
      <w:r>
        <w:rPr>
          <w:rFonts w:ascii="Liberation Serif" w:hAnsi="Liberation Serif" w:cs="Liberation Serif"/>
        </w:rPr>
        <w:t xml:space="preserve">а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АО «Алтайэнергосбыт»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Место нахождения: 656038, Алтайский край, город Барнаул, Обской бульвар, 30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Почтовый адрес: 656038, Алтайский край, город Барнаул, Обской бульвар, 30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Адрес электронной почты: kanz@altaiensb.</w:t>
      </w:r>
      <w:r>
        <w:rPr>
          <w:rFonts w:ascii="Liberation Serif" w:hAnsi="Liberation Serif" w:cs="Liberation Serif"/>
          <w:lang w:val="en-US"/>
        </w:rPr>
        <w:t xml:space="preserve">ru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72"/>
        <w:ind w:left="709"/>
        <w:spacing w:before="0" w:line="240" w:lineRule="auto"/>
        <w:tabs>
          <w:tab w:val="left" w:pos="1134" w:leader="none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Контактный телефон: 8(3852) 22-34-72</w:t>
      </w:r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Наименование </w:t>
      </w:r>
      <w:r>
        <w:rPr>
          <w:rFonts w:ascii="Liberation Serif" w:hAnsi="Liberation Serif" w:cs="Liberation Serif"/>
        </w:rPr>
        <w:t xml:space="preserve">Организатор</w:t>
      </w:r>
      <w:r>
        <w:rPr>
          <w:rFonts w:ascii="Liberation Serif" w:hAnsi="Liberation Serif" w:cs="Liberation Serif"/>
        </w:rPr>
        <w:t xml:space="preserve">а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АО «Алтайэнергосбыт»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Место нахождения: 656038, Алтайский край, город Барнаул, Обской бульвар, 30, каб. 208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Почтовый адрес: 656038, Алтайский край, город Барнаул, Обской бульвар, 30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Контактное лицо: Козменков Алексей Алексеевич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709"/>
        <w:jc w:val="both"/>
        <w:widowControl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Адрес электронной почт</w:t>
      </w:r>
      <w:r>
        <w:rPr>
          <w:rFonts w:ascii="Liberation Serif" w:hAnsi="Liberation Serif" w:cs="Liberation Serif"/>
        </w:rPr>
        <w:t xml:space="preserve">ы: </w:t>
      </w:r>
      <w:r>
        <w:rPr>
          <w:rFonts w:ascii="Liberation Serif" w:hAnsi="Liberation Serif" w:cs="Liberation Serif"/>
        </w:rPr>
        <w:t xml:space="preserve">kozmenkov_aa@altaiensb.ru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72"/>
        <w:ind w:left="709"/>
        <w:spacing w:before="0" w:line="240" w:lineRule="auto"/>
        <w:tabs>
          <w:tab w:val="left" w:pos="1134" w:leader="none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Контактный телефон: 8(3852) 22-34-72</w:t>
      </w:r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Предмет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: </w:t>
      </w:r>
      <w:r>
        <w:rPr>
          <w:rFonts w:ascii="Liberation Serif" w:hAnsi="Liberation Serif" w:cs="Liberation Serif"/>
        </w:rPr>
        <w:t xml:space="preserve">п</w:t>
      </w:r>
      <w:r>
        <w:rPr>
          <w:rFonts w:ascii="Liberation Serif" w:hAnsi="Liberation Serif" w:cs="Liberation Serif"/>
        </w:rPr>
        <w:t xml:space="preserve">раво заключения договора</w:t>
      </w:r>
      <w:r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12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Краткое описание предмета закупки: В соответствии с разделом 6 «Техническая часть» Закупочной документации.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  <w:i/>
          <w:color w:val="548dd4"/>
        </w:rPr>
        <w:outlineLvl w:val="0"/>
      </w:pPr>
      <w:r>
        <w:rPr>
          <w:rFonts w:ascii="Liberation Serif" w:hAnsi="Liberation Serif" w:cs="Liberation Serif"/>
        </w:rPr>
        <w:t xml:space="preserve">Предмет договора:</w:t>
      </w:r>
      <w:r>
        <w:rPr>
          <w:rFonts w:ascii="Liberation Serif" w:hAnsi="Liberation Serif" w:cs="Liberation Serif"/>
        </w:rPr>
        <w:t xml:space="preserve"> </w:t>
      </w:r>
      <w:r>
        <w:rPr>
          <w:color w:val="548dd4"/>
        </w:rPr>
        <w:t xml:space="preserve">Организации комплексного присутствия бренда АО "Алтайэнергосбыт" в социальных медиа</w:t>
      </w:r>
      <w:r>
        <w:rPr>
          <w:rFonts w:ascii="Liberation Serif" w:hAnsi="Liberation Serif" w:cs="Liberation Serif"/>
          <w:i/>
          <w:color w:val="548dd4"/>
        </w:rPr>
      </w:r>
      <w:r>
        <w:rPr>
          <w:rFonts w:ascii="Liberation Serif" w:hAnsi="Liberation Serif" w:cs="Liberation Serif"/>
          <w:i/>
          <w:color w:val="548dd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Объем </w:t>
      </w:r>
      <w:r>
        <w:rPr>
          <w:rFonts w:ascii="Liberation Serif" w:hAnsi="Liberation Serif" w:cs="Liberation Serif"/>
        </w:rPr>
        <w:t xml:space="preserve">поставляемых товаров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соответствии с разделом 6 «Техническая часть» Закупочной документации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72"/>
        <w:ind w:firstLine="709"/>
        <w:spacing w:before="0" w:line="240" w:lineRule="auto"/>
        <w:tabs>
          <w:tab w:val="left" w:pos="851" w:leader="none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Подробное описание</w:t>
      </w:r>
      <w:r>
        <w:rPr>
          <w:rFonts w:ascii="Liberation Serif" w:hAnsi="Liberation Serif" w:cs="Liberation Serif"/>
          <w:sz w:val="24"/>
        </w:rPr>
        <w:t xml:space="preserve"> и требования к</w:t>
      </w:r>
      <w:r>
        <w:rPr>
          <w:rFonts w:ascii="Liberation Serif" w:hAnsi="Liberation Serif" w:cs="Liberation Serif"/>
          <w:sz w:val="24"/>
        </w:rPr>
        <w:t xml:space="preserve"> закупаемо</w:t>
      </w:r>
      <w:r>
        <w:rPr>
          <w:rFonts w:ascii="Liberation Serif" w:hAnsi="Liberation Serif" w:cs="Liberation Serif"/>
          <w:sz w:val="24"/>
        </w:rPr>
        <w:t xml:space="preserve">му</w:t>
      </w:r>
      <w:r>
        <w:rPr>
          <w:rFonts w:ascii="Liberation Serif" w:hAnsi="Liberation Serif" w:cs="Liberation Serif"/>
          <w:sz w:val="24"/>
        </w:rPr>
        <w:t xml:space="preserve"> </w:t>
      </w:r>
      <w:r>
        <w:rPr>
          <w:rFonts w:ascii="Liberation Serif" w:hAnsi="Liberation Serif" w:cs="Liberation Serif"/>
          <w:sz w:val="24"/>
        </w:rPr>
        <w:t xml:space="preserve">товару</w:t>
      </w:r>
      <w:r>
        <w:rPr>
          <w:rFonts w:ascii="Liberation Serif" w:hAnsi="Liberation Serif" w:cs="Liberation Serif"/>
          <w:sz w:val="24"/>
        </w:rPr>
        <w:t xml:space="preserve">,</w:t>
      </w:r>
      <w:r>
        <w:rPr>
          <w:rFonts w:ascii="Liberation Serif" w:hAnsi="Liberation Serif" w:cs="Liberation Serif"/>
          <w:sz w:val="24"/>
        </w:rPr>
        <w:t xml:space="preserve"> а также</w:t>
      </w:r>
      <w:r>
        <w:rPr>
          <w:rFonts w:ascii="Liberation Serif" w:hAnsi="Liberation Serif" w:cs="Liberation Serif"/>
          <w:sz w:val="24"/>
        </w:rPr>
        <w:t xml:space="preserve"> услови</w:t>
      </w:r>
      <w:r>
        <w:rPr>
          <w:rFonts w:ascii="Liberation Serif" w:hAnsi="Liberation Serif" w:cs="Liberation Serif"/>
          <w:sz w:val="24"/>
        </w:rPr>
        <w:t xml:space="preserve">я</w:t>
      </w:r>
      <w:r>
        <w:rPr>
          <w:rFonts w:ascii="Liberation Serif" w:hAnsi="Liberation Serif" w:cs="Liberation Serif"/>
          <w:sz w:val="24"/>
        </w:rPr>
        <w:t xml:space="preserve"> договора содержатся в </w:t>
      </w:r>
      <w:r>
        <w:rPr>
          <w:rFonts w:ascii="Liberation Serif" w:hAnsi="Liberation Serif" w:cs="Liberation Serif"/>
          <w:sz w:val="24"/>
        </w:rPr>
        <w:t xml:space="preserve">Закупочной </w:t>
      </w:r>
      <w:r>
        <w:rPr>
          <w:rFonts w:ascii="Liberation Serif" w:hAnsi="Liberation Serif" w:cs="Liberation Serif"/>
          <w:sz w:val="24"/>
        </w:rPr>
        <w:t xml:space="preserve">документации</w:t>
      </w:r>
      <w:r>
        <w:rPr>
          <w:rFonts w:ascii="Liberation Serif" w:hAnsi="Liberation Serif" w:cs="Liberation Serif"/>
          <w:sz w:val="24"/>
        </w:rPr>
        <w:t xml:space="preserve">, которая является неотъемлемой часть</w:t>
      </w:r>
      <w:r>
        <w:rPr>
          <w:rFonts w:ascii="Liberation Serif" w:hAnsi="Liberation Serif" w:cs="Liberation Serif"/>
          <w:sz w:val="24"/>
        </w:rPr>
        <w:t xml:space="preserve">ю</w:t>
      </w:r>
      <w:r>
        <w:rPr>
          <w:rFonts w:ascii="Liberation Serif" w:hAnsi="Liberation Serif" w:cs="Liberation Serif"/>
          <w:sz w:val="24"/>
        </w:rPr>
        <w:t xml:space="preserve"> Извещения о проведении </w:t>
      </w:r>
      <w:r>
        <w:rPr>
          <w:rFonts w:ascii="Liberation Serif" w:hAnsi="Liberation Serif" w:cs="Liberation Serif"/>
          <w:sz w:val="24"/>
        </w:rPr>
        <w:t xml:space="preserve">закупки</w:t>
      </w:r>
      <w:r>
        <w:rPr>
          <w:rFonts w:ascii="Liberation Serif" w:hAnsi="Liberation Serif" w:cs="Liberation Serif"/>
          <w:sz w:val="24"/>
        </w:rPr>
        <w:t xml:space="preserve">.</w:t>
      </w:r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Style w:val="1083"/>
          <w:rFonts w:ascii="Liberation Serif" w:hAnsi="Liberation Serif" w:cs="Liberation Serif"/>
          <w:sz w:val="24"/>
          <w:szCs w:val="24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Сроки поставки товара, выполнения работ, оказания услуг: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в соответствии с разделом 6 «Техническая часть» Закупочной документации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.</w:t>
      </w:r>
      <w:r>
        <w:rPr>
          <w:rStyle w:val="1083"/>
          <w:rFonts w:ascii="Liberation Serif" w:hAnsi="Liberation Serif" w:cs="Liberation Serif"/>
          <w:sz w:val="24"/>
          <w:szCs w:val="24"/>
        </w:rPr>
      </w:r>
      <w:r>
        <w:rPr>
          <w:rStyle w:val="1083"/>
          <w:rFonts w:ascii="Liberation Serif" w:hAnsi="Liberation Serif" w:cs="Liberation Serif"/>
          <w:sz w:val="24"/>
          <w:szCs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Место </w:t>
      </w:r>
      <w:r>
        <w:rPr>
          <w:rFonts w:ascii="Liberation Serif" w:hAnsi="Liberation Serif" w:cs="Liberation Serif"/>
        </w:rPr>
        <w:t xml:space="preserve">поставки товара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</w:rPr>
        <w:t xml:space="preserve"> в соответствии с разделом 6 «Техническая часть» Закупочной документации.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Сведения о начальной (максимальной) цене договора (лота): </w:t>
      </w:r>
      <w:r>
        <w:rPr>
          <w:rFonts w:ascii="Liberation Serif" w:hAnsi="Liberation Serif" w:cs="Liberation Serif"/>
          <w:b/>
          <w:i/>
          <w:color w:val="548dd4"/>
        </w:rPr>
        <w:t xml:space="preserve">619</w:t>
      </w:r>
      <w:r>
        <w:rPr>
          <w:rFonts w:ascii="Liberation Serif" w:hAnsi="Liberation Serif" w:cs="Liberation Serif"/>
          <w:b/>
          <w:i/>
          <w:color w:val="548dd4"/>
        </w:rPr>
        <w:t xml:space="preserve"> </w:t>
      </w:r>
      <w:r>
        <w:rPr>
          <w:rFonts w:ascii="Liberation Serif" w:hAnsi="Liberation Serif" w:cs="Liberation Serif"/>
          <w:b/>
          <w:i/>
          <w:color w:val="548dd4"/>
        </w:rPr>
        <w:t xml:space="preserve">000,11 </w:t>
      </w:r>
      <w:r>
        <w:rPr>
          <w:rFonts w:ascii="Liberation Serif" w:hAnsi="Liberation Serif" w:cs="Liberation Serif"/>
          <w:b/>
          <w:i/>
          <w:color w:val="548dd4"/>
        </w:rPr>
        <w:t xml:space="preserve">руб. без НДС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Обеспечение исполнения обязательств, связанных с подачей заявки на участие</w:t>
      </w:r>
      <w:r>
        <w:rPr>
          <w:rFonts w:ascii="Liberation Serif" w:hAnsi="Liberation Serif" w:cs="Liberation Serif"/>
        </w:rPr>
        <w:t xml:space="preserve"> в закупке: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i/>
          <w:color w:val="548dd4"/>
        </w:rPr>
        <w:t xml:space="preserve">не требуется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Style w:val="1083"/>
          <w:rFonts w:ascii="Liberation Serif" w:hAnsi="Liberation Serif" w:cs="Liberation Serif"/>
          <w:sz w:val="24"/>
          <w:szCs w:val="24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Требования, предъявляемые к участникам закупки: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в соответствии с требованиями, установленными в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Закупоч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ной документации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.</w:t>
      </w:r>
      <w:r>
        <w:rPr>
          <w:rStyle w:val="1083"/>
          <w:rFonts w:ascii="Liberation Serif" w:hAnsi="Liberation Serif" w:cs="Liberation Serif"/>
          <w:sz w:val="24"/>
          <w:szCs w:val="24"/>
        </w:rPr>
      </w:r>
      <w:r>
        <w:rPr>
          <w:rStyle w:val="1083"/>
          <w:rFonts w:ascii="Liberation Serif" w:hAnsi="Liberation Serif" w:cs="Liberation Serif"/>
          <w:sz w:val="24"/>
          <w:szCs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  <w:i/>
          <w:color w:val="548dd4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Требования, предъявляемые к поставляемым товарам, выполняемым работам, оказываемым услугам: </w:t>
      </w:r>
      <w:r>
        <w:rPr>
          <w:rFonts w:ascii="Liberation Serif" w:hAnsi="Liberation Serif" w:cs="Liberation Serif"/>
          <w:i/>
          <w:color w:val="548dd4"/>
        </w:rPr>
        <w:t xml:space="preserve">в соответствии с разделом </w:t>
      </w:r>
      <w:r>
        <w:rPr>
          <w:rFonts w:ascii="Liberation Serif" w:hAnsi="Liberation Serif" w:cs="Liberation Serif"/>
          <w:i/>
          <w:color w:val="548dd4"/>
        </w:rPr>
        <w:t xml:space="preserve">6</w:t>
      </w:r>
      <w:r>
        <w:rPr>
          <w:rFonts w:ascii="Liberation Serif" w:hAnsi="Liberation Serif" w:cs="Liberation Serif"/>
          <w:i/>
          <w:color w:val="548dd4"/>
        </w:rPr>
        <w:t xml:space="preserve"> «Техническая часть»</w:t>
      </w:r>
      <w:r>
        <w:rPr>
          <w:rFonts w:ascii="Liberation Serif" w:hAnsi="Liberation Serif" w:cs="Liberation Serif"/>
          <w:i/>
          <w:color w:val="548dd4"/>
        </w:rPr>
        <w:t xml:space="preserve"> Закупочной документации</w:t>
      </w:r>
      <w:r>
        <w:rPr>
          <w:rFonts w:ascii="Liberation Serif" w:hAnsi="Liberation Serif" w:cs="Liberation Serif"/>
          <w:i/>
          <w:color w:val="548dd4"/>
        </w:rPr>
      </w:r>
      <w:r>
        <w:rPr>
          <w:rFonts w:ascii="Liberation Serif" w:hAnsi="Liberation Serif" w:cs="Liberation Serif"/>
          <w:i/>
          <w:color w:val="548dd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Возможность проведения переторжки: </w:t>
      </w:r>
      <w:r>
        <w:rPr>
          <w:rFonts w:ascii="Liberation Serif" w:hAnsi="Liberation Serif" w:cs="Liberation Serif"/>
          <w:i/>
          <w:color w:val="548dd4"/>
        </w:rPr>
        <w:t xml:space="preserve">возможно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Style w:val="1083"/>
          <w:rFonts w:ascii="Liberation Serif" w:hAnsi="Liberation Serif" w:cs="Liberation Serif"/>
          <w:color w:val="auto"/>
          <w:sz w:val="24"/>
          <w:szCs w:val="24"/>
        </w:rPr>
        <w:outlineLvl w:val="0"/>
      </w:pPr>
      <w:r/>
      <w:bookmarkStart w:id="3" w:name="_Toc170127762"/>
      <w:r/>
      <w:bookmarkStart w:id="4" w:name="_Ref170128607"/>
      <w:r/>
      <w:bookmarkStart w:id="5" w:name="_Ref170128990"/>
      <w:r/>
      <w:bookmarkStart w:id="6" w:name="_Toc524680342"/>
      <w:r/>
      <w:bookmarkStart w:id="7" w:name="_Toc524680538"/>
      <w:r/>
      <w:bookmarkStart w:id="8" w:name="_Toc524680736"/>
      <w:r/>
      <w:bookmarkStart w:id="9" w:name="_Ref177634192"/>
      <w:r/>
      <w:bookmarkStart w:id="10" w:name="_Ref177655291"/>
      <w:r/>
      <w:bookmarkStart w:id="11" w:name="_Toc184154972"/>
      <w:r/>
      <w:bookmarkStart w:id="12" w:name="_Ref188456627"/>
      <w:r>
        <w:rPr>
          <w:rFonts w:ascii="Liberation Serif" w:hAnsi="Liberation Serif" w:cs="Liberation Serif"/>
        </w:rPr>
        <w:t xml:space="preserve">Сведения о предоставлении </w:t>
      </w:r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bookmarkEnd w:id="10"/>
      <w:r/>
      <w:bookmarkEnd w:id="11"/>
      <w:r>
        <w:rPr>
          <w:rFonts w:ascii="Liberation Serif" w:hAnsi="Liberation Serif" w:cs="Liberation Serif"/>
        </w:rPr>
        <w:t xml:space="preserve">национального режима: предос</w:t>
      </w:r>
      <w:r>
        <w:rPr>
          <w:rFonts w:ascii="Liberation Serif" w:hAnsi="Liberation Serif" w:cs="Liberation Serif"/>
        </w:rPr>
        <w:t xml:space="preserve">тавляется в соответствии со статьями 3 и 3.1-4 Федерального закона от 18.07.2011 № 223-ФЗ «О закупках товаров, работ, услуг отдельными видами юридических лиц», а также в соответствии с Постановлением Правительства Российской Федерации от 23.12.2024 № 1875.</w:t>
      </w:r>
      <w:bookmarkEnd w:id="12"/>
      <w:r>
        <w:rPr>
          <w:rFonts w:ascii="Liberation Serif" w:hAnsi="Liberation Serif" w:cs="Liberation Serif"/>
        </w:rPr>
        <w:t xml:space="preserve"> </w:t>
      </w:r>
      <w:bookmarkStart w:id="13" w:name="_Hlk188472094"/>
      <w:r>
        <w:rPr>
          <w:rFonts w:ascii="Liberation Serif" w:hAnsi="Liberation Serif" w:cs="Liberation Serif"/>
        </w:rPr>
        <w:t xml:space="preserve">Перечень кодов ОКПД 2 для целей определения порядка предоставления национального режима содержится в файле «</w:t>
      </w:r>
      <w:r>
        <w:rPr>
          <w:rFonts w:ascii="Liberation Serif" w:hAnsi="Liberation Serif" w:cs="Liberation Serif"/>
          <w:b/>
        </w:rPr>
        <w:t xml:space="preserve">Коды ОКПД2 по позициям</w:t>
      </w:r>
      <w:r>
        <w:rPr>
          <w:rFonts w:ascii="Liberation Serif" w:hAnsi="Liberation Serif" w:cs="Liberation Serif"/>
        </w:rPr>
        <w:t xml:space="preserve">» являющимся неотъемлемой частью настоящего Извещения.</w:t>
      </w:r>
      <w:bookmarkEnd w:id="13"/>
      <w:r>
        <w:rPr>
          <w:rStyle w:val="1083"/>
          <w:rFonts w:ascii="Liberation Serif" w:hAnsi="Liberation Serif" w:cs="Liberation Serif"/>
          <w:color w:val="auto"/>
          <w:sz w:val="24"/>
          <w:szCs w:val="24"/>
        </w:rPr>
      </w:r>
      <w:r>
        <w:rPr>
          <w:rStyle w:val="1083"/>
          <w:rFonts w:ascii="Liberation Serif" w:hAnsi="Liberation Serif" w:cs="Liberation Serif"/>
          <w:color w:val="auto"/>
          <w:sz w:val="24"/>
          <w:szCs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Срок, место и порядок предоставления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</w:t>
      </w:r>
      <w:r>
        <w:rPr>
          <w:rFonts w:ascii="Liberation Serif" w:hAnsi="Liberation Serif" w:cs="Liberation Serif"/>
        </w:rPr>
        <w:t xml:space="preserve">документации: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72"/>
        <w:ind w:firstLine="709"/>
        <w:spacing w:after="60" w:line="240" w:lineRule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Закупочная документация находится в открытом доступе на электронной торговой площадке и на сайте</w:t>
      </w:r>
      <w:r>
        <w:rPr>
          <w:rFonts w:ascii="Liberation Serif" w:hAnsi="Liberation Serif" w:cs="Liberation Serif"/>
          <w:sz w:val="24"/>
        </w:rPr>
        <w:t xml:space="preserve">, </w:t>
      </w:r>
      <w:r>
        <w:rPr>
          <w:rFonts w:ascii="Liberation Serif" w:hAnsi="Liberation Serif" w:cs="Liberation Serif"/>
          <w:sz w:val="24"/>
        </w:rPr>
        <w:t xml:space="preserve">указанные </w:t>
      </w:r>
      <w:r>
        <w:rPr>
          <w:rFonts w:ascii="Liberation Serif" w:hAnsi="Liberation Serif" w:cs="Liberation Serif"/>
          <w:sz w:val="24"/>
        </w:rPr>
        <w:t xml:space="preserve">в </w:t>
      </w:r>
      <w:r>
        <w:rPr>
          <w:rFonts w:ascii="Liberation Serif" w:hAnsi="Liberation Serif" w:cs="Liberation Serif"/>
          <w:sz w:val="24"/>
        </w:rPr>
        <w:t xml:space="preserve">пункте</w:t>
      </w:r>
      <w:r>
        <w:rPr>
          <w:rFonts w:ascii="Liberation Serif" w:hAnsi="Liberation Serif" w:cs="Liberation Serif"/>
          <w:sz w:val="24"/>
        </w:rPr>
        <w:t xml:space="preserve"> 3 Извещения</w:t>
      </w:r>
      <w:r>
        <w:rPr>
          <w:rFonts w:ascii="Liberation Serif" w:hAnsi="Liberation Serif" w:cs="Liberation Serif"/>
          <w:sz w:val="24"/>
        </w:rPr>
        <w:t xml:space="preserve">, начиная с даты размещения настоящего </w:t>
      </w:r>
      <w:r>
        <w:rPr>
          <w:rFonts w:ascii="Liberation Serif" w:hAnsi="Liberation Serif" w:cs="Liberation Serif"/>
          <w:sz w:val="24"/>
        </w:rPr>
        <w:t xml:space="preserve">Извеще</w:t>
      </w:r>
      <w:r>
        <w:rPr>
          <w:rFonts w:ascii="Liberation Serif" w:hAnsi="Liberation Serif" w:cs="Liberation Serif"/>
          <w:sz w:val="24"/>
        </w:rPr>
        <w:t xml:space="preserve">ния.</w:t>
      </w:r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1072"/>
        <w:ind w:firstLine="709"/>
        <w:spacing w:before="0" w:line="240" w:lineRule="auto"/>
        <w:rPr>
          <w:rFonts w:ascii="Liberation Serif" w:hAnsi="Liberation Serif" w:cs="Liberation Serif"/>
          <w:sz w:val="24"/>
        </w:rPr>
      </w:pPr>
      <w:r/>
      <w:bookmarkStart w:id="14" w:name="_Ref316300967"/>
      <w:r>
        <w:rPr>
          <w:rFonts w:ascii="Liberation Serif" w:hAnsi="Liberation Serif" w:cs="Liberation Serif"/>
          <w:sz w:val="24"/>
        </w:rPr>
        <w:t xml:space="preserve">Закупочная документация предоставляется лицу через функционал электронной торговой площадки.</w:t>
      </w:r>
      <w:bookmarkEnd w:id="14"/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1072"/>
        <w:ind w:firstLine="709"/>
        <w:spacing w:after="60" w:line="240" w:lineRule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Плата за предоставление </w:t>
      </w:r>
      <w:r>
        <w:rPr>
          <w:rFonts w:ascii="Liberation Serif" w:hAnsi="Liberation Serif" w:cs="Liberation Serif"/>
          <w:sz w:val="24"/>
        </w:rPr>
        <w:t xml:space="preserve">Закупоч</w:t>
      </w:r>
      <w:r>
        <w:rPr>
          <w:rFonts w:ascii="Liberation Serif" w:hAnsi="Liberation Serif" w:cs="Liberation Serif"/>
          <w:sz w:val="24"/>
        </w:rPr>
        <w:t xml:space="preserve">ной </w:t>
      </w:r>
      <w:r>
        <w:rPr>
          <w:rFonts w:ascii="Liberation Serif" w:hAnsi="Liberation Serif" w:cs="Liberation Serif"/>
          <w:sz w:val="24"/>
        </w:rPr>
        <w:t xml:space="preserve">документации не взимается.</w:t>
      </w:r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1072"/>
        <w:ind w:firstLine="709"/>
        <w:spacing w:after="60" w:line="240" w:lineRule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Закупочная документация предоставляется в течение срока, определенного регламентами работы электронной торговой площадки.</w:t>
      </w:r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/>
      <w:bookmarkStart w:id="15" w:name="_Hlk146803851"/>
      <w:r>
        <w:rPr>
          <w:rFonts w:ascii="Liberation Serif" w:hAnsi="Liberation Serif" w:cs="Liberation Serif"/>
        </w:rPr>
        <w:t xml:space="preserve">Дата начала предоставления разъяснений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документации: с даты публикации </w:t>
      </w:r>
      <w:r>
        <w:rPr>
          <w:rFonts w:ascii="Liberation Serif" w:hAnsi="Liberation Serif" w:cs="Liberation Serif"/>
        </w:rPr>
        <w:t xml:space="preserve">Извеще</w:t>
      </w:r>
      <w:r>
        <w:rPr>
          <w:rFonts w:ascii="Liberation Serif" w:hAnsi="Liberation Serif" w:cs="Liberation Serif"/>
        </w:rPr>
        <w:t xml:space="preserve">ния.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  <w:color w:val="548dd4"/>
        </w:rPr>
      </w:pPr>
      <w:r>
        <w:rPr>
          <w:rFonts w:ascii="Liberation Serif" w:hAnsi="Liberation Serif" w:cs="Liberation Serif"/>
          <w:iCs/>
        </w:rPr>
        <w:t xml:space="preserve">Дата окончания срока предоставления разъяснений </w:t>
      </w:r>
      <w:r>
        <w:rPr>
          <w:rFonts w:ascii="Liberation Serif" w:hAnsi="Liberation Serif" w:cs="Liberation Serif"/>
          <w:iCs/>
        </w:rPr>
        <w:t xml:space="preserve">Закупоч</w:t>
      </w:r>
      <w:r>
        <w:rPr>
          <w:rFonts w:ascii="Liberation Serif" w:hAnsi="Liberation Serif" w:cs="Liberation Serif"/>
          <w:iCs/>
        </w:rPr>
        <w:t xml:space="preserve">ной документации:</w:t>
      </w:r>
      <w:r>
        <w:rPr>
          <w:rFonts w:ascii="Liberation Serif" w:hAnsi="Liberation Serif" w:cs="Liberation Serif"/>
          <w:i/>
          <w:color w:val="548dd4"/>
        </w:rPr>
        <w:t xml:space="preserve"> </w:t>
      </w:r>
      <w:r>
        <w:rPr>
          <w:rFonts w:ascii="Liberation Serif" w:hAnsi="Liberation Serif" w:cs="Liberation Serif"/>
          <w:bCs/>
          <w:iCs/>
        </w:rPr>
        <w:t xml:space="preserve">за 3 рабочих дня до окончания срока подачи предложений</w:t>
      </w:r>
      <w:r>
        <w:rPr>
          <w:rFonts w:ascii="Liberation Serif" w:hAnsi="Liberation Serif" w:cs="Liberation Serif"/>
          <w:bCs/>
          <w:iCs/>
        </w:rPr>
        <w:t xml:space="preserve">.</w:t>
      </w:r>
      <w:r>
        <w:rPr>
          <w:rFonts w:ascii="Liberation Serif" w:hAnsi="Liberation Serif" w:cs="Liberation Serif"/>
          <w:color w:val="548dd4"/>
        </w:rPr>
      </w:r>
      <w:r>
        <w:rPr>
          <w:rFonts w:ascii="Liberation Serif" w:hAnsi="Liberation Serif" w:cs="Liberation Serif"/>
          <w:color w:val="548dd4"/>
        </w:rPr>
      </w:r>
    </w:p>
    <w:p>
      <w:pPr>
        <w:pStyle w:val="1085"/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  <w:bCs/>
          <w:iCs/>
        </w:rPr>
      </w:pPr>
      <w:r>
        <w:rPr>
          <w:rFonts w:ascii="Liberation Serif" w:hAnsi="Liberation Serif" w:cs="Liberation Serif"/>
          <w:bCs/>
          <w:iCs/>
        </w:rPr>
        <w:t xml:space="preserve">Организатор закупки вправе не осуществлять разъяснение в случае, если указанный запрос поступил позднее чем за 3 (три) рабочих дня до даты окончания срока подачи заявок.</w:t>
      </w:r>
      <w:bookmarkEnd w:id="15"/>
      <w:r>
        <w:rPr>
          <w:rFonts w:ascii="Liberation Serif" w:hAnsi="Liberation Serif" w:cs="Liberation Serif"/>
          <w:bCs/>
          <w:iCs/>
        </w:rPr>
      </w:r>
      <w:r>
        <w:rPr>
          <w:rFonts w:ascii="Liberation Serif" w:hAnsi="Liberation Serif" w:cs="Liberation Serif"/>
          <w:bCs/>
          <w:iCs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Style w:val="1083"/>
          <w:rFonts w:ascii="Liberation Serif" w:hAnsi="Liberation Serif" w:cs="Liberation Serif"/>
          <w:color w:val="auto"/>
          <w:sz w:val="24"/>
          <w:szCs w:val="24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Внесение изменений в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Закупоч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ную документацию: </w:t>
      </w:r>
      <w:r>
        <w:rPr>
          <w:rStyle w:val="1083"/>
          <w:rFonts w:ascii="Liberation Serif" w:hAnsi="Liberation Serif" w:cs="Liberation Serif"/>
          <w:sz w:val="24"/>
        </w:rPr>
        <w:t xml:space="preserve">в соответствии с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требованиями, установленными в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Закупоч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ной</w:t>
      </w:r>
      <w:r>
        <w:rPr>
          <w:rStyle w:val="1083"/>
          <w:rFonts w:ascii="Liberation Serif" w:hAnsi="Liberation Serif" w:cs="Liberation Serif"/>
          <w:sz w:val="24"/>
        </w:rPr>
        <w:t xml:space="preserve"> документации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.</w:t>
      </w:r>
      <w:r>
        <w:rPr>
          <w:rStyle w:val="1083"/>
          <w:rFonts w:ascii="Liberation Serif" w:hAnsi="Liberation Serif" w:cs="Liberation Serif"/>
          <w:color w:val="auto"/>
          <w:sz w:val="24"/>
          <w:szCs w:val="24"/>
        </w:rPr>
      </w:r>
      <w:r>
        <w:rPr>
          <w:rStyle w:val="1083"/>
          <w:rFonts w:ascii="Liberation Serif" w:hAnsi="Liberation Serif" w:cs="Liberation Serif"/>
          <w:color w:val="auto"/>
          <w:sz w:val="24"/>
          <w:szCs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Место подачи и срок окончания подачи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: заявки на участие в </w:t>
      </w:r>
      <w:r>
        <w:rPr>
          <w:rFonts w:ascii="Liberation Serif" w:hAnsi="Liberation Serif" w:cs="Liberation Serif"/>
        </w:rPr>
        <w:t xml:space="preserve">закупке </w:t>
      </w:r>
      <w:r>
        <w:rPr>
          <w:rFonts w:ascii="Liberation Serif" w:hAnsi="Liberation Serif" w:cs="Liberation Serif"/>
        </w:rPr>
        <w:t xml:space="preserve">должны быть</w:t>
      </w:r>
      <w:r>
        <w:rPr>
          <w:rFonts w:ascii="Liberation Serif" w:hAnsi="Liberation Serif" w:cs="Liberation Serif"/>
        </w:rPr>
        <w:t xml:space="preserve"> поданы </w:t>
      </w:r>
      <w:r>
        <w:rPr>
          <w:rFonts w:ascii="Liberation Serif" w:hAnsi="Liberation Serif" w:cs="Liberation Serif"/>
          <w:i/>
          <w:color w:val="548dd4"/>
        </w:rPr>
        <w:t xml:space="preserve">до </w:t>
      </w:r>
      <w:r>
        <w:rPr>
          <w:rFonts w:ascii="Liberation Serif" w:hAnsi="Liberation Serif" w:cs="Liberation Serif"/>
          <w:i/>
          <w:color w:val="548dd4"/>
        </w:rPr>
        <w:t xml:space="preserve">14</w:t>
      </w:r>
      <w:r>
        <w:rPr>
          <w:rFonts w:ascii="Liberation Serif" w:hAnsi="Liberation Serif" w:cs="Liberation Serif"/>
          <w:i/>
          <w:color w:val="548dd4"/>
        </w:rPr>
        <w:t xml:space="preserve">:</w:t>
      </w:r>
      <w:r>
        <w:rPr>
          <w:rFonts w:ascii="Liberation Serif" w:hAnsi="Liberation Serif" w:cs="Liberation Serif"/>
          <w:i/>
          <w:color w:val="548dd4"/>
        </w:rPr>
        <w:t xml:space="preserve">00 </w:t>
      </w:r>
      <w:r>
        <w:rPr>
          <w:i/>
          <w:color w:val="548dd4"/>
        </w:rPr>
        <w:t xml:space="preserve">по местному времени (Барнаульскому) «15</w:t>
      </w:r>
      <w:r>
        <w:rPr>
          <w:i/>
          <w:color w:val="548dd4"/>
        </w:rPr>
        <w:t xml:space="preserve">» </w:t>
      </w:r>
      <w:r>
        <w:rPr>
          <w:i/>
          <w:color w:val="548dd4"/>
        </w:rPr>
        <w:t xml:space="preserve">октября </w:t>
      </w:r>
      <w:r>
        <w:rPr>
          <w:i/>
          <w:color w:val="548dd4"/>
        </w:rPr>
        <w:t xml:space="preserve">2026</w:t>
      </w:r>
      <w:r>
        <w:rPr>
          <w:i/>
          <w:color w:val="548dd4"/>
        </w:rPr>
        <w:t xml:space="preserve"> года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через соответствующий функционал электронной торговой площадки, указанный в пункте 3 настоящего </w:t>
      </w:r>
      <w:r>
        <w:rPr>
          <w:rFonts w:ascii="Liberation Serif" w:hAnsi="Liberation Serif" w:cs="Liberation Serif"/>
        </w:rPr>
        <w:t xml:space="preserve">Извеще</w:t>
      </w:r>
      <w:r>
        <w:rPr>
          <w:rFonts w:ascii="Liberation Serif" w:hAnsi="Liberation Serif" w:cs="Liberation Serif"/>
        </w:rPr>
        <w:t xml:space="preserve">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/>
      <w:bookmarkStart w:id="16" w:name="_Hlk146803949"/>
      <w:r>
        <w:rPr>
          <w:rFonts w:ascii="Liberation Serif" w:hAnsi="Liberation Serif" w:cs="Liberation Serif"/>
        </w:rPr>
        <w:t xml:space="preserve">Возможность проведения уторговывания: </w:t>
      </w:r>
      <w:r>
        <w:rPr>
          <w:rFonts w:ascii="Liberation Serif" w:hAnsi="Liberation Serif" w:cs="Liberation Serif"/>
          <w:i/>
          <w:color w:val="548dd4"/>
        </w:rPr>
        <w:t xml:space="preserve">Невозможно</w:t>
      </w:r>
      <w:bookmarkEnd w:id="16"/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Организатор закупки проведет процедуру вскрытия конвертов: </w:t>
      </w:r>
      <w:r>
        <w:rPr>
          <w:rFonts w:ascii="Liberation Serif" w:hAnsi="Liberation Serif" w:cs="Liberation Serif"/>
          <w:color w:val="548dd4"/>
        </w:rPr>
        <w:t xml:space="preserve">«15</w:t>
      </w:r>
      <w:r>
        <w:rPr>
          <w:rFonts w:ascii="Liberation Serif" w:hAnsi="Liberation Serif" w:cs="Liberation Serif"/>
          <w:color w:val="548dd4"/>
        </w:rPr>
        <w:t xml:space="preserve">» октября</w:t>
      </w:r>
      <w:r>
        <w:rPr>
          <w:rFonts w:ascii="Liberation Serif" w:hAnsi="Liberation Serif" w:cs="Liberation Serif"/>
          <w:color w:val="548dd4"/>
        </w:rPr>
        <w:t xml:space="preserve"> </w:t>
      </w:r>
      <w:r>
        <w:rPr>
          <w:rFonts w:ascii="Liberation Serif" w:hAnsi="Liberation Serif" w:cs="Liberation Serif"/>
          <w:color w:val="548dd4"/>
        </w:rPr>
        <w:t xml:space="preserve">2026 </w:t>
      </w:r>
      <w:r>
        <w:rPr>
          <w:rFonts w:ascii="Liberation Serif" w:hAnsi="Liberation Serif" w:cs="Liberation Serif"/>
          <w:color w:val="548dd4"/>
        </w:rPr>
        <w:t xml:space="preserve">года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Дата рассмотрения предложений участников закупки и подведения итогов закупки: до </w:t>
      </w:r>
      <w:r>
        <w:rPr>
          <w:rFonts w:ascii="Liberation Serif" w:hAnsi="Liberation Serif" w:cs="Liberation Serif"/>
          <w:i/>
          <w:color w:val="548dd4"/>
        </w:rPr>
        <w:t xml:space="preserve">«</w:t>
      </w:r>
      <w:r>
        <w:rPr>
          <w:rFonts w:ascii="Liberation Serif" w:hAnsi="Liberation Serif" w:cs="Liberation Serif"/>
          <w:i/>
          <w:color w:val="548dd4"/>
        </w:rPr>
        <w:t xml:space="preserve">30</w:t>
      </w:r>
      <w:r>
        <w:rPr>
          <w:rFonts w:ascii="Liberation Serif" w:hAnsi="Liberation Serif" w:cs="Liberation Serif"/>
          <w:i/>
          <w:color w:val="548dd4"/>
        </w:rPr>
        <w:t xml:space="preserve">» ноября</w:t>
      </w:r>
      <w:r>
        <w:rPr>
          <w:rFonts w:ascii="Liberation Serif" w:hAnsi="Liberation Serif" w:cs="Liberation Serif"/>
          <w:i/>
          <w:color w:val="548dd4"/>
        </w:rPr>
        <w:t xml:space="preserve"> </w:t>
      </w:r>
      <w:r>
        <w:rPr>
          <w:rFonts w:ascii="Liberation Serif" w:hAnsi="Liberation Serif" w:cs="Liberation Serif"/>
          <w:i/>
          <w:color w:val="548dd4"/>
        </w:rPr>
        <w:t xml:space="preserve">20</w:t>
      </w:r>
      <w:r>
        <w:rPr>
          <w:rFonts w:ascii="Liberation Serif" w:hAnsi="Liberation Serif" w:cs="Liberation Serif"/>
          <w:i/>
          <w:color w:val="548dd4"/>
        </w:rPr>
        <w:t xml:space="preserve">2</w:t>
      </w:r>
      <w:r>
        <w:rPr>
          <w:rFonts w:ascii="Liberation Serif" w:hAnsi="Liberation Serif" w:cs="Liberation Serif"/>
          <w:i/>
          <w:color w:val="548dd4"/>
        </w:rPr>
        <w:t xml:space="preserve">6</w:t>
      </w:r>
      <w:bookmarkStart w:id="17" w:name="_GoBack"/>
      <w:r/>
      <w:bookmarkEnd w:id="17"/>
      <w:r>
        <w:rPr>
          <w:rFonts w:ascii="Liberation Serif" w:hAnsi="Liberation Serif" w:cs="Liberation Serif"/>
          <w:i/>
          <w:color w:val="548dd4"/>
        </w:rPr>
        <w:t xml:space="preserve"> года</w:t>
      </w:r>
      <w:r>
        <w:rPr>
          <w:rFonts w:ascii="Liberation Serif" w:hAnsi="Liberation Serif" w:cs="Liberation Serif"/>
        </w:rPr>
        <w:t xml:space="preserve">.</w:t>
      </w:r>
      <w:r>
        <w:rPr>
          <w:rStyle w:val="1045"/>
          <w:rFonts w:ascii="Liberation Serif" w:hAnsi="Liberation Serif" w:cs="Liberation Serif"/>
        </w:rPr>
        <w:footnoteReference w:id="3"/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  <w:lang w:eastAsia="en-US"/>
        </w:rPr>
        <w:t xml:space="preserve">Критерии оценки и сопоставления заявок на участие в закупке: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В соответствии с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Разделом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8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 Закупочной документации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«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Руководство по экспертной оценке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»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  <w:lang w:eastAsia="en-US"/>
        </w:rPr>
        <w:t xml:space="preserve">Порядок оценки и сопоставления заявок на участие в закупке: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В соответствии с Разделом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8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Закупочной документации 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«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Руководство по экспертной оценке</w:t>
      </w:r>
      <w:r>
        <w:rPr>
          <w:rStyle w:val="1083"/>
          <w:rFonts w:ascii="Liberation Serif" w:hAnsi="Liberation Serif" w:cs="Liberation Serif"/>
          <w:sz w:val="24"/>
          <w:szCs w:val="24"/>
        </w:rPr>
        <w:t xml:space="preserve">»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  <w:lang w:eastAsia="en-US"/>
        </w:rPr>
        <w:t xml:space="preserve">Возможность проведения переговоров: </w:t>
      </w:r>
      <w:r>
        <w:rPr>
          <w:rFonts w:ascii="Liberation Serif" w:hAnsi="Liberation Serif" w:cs="Liberation Serif"/>
          <w:i/>
          <w:color w:val="548dd4"/>
        </w:rPr>
        <w:t xml:space="preserve">возможно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  <w:lang w:eastAsia="en-US"/>
        </w:rPr>
        <w:t xml:space="preserve">Подписание протокола о результатах закупки</w:t>
      </w:r>
      <w:r>
        <w:rPr>
          <w:rStyle w:val="1083"/>
          <w:rFonts w:ascii="Liberation Serif" w:hAnsi="Liberation Serif" w:cs="Liberation Serif"/>
          <w:color w:val="auto"/>
          <w:sz w:val="24"/>
          <w:szCs w:val="24"/>
          <w:lang w:eastAsia="en-US"/>
        </w:rPr>
        <w:t xml:space="preserve">:</w:t>
      </w:r>
      <w:r>
        <w:rPr>
          <w:rStyle w:val="1083"/>
          <w:rFonts w:ascii="Liberation Serif" w:hAnsi="Liberation Serif" w:cs="Liberation Serif"/>
          <w:color w:val="auto"/>
          <w:sz w:val="24"/>
          <w:szCs w:val="24"/>
          <w:lang w:eastAsia="en-US"/>
        </w:rPr>
        <w:t xml:space="preserve"> </w:t>
      </w:r>
      <w:r>
        <w:rPr>
          <w:rStyle w:val="1083"/>
          <w:rFonts w:ascii="Liberation Serif" w:hAnsi="Liberation Serif" w:cs="Liberation Serif"/>
          <w:b/>
          <w:color w:val="auto"/>
          <w:sz w:val="24"/>
          <w:szCs w:val="24"/>
          <w:lang w:eastAsia="en-US"/>
        </w:rPr>
        <w:t xml:space="preserve">Не установлено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Style w:val="1083"/>
          <w:rFonts w:ascii="Liberation Serif" w:hAnsi="Liberation Serif" w:cs="Liberation Serif"/>
          <w:sz w:val="24"/>
        </w:rPr>
        <w:outlineLvl w:val="0"/>
      </w:pPr>
      <w:r>
        <w:rPr>
          <w:rStyle w:val="1083"/>
          <w:rFonts w:ascii="Liberation Serif" w:hAnsi="Liberation Serif" w:cs="Liberation Serif"/>
          <w:sz w:val="24"/>
        </w:rPr>
        <w:t xml:space="preserve">Дата заключения договора: Договор по результатам закупки между Заказчиком и Победителем закупки будет заключен не ранее чем через 10 (десять) и не позднее чем через 20 (двадцать) дней со дня размещения итогового протокола.</w:t>
      </w:r>
      <w:r>
        <w:rPr>
          <w:rStyle w:val="1045"/>
          <w:rFonts w:ascii="Liberation Serif" w:hAnsi="Liberation Serif" w:cs="Liberation Serif"/>
          <w:color w:val="000000"/>
          <w:szCs w:val="26"/>
        </w:rPr>
        <w:footnoteReference w:id="4"/>
      </w:r>
      <w:r>
        <w:rPr>
          <w:rStyle w:val="1083"/>
          <w:rFonts w:ascii="Liberation Serif" w:hAnsi="Liberation Serif" w:cs="Liberation Serif"/>
          <w:sz w:val="24"/>
        </w:rPr>
      </w:r>
      <w:r>
        <w:rPr>
          <w:rStyle w:val="1083"/>
          <w:rFonts w:ascii="Liberation Serif" w:hAnsi="Liberation Serif" w:cs="Liberation Serif"/>
          <w:sz w:val="2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Обеспечение исполнения договора и/или возврата аванса и/или гарантийных обязательств: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i/>
          <w:color w:val="548dd4"/>
        </w:rPr>
        <w:t xml:space="preserve">не установлено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Валюта закупки: </w:t>
      </w:r>
      <w:r>
        <w:rPr>
          <w:rFonts w:ascii="Liberation Serif" w:hAnsi="Liberation Serif" w:cs="Liberation Serif"/>
          <w:color w:val="548dd4"/>
        </w:rPr>
        <w:t xml:space="preserve">Рубль РФ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  <w:i/>
          <w:color w:val="548dd4"/>
        </w:rPr>
      </w:pPr>
      <w:r>
        <w:rPr>
          <w:rFonts w:ascii="Liberation Serif" w:hAnsi="Liberation Serif" w:cs="Liberation Serif"/>
          <w:color w:val="548dd4"/>
        </w:rPr>
        <w:t xml:space="preserve">Возможность представления заявки, где ценовое предложение выражено </w:t>
      </w:r>
      <w:r>
        <w:rPr>
          <w:rFonts w:ascii="Liberation Serif" w:hAnsi="Liberation Serif" w:cs="Liberation Serif"/>
          <w:color w:val="548dd4"/>
        </w:rPr>
        <w:t xml:space="preserve">в отличной от указанной выше, в том числе иностранной,</w:t>
      </w:r>
      <w:r>
        <w:rPr>
          <w:rFonts w:ascii="Liberation Serif" w:hAnsi="Liberation Serif" w:cs="Liberation Serif"/>
          <w:color w:val="548dd4"/>
        </w:rPr>
        <w:t xml:space="preserve"> валюте (Доллар США, ЕВРО, Английский фунт или Шведская крона) или где цена договора поставлена в зависимость от официального курса иностранной валюты (Доллар США, ЕВРО, Английский фунт или Шведская крона): </w:t>
      </w:r>
      <w:r>
        <w:rPr>
          <w:rFonts w:ascii="Liberation Serif" w:hAnsi="Liberation Serif" w:cs="Liberation Serif"/>
          <w:i/>
          <w:color w:val="548dd4"/>
        </w:rPr>
        <w:t xml:space="preserve">не допускается</w:t>
      </w:r>
      <w:r>
        <w:rPr>
          <w:rFonts w:ascii="Liberation Serif" w:hAnsi="Liberation Serif" w:cs="Liberation Serif"/>
          <w:i/>
          <w:color w:val="548dd4"/>
        </w:rPr>
      </w:r>
      <w:r>
        <w:rPr>
          <w:rFonts w:ascii="Liberation Serif" w:hAnsi="Liberation Serif" w:cs="Liberation Serif"/>
          <w:i/>
          <w:color w:val="548dd4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Возможность привлечения субподрядчика/соисполнителя: </w:t>
      </w:r>
      <w:r>
        <w:rPr>
          <w:rFonts w:ascii="Liberation Serif" w:hAnsi="Liberation Serif" w:cs="Liberation Serif"/>
          <w:i/>
          <w:color w:val="548dd4"/>
        </w:rPr>
        <w:t xml:space="preserve">допускается,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  <w:color w:val="4f81bd" w:themeColor="accent1"/>
        </w:rPr>
        <w:t xml:space="preserve">Привлечение субподрядчиков (соисполнителей) из числа субъектов малого и среднего предпринимательства: </w:t>
      </w:r>
      <w:r>
        <w:rPr>
          <w:rFonts w:ascii="Liberation Serif" w:hAnsi="Liberation Serif" w:cs="Liberation Serif"/>
          <w:color w:val="4f81bd" w:themeColor="accent1"/>
        </w:rPr>
        <w:t xml:space="preserve">не требуется</w:t>
      </w: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Style w:val="1083"/>
          <w:rFonts w:ascii="Liberation Serif" w:hAnsi="Liberation Serif" w:cs="Liberation Serif"/>
          <w:sz w:val="24"/>
          <w:szCs w:val="24"/>
        </w:rPr>
        <w:t xml:space="preserve">Возможность подачи альтернативных предложений: </w:t>
      </w:r>
      <w:r>
        <w:rPr>
          <w:rFonts w:ascii="Liberation Serif" w:hAnsi="Liberation Serif" w:cs="Liberation Serif"/>
          <w:i/>
          <w:color w:val="548dd4"/>
        </w:rPr>
        <w:t xml:space="preserve">допускается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П</w:t>
      </w:r>
      <w:r>
        <w:rPr>
          <w:rFonts w:ascii="Liberation Serif" w:hAnsi="Liberation Serif" w:cs="Liberation Serif"/>
        </w:rPr>
        <w:t xml:space="preserve">одробные условия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а также условия заключения договора по результатам </w:t>
      </w:r>
      <w:r>
        <w:rPr>
          <w:rFonts w:ascii="Liberation Serif" w:hAnsi="Liberation Serif" w:cs="Liberation Serif"/>
        </w:rPr>
        <w:t xml:space="preserve">закупки </w:t>
      </w:r>
      <w:r>
        <w:rPr>
          <w:rFonts w:ascii="Liberation Serif" w:hAnsi="Liberation Serif" w:cs="Liberation Serif"/>
        </w:rPr>
        <w:t xml:space="preserve">содержатся в </w:t>
      </w:r>
      <w:r>
        <w:rPr>
          <w:rFonts w:ascii="Liberation Serif" w:hAnsi="Liberation Serif" w:cs="Liberation Serif"/>
        </w:rPr>
        <w:t xml:space="preserve">Закупочной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, которая является неотъемлемой частью </w:t>
      </w:r>
      <w:r>
        <w:rPr>
          <w:rFonts w:ascii="Liberation Serif" w:hAnsi="Liberation Serif" w:cs="Liberation Serif"/>
        </w:rPr>
        <w:t xml:space="preserve">Извеще</w:t>
      </w:r>
      <w:r>
        <w:rPr>
          <w:rFonts w:ascii="Liberation Serif" w:hAnsi="Liberation Serif" w:cs="Liberation Serif"/>
        </w:rPr>
        <w:t xml:space="preserve">ния о проведении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В случае если участник закупочной процед</w:t>
      </w:r>
      <w:r>
        <w:rPr>
          <w:rFonts w:ascii="Liberation Serif" w:hAnsi="Liberation Serif" w:cs="Liberation Serif"/>
        </w:rPr>
        <w:t xml:space="preserve">уры является Аккредитованным поставщиков в соответствии с «Положением о порядке проведения аккредитации поставщиков товаров, работ, услуг» утвержденным Приказом ОАО «Интер РАО» от 14.08.2014 года №ИРАО/407 (размещенным на официальном сайте в сети Интернет </w:t>
      </w:r>
      <w:hyperlink r:id="rId11" w:tooltip="http://www.interrao-zakupki.ru/" w:history="1">
        <w:r>
          <w:rPr>
            <w:rStyle w:val="1044"/>
            <w:rFonts w:ascii="Liberation Serif" w:hAnsi="Liberation Serif" w:cs="Liberation Serif"/>
          </w:rPr>
          <w:t xml:space="preserve">http://www.interrao-zakupki.ru/</w:t>
        </w:r>
      </w:hyperlink>
      <w:r>
        <w:rPr>
          <w:rFonts w:ascii="Liberation Serif" w:hAnsi="Liberation Serif" w:cs="Liberation Serif"/>
        </w:rPr>
        <w:t xml:space="preserve">), то повторное предоставле</w:t>
      </w:r>
      <w:r>
        <w:rPr>
          <w:rFonts w:ascii="Liberation Serif" w:hAnsi="Liberation Serif" w:cs="Liberation Serif"/>
        </w:rPr>
        <w:t xml:space="preserve">ние участником закупочной процедуры документов, представленных в рамках процедуры Аккредитации поставщиков (при отсутствии в них изменений), при подаче заявки на участие в закупке не требуется (Документы, не требующие повторного предоставления, отмечены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5.2.1 Закупочной документации, как «Не требуется предоставлять, если участник закупки является Аккредитованным поставщиком в Группе «Интер РАО»)</w:t>
      </w:r>
      <w:r>
        <w:rPr>
          <w:rFonts w:ascii="Liberation Serif" w:hAnsi="Liberation Serif" w:cs="Liberation Serif"/>
        </w:rPr>
        <w:t xml:space="preserve"> с учетом требований Закупочной документации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numPr>
          <w:ilvl w:val="1"/>
          <w:numId w:val="8"/>
        </w:numPr>
        <w:contextualSpacing w:val="0"/>
        <w:ind w:left="0" w:firstLine="709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  <w:b/>
        </w:rPr>
        <w:t xml:space="preserve">Способ формирования начальной максимальной цены (НМЦ): </w:t>
      </w:r>
      <w:r>
        <w:t xml:space="preserve">расчет средней цены по результатам анализа рыночной стоимости</w:t>
      </w:r>
      <w:r>
        <w:t xml:space="preserve">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085"/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sectPr>
      <w:headerReference w:type="first" r:id="rId9"/>
      <w:footnotePr/>
      <w:endnotePr/>
      <w:type w:val="nextPage"/>
      <w:pgSz w:w="11906" w:h="16838" w:orient="portrait"/>
      <w:pgMar w:top="567" w:right="707" w:bottom="567" w:left="1134" w:header="680" w:footer="6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pPr>
        <w:spacing w:line="240" w:lineRule="auto"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HeliosCondC">
    <w:panose1 w:val="02000603000000000000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pPr>
        <w:spacing w:line="240" w:lineRule="auto"/>
      </w:pPr>
      <w:r/>
      <w:r/>
    </w:p>
  </w:footnote>
  <w:footnote w:id="3">
    <w:p>
      <w:pPr>
        <w:pStyle w:val="1054"/>
      </w:pPr>
      <w:r>
        <w:rPr>
          <w:rStyle w:val="1045"/>
        </w:rPr>
        <w:footnoteRef/>
      </w:r>
      <w:r>
        <w:t xml:space="preserve"> Допускается размещение протокола, составляемого по итогам конкурентной закупки, в любое время, но не позднее даты указанной в настоящем пункте.</w:t>
      </w:r>
      <w:r/>
    </w:p>
  </w:footnote>
  <w:footnote w:id="4">
    <w:p>
      <w:pPr>
        <w:pStyle w:val="1054"/>
      </w:pPr>
      <w:r>
        <w:rPr>
          <w:rStyle w:val="1045"/>
        </w:rPr>
        <w:footnoteRef/>
      </w:r>
      <w:r>
        <w:t xml:space="preserve"> </w:t>
      </w:r>
      <w:r>
        <w:t xml:space="preserve">Под датой размещения итогового протокола подразумевается дата </w:t>
      </w:r>
      <w:r>
        <w:t xml:space="preserve">размещения </w:t>
      </w:r>
      <w:r>
        <w:t xml:space="preserve">протокола выбора победителя.</w:t>
      </w:r>
      <w:r>
        <w:t xml:space="preserve"> 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065" w:type="dxa"/>
      <w:jc w:val="center"/>
      <w:tblLayout w:type="fixed"/>
      <w:tblLook w:val="04A0" w:firstRow="1" w:lastRow="0" w:firstColumn="1" w:lastColumn="0" w:noHBand="0" w:noVBand="1"/>
    </w:tblPr>
    <w:tblGrid>
      <w:gridCol w:w="4110"/>
      <w:gridCol w:w="884"/>
      <w:gridCol w:w="5071"/>
    </w:tblGrid>
    <w:tr>
      <w:tblPrEx/>
      <w:trPr>
        <w:jc w:val="center"/>
        <w:trHeight w:val="569"/>
      </w:trPr>
      <w:tc>
        <w:tcPr>
          <w:shd w:val="clear" w:color="auto" w:fill="auto"/>
          <w:tcW w:w="4110" w:type="dxa"/>
          <w:textDirection w:val="lrTb"/>
          <w:noWrap w:val="false"/>
        </w:tcPr>
        <w:p>
          <w:pPr>
            <w:spacing w:line="240" w:lineRule="auto"/>
            <w:tabs>
              <w:tab w:val="left" w:pos="142" w:leader="none"/>
            </w:tabs>
            <w:rPr>
              <w:rFonts w:eastAsia="Calibri"/>
              <w:sz w:val="22"/>
              <w:szCs w:val="22"/>
            </w:rPr>
          </w:pPr>
          <w:r>
            <w:rPr>
              <w:rFonts w:eastAsia="Calibri"/>
              <w:szCs w:val="28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981200" cy="295275"/>
                    <wp:effectExtent l="0" t="0" r="0" b="0"/>
                    <wp:docPr id="1" name="Рисунок 1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9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762760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56.00pt;height:23.25pt;mso-wrap-distance-left:0.00pt;mso-wrap-distance-top:0.00pt;mso-wrap-distance-right:0.00pt;mso-wrap-distance-bottom:0.00pt;" stroked="f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</w:p>
      </w:tc>
      <w:tc>
        <w:tcPr>
          <w:shd w:val="clear" w:color="auto" w:fill="auto"/>
          <w:tcW w:w="884" w:type="dxa"/>
          <w:textDirection w:val="lrTb"/>
          <w:noWrap w:val="false"/>
        </w:tcPr>
        <w:p>
          <w:pPr>
            <w:spacing w:line="240" w:lineRule="auto"/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</w:p>
      </w:tc>
      <w:tc>
        <w:tcPr>
          <w:shd w:val="clear" w:color="auto" w:fill="auto"/>
          <w:tcW w:w="5071" w:type="dxa"/>
          <w:vMerge w:val="restart"/>
          <w:textDirection w:val="lrTb"/>
          <w:noWrap w:val="false"/>
        </w:tcPr>
        <w:p>
          <w:pPr>
            <w:spacing w:line="240" w:lineRule="auto"/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</w:p>
      </w:tc>
    </w:tr>
    <w:tr>
      <w:tblPrEx/>
      <w:trPr>
        <w:jc w:val="center"/>
        <w:trHeight w:val="257"/>
      </w:trPr>
      <w:tc>
        <w:tcPr>
          <w:shd w:val="clear" w:color="auto" w:fill="auto"/>
          <w:tcW w:w="4110" w:type="dxa"/>
          <w:textDirection w:val="lrTb"/>
          <w:noWrap w:val="false"/>
        </w:tcPr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656038</w:t>
          </w:r>
          <w:r>
            <w:rPr>
              <w:rFonts w:ascii="HeliosCondC" w:hAnsi="HeliosCondC" w:eastAsia="Calibri"/>
              <w:sz w:val="16"/>
              <w:szCs w:val="16"/>
            </w:rPr>
            <w:t xml:space="preserve">, г. Барнаул, </w:t>
          </w:r>
          <w:r>
            <w:rPr>
              <w:rFonts w:ascii="HeliosCondC" w:hAnsi="HeliosCondC" w:eastAsia="Calibri"/>
              <w:sz w:val="16"/>
              <w:szCs w:val="16"/>
            </w:rPr>
            <w:t xml:space="preserve">Обской бульвар, 30</w:t>
          </w:r>
          <w:r>
            <w:rPr>
              <w:rFonts w:ascii="HeliosCondC" w:hAnsi="HeliosCondC" w:eastAsia="Calibri"/>
              <w:sz w:val="16"/>
              <w:szCs w:val="16"/>
            </w:rPr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Тел.: +7 (3852) 22-39-51</w:t>
          </w:r>
          <w:r>
            <w:rPr>
              <w:rFonts w:ascii="HeliosCondC" w:hAnsi="HeliosCondC" w:eastAsia="Calibri"/>
              <w:sz w:val="16"/>
              <w:szCs w:val="16"/>
            </w:rPr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Контактный центр:</w:t>
          </w:r>
          <w:r>
            <w:rPr>
              <w:rFonts w:ascii="HeliosCondC" w:hAnsi="HeliosCondC" w:eastAsia="Calibri"/>
              <w:sz w:val="16"/>
              <w:szCs w:val="16"/>
            </w:rPr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+7 (3852) 560-6</w:t>
          </w:r>
          <w:r>
            <w:rPr>
              <w:rFonts w:ascii="HeliosCondC" w:hAnsi="HeliosCondC" w:eastAsia="Calibri"/>
              <w:sz w:val="16"/>
              <w:szCs w:val="16"/>
            </w:rPr>
            <w:t xml:space="preserve">60 по </w:t>
          </w:r>
          <w:r>
            <w:rPr>
              <w:rFonts w:ascii="HeliosCondC" w:hAnsi="HeliosCondC" w:eastAsia="Calibri"/>
              <w:sz w:val="16"/>
              <w:szCs w:val="16"/>
            </w:rPr>
            <w:t xml:space="preserve">Алтайскому краю</w:t>
          </w:r>
          <w:r>
            <w:rPr>
              <w:rFonts w:ascii="HeliosCondC" w:hAnsi="HeliosCondC" w:eastAsia="Calibri"/>
              <w:sz w:val="16"/>
              <w:szCs w:val="16"/>
            </w:rPr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+7 (38822) 20-570 по Республике Алтай</w:t>
          </w:r>
          <w:r>
            <w:rPr>
              <w:rFonts w:ascii="HeliosCondC" w:hAnsi="HeliosCondC" w:eastAsia="Calibri"/>
              <w:sz w:val="16"/>
              <w:szCs w:val="16"/>
            </w:rPr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e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-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mail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: 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kanz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@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altaiensb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.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ru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www.altaiensb.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ru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jc w:val="center"/>
            <w:spacing w:line="240" w:lineRule="auto"/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  <w:tc>
        <w:tcPr>
          <w:shd w:val="clear" w:color="auto" w:fill="auto"/>
          <w:tcW w:w="884" w:type="dxa"/>
          <w:textDirection w:val="lrTb"/>
          <w:noWrap w:val="false"/>
        </w:tcPr>
        <w:p>
          <w:pPr>
            <w:spacing w:line="240" w:lineRule="auto"/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  <w:tc>
        <w:tcPr>
          <w:shd w:val="clear" w:color="auto" w:fill="auto"/>
          <w:tcW w:w="5071" w:type="dxa"/>
          <w:vMerge w:val="continue"/>
          <w:textDirection w:val="lrTb"/>
          <w:noWrap w:val="false"/>
        </w:tcPr>
        <w:p>
          <w:pPr>
            <w:spacing w:line="240" w:lineRule="auto"/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</w:tr>
  </w:tbl>
  <w:p>
    <w:pPr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14" w:hanging="180"/>
      </w:pPr>
    </w:lvl>
  </w:abstractNum>
  <w:abstractNum w:abstractNumId="1">
    <w:multiLevelType w:val="hybridMultilevel"/>
    <w:lvl w:ilvl="0">
      <w:start w:val="16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993" w:leader="none"/>
        </w:tabs>
      </w:pPr>
      <w:rPr>
        <w:rFonts w:ascii="Times New Roman" w:hAnsi="Times New Roman" w:eastAsia="Times New Roman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tabs>
          <w:tab w:val="num" w:pos="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3" w:hanging="720"/>
        <w:tabs>
          <w:tab w:val="num" w:pos="153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3" w:hanging="1800"/>
        <w:tabs>
          <w:tab w:val="num" w:pos="1233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tabs>
          <w:tab w:val="num" w:pos="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tabs>
          <w:tab w:val="num" w:pos="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3" w:hanging="720"/>
        <w:tabs>
          <w:tab w:val="num" w:pos="153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3" w:hanging="1800"/>
        <w:tabs>
          <w:tab w:val="num" w:pos="1233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64" w:hanging="708"/>
        <w:tabs>
          <w:tab w:val="num" w:pos="70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72" w:hanging="708"/>
        <w:tabs>
          <w:tab w:val="num" w:pos="70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080" w:hanging="708"/>
        <w:tabs>
          <w:tab w:val="num" w:pos="708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1032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1033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pStyle w:val="1030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pStyle w:val="1031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2">
      <w:start w:val="1"/>
      <w:numFmt w:val="decimal"/>
      <w:pStyle w:val="1066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3">
      <w:start w:val="1"/>
      <w:numFmt w:val="decimal"/>
      <w:pStyle w:val="1068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lowerLetter"/>
      <w:pStyle w:val="1070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854" w:hanging="360"/>
      </w:pPr>
      <w:rPr>
        <w:rFonts w:hint="default" w:ascii="Symbol" w:hAnsi="Symbol"/>
        <w:b w:val="0"/>
        <w:i w:val="0"/>
        <w:color w:val="auto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1034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1035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1036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1037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1038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5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  <w:tabs>
          <w:tab w:val="num" w:pos="1070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  <w:tabs>
          <w:tab w:val="num" w:pos="179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  <w:tabs>
          <w:tab w:val="num" w:pos="251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  <w:tabs>
          <w:tab w:val="num" w:pos="323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  <w:tabs>
          <w:tab w:val="num" w:pos="395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  <w:tabs>
          <w:tab w:val="num" w:pos="467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  <w:tabs>
          <w:tab w:val="num" w:pos="539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  <w:tabs>
          <w:tab w:val="num" w:pos="611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  <w:tabs>
          <w:tab w:val="num" w:pos="683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83" w:hanging="360"/>
        <w:tabs>
          <w:tab w:val="num" w:pos="1583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9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7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9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1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3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5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7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9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6"/>
  </w:num>
  <w:num w:numId="5">
    <w:abstractNumId w:val="12"/>
  </w:num>
  <w:num w:numId="6">
    <w:abstractNumId w:val="13"/>
  </w:num>
  <w:num w:numId="7">
    <w:abstractNumId w:val="0"/>
  </w:num>
  <w:num w:numId="8">
    <w:abstractNumId w:val="2"/>
  </w:num>
  <w:num w:numId="9">
    <w:abstractNumId w:val="11"/>
  </w:num>
  <w:num w:numId="10">
    <w:abstractNumId w:val="7"/>
  </w:num>
  <w:num w:numId="11">
    <w:abstractNumId w:val="3"/>
  </w:num>
  <w:num w:numId="12">
    <w:abstractNumId w:val="9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78">
    <w:name w:val="Heading 1 Char"/>
    <w:basedOn w:val="1039"/>
    <w:link w:val="103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79">
    <w:name w:val="Heading 2 Char"/>
    <w:basedOn w:val="1039"/>
    <w:link w:val="1031"/>
    <w:uiPriority w:val="9"/>
    <w:rPr>
      <w:rFonts w:ascii="Liberation Sans" w:hAnsi="Liberation Sans" w:eastAsia="Liberation Sans" w:cs="Liberation Sans"/>
      <w:sz w:val="34"/>
    </w:rPr>
  </w:style>
  <w:style w:type="character" w:styleId="880">
    <w:name w:val="Heading 3 Char"/>
    <w:basedOn w:val="1039"/>
    <w:link w:val="103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81">
    <w:name w:val="Heading 4 Char"/>
    <w:basedOn w:val="1039"/>
    <w:link w:val="103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82">
    <w:name w:val="Heading 5 Char"/>
    <w:basedOn w:val="1039"/>
    <w:link w:val="103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83">
    <w:name w:val="Heading 6 Char"/>
    <w:basedOn w:val="1039"/>
    <w:link w:val="103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84">
    <w:name w:val="Heading 7 Char"/>
    <w:basedOn w:val="1039"/>
    <w:link w:val="103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85">
    <w:name w:val="Heading 8 Char"/>
    <w:basedOn w:val="1039"/>
    <w:link w:val="103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86">
    <w:name w:val="Heading 9 Char"/>
    <w:basedOn w:val="1039"/>
    <w:link w:val="103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87">
    <w:name w:val="No Spacing"/>
    <w:uiPriority w:val="1"/>
    <w:qFormat/>
    <w:pPr>
      <w:spacing w:before="0" w:after="0" w:line="240" w:lineRule="auto"/>
    </w:pPr>
  </w:style>
  <w:style w:type="character" w:styleId="888">
    <w:name w:val="Title Char"/>
    <w:basedOn w:val="1039"/>
    <w:link w:val="1081"/>
    <w:uiPriority w:val="10"/>
    <w:rPr>
      <w:sz w:val="48"/>
      <w:szCs w:val="48"/>
    </w:rPr>
  </w:style>
  <w:style w:type="paragraph" w:styleId="889">
    <w:name w:val="Subtitle"/>
    <w:basedOn w:val="1029"/>
    <w:next w:val="1029"/>
    <w:link w:val="890"/>
    <w:uiPriority w:val="11"/>
    <w:qFormat/>
    <w:pPr>
      <w:spacing w:before="200" w:after="200"/>
    </w:pPr>
    <w:rPr>
      <w:sz w:val="24"/>
      <w:szCs w:val="24"/>
    </w:rPr>
  </w:style>
  <w:style w:type="character" w:styleId="890">
    <w:name w:val="Subtitle Char"/>
    <w:basedOn w:val="1039"/>
    <w:link w:val="889"/>
    <w:uiPriority w:val="11"/>
    <w:rPr>
      <w:sz w:val="24"/>
      <w:szCs w:val="24"/>
    </w:rPr>
  </w:style>
  <w:style w:type="paragraph" w:styleId="891">
    <w:name w:val="Quote"/>
    <w:basedOn w:val="1029"/>
    <w:next w:val="1029"/>
    <w:link w:val="892"/>
    <w:uiPriority w:val="29"/>
    <w:qFormat/>
    <w:pPr>
      <w:ind w:left="720" w:right="720"/>
    </w:pPr>
    <w:rPr>
      <w:i/>
    </w:rPr>
  </w:style>
  <w:style w:type="character" w:styleId="892">
    <w:name w:val="Quote Char"/>
    <w:link w:val="891"/>
    <w:uiPriority w:val="29"/>
    <w:rPr>
      <w:i/>
    </w:rPr>
  </w:style>
  <w:style w:type="paragraph" w:styleId="893">
    <w:name w:val="Intense Quote"/>
    <w:basedOn w:val="1029"/>
    <w:next w:val="1029"/>
    <w:link w:val="8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4">
    <w:name w:val="Intense Quote Char"/>
    <w:link w:val="893"/>
    <w:uiPriority w:val="30"/>
    <w:rPr>
      <w:i/>
    </w:rPr>
  </w:style>
  <w:style w:type="character" w:styleId="895">
    <w:name w:val="Header Char"/>
    <w:basedOn w:val="1039"/>
    <w:link w:val="1042"/>
    <w:uiPriority w:val="99"/>
  </w:style>
  <w:style w:type="character" w:styleId="896">
    <w:name w:val="Footer Char"/>
    <w:basedOn w:val="1039"/>
    <w:link w:val="1043"/>
    <w:uiPriority w:val="99"/>
  </w:style>
  <w:style w:type="character" w:styleId="897">
    <w:name w:val="Caption Char"/>
    <w:basedOn w:val="1039"/>
    <w:link w:val="1056"/>
    <w:uiPriority w:val="35"/>
    <w:rPr>
      <w:b/>
      <w:bCs/>
      <w:color w:val="4f81bd" w:themeColor="accent1"/>
      <w:sz w:val="18"/>
      <w:szCs w:val="18"/>
    </w:rPr>
  </w:style>
  <w:style w:type="table" w:styleId="898">
    <w:name w:val="Table Grid Light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9">
    <w:name w:val="Plain Table 1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0">
    <w:name w:val="Plain Table 2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1">
    <w:name w:val="Plain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2">
    <w:name w:val="Plain Table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Plain Table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4">
    <w:name w:val="Grid Table 1 Light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Grid Table 1 Light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Grid Table 1 Light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Grid Table 1 Light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Grid Table 1 Light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2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2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2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2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2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3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3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3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4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6">
    <w:name w:val="Grid Table 4 - Accent 1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27">
    <w:name w:val="Grid Table 4 - Accent 2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28">
    <w:name w:val="Grid Table 4 - Accent 3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29">
    <w:name w:val="Grid Table 4 - Accent 4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0">
    <w:name w:val="Grid Table 4 - Accent 5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1">
    <w:name w:val="Grid Table 4 - Accent 6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2">
    <w:name w:val="Grid Table 5 Dark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3">
    <w:name w:val="Grid Table 5 Dark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34">
    <w:name w:val="Grid Table 5 Dark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35">
    <w:name w:val="Grid Table 5 Dark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36">
    <w:name w:val="Grid Table 5 Dark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37">
    <w:name w:val="Grid Table 5 Dark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38">
    <w:name w:val="Grid Table 5 Dark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39">
    <w:name w:val="Grid Table 6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40">
    <w:name w:val="Grid Table 6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1">
    <w:name w:val="Grid Table 6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2">
    <w:name w:val="Grid Table 6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43">
    <w:name w:val="Grid Table 6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44">
    <w:name w:val="Grid Table 6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5">
    <w:name w:val="Grid Table 6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6">
    <w:name w:val="Grid Table 7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>
    <w:name w:val="Grid Table 7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>
    <w:name w:val="Grid Table 7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7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7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7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List Table 1 Light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List Table 1 Light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List Table 1 Light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1 Light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1">
    <w:name w:val="List Table 2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2">
    <w:name w:val="List Table 2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3">
    <w:name w:val="List Table 2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4">
    <w:name w:val="List Table 2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5">
    <w:name w:val="List Table 2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66">
    <w:name w:val="List Table 2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67">
    <w:name w:val="List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>
    <w:name w:val="List Table 3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>
    <w:name w:val="List Table 3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List Table 3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3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4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4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4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5 Dark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2">
    <w:name w:val="List Table 5 Dark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3">
    <w:name w:val="List Table 5 Dark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4">
    <w:name w:val="List Table 5 Dark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5">
    <w:name w:val="List Table 5 Dark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6">
    <w:name w:val="List Table 5 Dark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7">
    <w:name w:val="List Table 5 Dark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8">
    <w:name w:val="List Table 6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89">
    <w:name w:val="List Table 6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0">
    <w:name w:val="List Table 6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1">
    <w:name w:val="List Table 6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2">
    <w:name w:val="List Table 6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3">
    <w:name w:val="List Table 6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4">
    <w:name w:val="List Table 6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5">
    <w:name w:val="List Table 7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96">
    <w:name w:val="List Table 7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997">
    <w:name w:val="List Table 7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998">
    <w:name w:val="List Table 7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999">
    <w:name w:val="List Table 7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000">
    <w:name w:val="List Table 7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001">
    <w:name w:val="List Table 7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002">
    <w:name w:val="Lined - Accent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3">
    <w:name w:val="Lined - Accent 1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4">
    <w:name w:val="Lined - Accent 2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05">
    <w:name w:val="Lined - Accent 3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06">
    <w:name w:val="Lined - Accent 4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07">
    <w:name w:val="Lined - Accent 5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08">
    <w:name w:val="Lined - Accent 6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09">
    <w:name w:val="Bordered &amp; Lined - Accent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0">
    <w:name w:val="Bordered &amp; Lined - Accent 1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11">
    <w:name w:val="Bordered &amp; Lined - Accent 2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12">
    <w:name w:val="Bordered &amp; Lined - Accent 3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13">
    <w:name w:val="Bordered &amp; Lined - Accent 4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4">
    <w:name w:val="Bordered &amp; Lined - Accent 5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5">
    <w:name w:val="Bordered &amp; Lined - Accent 6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6">
    <w:name w:val="Bordered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17">
    <w:name w:val="Bordered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18">
    <w:name w:val="Bordered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19">
    <w:name w:val="Bordered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0">
    <w:name w:val="Bordered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1">
    <w:name w:val="Bordered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2">
    <w:name w:val="Bordered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3">
    <w:name w:val="Footnote Text Char"/>
    <w:link w:val="1054"/>
    <w:uiPriority w:val="99"/>
    <w:rPr>
      <w:sz w:val="18"/>
    </w:rPr>
  </w:style>
  <w:style w:type="paragraph" w:styleId="1024">
    <w:name w:val="endnote text"/>
    <w:basedOn w:val="1029"/>
    <w:link w:val="1025"/>
    <w:uiPriority w:val="99"/>
    <w:semiHidden/>
    <w:unhideWhenUsed/>
    <w:pPr>
      <w:spacing w:after="0" w:line="240" w:lineRule="auto"/>
    </w:pPr>
    <w:rPr>
      <w:sz w:val="20"/>
    </w:rPr>
  </w:style>
  <w:style w:type="character" w:styleId="1025">
    <w:name w:val="Endnote Text Char"/>
    <w:link w:val="1024"/>
    <w:uiPriority w:val="99"/>
    <w:rPr>
      <w:sz w:val="20"/>
    </w:rPr>
  </w:style>
  <w:style w:type="character" w:styleId="1026">
    <w:name w:val="endnote reference"/>
    <w:basedOn w:val="1039"/>
    <w:uiPriority w:val="99"/>
    <w:semiHidden/>
    <w:unhideWhenUsed/>
    <w:rPr>
      <w:vertAlign w:val="superscript"/>
    </w:rPr>
  </w:style>
  <w:style w:type="paragraph" w:styleId="1027">
    <w:name w:val="TOC Heading"/>
    <w:uiPriority w:val="39"/>
    <w:unhideWhenUsed/>
  </w:style>
  <w:style w:type="paragraph" w:styleId="1028">
    <w:name w:val="table of figures"/>
    <w:basedOn w:val="1029"/>
    <w:next w:val="1029"/>
    <w:uiPriority w:val="99"/>
    <w:unhideWhenUsed/>
    <w:pPr>
      <w:spacing w:after="0" w:afterAutospacing="0"/>
    </w:pPr>
  </w:style>
  <w:style w:type="paragraph" w:styleId="1029" w:default="1">
    <w:name w:val="Normal"/>
    <w:qFormat/>
    <w:pPr>
      <w:ind w:firstLine="567"/>
      <w:jc w:val="both"/>
      <w:spacing w:line="360" w:lineRule="auto"/>
    </w:pPr>
    <w:rPr>
      <w:sz w:val="28"/>
    </w:rPr>
  </w:style>
  <w:style w:type="paragraph" w:styleId="1030">
    <w:name w:val="Heading 1"/>
    <w:basedOn w:val="1029"/>
    <w:next w:val="1029"/>
    <w:qFormat/>
    <w:pPr>
      <w:numPr>
        <w:ilvl w:val="0"/>
        <w:numId w:val="4"/>
      </w:numPr>
      <w:jc w:val="left"/>
      <w:keepLines/>
      <w:keepNext/>
      <w:pageBreakBefore/>
      <w:spacing w:before="480" w:after="240" w:line="240" w:lineRule="auto"/>
      <w:outlineLvl w:val="0"/>
    </w:pPr>
    <w:rPr>
      <w:rFonts w:ascii="Arial" w:hAnsi="Arial"/>
      <w:b/>
      <w:sz w:val="40"/>
    </w:rPr>
  </w:style>
  <w:style w:type="paragraph" w:styleId="1031">
    <w:name w:val="Heading 2"/>
    <w:basedOn w:val="1029"/>
    <w:next w:val="1029"/>
    <w:qFormat/>
    <w:pPr>
      <w:numPr>
        <w:ilvl w:val="1"/>
        <w:numId w:val="4"/>
      </w:numPr>
      <w:jc w:val="left"/>
      <w:keepNext/>
      <w:spacing w:before="360" w:after="120" w:line="240" w:lineRule="auto"/>
      <w:outlineLvl w:val="1"/>
    </w:pPr>
    <w:rPr>
      <w:b/>
      <w:sz w:val="32"/>
    </w:rPr>
  </w:style>
  <w:style w:type="paragraph" w:styleId="1032">
    <w:name w:val="Heading 3"/>
    <w:basedOn w:val="1029"/>
    <w:next w:val="1029"/>
    <w:qFormat/>
    <w:pPr>
      <w:numPr>
        <w:ilvl w:val="2"/>
        <w:numId w:val="2"/>
      </w:numPr>
      <w:jc w:val="left"/>
      <w:keepNext/>
      <w:spacing w:before="120" w:after="120" w:line="240" w:lineRule="auto"/>
      <w:outlineLvl w:val="2"/>
    </w:pPr>
    <w:rPr>
      <w:b/>
    </w:rPr>
  </w:style>
  <w:style w:type="paragraph" w:styleId="1033">
    <w:name w:val="Heading 4"/>
    <w:basedOn w:val="1029"/>
    <w:next w:val="1029"/>
    <w:qFormat/>
    <w:pPr>
      <w:numPr>
        <w:ilvl w:val="3"/>
        <w:numId w:val="2"/>
      </w:numPr>
      <w:ind w:left="1134"/>
      <w:keepNext/>
      <w:spacing w:before="240" w:after="120" w:line="240" w:lineRule="auto"/>
      <w:tabs>
        <w:tab w:val="num" w:pos="1134" w:leader="none"/>
        <w:tab w:val="clear" w:pos="1701" w:leader="none"/>
      </w:tabs>
      <w:outlineLvl w:val="3"/>
    </w:pPr>
    <w:rPr>
      <w:b/>
      <w:i/>
    </w:rPr>
  </w:style>
  <w:style w:type="paragraph" w:styleId="1034">
    <w:name w:val="Heading 5"/>
    <w:basedOn w:val="1029"/>
    <w:next w:val="1029"/>
    <w:qFormat/>
    <w:pPr>
      <w:numPr>
        <w:ilvl w:val="4"/>
        <w:numId w:val="3"/>
      </w:numPr>
      <w:ind w:left="1080" w:hanging="1080"/>
      <w:keepNext/>
      <w:spacing w:before="60"/>
      <w:tabs>
        <w:tab w:val="clear" w:pos="1008" w:leader="none"/>
        <w:tab w:val="num" w:pos="1080" w:leader="none"/>
      </w:tabs>
      <w:outlineLvl w:val="4"/>
    </w:pPr>
    <w:rPr>
      <w:b/>
      <w:sz w:val="26"/>
    </w:rPr>
  </w:style>
  <w:style w:type="paragraph" w:styleId="1035">
    <w:name w:val="Heading 6"/>
    <w:basedOn w:val="1029"/>
    <w:next w:val="1029"/>
    <w:qFormat/>
    <w:pPr>
      <w:numPr>
        <w:ilvl w:val="5"/>
        <w:numId w:val="3"/>
      </w:numPr>
      <w:ind w:left="1080" w:hanging="1080"/>
      <w:spacing w:before="240" w:after="60"/>
      <w:widowControl w:val="off"/>
      <w:tabs>
        <w:tab w:val="num" w:pos="1080" w:leader="none"/>
        <w:tab w:val="clear" w:pos="1152" w:leader="none"/>
      </w:tabs>
      <w:outlineLvl w:val="5"/>
    </w:pPr>
    <w:rPr>
      <w:b/>
      <w:sz w:val="22"/>
    </w:rPr>
  </w:style>
  <w:style w:type="paragraph" w:styleId="1036">
    <w:name w:val="Heading 7"/>
    <w:basedOn w:val="1029"/>
    <w:next w:val="1029"/>
    <w:qFormat/>
    <w:pPr>
      <w:numPr>
        <w:ilvl w:val="6"/>
        <w:numId w:val="3"/>
      </w:numPr>
      <w:ind w:left="1440" w:hanging="1440"/>
      <w:spacing w:before="240" w:after="60"/>
      <w:widowControl w:val="off"/>
      <w:tabs>
        <w:tab w:val="clear" w:pos="1296" w:leader="none"/>
        <w:tab w:val="num" w:pos="1440" w:leader="none"/>
      </w:tabs>
      <w:outlineLvl w:val="6"/>
    </w:pPr>
    <w:rPr>
      <w:sz w:val="26"/>
    </w:rPr>
  </w:style>
  <w:style w:type="paragraph" w:styleId="1037">
    <w:name w:val="Heading 8"/>
    <w:basedOn w:val="1029"/>
    <w:next w:val="1029"/>
    <w:qFormat/>
    <w:pPr>
      <w:numPr>
        <w:ilvl w:val="7"/>
        <w:numId w:val="3"/>
      </w:numPr>
      <w:spacing w:before="240" w:after="60"/>
      <w:widowControl w:val="off"/>
      <w:outlineLvl w:val="7"/>
    </w:pPr>
    <w:rPr>
      <w:i/>
      <w:sz w:val="26"/>
    </w:rPr>
  </w:style>
  <w:style w:type="paragraph" w:styleId="1038">
    <w:name w:val="Heading 9"/>
    <w:basedOn w:val="1029"/>
    <w:next w:val="1029"/>
    <w:qFormat/>
    <w:pPr>
      <w:numPr>
        <w:ilvl w:val="8"/>
        <w:numId w:val="3"/>
      </w:numPr>
      <w:ind w:left="1800" w:hanging="1800"/>
      <w:spacing w:before="240" w:after="60"/>
      <w:widowControl w:val="off"/>
      <w:tabs>
        <w:tab w:val="clear" w:pos="1584" w:leader="none"/>
        <w:tab w:val="num" w:pos="1800" w:leader="none"/>
      </w:tabs>
      <w:outlineLvl w:val="8"/>
    </w:pPr>
    <w:rPr>
      <w:rFonts w:ascii="Arial" w:hAnsi="Arial"/>
      <w:sz w:val="22"/>
    </w:rPr>
  </w:style>
  <w:style w:type="character" w:styleId="1039" w:default="1">
    <w:name w:val="Default Paragraph Font"/>
    <w:uiPriority w:val="1"/>
    <w:semiHidden/>
    <w:unhideWhenUsed/>
  </w:style>
  <w:style w:type="table" w:styleId="10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1" w:default="1">
    <w:name w:val="No List"/>
    <w:uiPriority w:val="99"/>
    <w:semiHidden/>
    <w:unhideWhenUsed/>
  </w:style>
  <w:style w:type="paragraph" w:styleId="1042">
    <w:name w:val="Header"/>
    <w:basedOn w:val="1029"/>
    <w:link w:val="1086"/>
    <w:uiPriority w:val="99"/>
    <w:pPr>
      <w:ind w:firstLine="0"/>
      <w:jc w:val="center"/>
      <w:spacing w:line="240" w:lineRule="auto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paragraph" w:styleId="1043">
    <w:name w:val="Footer"/>
    <w:basedOn w:val="1029"/>
    <w:pPr>
      <w:ind w:firstLine="0"/>
      <w:spacing w:line="240" w:lineRule="auto"/>
      <w:tabs>
        <w:tab w:val="center" w:pos="4253" w:leader="none"/>
        <w:tab w:val="right" w:pos="9356" w:leader="none"/>
      </w:tabs>
    </w:pPr>
    <w:rPr>
      <w:sz w:val="20"/>
    </w:rPr>
  </w:style>
  <w:style w:type="character" w:styleId="1044">
    <w:name w:val="Hyperlink"/>
    <w:rPr>
      <w:color w:val="0000ff"/>
      <w:u w:val="single"/>
    </w:rPr>
  </w:style>
  <w:style w:type="character" w:styleId="1045">
    <w:name w:val="footnote reference"/>
    <w:semiHidden/>
    <w:rPr>
      <w:vertAlign w:val="superscript"/>
    </w:rPr>
  </w:style>
  <w:style w:type="character" w:styleId="1046">
    <w:name w:val="page number"/>
    <w:rPr>
      <w:rFonts w:ascii="Times New Roman" w:hAnsi="Times New Roman"/>
      <w:sz w:val="20"/>
    </w:rPr>
  </w:style>
  <w:style w:type="paragraph" w:styleId="1047">
    <w:name w:val="toc 1"/>
    <w:basedOn w:val="1029"/>
    <w:next w:val="1029"/>
    <w:semiHidden/>
    <w:pPr>
      <w:ind w:left="539" w:right="1134" w:hanging="539"/>
      <w:jc w:val="left"/>
      <w:spacing w:before="240" w:after="120" w:line="240" w:lineRule="auto"/>
      <w:tabs>
        <w:tab w:val="left" w:pos="540" w:leader="none"/>
        <w:tab w:val="right" w:pos="10195" w:leader="dot"/>
      </w:tabs>
    </w:pPr>
    <w:rPr>
      <w:b/>
      <w:bCs/>
      <w:caps/>
      <w:szCs w:val="28"/>
    </w:rPr>
  </w:style>
  <w:style w:type="paragraph" w:styleId="1048">
    <w:name w:val="toc 2"/>
    <w:basedOn w:val="1029"/>
    <w:next w:val="1029"/>
    <w:semiHidden/>
    <w:pPr>
      <w:ind w:left="1134" w:right="1134" w:hanging="594"/>
      <w:jc w:val="left"/>
      <w:spacing w:before="120" w:after="120" w:line="240" w:lineRule="auto"/>
      <w:tabs>
        <w:tab w:val="left" w:pos="1080" w:leader="none"/>
        <w:tab w:val="right" w:pos="10195" w:leader="dot"/>
      </w:tabs>
    </w:pPr>
    <w:rPr>
      <w:b/>
      <w:sz w:val="24"/>
      <w:szCs w:val="24"/>
    </w:rPr>
  </w:style>
  <w:style w:type="paragraph" w:styleId="1049">
    <w:name w:val="toc 3"/>
    <w:basedOn w:val="1029"/>
    <w:next w:val="1029"/>
    <w:semiHidden/>
    <w:pPr>
      <w:ind w:left="1979" w:right="1134" w:hanging="902"/>
      <w:jc w:val="left"/>
      <w:spacing w:after="120" w:line="240" w:lineRule="auto"/>
      <w:tabs>
        <w:tab w:val="left" w:pos="1980" w:leader="none"/>
        <w:tab w:val="right" w:pos="10195" w:leader="dot"/>
      </w:tabs>
    </w:pPr>
    <w:rPr>
      <w:iCs/>
      <w:sz w:val="24"/>
      <w:szCs w:val="24"/>
    </w:rPr>
  </w:style>
  <w:style w:type="paragraph" w:styleId="1050">
    <w:name w:val="toc 4"/>
    <w:basedOn w:val="1029"/>
    <w:next w:val="1029"/>
    <w:semiHidden/>
    <w:pPr>
      <w:ind w:left="2268" w:right="1134" w:hanging="567"/>
      <w:jc w:val="left"/>
      <w:spacing w:after="60" w:line="240" w:lineRule="auto"/>
      <w:tabs>
        <w:tab w:val="left" w:pos="2268" w:leader="none"/>
        <w:tab w:val="right" w:pos="10195" w:leader="dot"/>
      </w:tabs>
    </w:pPr>
    <w:rPr>
      <w:sz w:val="24"/>
      <w:szCs w:val="24"/>
    </w:rPr>
  </w:style>
  <w:style w:type="character" w:styleId="1051">
    <w:name w:val="FollowedHyperlink"/>
    <w:rPr>
      <w:color w:val="800080"/>
      <w:u w:val="single"/>
    </w:rPr>
  </w:style>
  <w:style w:type="paragraph" w:styleId="1052">
    <w:name w:val="Document Map"/>
    <w:basedOn w:val="1029"/>
    <w:semiHidden/>
    <w:pPr>
      <w:shd w:val="clear" w:color="auto" w:fill="000080"/>
    </w:pPr>
    <w:rPr>
      <w:rFonts w:ascii="Tahoma" w:hAnsi="Tahoma"/>
      <w:sz w:val="20"/>
    </w:rPr>
  </w:style>
  <w:style w:type="paragraph" w:styleId="1053" w:customStyle="1">
    <w:name w:val="Таблица шапка"/>
    <w:basedOn w:val="1029"/>
    <w:pPr>
      <w:ind w:left="57" w:right="57" w:firstLine="0"/>
      <w:jc w:val="left"/>
      <w:keepNext/>
      <w:spacing w:before="40" w:after="40" w:line="240" w:lineRule="auto"/>
    </w:pPr>
    <w:rPr>
      <w:sz w:val="22"/>
    </w:rPr>
  </w:style>
  <w:style w:type="paragraph" w:styleId="1054">
    <w:name w:val="footnote text"/>
    <w:basedOn w:val="1029"/>
    <w:semiHidden/>
    <w:pPr>
      <w:spacing w:line="240" w:lineRule="auto"/>
    </w:pPr>
    <w:rPr>
      <w:sz w:val="20"/>
    </w:rPr>
  </w:style>
  <w:style w:type="paragraph" w:styleId="1055" w:customStyle="1">
    <w:name w:val="Таблица текст"/>
    <w:basedOn w:val="1029"/>
    <w:pPr>
      <w:ind w:left="57" w:right="57" w:firstLine="0"/>
      <w:jc w:val="left"/>
      <w:spacing w:before="40" w:after="40" w:line="240" w:lineRule="auto"/>
    </w:pPr>
    <w:rPr>
      <w:sz w:val="24"/>
    </w:rPr>
  </w:style>
  <w:style w:type="paragraph" w:styleId="1056">
    <w:name w:val="Caption"/>
    <w:basedOn w:val="1029"/>
    <w:next w:val="1029"/>
    <w:link w:val="897"/>
    <w:qFormat/>
    <w:pPr>
      <w:ind w:firstLine="0"/>
      <w:pageBreakBefore/>
      <w:spacing w:before="120" w:after="120" w:line="240" w:lineRule="auto"/>
    </w:pPr>
    <w:rPr>
      <w:bCs/>
      <w:i/>
      <w:sz w:val="24"/>
    </w:rPr>
  </w:style>
  <w:style w:type="paragraph" w:styleId="1057">
    <w:name w:val="toc 5"/>
    <w:basedOn w:val="1029"/>
    <w:next w:val="1029"/>
    <w:semiHidden/>
    <w:pPr>
      <w:ind w:left="1120"/>
      <w:jc w:val="left"/>
    </w:pPr>
    <w:rPr>
      <w:sz w:val="18"/>
      <w:szCs w:val="18"/>
    </w:rPr>
  </w:style>
  <w:style w:type="paragraph" w:styleId="1058">
    <w:name w:val="toc 6"/>
    <w:basedOn w:val="1029"/>
    <w:next w:val="1029"/>
    <w:semiHidden/>
    <w:pPr>
      <w:ind w:left="1400"/>
      <w:jc w:val="left"/>
    </w:pPr>
    <w:rPr>
      <w:sz w:val="18"/>
      <w:szCs w:val="18"/>
    </w:rPr>
  </w:style>
  <w:style w:type="paragraph" w:styleId="1059">
    <w:name w:val="toc 7"/>
    <w:basedOn w:val="1029"/>
    <w:next w:val="1029"/>
    <w:semiHidden/>
    <w:pPr>
      <w:ind w:left="1680"/>
      <w:jc w:val="left"/>
    </w:pPr>
    <w:rPr>
      <w:sz w:val="18"/>
      <w:szCs w:val="18"/>
    </w:rPr>
  </w:style>
  <w:style w:type="paragraph" w:styleId="1060">
    <w:name w:val="toc 8"/>
    <w:basedOn w:val="1029"/>
    <w:next w:val="1029"/>
    <w:semiHidden/>
    <w:pPr>
      <w:ind w:left="1960"/>
      <w:jc w:val="left"/>
    </w:pPr>
    <w:rPr>
      <w:sz w:val="18"/>
      <w:szCs w:val="18"/>
    </w:rPr>
  </w:style>
  <w:style w:type="paragraph" w:styleId="1061">
    <w:name w:val="toc 9"/>
    <w:basedOn w:val="1029"/>
    <w:next w:val="1029"/>
    <w:semiHidden/>
    <w:pPr>
      <w:ind w:left="2240"/>
      <w:jc w:val="left"/>
    </w:pPr>
    <w:rPr>
      <w:sz w:val="18"/>
      <w:szCs w:val="18"/>
    </w:rPr>
  </w:style>
  <w:style w:type="paragraph" w:styleId="1062" w:customStyle="1">
    <w:name w:val="Служебный"/>
    <w:basedOn w:val="1063"/>
  </w:style>
  <w:style w:type="paragraph" w:styleId="1063" w:customStyle="1">
    <w:name w:val="Главы"/>
    <w:basedOn w:val="1064"/>
    <w:next w:val="1029"/>
    <w:pPr>
      <w:ind w:right="0"/>
      <w:jc w:val="center"/>
      <w:spacing w:before="1440" w:after="720" w:line="360" w:lineRule="auto"/>
      <w:pBdr>
        <w:bottom w:val="none" w:color="000000" w:sz="0" w:space="0"/>
      </w:pBdr>
    </w:pPr>
    <w:rPr>
      <w:spacing w:val="40"/>
      <w:sz w:val="44"/>
      <w:szCs w:val="44"/>
    </w:rPr>
  </w:style>
  <w:style w:type="paragraph" w:styleId="1064" w:customStyle="1">
    <w:name w:val="Структура"/>
    <w:basedOn w:val="1029"/>
    <w:pPr>
      <w:ind w:right="2835" w:firstLine="0"/>
      <w:jc w:val="left"/>
      <w:pageBreakBefore/>
      <w:spacing w:before="480" w:after="240" w:line="240" w:lineRule="auto"/>
      <w:tabs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065" w:customStyle="1">
    <w:name w:val="маркированный"/>
    <w:basedOn w:val="1029"/>
    <w:semiHidden/>
    <w:pPr>
      <w:ind w:firstLine="0"/>
    </w:pPr>
  </w:style>
  <w:style w:type="paragraph" w:styleId="1066" w:customStyle="1">
    <w:name w:val="Пункт"/>
    <w:basedOn w:val="1029"/>
    <w:pPr>
      <w:numPr>
        <w:ilvl w:val="2"/>
        <w:numId w:val="4"/>
      </w:numPr>
    </w:pPr>
  </w:style>
  <w:style w:type="character" w:styleId="1067" w:customStyle="1">
    <w:name w:val="Пункт Знак"/>
    <w:rPr>
      <w:sz w:val="28"/>
      <w:lang w:val="ru-RU" w:eastAsia="ru-RU" w:bidi="ar-SA"/>
    </w:rPr>
  </w:style>
  <w:style w:type="paragraph" w:styleId="1068" w:customStyle="1">
    <w:name w:val="Подпункт"/>
    <w:basedOn w:val="1029"/>
    <w:pPr>
      <w:numPr>
        <w:ilvl w:val="3"/>
        <w:numId w:val="4"/>
      </w:numPr>
    </w:pPr>
  </w:style>
  <w:style w:type="character" w:styleId="1069" w:customStyle="1">
    <w:name w:val="комментарий"/>
    <w:rPr>
      <w:b/>
      <w:i/>
      <w:shd w:val="clear" w:color="auto" w:fill="ffff99"/>
    </w:rPr>
  </w:style>
  <w:style w:type="paragraph" w:styleId="1070" w:customStyle="1">
    <w:name w:val="Пункт-2"/>
    <w:basedOn w:val="1066"/>
    <w:pPr>
      <w:keepNext/>
      <w:outlineLvl w:val="2"/>
    </w:pPr>
    <w:rPr>
      <w:b/>
    </w:rPr>
  </w:style>
  <w:style w:type="paragraph" w:styleId="1071" w:customStyle="1">
    <w:name w:val="Подподпункт"/>
    <w:basedOn w:val="1029"/>
    <w:pPr>
      <w:ind w:left="1701" w:hanging="567"/>
      <w:tabs>
        <w:tab w:val="num" w:pos="1701" w:leader="none"/>
      </w:tabs>
    </w:pPr>
  </w:style>
  <w:style w:type="paragraph" w:styleId="1072">
    <w:name w:val="List Number"/>
    <w:basedOn w:val="1029"/>
    <w:pPr>
      <w:ind w:firstLine="0"/>
      <w:spacing w:before="60"/>
    </w:pPr>
    <w:rPr>
      <w:szCs w:val="24"/>
    </w:rPr>
  </w:style>
  <w:style w:type="paragraph" w:styleId="1073" w:customStyle="1">
    <w:name w:val="Текст таблицы"/>
    <w:basedOn w:val="1029"/>
    <w:semiHidden/>
    <w:pPr>
      <w:ind w:left="57" w:right="57" w:firstLine="0"/>
      <w:jc w:val="left"/>
      <w:spacing w:before="40" w:after="40" w:line="240" w:lineRule="auto"/>
    </w:pPr>
    <w:rPr>
      <w:sz w:val="24"/>
      <w:szCs w:val="24"/>
    </w:rPr>
  </w:style>
  <w:style w:type="paragraph" w:styleId="1074" w:customStyle="1">
    <w:name w:val="Пункт б/н"/>
    <w:basedOn w:val="1029"/>
    <w:pPr>
      <w:tabs>
        <w:tab w:val="left" w:pos="1134" w:leader="none"/>
      </w:tabs>
    </w:pPr>
  </w:style>
  <w:style w:type="paragraph" w:styleId="1075">
    <w:name w:val="List Bullet"/>
    <w:basedOn w:val="1029"/>
    <w:pPr>
      <w:ind w:firstLine="0"/>
    </w:pPr>
  </w:style>
  <w:style w:type="paragraph" w:styleId="1076">
    <w:name w:val="Body Text"/>
    <w:basedOn w:val="1029"/>
    <w:pPr>
      <w:ind w:firstLine="0"/>
      <w:jc w:val="left"/>
      <w:spacing w:line="240" w:lineRule="auto"/>
      <w:tabs>
        <w:tab w:val="right" w:pos="9360" w:leader="none"/>
      </w:tabs>
    </w:pPr>
    <w:rPr>
      <w:szCs w:val="24"/>
    </w:rPr>
  </w:style>
  <w:style w:type="paragraph" w:styleId="1077">
    <w:name w:val="Balloon Text"/>
    <w:basedOn w:val="1029"/>
    <w:semiHidden/>
    <w:rPr>
      <w:rFonts w:ascii="Tahoma" w:hAnsi="Tahoma" w:cs="Tahoma"/>
      <w:sz w:val="16"/>
      <w:szCs w:val="16"/>
    </w:rPr>
  </w:style>
  <w:style w:type="paragraph" w:styleId="1078">
    <w:name w:val="annotation text"/>
    <w:basedOn w:val="1029"/>
    <w:semiHidden/>
    <w:rPr>
      <w:sz w:val="20"/>
    </w:rPr>
  </w:style>
  <w:style w:type="paragraph" w:styleId="1079">
    <w:name w:val="annotation subject"/>
    <w:basedOn w:val="1078"/>
    <w:next w:val="1078"/>
    <w:semiHidden/>
    <w:rPr>
      <w:b/>
      <w:bCs/>
    </w:rPr>
  </w:style>
  <w:style w:type="paragraph" w:styleId="1080" w:customStyle="1">
    <w:name w:val="Знак"/>
    <w:basedOn w:val="1029"/>
    <w:pPr>
      <w:ind w:left="432" w:hanging="432"/>
      <w:spacing w:before="120" w:after="160" w:line="240" w:lineRule="auto"/>
      <w:tabs>
        <w:tab w:val="num" w:pos="432" w:leader="none"/>
      </w:tabs>
    </w:pPr>
    <w:rPr>
      <w:b/>
      <w:caps/>
      <w:sz w:val="32"/>
      <w:szCs w:val="32"/>
      <w:lang w:val="en-US" w:eastAsia="en-US"/>
    </w:rPr>
  </w:style>
  <w:style w:type="paragraph" w:styleId="1081">
    <w:name w:val="Title"/>
    <w:basedOn w:val="1029"/>
    <w:link w:val="1082"/>
    <w:qFormat/>
    <w:pPr>
      <w:ind w:firstLine="0"/>
      <w:jc w:val="center"/>
      <w:spacing w:line="240" w:lineRule="auto"/>
    </w:pPr>
    <w:rPr>
      <w:i/>
      <w:iCs/>
      <w:sz w:val="24"/>
      <w:szCs w:val="24"/>
    </w:rPr>
  </w:style>
  <w:style w:type="character" w:styleId="1082" w:customStyle="1">
    <w:name w:val="Заголовок Знак"/>
    <w:link w:val="1081"/>
    <w:rPr>
      <w:i/>
      <w:iCs/>
      <w:sz w:val="24"/>
      <w:szCs w:val="24"/>
    </w:rPr>
  </w:style>
  <w:style w:type="character" w:styleId="1083" w:customStyle="1">
    <w:name w:val="Font Style128"/>
    <w:rPr>
      <w:rFonts w:ascii="Times New Roman" w:hAnsi="Times New Roman" w:cs="Times New Roman"/>
      <w:color w:val="000000"/>
      <w:sz w:val="26"/>
      <w:szCs w:val="26"/>
    </w:rPr>
  </w:style>
  <w:style w:type="table" w:styleId="1084">
    <w:name w:val="Table Grid"/>
    <w:basedOn w:val="104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85">
    <w:name w:val="List Paragraph"/>
    <w:basedOn w:val="1029"/>
    <w:link w:val="1090"/>
    <w:uiPriority w:val="34"/>
    <w:qFormat/>
    <w:pPr>
      <w:contextualSpacing/>
      <w:ind w:left="720" w:firstLine="0"/>
      <w:jc w:val="left"/>
      <w:spacing w:line="240" w:lineRule="auto"/>
      <w:widowControl w:val="off"/>
    </w:pPr>
    <w:rPr>
      <w:sz w:val="24"/>
      <w:szCs w:val="24"/>
    </w:rPr>
  </w:style>
  <w:style w:type="character" w:styleId="1086" w:customStyle="1">
    <w:name w:val="Верхний колонтитул Знак"/>
    <w:link w:val="1042"/>
    <w:uiPriority w:val="99"/>
    <w:rPr>
      <w:i/>
    </w:rPr>
  </w:style>
  <w:style w:type="paragraph" w:styleId="1087" w:customStyle="1">
    <w:name w:val="Style12"/>
    <w:basedOn w:val="1029"/>
    <w:pPr>
      <w:ind w:firstLine="691"/>
      <w:spacing w:line="317" w:lineRule="exact"/>
      <w:widowControl w:val="off"/>
    </w:pPr>
    <w:rPr>
      <w:sz w:val="24"/>
      <w:szCs w:val="24"/>
    </w:rPr>
  </w:style>
  <w:style w:type="character" w:styleId="1088" w:customStyle="1">
    <w:name w:val="Font Style131"/>
    <w:rPr>
      <w:rFonts w:ascii="Times New Roman" w:hAnsi="Times New Roman" w:cs="Times New Roman"/>
      <w:i/>
      <w:iCs/>
      <w:color w:val="000000"/>
      <w:sz w:val="26"/>
      <w:szCs w:val="26"/>
    </w:rPr>
  </w:style>
  <w:style w:type="paragraph" w:styleId="1089" w:customStyle="1">
    <w:name w:val="a1"/>
    <w:basedOn w:val="1029"/>
    <w:pPr>
      <w:spacing w:line="240" w:lineRule="auto"/>
    </w:pPr>
    <w:rPr>
      <w:rFonts w:eastAsia="Calibri"/>
      <w:szCs w:val="28"/>
    </w:rPr>
  </w:style>
  <w:style w:type="character" w:styleId="1090" w:customStyle="1">
    <w:name w:val="Абзац списка Знак"/>
    <w:link w:val="1085"/>
    <w:uiPriority w:val="34"/>
    <w:qFormat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interrao-zakupki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736DA-EE50-4D44-A3A4-F30772B0E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ООО "ИНТЕР РАО ЕЭС ФИНАНС"</Company>
  <DocSecurity>0</DocSecurity>
  <HyperlinksChanged>false</HyperlinksChanged>
  <LinksUpToDate>false</LinksUpToDate>
  <Manager>ОАО РАО "ЕЭС России"</Manager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DVORETSKAYA Ekaterina S.</dc:creator>
  <cp:lastModifiedBy>kozmenkov_aa</cp:lastModifiedBy>
  <cp:revision>57</cp:revision>
  <dcterms:created xsi:type="dcterms:W3CDTF">2015-06-03T11:24:00Z</dcterms:created>
  <dcterms:modified xsi:type="dcterms:W3CDTF">2026-10-02T09:25:36Z</dcterms:modified>
</cp:coreProperties>
</file>