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0"/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2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 договору № _</w:t>
      </w:r>
      <w:r>
        <w:rPr>
          <w:bCs/>
          <w:sz w:val="24"/>
          <w:szCs w:val="24"/>
        </w:rPr>
        <w:t xml:space="preserve">________ от «___» _________</w:t>
      </w:r>
      <w:r>
        <w:rPr>
          <w:bCs/>
          <w:sz w:val="24"/>
          <w:szCs w:val="24"/>
        </w:rPr>
        <w:t xml:space="preserve"> г.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890"/>
        <w:ind w:firstLine="567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89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СУБЛИЦЕНЗИОННЫЙ ДОГОВОР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передачу неисключительных прав на использование программ для ЭВМ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890"/>
        <w:ind w:firstLine="567"/>
        <w:jc w:val="both"/>
        <w:tabs>
          <w:tab w:val="left" w:pos="144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ind w:firstLine="567"/>
        <w:jc w:val="both"/>
        <w:tabs>
          <w:tab w:val="left" w:pos="144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ind w:firstLine="720"/>
        <w:jc w:val="both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 xml:space="preserve">Общество с ограниченной ответственностью «Газпром трансгаз Москва» (ООО</w:t>
      </w:r>
      <w:r>
        <w:rPr>
          <w:sz w:val="24"/>
          <w:szCs w:val="24"/>
          <w:shd w:val="clear" w:color="auto" w:fill="ffffff"/>
        </w:rPr>
        <w:t xml:space="preserve"> </w:t>
      </w:r>
      <w:r>
        <w:rPr>
          <w:sz w:val="24"/>
          <w:szCs w:val="24"/>
          <w:shd w:val="clear" w:color="auto" w:fill="ffffff"/>
        </w:rPr>
        <w:t xml:space="preserve">«Газпром трансгаз Москва»), именуемое в дальнейшем «</w:t>
      </w:r>
      <w:r>
        <w:rPr>
          <w:sz w:val="24"/>
          <w:szCs w:val="24"/>
          <w:shd w:val="clear" w:color="auto" w:fill="ffffff"/>
        </w:rPr>
        <w:t xml:space="preserve">Сублицензиат</w:t>
      </w:r>
      <w:r>
        <w:rPr>
          <w:sz w:val="24"/>
          <w:szCs w:val="24"/>
          <w:shd w:val="clear" w:color="auto" w:fill="ffffff"/>
        </w:rPr>
        <w:t xml:space="preserve">», в лице </w:t>
      </w:r>
      <w:r>
        <w:rPr>
          <w:sz w:val="24"/>
          <w:szCs w:val="24"/>
          <w:shd w:val="clear" w:color="auto" w:fill="ffffff"/>
        </w:rPr>
        <w:t xml:space="preserve">__________________________________</w:t>
      </w:r>
      <w:r>
        <w:rPr>
          <w:sz w:val="24"/>
          <w:szCs w:val="24"/>
          <w:shd w:val="clear" w:color="auto" w:fill="ffffff"/>
        </w:rPr>
        <w:t xml:space="preserve">, действующего на основании </w:t>
      </w:r>
      <w:r>
        <w:rPr>
          <w:sz w:val="24"/>
          <w:szCs w:val="24"/>
          <w:shd w:val="clear" w:color="auto" w:fill="ffffff"/>
        </w:rPr>
        <w:t xml:space="preserve">_____________________</w:t>
      </w:r>
      <w:r>
        <w:rPr>
          <w:sz w:val="24"/>
          <w:szCs w:val="24"/>
          <w:shd w:val="clear" w:color="auto" w:fill="ffffff"/>
        </w:rPr>
        <w:t xml:space="preserve">,</w:t>
      </w:r>
      <w:r>
        <w:rPr>
          <w:sz w:val="24"/>
          <w:szCs w:val="24"/>
          <w:shd w:val="clear" w:color="auto" w:fill="ffffff"/>
        </w:rPr>
        <w:t xml:space="preserve"> с одной стороны, и </w:t>
      </w:r>
      <w:r>
        <w:rPr>
          <w:sz w:val="24"/>
          <w:szCs w:val="24"/>
          <w:shd w:val="clear" w:color="auto" w:fill="ffffff"/>
        </w:rPr>
        <w:t xml:space="preserve">_________________________________________</w:t>
      </w:r>
      <w:r>
        <w:rPr>
          <w:sz w:val="24"/>
          <w:szCs w:val="24"/>
          <w:shd w:val="clear" w:color="auto" w:fill="ffffff"/>
        </w:rPr>
        <w:t xml:space="preserve">, именуемое в дальнейшем «</w:t>
      </w:r>
      <w:r>
        <w:rPr>
          <w:sz w:val="24"/>
          <w:szCs w:val="24"/>
          <w:shd w:val="clear" w:color="auto" w:fill="ffffff"/>
        </w:rPr>
        <w:t xml:space="preserve">Лицензиат</w:t>
      </w:r>
      <w:r>
        <w:rPr>
          <w:sz w:val="24"/>
          <w:szCs w:val="24"/>
          <w:shd w:val="clear" w:color="auto" w:fill="ffffff"/>
        </w:rPr>
        <w:t xml:space="preserve">», в лице </w:t>
      </w:r>
      <w:r>
        <w:rPr>
          <w:sz w:val="24"/>
          <w:szCs w:val="24"/>
          <w:shd w:val="clear" w:color="auto" w:fill="ffffff"/>
        </w:rPr>
        <w:t xml:space="preserve">_______________________________________________</w:t>
      </w:r>
      <w:r>
        <w:rPr>
          <w:sz w:val="24"/>
          <w:szCs w:val="24"/>
          <w:shd w:val="clear" w:color="auto" w:fill="ffffff"/>
        </w:rPr>
        <w:t xml:space="preserve">, действующего на основании </w:t>
      </w:r>
      <w:r>
        <w:rPr>
          <w:sz w:val="24"/>
          <w:szCs w:val="24"/>
          <w:shd w:val="clear" w:color="auto" w:fill="ffffff"/>
        </w:rPr>
        <w:t xml:space="preserve">________________________</w:t>
      </w:r>
      <w:r>
        <w:rPr>
          <w:sz w:val="24"/>
          <w:szCs w:val="24"/>
          <w:shd w:val="clear" w:color="auto" w:fill="ffffff"/>
        </w:rPr>
        <w:t xml:space="preserve">,</w:t>
      </w:r>
      <w:r>
        <w:rPr>
          <w:sz w:val="24"/>
          <w:szCs w:val="24"/>
          <w:shd w:val="clear" w:color="auto" w:fill="ffffff"/>
        </w:rPr>
        <w:t xml:space="preserve"> с другой стороны, именуемые совместно «Стороны», </w:t>
      </w:r>
      <w:r>
        <w:rPr>
          <w:sz w:val="24"/>
          <w:szCs w:val="24"/>
        </w:rPr>
        <w:t xml:space="preserve">заключили настоящий Сублицензионный договор о нижеследующем.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numPr>
          <w:ilvl w:val="0"/>
          <w:numId w:val="27"/>
        </w:num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Термины и определения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0"/>
        <w:numPr>
          <w:ilvl w:val="1"/>
          <w:numId w:val="27"/>
        </w:numPr>
        <w:ind w:left="0" w:firstLine="0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Основной договор</w:t>
      </w:r>
      <w:r>
        <w:rPr>
          <w:sz w:val="24"/>
          <w:szCs w:val="24"/>
        </w:rPr>
        <w:t xml:space="preserve"> - договор </w:t>
      </w:r>
      <w:r>
        <w:rPr>
          <w:sz w:val="24"/>
          <w:szCs w:val="24"/>
        </w:rPr>
        <w:t xml:space="preserve">на о</w:t>
      </w:r>
      <w:r>
        <w:rPr>
          <w:sz w:val="24"/>
          <w:szCs w:val="24"/>
        </w:rPr>
        <w:t xml:space="preserve">казание </w:t>
      </w:r>
      <w:r>
        <w:rPr>
          <w:sz w:val="24"/>
          <w:szCs w:val="24"/>
        </w:rPr>
        <w:t xml:space="preserve">комплекса </w:t>
      </w:r>
      <w:r>
        <w:rPr>
          <w:sz w:val="24"/>
          <w:szCs w:val="24"/>
        </w:rPr>
        <w:t xml:space="preserve">услуг по созданию информационной системы электронного документооборота и автоматизации делопроизводства. Очередь 2</w:t>
      </w:r>
      <w:r>
        <w:rPr>
          <w:sz w:val="24"/>
          <w:szCs w:val="24"/>
        </w:rPr>
        <w:t xml:space="preserve">, заключенный между Лицензиатом и Сублицензиатом.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numPr>
          <w:ilvl w:val="1"/>
          <w:numId w:val="27"/>
        </w:numPr>
        <w:ind w:left="0" w:firstLine="0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ПО</w:t>
      </w:r>
      <w:r>
        <w:rPr>
          <w:sz w:val="24"/>
          <w:szCs w:val="24"/>
        </w:rPr>
        <w:t xml:space="preserve"> − </w:t>
      </w:r>
      <w:r>
        <w:rPr>
          <w:sz w:val="24"/>
          <w:szCs w:val="24"/>
        </w:rPr>
        <w:t xml:space="preserve">программы для ЭВМ, необходимые для реализации </w:t>
      </w:r>
      <w:r>
        <w:rPr>
          <w:sz w:val="24"/>
          <w:szCs w:val="24"/>
        </w:rPr>
        <w:t xml:space="preserve">создания информационной системы электронного документооборота и автоматизации делопроизводства. Очередь 2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Точное наименование программ устанавливается в Спецификации, являющейся неотъемлемой частью </w:t>
      </w:r>
      <w:r>
        <w:rPr>
          <w:sz w:val="24"/>
          <w:szCs w:val="24"/>
        </w:rPr>
        <w:t xml:space="preserve">Основного </w:t>
      </w:r>
      <w:r>
        <w:rPr>
          <w:sz w:val="24"/>
          <w:szCs w:val="24"/>
        </w:rPr>
        <w:t xml:space="preserve">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Предмет Сублицензионного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Предметом настоящего Сублицензионного договора является возмездная передача Лицензиатом </w:t>
      </w:r>
      <w:r>
        <w:rPr>
          <w:sz w:val="24"/>
          <w:szCs w:val="24"/>
        </w:rPr>
        <w:t xml:space="preserve">на условиях простой (неисключительной) лицензии прав на использование 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Сублицензиату. Сублицензиат не имеет права передавать третьим лицам права, принадлежащие ему на основании настоящего Сублицензионного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Исключительные права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является результатом интеллектуальной деятельности Правообладателей и защищается законодательством Российской Федерации об авторском праве.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Право использования 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предоставляется только Сублицензиату.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Использование 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иными лицами является нарушением исключительных прав Правообладателя и преследуется по закону.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3.4. </w:t>
      </w:r>
      <w:r>
        <w:rPr>
          <w:sz w:val="24"/>
          <w:szCs w:val="24"/>
        </w:rPr>
        <w:t xml:space="preserve">В качестве подтверждения правомерности передачи прав по настоящему </w:t>
      </w:r>
      <w:r>
        <w:rPr>
          <w:sz w:val="24"/>
          <w:szCs w:val="24"/>
        </w:rPr>
        <w:t xml:space="preserve">Сублицензионн</w:t>
      </w:r>
      <w:r>
        <w:rPr>
          <w:sz w:val="24"/>
          <w:szCs w:val="24"/>
        </w:rPr>
        <w:t xml:space="preserve">ому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оговор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 Лицензиат </w:t>
      </w:r>
      <w:r>
        <w:rPr>
          <w:sz w:val="24"/>
          <w:szCs w:val="24"/>
          <w:highlight w:val="none"/>
        </w:rPr>
        <w:t xml:space="preserve">в момент заключения Основного договора </w:t>
      </w:r>
      <w:r/>
      <w:r>
        <w:rPr>
          <w:sz w:val="24"/>
          <w:szCs w:val="24"/>
        </w:rPr>
        <w:t xml:space="preserve">обязуется передать Сублицензиату</w:t>
      </w:r>
      <w:r>
        <w:rPr>
          <w:sz w:val="24"/>
          <w:szCs w:val="24"/>
        </w:rPr>
        <w:t xml:space="preserve"> лицензионные договоры</w:t>
      </w:r>
      <w:r>
        <w:rPr>
          <w:sz w:val="24"/>
          <w:szCs w:val="24"/>
        </w:rPr>
        <w:t xml:space="preserve">, подтверждающие </w:t>
      </w:r>
      <w:r>
        <w:rPr>
          <w:sz w:val="24"/>
          <w:szCs w:val="24"/>
          <w:highlight w:val="none"/>
        </w:rPr>
        <w:t xml:space="preserve">права Лицензиата на передачу неисключительных прав.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Условия использо</w:t>
      </w:r>
      <w:r>
        <w:rPr>
          <w:b/>
          <w:bCs/>
          <w:sz w:val="24"/>
          <w:szCs w:val="24"/>
        </w:rPr>
        <w:t xml:space="preserve">вания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Сублицензиат имеет право использовать 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в соответствии с объемом и типом приобретенных Лицензий, назначением и правилами пользования, изложенными в эксплуатационной документации, следующими способами: хранить и устанавливать 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в память ЭВМ, воспроизводить 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путем его записи в память ЭВМ.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Сублицензиат обязуется не распространять 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третьим лицам путем продажи, проката, сдачи внаем, предоставления взаймы или иными другими способами отчуждения.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Сублицензиат не имеет права осуществлять следующую деятельность: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ind w:firstLine="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−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допускать использование 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лицами, не имеющими прав на такое использование;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ind w:firstLine="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 </w:t>
      </w:r>
      <w:r>
        <w:rPr>
          <w:sz w:val="24"/>
          <w:szCs w:val="24"/>
        </w:rPr>
        <w:t xml:space="preserve">дизассемблировать (анализировать и исследовать объектный ко</w:t>
      </w:r>
      <w:r>
        <w:rPr>
          <w:sz w:val="24"/>
          <w:szCs w:val="24"/>
        </w:rPr>
        <w:t xml:space="preserve">д), декомпилировать (преобразовывать объектный код в исходный текст), адаптировать и модифицировать ПО (за исключением случаев привлечения к адаптации и модификации Исполнителя Основного договора либо иного лица, уполномоченного Лицензиатом)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ind w:firstLine="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−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вносить какие-либо изменения в объектный код программ за исключением тех, которые вносятся средствами, включенными в комплект </w:t>
      </w:r>
      <w:r>
        <w:rPr>
          <w:sz w:val="24"/>
          <w:szCs w:val="24"/>
        </w:rPr>
        <w:t xml:space="preserve">ПО</w:t>
      </w:r>
      <w:r>
        <w:rPr>
          <w:sz w:val="24"/>
          <w:szCs w:val="24"/>
        </w:rPr>
        <w:t xml:space="preserve">, и описанными в документации;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ind w:firstLine="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−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совершать относительно </w:t>
      </w:r>
      <w:r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другие действия, нарушающие российские и международные нормы по авторскому праву и использованию программных средств.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Территория действия настоящего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Настоящий </w:t>
      </w:r>
      <w:r>
        <w:rPr>
          <w:sz w:val="24"/>
          <w:szCs w:val="24"/>
        </w:rPr>
        <w:t xml:space="preserve">Сублицензионный </w:t>
      </w:r>
      <w:r>
        <w:rPr>
          <w:sz w:val="24"/>
          <w:szCs w:val="24"/>
        </w:rPr>
        <w:t xml:space="preserve">договор действует на всей территории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Срок действия договора и передаваемых прав использования (лицензи</w:t>
      </w:r>
      <w:r>
        <w:rPr>
          <w:b/>
          <w:bCs/>
          <w:sz w:val="24"/>
          <w:szCs w:val="24"/>
        </w:rPr>
        <w:t xml:space="preserve">й</w:t>
      </w:r>
      <w:r>
        <w:rPr>
          <w:b/>
          <w:bCs/>
          <w:sz w:val="24"/>
          <w:szCs w:val="24"/>
        </w:rPr>
        <w:t xml:space="preserve">)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6</w:t>
      </w:r>
      <w:r>
        <w:rPr>
          <w:bCs/>
          <w:sz w:val="24"/>
          <w:szCs w:val="24"/>
        </w:rPr>
        <w:t xml:space="preserve">.1. </w:t>
      </w:r>
      <w:r>
        <w:rPr>
          <w:bCs/>
          <w:sz w:val="24"/>
          <w:szCs w:val="24"/>
        </w:rPr>
        <w:t xml:space="preserve">Срок действия н</w:t>
      </w:r>
      <w:r>
        <w:rPr>
          <w:sz w:val="24"/>
          <w:szCs w:val="24"/>
        </w:rPr>
        <w:t xml:space="preserve">астоящ</w:t>
      </w:r>
      <w:r>
        <w:rPr>
          <w:sz w:val="24"/>
          <w:szCs w:val="24"/>
        </w:rPr>
        <w:t xml:space="preserve">его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Субл</w:t>
      </w:r>
      <w:r>
        <w:rPr>
          <w:sz w:val="24"/>
          <w:szCs w:val="24"/>
        </w:rPr>
        <w:t xml:space="preserve">ицензионн</w:t>
      </w:r>
      <w:r>
        <w:rPr>
          <w:sz w:val="24"/>
          <w:szCs w:val="24"/>
        </w:rPr>
        <w:t xml:space="preserve">ого</w:t>
      </w:r>
      <w:r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 xml:space="preserve">а устанавливается в соответствии со сроком действия </w:t>
      </w:r>
      <w:r>
        <w:rPr>
          <w:sz w:val="24"/>
          <w:szCs w:val="24"/>
        </w:rPr>
        <w:t xml:space="preserve">полученных Сублицензиатом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прав на использование </w:t>
      </w:r>
      <w:r>
        <w:rPr>
          <w:sz w:val="24"/>
          <w:szCs w:val="24"/>
        </w:rPr>
        <w:t xml:space="preserve">ПО, указанных </w:t>
      </w:r>
      <w:r>
        <w:rPr>
          <w:sz w:val="24"/>
          <w:szCs w:val="24"/>
        </w:rPr>
        <w:t xml:space="preserve">в Спецификации, являющейся неотъемлемой частью </w:t>
      </w:r>
      <w:r>
        <w:rPr>
          <w:sz w:val="24"/>
          <w:szCs w:val="24"/>
        </w:rPr>
        <w:t xml:space="preserve">Основного </w:t>
      </w:r>
      <w:r>
        <w:rPr>
          <w:sz w:val="24"/>
          <w:szCs w:val="24"/>
        </w:rPr>
        <w:t xml:space="preserve">договора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7. Вознаграждение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7.1.Сублицензиат уплачивает Лицензиату по настоящему Сублицензионному договору вознаграждение в размере и на условиях согласно заключенному между Лицензиатом и Сублицензиатом </w:t>
      </w:r>
      <w:r>
        <w:rPr>
          <w:sz w:val="24"/>
          <w:szCs w:val="24"/>
        </w:rPr>
        <w:t xml:space="preserve">Основному </w:t>
      </w:r>
      <w:r>
        <w:rPr>
          <w:sz w:val="24"/>
          <w:szCs w:val="24"/>
        </w:rPr>
        <w:t xml:space="preserve">договору.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. Количество л</w:t>
      </w:r>
      <w:r>
        <w:rPr>
          <w:sz w:val="24"/>
          <w:szCs w:val="24"/>
        </w:rPr>
        <w:t xml:space="preserve">ицензий устанавливаются Лицензиатом в </w:t>
      </w:r>
      <w:r>
        <w:rPr>
          <w:sz w:val="24"/>
          <w:szCs w:val="24"/>
        </w:rPr>
        <w:t xml:space="preserve">Основном </w:t>
      </w:r>
      <w:r>
        <w:rPr>
          <w:sz w:val="24"/>
          <w:szCs w:val="24"/>
        </w:rPr>
        <w:t xml:space="preserve">договоре.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8. Ответственность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8.1.</w:t>
      </w:r>
      <w:r>
        <w:rPr>
          <w:sz w:val="24"/>
          <w:szCs w:val="24"/>
          <w:lang w:val="en-US"/>
        </w:rPr>
        <w:t xml:space="preserve"> </w:t>
      </w:r>
      <w:r>
        <w:rPr>
          <w:sz w:val="24"/>
          <w:szCs w:val="24"/>
        </w:rPr>
        <w:t xml:space="preserve">Сублицензиат приобретает право использования </w:t>
      </w:r>
      <w:r>
        <w:rPr>
          <w:sz w:val="24"/>
          <w:szCs w:val="24"/>
        </w:rPr>
        <w:t xml:space="preserve">ПО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объеме, оговоренном настоящим Сублицензионным договором, и несет ответственность за его использование в соответствии с действующим законодательством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91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9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 xml:space="preserve">Прочие условия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</w:t>
      </w:r>
      <w:r>
        <w:rPr>
          <w:sz w:val="24"/>
          <w:szCs w:val="24"/>
        </w:rPr>
        <w:t xml:space="preserve">.1</w:t>
      </w:r>
      <w:r>
        <w:rPr>
          <w:sz w:val="24"/>
          <w:szCs w:val="24"/>
        </w:rPr>
        <w:t xml:space="preserve">. </w:t>
      </w:r>
      <w:r>
        <w:rPr>
          <w:sz w:val="24"/>
          <w:szCs w:val="24"/>
        </w:rPr>
        <w:t xml:space="preserve">Настоящий Сублицензионный договор является неотъемлемой частью Основного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</w:t>
      </w:r>
      <w:r>
        <w:rPr>
          <w:sz w:val="24"/>
          <w:szCs w:val="24"/>
        </w:rPr>
        <w:t xml:space="preserve">.2</w:t>
      </w:r>
      <w:r>
        <w:rPr>
          <w:sz w:val="24"/>
          <w:szCs w:val="24"/>
        </w:rPr>
        <w:t xml:space="preserve">. </w:t>
      </w:r>
      <w:r>
        <w:rPr>
          <w:sz w:val="24"/>
          <w:szCs w:val="24"/>
        </w:rPr>
        <w:t xml:space="preserve">Все интеллектуальные права Лицензиата и правообладателей защищены законодательством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</w:t>
      </w:r>
      <w:r>
        <w:rPr>
          <w:sz w:val="24"/>
          <w:szCs w:val="24"/>
        </w:rPr>
        <w:t xml:space="preserve">.3</w:t>
      </w:r>
      <w:r>
        <w:rPr>
          <w:sz w:val="24"/>
          <w:szCs w:val="24"/>
        </w:rPr>
        <w:t xml:space="preserve">. </w:t>
      </w:r>
      <w:r>
        <w:rPr>
          <w:sz w:val="24"/>
          <w:szCs w:val="24"/>
        </w:rPr>
        <w:t xml:space="preserve">В остальных случаях отношения Сторон регулируются условиями Основного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4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90"/>
        <w:ind w:left="6372" w:right="-546"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0"/>
        <w:ind w:left="6372" w:right="-546"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89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tbl>
      <w:tblPr>
        <w:tblW w:w="1102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077"/>
        <w:gridCol w:w="1701"/>
        <w:gridCol w:w="5245"/>
      </w:tblGrid>
      <w:tr>
        <w:tblPrEx/>
        <w:trPr>
          <w:trHeight w:val="26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9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Лицензиат</w:t>
            </w:r>
            <w:r>
              <w:rPr>
                <w:b/>
                <w:sz w:val="24"/>
              </w:rPr>
              <w:t xml:space="preserve">:</w:t>
            </w: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9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45" w:type="dxa"/>
            <w:vAlign w:val="top"/>
            <w:textDirection w:val="lrTb"/>
            <w:noWrap w:val="false"/>
          </w:tcPr>
          <w:p>
            <w:pPr>
              <w:pStyle w:val="89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Сублицензиат</w:t>
            </w:r>
            <w:r>
              <w:rPr>
                <w:b/>
                <w:sz w:val="24"/>
                <w:szCs w:val="24"/>
              </w:rPr>
              <w:t xml:space="preserve">: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50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организации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Должность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9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45" w:type="dxa"/>
            <w:vAlign w:val="top"/>
            <w:textDirection w:val="lrTb"/>
            <w:noWrap w:val="false"/>
          </w:tcPr>
          <w:p>
            <w:pPr>
              <w:pStyle w:val="8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организации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89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Должность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22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90"/>
              <w:jc w:val="right"/>
              <w:rPr>
                <w:sz w:val="24"/>
              </w:rPr>
            </w:pPr>
            <w:r>
              <w:rPr>
                <w:sz w:val="24"/>
              </w:rPr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9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89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45" w:type="dxa"/>
            <w:vAlign w:val="top"/>
            <w:textDirection w:val="lrTb"/>
            <w:noWrap w:val="false"/>
          </w:tcPr>
          <w:p>
            <w:pPr>
              <w:pStyle w:val="89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43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9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 /                              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701" w:type="dxa"/>
            <w:vAlign w:val="top"/>
            <w:textDirection w:val="lrTb"/>
            <w:noWrap w:val="false"/>
          </w:tcPr>
          <w:p>
            <w:pPr>
              <w:pStyle w:val="89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245" w:type="dxa"/>
            <w:vAlign w:val="top"/>
            <w:textDirection w:val="lrTb"/>
            <w:noWrap w:val="false"/>
          </w:tcPr>
          <w:p>
            <w:pPr>
              <w:pStyle w:val="89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 /                                   /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890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sectPr>
      <w:footnotePr/>
      <w:endnotePr/>
      <w:type w:val="nextPage"/>
      <w:pgSz w:w="11906" w:h="16838" w:orient="portrait"/>
      <w:pgMar w:top="568" w:right="851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TimesDL">
    <w:panose1 w:val="02000603000000000000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ascii="Arial" w:hAnsi="Arial" w:cs="Arial"/>
        <w:b/>
        <w:sz w:val="16"/>
        <w:szCs w:val="16"/>
      </w:rPr>
    </w:lvl>
    <w:lvl w:ilvl="1">
      <w:start w:val="1"/>
      <w:numFmt w:val="decimal"/>
      <w:isLgl w:val="false"/>
      <w:suff w:val="nothing"/>
      <w:lvlText w:val="%2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/>
        <w:b/>
        <w:sz w:val="24"/>
        <w:szCs w:val="24"/>
      </w:rPr>
    </w:lvl>
    <w:lvl w:ilvl="2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ascii="Arial" w:hAnsi="Arial" w:cs="Arial"/>
        <w:b/>
        <w:sz w:val="16"/>
        <w:szCs w:val="16"/>
      </w:rPr>
    </w:lvl>
    <w:lvl w:ilvl="1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420"/>
      </w:pPr>
    </w:lvl>
    <w:lvl w:ilvl="1">
      <w:start w:val="1"/>
      <w:numFmt w:val="decimal"/>
      <w:isLgl w:val="false"/>
      <w:suff w:val="tab"/>
      <w:lvlText w:val="%1.%2."/>
      <w:lvlJc w:val="left"/>
      <w:pPr>
        <w:ind w:left="420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2"/>
      <w:numFmt w:val="decimal"/>
      <w:isLgl w:val="false"/>
      <w:suff w:val="tab"/>
      <w:lvlText w:val="2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5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5.1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7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5.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4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9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5.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5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5.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6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5.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i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  <w:rPr>
        <w:i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</w:pPr>
      <w:rPr>
        <w:i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  <w:rPr>
        <w:i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</w:pPr>
      <w:rPr>
        <w:i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  <w:rPr>
        <w:i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</w:pPr>
      <w:rPr>
        <w:i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</w:pPr>
      <w:rPr>
        <w:i/>
      </w:r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10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5.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3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8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5.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2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space"/>
      <w:lvlText w:val="%1.%2."/>
      <w:lvlJc w:val="left"/>
      <w:pPr>
        <w:ind w:left="900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620" w:hanging="1080"/>
        <w:tabs>
          <w:tab w:val="num" w:pos="16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800" w:hanging="1080"/>
        <w:tabs>
          <w:tab w:val="num" w:pos="180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340" w:hanging="1440"/>
        <w:tabs>
          <w:tab w:val="num" w:pos="23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20" w:hanging="1440"/>
        <w:tabs>
          <w:tab w:val="num" w:pos="252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060" w:hanging="1800"/>
        <w:tabs>
          <w:tab w:val="num" w:pos="30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2160"/>
        <w:tabs>
          <w:tab w:val="num" w:pos="360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11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5.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20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644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28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572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21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50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14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3428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712" w:hanging="144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4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6" w:hanging="6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12.%2."/>
      <w:lvlJc w:val="left"/>
      <w:pPr>
        <w:ind w:left="716" w:hanging="432"/>
        <w:tabs>
          <w:tab w:val="num" w:pos="71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5.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499" w:hanging="648"/>
        <w:tabs>
          <w:tab w:val="num" w:pos="1571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06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744" w:hanging="1035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44" w:hanging="1035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44" w:hanging="1035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9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78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78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14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49" w:hanging="144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i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  <w:rPr>
        <w:i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</w:pPr>
      <w:rPr>
        <w:i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  <w:rPr>
        <w:i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</w:pPr>
      <w:rPr>
        <w:i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  <w:rPr>
        <w:i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</w:pPr>
      <w:rPr>
        <w:i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</w:pPr>
      <w:rPr>
        <w:i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</w:pPr>
      <w:rPr>
        <w:i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</w:pPr>
      <w:rPr>
        <w:i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</w:pPr>
      <w:rPr>
        <w:i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</w:pPr>
      <w:rPr>
        <w:i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</w:pPr>
      <w:rPr>
        <w:i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</w:pPr>
      <w:rPr>
        <w:i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</w:pPr>
      <w:rPr>
        <w:i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</w:pPr>
      <w:rPr>
        <w:i/>
      </w:rPr>
    </w:lvl>
  </w:abstractNum>
  <w:num w:numId="1">
    <w:abstractNumId w:val="21"/>
  </w:num>
  <w:num w:numId="2">
    <w:abstractNumId w:val="7"/>
  </w:num>
  <w:num w:numId="3">
    <w:abstractNumId w:val="17"/>
  </w:num>
  <w:num w:numId="4">
    <w:abstractNumId w:val="15"/>
  </w:num>
  <w:num w:numId="5">
    <w:abstractNumId w:val="8"/>
  </w:num>
  <w:num w:numId="6">
    <w:abstractNumId w:val="5"/>
  </w:num>
  <w:num w:numId="7">
    <w:abstractNumId w:val="10"/>
  </w:num>
  <w:num w:numId="8">
    <w:abstractNumId w:val="11"/>
  </w:num>
  <w:num w:numId="9">
    <w:abstractNumId w:val="6"/>
  </w:num>
  <w:num w:numId="10">
    <w:abstractNumId w:val="16"/>
  </w:num>
  <w:num w:numId="11">
    <w:abstractNumId w:val="9"/>
  </w:num>
  <w:num w:numId="12">
    <w:abstractNumId w:val="14"/>
  </w:num>
  <w:num w:numId="13">
    <w:abstractNumId w:val="19"/>
  </w:num>
  <w:num w:numId="14">
    <w:abstractNumId w:val="23"/>
  </w:num>
  <w:num w:numId="15">
    <w:abstractNumId w:val="20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22"/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  <w:num w:numId="24">
    <w:abstractNumId w:val="2"/>
  </w:num>
  <w:num w:numId="25">
    <w:abstractNumId w:val="13"/>
  </w:num>
  <w:num w:numId="26">
    <w:abstractNumId w:val="3"/>
  </w:num>
  <w:num w:numId="27">
    <w:abstractNumId w:val="12"/>
  </w:num>
  <w:num w:numId="28">
    <w:abstractNumId w:val="24"/>
  </w:num>
  <w:num w:numId="29">
    <w:abstractNumId w:val="25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90"/>
    <w:next w:val="890"/>
    <w:link w:val="7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13">
    <w:name w:val="Heading 1 Char"/>
    <w:link w:val="712"/>
    <w:uiPriority w:val="9"/>
    <w:rPr>
      <w:rFonts w:ascii="Arial" w:hAnsi="Arial" w:eastAsia="Arial" w:cs="Arial"/>
      <w:sz w:val="40"/>
      <w:szCs w:val="40"/>
    </w:rPr>
  </w:style>
  <w:style w:type="paragraph" w:styleId="714">
    <w:name w:val="Heading 2"/>
    <w:basedOn w:val="890"/>
    <w:next w:val="890"/>
    <w:link w:val="7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5">
    <w:name w:val="Heading 2 Char"/>
    <w:link w:val="714"/>
    <w:uiPriority w:val="9"/>
    <w:rPr>
      <w:rFonts w:ascii="Arial" w:hAnsi="Arial" w:eastAsia="Arial" w:cs="Arial"/>
      <w:sz w:val="34"/>
    </w:rPr>
  </w:style>
  <w:style w:type="paragraph" w:styleId="716">
    <w:name w:val="Heading 3"/>
    <w:basedOn w:val="890"/>
    <w:next w:val="890"/>
    <w:link w:val="7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7">
    <w:name w:val="Heading 3 Char"/>
    <w:link w:val="716"/>
    <w:uiPriority w:val="9"/>
    <w:rPr>
      <w:rFonts w:ascii="Arial" w:hAnsi="Arial" w:eastAsia="Arial" w:cs="Arial"/>
      <w:sz w:val="30"/>
      <w:szCs w:val="30"/>
    </w:rPr>
  </w:style>
  <w:style w:type="paragraph" w:styleId="718">
    <w:name w:val="Heading 4"/>
    <w:basedOn w:val="890"/>
    <w:next w:val="890"/>
    <w:link w:val="7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9">
    <w:name w:val="Heading 4 Char"/>
    <w:link w:val="718"/>
    <w:uiPriority w:val="9"/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890"/>
    <w:next w:val="890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1">
    <w:name w:val="Heading 5 Char"/>
    <w:link w:val="720"/>
    <w:uiPriority w:val="9"/>
    <w:rPr>
      <w:rFonts w:ascii="Arial" w:hAnsi="Arial" w:eastAsia="Arial" w:cs="Arial"/>
      <w:b/>
      <w:bCs/>
      <w:sz w:val="24"/>
      <w:szCs w:val="24"/>
    </w:rPr>
  </w:style>
  <w:style w:type="paragraph" w:styleId="722">
    <w:name w:val="Heading 6"/>
    <w:basedOn w:val="890"/>
    <w:next w:val="890"/>
    <w:link w:val="7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3">
    <w:name w:val="Heading 6 Char"/>
    <w:link w:val="722"/>
    <w:uiPriority w:val="9"/>
    <w:rPr>
      <w:rFonts w:ascii="Arial" w:hAnsi="Arial" w:eastAsia="Arial" w:cs="Arial"/>
      <w:b/>
      <w:bCs/>
      <w:sz w:val="22"/>
      <w:szCs w:val="22"/>
    </w:rPr>
  </w:style>
  <w:style w:type="paragraph" w:styleId="724">
    <w:name w:val="Heading 7"/>
    <w:basedOn w:val="890"/>
    <w:next w:val="890"/>
    <w:link w:val="7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5">
    <w:name w:val="Heading 7 Char"/>
    <w:link w:val="7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6">
    <w:name w:val="Heading 8"/>
    <w:basedOn w:val="890"/>
    <w:next w:val="890"/>
    <w:link w:val="7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7">
    <w:name w:val="Heading 8 Char"/>
    <w:link w:val="726"/>
    <w:uiPriority w:val="9"/>
    <w:rPr>
      <w:rFonts w:ascii="Arial" w:hAnsi="Arial" w:eastAsia="Arial" w:cs="Arial"/>
      <w:i/>
      <w:iCs/>
      <w:sz w:val="22"/>
      <w:szCs w:val="22"/>
    </w:rPr>
  </w:style>
  <w:style w:type="paragraph" w:styleId="728">
    <w:name w:val="Heading 9"/>
    <w:basedOn w:val="890"/>
    <w:next w:val="890"/>
    <w:link w:val="7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9">
    <w:name w:val="Heading 9 Char"/>
    <w:link w:val="728"/>
    <w:uiPriority w:val="9"/>
    <w:rPr>
      <w:rFonts w:ascii="Arial" w:hAnsi="Arial" w:eastAsia="Arial" w:cs="Arial"/>
      <w:i/>
      <w:iCs/>
      <w:sz w:val="21"/>
      <w:szCs w:val="21"/>
    </w:rPr>
  </w:style>
  <w:style w:type="paragraph" w:styleId="730">
    <w:name w:val="List Paragraph"/>
    <w:basedOn w:val="890"/>
    <w:uiPriority w:val="34"/>
    <w:qFormat/>
    <w:pPr>
      <w:contextualSpacing/>
      <w:ind w:left="720"/>
    </w:pPr>
  </w:style>
  <w:style w:type="paragraph" w:styleId="731">
    <w:name w:val="No Spacing"/>
    <w:uiPriority w:val="1"/>
    <w:qFormat/>
    <w:pPr>
      <w:spacing w:before="0" w:after="0" w:line="240" w:lineRule="auto"/>
    </w:pPr>
  </w:style>
  <w:style w:type="paragraph" w:styleId="732">
    <w:name w:val="Title"/>
    <w:basedOn w:val="890"/>
    <w:next w:val="890"/>
    <w:link w:val="7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3">
    <w:name w:val="Title Char"/>
    <w:link w:val="732"/>
    <w:uiPriority w:val="10"/>
    <w:rPr>
      <w:sz w:val="48"/>
      <w:szCs w:val="48"/>
    </w:rPr>
  </w:style>
  <w:style w:type="paragraph" w:styleId="734">
    <w:name w:val="Subtitle"/>
    <w:basedOn w:val="890"/>
    <w:next w:val="890"/>
    <w:link w:val="735"/>
    <w:uiPriority w:val="11"/>
    <w:qFormat/>
    <w:pPr>
      <w:spacing w:before="200" w:after="200"/>
    </w:pPr>
    <w:rPr>
      <w:sz w:val="24"/>
      <w:szCs w:val="24"/>
    </w:rPr>
  </w:style>
  <w:style w:type="character" w:styleId="735">
    <w:name w:val="Subtitle Char"/>
    <w:link w:val="734"/>
    <w:uiPriority w:val="11"/>
    <w:rPr>
      <w:sz w:val="24"/>
      <w:szCs w:val="24"/>
    </w:rPr>
  </w:style>
  <w:style w:type="paragraph" w:styleId="736">
    <w:name w:val="Quote"/>
    <w:basedOn w:val="890"/>
    <w:next w:val="890"/>
    <w:link w:val="737"/>
    <w:uiPriority w:val="29"/>
    <w:qFormat/>
    <w:pPr>
      <w:ind w:left="720" w:right="720"/>
    </w:pPr>
    <w:rPr>
      <w:i/>
    </w:rPr>
  </w:style>
  <w:style w:type="character" w:styleId="737">
    <w:name w:val="Quote Char"/>
    <w:link w:val="736"/>
    <w:uiPriority w:val="29"/>
    <w:rPr>
      <w:i/>
    </w:rPr>
  </w:style>
  <w:style w:type="paragraph" w:styleId="738">
    <w:name w:val="Intense Quote"/>
    <w:basedOn w:val="890"/>
    <w:next w:val="890"/>
    <w:link w:val="7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9">
    <w:name w:val="Intense Quote Char"/>
    <w:link w:val="738"/>
    <w:uiPriority w:val="30"/>
    <w:rPr>
      <w:i/>
    </w:rPr>
  </w:style>
  <w:style w:type="paragraph" w:styleId="740">
    <w:name w:val="Header"/>
    <w:basedOn w:val="890"/>
    <w:link w:val="7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1">
    <w:name w:val="Header Char"/>
    <w:link w:val="740"/>
    <w:uiPriority w:val="99"/>
  </w:style>
  <w:style w:type="paragraph" w:styleId="742">
    <w:name w:val="Footer"/>
    <w:basedOn w:val="890"/>
    <w:link w:val="7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>
    <w:name w:val="Footer Char"/>
    <w:link w:val="742"/>
    <w:uiPriority w:val="99"/>
  </w:style>
  <w:style w:type="paragraph" w:styleId="744">
    <w:name w:val="Caption"/>
    <w:basedOn w:val="890"/>
    <w:next w:val="890"/>
    <w:link w:val="74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5">
    <w:name w:val="Caption Char"/>
    <w:link w:val="744"/>
    <w:uiPriority w:val="35"/>
    <w:rPr>
      <w:b/>
      <w:bCs/>
      <w:color w:val="4f81bd" w:themeColor="accent1"/>
      <w:sz w:val="18"/>
      <w:szCs w:val="18"/>
    </w:rPr>
  </w:style>
  <w:style w:type="table" w:styleId="74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2">
    <w:name w:val="Hyperlink"/>
    <w:uiPriority w:val="99"/>
    <w:unhideWhenUsed/>
    <w:rPr>
      <w:color w:val="0000ff" w:themeColor="hyperlink"/>
      <w:u w:val="single"/>
    </w:rPr>
  </w:style>
  <w:style w:type="paragraph" w:styleId="873">
    <w:name w:val="footnote text"/>
    <w:basedOn w:val="890"/>
    <w:link w:val="874"/>
    <w:uiPriority w:val="99"/>
    <w:semiHidden/>
    <w:unhideWhenUsed/>
    <w:pPr>
      <w:spacing w:after="40" w:line="240" w:lineRule="auto"/>
    </w:pPr>
    <w:rPr>
      <w:sz w:val="18"/>
    </w:rPr>
  </w:style>
  <w:style w:type="character" w:styleId="874">
    <w:name w:val="Footnote Text Char"/>
    <w:link w:val="873"/>
    <w:uiPriority w:val="99"/>
    <w:rPr>
      <w:sz w:val="18"/>
    </w:rPr>
  </w:style>
  <w:style w:type="character" w:styleId="875">
    <w:name w:val="footnote reference"/>
    <w:uiPriority w:val="99"/>
    <w:unhideWhenUsed/>
    <w:rPr>
      <w:vertAlign w:val="superscript"/>
    </w:rPr>
  </w:style>
  <w:style w:type="paragraph" w:styleId="876">
    <w:name w:val="endnote text"/>
    <w:basedOn w:val="890"/>
    <w:link w:val="877"/>
    <w:uiPriority w:val="99"/>
    <w:semiHidden/>
    <w:unhideWhenUsed/>
    <w:pPr>
      <w:spacing w:after="0" w:line="240" w:lineRule="auto"/>
    </w:pPr>
    <w:rPr>
      <w:sz w:val="20"/>
    </w:rPr>
  </w:style>
  <w:style w:type="character" w:styleId="877">
    <w:name w:val="Endnote Text Char"/>
    <w:link w:val="876"/>
    <w:uiPriority w:val="99"/>
    <w:rPr>
      <w:sz w:val="20"/>
    </w:rPr>
  </w:style>
  <w:style w:type="character" w:styleId="878">
    <w:name w:val="endnote reference"/>
    <w:uiPriority w:val="99"/>
    <w:semiHidden/>
    <w:unhideWhenUsed/>
    <w:rPr>
      <w:vertAlign w:val="superscript"/>
    </w:rPr>
  </w:style>
  <w:style w:type="paragraph" w:styleId="879">
    <w:name w:val="toc 1"/>
    <w:basedOn w:val="890"/>
    <w:next w:val="890"/>
    <w:uiPriority w:val="39"/>
    <w:unhideWhenUsed/>
    <w:pPr>
      <w:ind w:left="0" w:right="0" w:firstLine="0"/>
      <w:spacing w:after="57"/>
    </w:pPr>
  </w:style>
  <w:style w:type="paragraph" w:styleId="880">
    <w:name w:val="toc 2"/>
    <w:basedOn w:val="890"/>
    <w:next w:val="890"/>
    <w:uiPriority w:val="39"/>
    <w:unhideWhenUsed/>
    <w:pPr>
      <w:ind w:left="283" w:right="0" w:firstLine="0"/>
      <w:spacing w:after="57"/>
    </w:pPr>
  </w:style>
  <w:style w:type="paragraph" w:styleId="881">
    <w:name w:val="toc 3"/>
    <w:basedOn w:val="890"/>
    <w:next w:val="890"/>
    <w:uiPriority w:val="39"/>
    <w:unhideWhenUsed/>
    <w:pPr>
      <w:ind w:left="567" w:right="0" w:firstLine="0"/>
      <w:spacing w:after="57"/>
    </w:pPr>
  </w:style>
  <w:style w:type="paragraph" w:styleId="882">
    <w:name w:val="toc 4"/>
    <w:basedOn w:val="890"/>
    <w:next w:val="890"/>
    <w:uiPriority w:val="39"/>
    <w:unhideWhenUsed/>
    <w:pPr>
      <w:ind w:left="850" w:right="0" w:firstLine="0"/>
      <w:spacing w:after="57"/>
    </w:pPr>
  </w:style>
  <w:style w:type="paragraph" w:styleId="883">
    <w:name w:val="toc 5"/>
    <w:basedOn w:val="890"/>
    <w:next w:val="890"/>
    <w:uiPriority w:val="39"/>
    <w:unhideWhenUsed/>
    <w:pPr>
      <w:ind w:left="1134" w:right="0" w:firstLine="0"/>
      <w:spacing w:after="57"/>
    </w:pPr>
  </w:style>
  <w:style w:type="paragraph" w:styleId="884">
    <w:name w:val="toc 6"/>
    <w:basedOn w:val="890"/>
    <w:next w:val="890"/>
    <w:uiPriority w:val="39"/>
    <w:unhideWhenUsed/>
    <w:pPr>
      <w:ind w:left="1417" w:right="0" w:firstLine="0"/>
      <w:spacing w:after="57"/>
    </w:pPr>
  </w:style>
  <w:style w:type="paragraph" w:styleId="885">
    <w:name w:val="toc 7"/>
    <w:basedOn w:val="890"/>
    <w:next w:val="890"/>
    <w:uiPriority w:val="39"/>
    <w:unhideWhenUsed/>
    <w:pPr>
      <w:ind w:left="1701" w:right="0" w:firstLine="0"/>
      <w:spacing w:after="57"/>
    </w:pPr>
  </w:style>
  <w:style w:type="paragraph" w:styleId="886">
    <w:name w:val="toc 8"/>
    <w:basedOn w:val="890"/>
    <w:next w:val="890"/>
    <w:uiPriority w:val="39"/>
    <w:unhideWhenUsed/>
    <w:pPr>
      <w:ind w:left="1984" w:right="0" w:firstLine="0"/>
      <w:spacing w:after="57"/>
    </w:pPr>
  </w:style>
  <w:style w:type="paragraph" w:styleId="887">
    <w:name w:val="toc 9"/>
    <w:basedOn w:val="890"/>
    <w:next w:val="890"/>
    <w:uiPriority w:val="39"/>
    <w:unhideWhenUsed/>
    <w:pPr>
      <w:ind w:left="2268" w:right="0" w:firstLine="0"/>
      <w:spacing w:after="57"/>
    </w:pPr>
  </w:style>
  <w:style w:type="paragraph" w:styleId="888">
    <w:name w:val="TOC Heading"/>
    <w:uiPriority w:val="39"/>
    <w:unhideWhenUsed/>
  </w:style>
  <w:style w:type="paragraph" w:styleId="889">
    <w:name w:val="table of figures"/>
    <w:basedOn w:val="890"/>
    <w:next w:val="890"/>
    <w:uiPriority w:val="99"/>
    <w:unhideWhenUsed/>
    <w:pPr>
      <w:spacing w:after="0" w:afterAutospacing="0"/>
    </w:pPr>
  </w:style>
  <w:style w:type="paragraph" w:styleId="890" w:default="1">
    <w:name w:val="Normal"/>
    <w:next w:val="890"/>
    <w:link w:val="890"/>
    <w:qFormat/>
    <w:rPr>
      <w:lang w:val="ru-RU" w:eastAsia="ru-RU" w:bidi="ar-SA"/>
    </w:rPr>
  </w:style>
  <w:style w:type="paragraph" w:styleId="891">
    <w:name w:val="Заголовок 1"/>
    <w:basedOn w:val="890"/>
    <w:next w:val="890"/>
    <w:link w:val="890"/>
    <w:qFormat/>
    <w:pPr>
      <w:jc w:val="both"/>
      <w:keepNext/>
      <w:outlineLvl w:val="0"/>
    </w:pPr>
    <w:rPr>
      <w:b/>
    </w:rPr>
  </w:style>
  <w:style w:type="character" w:styleId="892">
    <w:name w:val="Основной шрифт абзаца"/>
    <w:next w:val="892"/>
    <w:link w:val="890"/>
    <w:semiHidden/>
  </w:style>
  <w:style w:type="table" w:styleId="893">
    <w:name w:val="Обычная таблица"/>
    <w:next w:val="893"/>
    <w:link w:val="890"/>
    <w:semiHidden/>
    <w:tblPr/>
  </w:style>
  <w:style w:type="numbering" w:styleId="894">
    <w:name w:val="Нет списка"/>
    <w:next w:val="894"/>
    <w:link w:val="890"/>
    <w:semiHidden/>
  </w:style>
  <w:style w:type="paragraph" w:styleId="895">
    <w:name w:val="Название"/>
    <w:basedOn w:val="890"/>
    <w:next w:val="895"/>
    <w:link w:val="890"/>
    <w:qFormat/>
    <w:pPr>
      <w:jc w:val="center"/>
    </w:pPr>
    <w:rPr>
      <w:b/>
      <w:sz w:val="24"/>
    </w:rPr>
  </w:style>
  <w:style w:type="paragraph" w:styleId="896">
    <w:name w:val="Основной текст"/>
    <w:basedOn w:val="890"/>
    <w:next w:val="896"/>
    <w:link w:val="910"/>
    <w:rPr>
      <w:rFonts w:ascii="Arial" w:hAnsi="Arial"/>
      <w:sz w:val="24"/>
      <w:lang w:val="en-US" w:eastAsia="en-US"/>
    </w:rPr>
  </w:style>
  <w:style w:type="paragraph" w:styleId="897">
    <w:name w:val="Нижний колонтитул"/>
    <w:basedOn w:val="890"/>
    <w:next w:val="897"/>
    <w:link w:val="901"/>
    <w:pPr>
      <w:tabs>
        <w:tab w:val="center" w:pos="4153" w:leader="none"/>
        <w:tab w:val="right" w:pos="8306" w:leader="none"/>
      </w:tabs>
    </w:pPr>
  </w:style>
  <w:style w:type="character" w:styleId="898">
    <w:name w:val="Знак примечания"/>
    <w:next w:val="898"/>
    <w:link w:val="890"/>
    <w:semiHidden/>
    <w:rPr>
      <w:sz w:val="16"/>
      <w:szCs w:val="16"/>
    </w:rPr>
  </w:style>
  <w:style w:type="paragraph" w:styleId="899">
    <w:name w:val="Текст примечания"/>
    <w:basedOn w:val="890"/>
    <w:next w:val="899"/>
    <w:link w:val="890"/>
    <w:semiHidden/>
  </w:style>
  <w:style w:type="character" w:styleId="900">
    <w:name w:val="Строгий"/>
    <w:next w:val="900"/>
    <w:link w:val="890"/>
    <w:uiPriority w:val="22"/>
    <w:qFormat/>
    <w:rPr>
      <w:b/>
      <w:bCs/>
    </w:rPr>
  </w:style>
  <w:style w:type="character" w:styleId="901">
    <w:name w:val="Нижний колонтитул Знак"/>
    <w:next w:val="901"/>
    <w:link w:val="897"/>
    <w:rPr>
      <w:lang w:val="ru-RU" w:eastAsia="ru-RU" w:bidi="ar-SA"/>
    </w:rPr>
  </w:style>
  <w:style w:type="paragraph" w:styleId="902">
    <w:name w:val="Обычный (веб)"/>
    <w:basedOn w:val="890"/>
    <w:next w:val="902"/>
    <w:link w:val="890"/>
    <w:pPr>
      <w:spacing w:before="100" w:after="100"/>
    </w:pPr>
    <w:rPr>
      <w:rFonts w:ascii="Arial Unicode MS" w:eastAsia="Arial Unicode MS"/>
      <w:sz w:val="24"/>
    </w:rPr>
  </w:style>
  <w:style w:type="paragraph" w:styleId="903">
    <w:name w:val="Normal1"/>
    <w:next w:val="903"/>
    <w:link w:val="890"/>
    <w:rPr>
      <w:rFonts w:ascii="TimesDL" w:hAnsi="TimesDL"/>
      <w:lang w:val="en-US" w:eastAsia="ru-RU" w:bidi="ar-SA"/>
    </w:rPr>
  </w:style>
  <w:style w:type="paragraph" w:styleId="904">
    <w:name w:val="Текст выноски"/>
    <w:basedOn w:val="890"/>
    <w:next w:val="904"/>
    <w:link w:val="890"/>
    <w:semiHidden/>
    <w:rPr>
      <w:rFonts w:ascii="Tahoma" w:hAnsi="Tahoma" w:cs="Tahoma"/>
      <w:sz w:val="16"/>
      <w:szCs w:val="16"/>
    </w:rPr>
  </w:style>
  <w:style w:type="character" w:styleId="905">
    <w:name w:val="Гиперссылка"/>
    <w:next w:val="905"/>
    <w:link w:val="890"/>
    <w:rPr>
      <w:color w:val="0000ff"/>
      <w:u w:val="single"/>
    </w:rPr>
  </w:style>
  <w:style w:type="table" w:styleId="906">
    <w:name w:val="Сетка таблицы"/>
    <w:basedOn w:val="893"/>
    <w:next w:val="906"/>
    <w:link w:val="890"/>
    <w:tblPr/>
  </w:style>
  <w:style w:type="character" w:styleId="907">
    <w:name w:val="b-serp-url__item1"/>
    <w:next w:val="907"/>
    <w:link w:val="890"/>
  </w:style>
  <w:style w:type="paragraph" w:styleId="908">
    <w:name w:val="Верхний колонтитул"/>
    <w:basedOn w:val="890"/>
    <w:next w:val="908"/>
    <w:link w:val="909"/>
    <w:pPr>
      <w:tabs>
        <w:tab w:val="center" w:pos="4677" w:leader="none"/>
        <w:tab w:val="right" w:pos="9355" w:leader="none"/>
      </w:tabs>
    </w:pPr>
  </w:style>
  <w:style w:type="character" w:styleId="909">
    <w:name w:val="Верхний колонтитул Знак"/>
    <w:basedOn w:val="892"/>
    <w:next w:val="909"/>
    <w:link w:val="908"/>
  </w:style>
  <w:style w:type="character" w:styleId="910">
    <w:name w:val="Основной текст Знак"/>
    <w:next w:val="910"/>
    <w:link w:val="896"/>
    <w:rPr>
      <w:rFonts w:ascii="Arial" w:hAnsi="Arial"/>
      <w:sz w:val="24"/>
    </w:rPr>
  </w:style>
  <w:style w:type="table" w:styleId="911">
    <w:name w:val="Сетка таблицы1"/>
    <w:basedOn w:val="893"/>
    <w:next w:val="906"/>
    <w:link w:val="890"/>
    <w:tblPr/>
  </w:style>
  <w:style w:type="character" w:styleId="912">
    <w:name w:val="Абзац списка Знак"/>
    <w:next w:val="912"/>
    <w:link w:val="913"/>
    <w:uiPriority w:val="34"/>
  </w:style>
  <w:style w:type="paragraph" w:styleId="913">
    <w:name w:val="Абзац списка"/>
    <w:basedOn w:val="890"/>
    <w:next w:val="913"/>
    <w:link w:val="912"/>
    <w:uiPriority w:val="34"/>
    <w:qFormat/>
    <w:pPr>
      <w:ind w:left="720"/>
    </w:pPr>
  </w:style>
  <w:style w:type="paragraph" w:styleId="914">
    <w:name w:val="Без интервала"/>
    <w:next w:val="914"/>
    <w:link w:val="890"/>
    <w:uiPriority w:val="1"/>
    <w:qFormat/>
    <w:rPr>
      <w:lang w:val="ru-RU" w:eastAsia="ru-RU" w:bidi="ar-SA"/>
    </w:rPr>
  </w:style>
  <w:style w:type="character" w:styleId="915" w:default="1">
    <w:name w:val="Default Paragraph Font"/>
    <w:uiPriority w:val="1"/>
    <w:semiHidden/>
    <w:unhideWhenUsed/>
  </w:style>
  <w:style w:type="numbering" w:styleId="916" w:default="1">
    <w:name w:val="No List"/>
    <w:uiPriority w:val="99"/>
    <w:semiHidden/>
    <w:unhideWhenUsed/>
  </w:style>
  <w:style w:type="table" w:styleId="91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ОАО Газпром нефтехим Салават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______________</dc:title>
  <dc:creator>supporter</dc:creator>
  <cp:lastModifiedBy>1972-polyakov</cp:lastModifiedBy>
  <cp:revision>25</cp:revision>
  <dcterms:created xsi:type="dcterms:W3CDTF">2019-10-18T11:46:00Z</dcterms:created>
  <dcterms:modified xsi:type="dcterms:W3CDTF">2026-09-02T14:15:16Z</dcterms:modified>
  <cp:version>983040</cp:version>
</cp:coreProperties>
</file>