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</w:r>
      <w:r>
        <w:rPr>
          <w:rFonts w:ascii="Times New Roman" w:hAnsi="Times New Roman"/>
          <w:i/>
          <w:sz w:val="20"/>
          <w:szCs w:val="20"/>
        </w:rPr>
      </w:r>
      <w:r>
        <w:rPr>
          <w:rFonts w:ascii="Times New Roman" w:hAnsi="Times New Roman"/>
          <w:i/>
          <w:sz w:val="20"/>
          <w:szCs w:val="20"/>
        </w:rPr>
      </w:r>
    </w:p>
    <w:p>
      <w:pPr>
        <w:jc w:val="center"/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Методика анализа и оценки заявок участников </w:t>
      </w:r>
      <w:r>
        <w:rPr>
          <w:rFonts w:ascii="Times New Roman" w:hAnsi="Times New Roman"/>
          <w:b/>
          <w:sz w:val="20"/>
          <w:szCs w:val="20"/>
        </w:rPr>
        <w:t xml:space="preserve">конкурентного отбора</w:t>
      </w:r>
      <w:r>
        <w:rPr>
          <w:rFonts w:ascii="Times New Roman" w:hAnsi="Times New Roman"/>
          <w:b/>
          <w:sz w:val="20"/>
          <w:szCs w:val="20"/>
        </w:rPr>
        <w:t xml:space="preserve">.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jc w:val="center"/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Раздел 1.  Анализ заявок на предмет соответствия Участника и состава заявок требованиям Документации*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6"/>
        <w:gridCol w:w="3319"/>
        <w:gridCol w:w="4831"/>
        <w:gridCol w:w="3213"/>
        <w:gridCol w:w="3386"/>
      </w:tblGrid>
      <w:tr>
        <w:tblPrEx/>
        <w:trPr>
          <w:cantSplit/>
          <w:trHeight w:val="429"/>
          <w:tblHeader/>
        </w:trPr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Суть требования</w:t>
            </w: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</w: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Документ, представляемый Участником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Проверяемые сведения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Перечень оснований для отклонения заявок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1.1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предмета Заявки предмету конкурентного отбора (лота), указанному в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Приложении 2 «Техническая часть»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к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Документации, в том числе по количественным показателям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(Форма 1), Ценовое предложение (Форма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1.1) и Техническое предложение (Форма 1.2)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предмета Заявки предмету конкурентного отбора (лота), указанному в Документации.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предмета Заявки предмету конкурентного отбора (лота), указанному в Документации (несоответствие количества поставляемого товара, объема выполняемых работ, оказываемых услуг требованиям Документации)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1.2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предложения Участника тре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бованиям, указанным в пункте 1.3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в Приложении 1 «Проект договора» и Приложении 2 «Техническая часть»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(Форма 1), Ценовое предложение (Форма 1.1) и Техническое предложение (Форма 1.2)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Сведения, указанные в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Письме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о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подаче Заявки (Форма 1), Ценовом предложении (Форма 1.1) и Техническом предложении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(Форма 1.2)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с документальным подтверждением (согласно пункту 4.3.3 Документации)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тре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бованиям, указанным в пункте 1.3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в Приложении 1 «Проект договора» и Приложении 2 «Техническая часть».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1.3</w:t>
            </w:r>
            <w:r>
              <w:rPr>
                <w:rStyle w:val="904"/>
                <w:rFonts w:ascii="Times New Roman" w:hAnsi="Times New Roman"/>
                <w:sz w:val="16"/>
                <w:szCs w:val="16"/>
              </w:rPr>
              <w:footnoteReference w:id="2"/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документов, определенных Документацией, и отсутствие в таких документах недостоверных сведений об Участнике (привлекаемых субподрядчиках (соисполнителях)) или о закупаемых товарах (работах, услугах).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Документы, указанные в пунктах 4.1- 4.2, 4.5,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- 4.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6.7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6.11.2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6.12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7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пунктах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5.3.1 - 5.3.3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 (за исключением документов, в отношении которых указано «при наличии», а также Справки о кадровых ресурсах, Справки о материально-технических ресурсах, представляемых субподрядчиком (соисполнителем))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Полнота состава заявки, правильность оформления документов и достоверность представленных сведений.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Отсутствие документов или несоблюдение требований к таким документам, установленных в Документации. Наличие в представленных документах недостоверных сведений.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</w:t>
            </w:r>
            <w:r>
              <w:rPr>
                <w:rFonts w:ascii="Times New Roman" w:hAnsi="Times New Roman"/>
                <w:sz w:val="16"/>
              </w:rPr>
              <w:t xml:space="preserve">.4</w: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обеспечения Заявки, если в Документации установлено данное требование.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Обеспечение Заявки 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представленного Участником обеспечения Заявки требованиям, указанным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в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Непредставление обеспечения Заявки.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Представление обеспечения Заявки не в соответствии с требованиями, установленными в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1.5</w: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Согласие Участника с условиями проекта договора (Приложение №1), содержащегося в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на участие в закупке (Форма 1).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Иные документы, входящие в состав Заявки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Заявки условиям проекта договора (Приложение №1)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Несогласие Участника с условиями проекта Договора (Приложение № 1)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1.6</w: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предложения о цене договора (цене лота) (товаров, работ, услуг, являющихся предметом конкурентного отбора), не превышающего установленную начальную (максимальную) цену договора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Отсутствие расхождений в данных, указанных в Ценовом предложении (Форме 1.1) и форме «Заявка на участие в процедуре» на ЭТП.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Ценовое предложение (Форма 1.1).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Сведения, внесенные Участником в форму «Заявка на участие в процедуре» на ЭТП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Сведения в Ценовом предложении (Форма 1.1.) и сведения, внесенные Участником в форму «Заявка на участие в процедуре» на ЭТП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предложения о цене договора (цене лота) (товаров, работ, услуг, являющихся предметом конкурентного отбора), превышающего установленную начальную (максимальную) цену договора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расхождений в данных, указанных в Ценовом предложении (Форме 1.1) и форме «Заявка на участие в процедуре» на ЭТП.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1.7</w: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Отсутствие сведений об Участнике в реестрах недобросовестных поставщиков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Не представляется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Реестр недобросовестных поставщиков (подрядчиков, исполнителей) (44-ФЗ) Реестр недобросовестных поставщиков (223-ФЗ)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Участника в Реестре недобросовестных поставщиков (подрядчиков, исполнителей) 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 xml:space="preserve">(44-ФЗ) и (или) в Реестре недобросовестных поставщиков (подрядчиков, исполнителей) 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 xml:space="preserve">(223-ФЗ), размещенных на сайте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zakupki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gov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16"/>
                <w:lang w:val="en-US"/>
              </w:rPr>
            </w:r>
            <w:r>
              <w:rPr>
                <w:rFonts w:ascii="Times New Roman" w:hAnsi="Times New Roman"/>
                <w:sz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срока действия Заявки Участника установленному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1.5.2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(Форма 1).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Срок действия Заявки, указанный в письме о подаче Заявки на участие в закупке (Форма 1).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Срок действия Заявки, указанный в письме о подаче Заявки на участие в закупке (Форма 1), менее срока, установленного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1.5.2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9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Участника требованиям, предъявляемым к Участникам в пунктах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) Документации, в пунктах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2.4, 5.3.1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Документы, подтверждающие соответствие требованиям, указанным пунктах 4.5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Документации, а также в пунктах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5.2.1, 5.2.4, 5.3.1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требованиям, предъявляемым к Участникам в пунктах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) Документации, пунктах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2.4, 5.3.1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требованиям, предъявляемым к Участникам в пунктах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) Документации, пунктах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2.4, 5.3.1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</w:rPr>
              <w:t xml:space="preserve"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0</w: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привлекаемых Участником субподрядчиков (соисполнителей) требованиям, указанным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1.4.4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Документы, подтверждающие соответствие тре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бованиям, указанные в пункте 4.7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 и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3.3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 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привлекаемых участником субподрядчиков (соисполнителей) требованиям, указанным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1.4.4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привлекаемых Участником субподрядчиков (соисполнителей) требованиям, указанным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1.4.4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1.11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Подача Участником одной Заявки в отношении каждого предмета конкурентного отбора (лота). Участие лиц, выступающих на стороне Участника (Группа лиц), только на стороне такого Участника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Заявки Участников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Заявок, поданных Участником в отношении каждого предмета конкурентного отбора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Участие лица, выступающего на стороне Участника (Группы лиц) самостоятельно или на стороне другого Участника (Группы лиц)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Подача Участником более одной Заявки в отношении каждого предмета конкурентного отбора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Участие лица, выступающего на стороне одного Участника (Группа лиц), самостоятельно или на стороне другого Участника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1.12.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Подача Заявки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 от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Участника –российского лица или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иностранн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ого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 лиц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, зарегистрированн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ого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 на территории государства - члена Евразийского экономического союза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о выполнении работ, оказании услуг из перечня № 1 к постановлению Правительства РФ от 23 декабря 2024 г. № 1875, в отношении которых установлен запрет.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ind w:left="-28"/>
              <w:jc w:val="both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Документы,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подтверждающие соответствие пункту 1.7.17 Документации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ind w:left="-28"/>
              <w:jc w:val="both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contextualSpacing/>
              <w:jc w:val="both"/>
              <w:tabs>
                <w:tab w:val="left" w:pos="709" w:leader="none"/>
              </w:tabs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Отсутствие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Заявки от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 иностранного лица о выполнении работ, оказании услуг из перечня № 1 к постановлению Правительства РФ от 23 декабря 2024 г. № 1875, в отношении которых установлен запрет.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Наличие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Заявки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 от иностранного лица о выполнении работ, оказании услуг из перечня № 1 к постановлению Правительства РФ от 23 декабря 2024 г. № 1875, в отношении которых установлен запрет.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sz w:val="16"/>
                <w:szCs w:val="16"/>
                <w:highlight w:val="none"/>
              </w:rPr>
              <w:t xml:space="preserve">1.13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Отсутствие в перечне предлагаемых к поставке, товаров, происходящих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br/>
              <w:t xml:space="preserve">из иностранных государств, из перечня № 1 к Постановлению Правительства Российской Федерации от 23 декабря 2024 г. № 1875, в отношении которых установлен запрет.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Коммерческое предложение (Форма 1.1) / новое коммерческое предложение (Форма 1.1).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Страна происхождения товара, указанного в качестве позиции товара в Коммерческом предложении (Форма 1.1) / новом коммерческом предложении (Форма 1.1).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Наличие в перечне предлагаемых к поставке, товаров, происходящих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br/>
              <w:t xml:space="preserve">из иностранных государств, из перечня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br/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№ 1 к Постановлению Правительства Российской Федерации от 23 декабря 2024 г. № 1875, в отношении которых установлен запрет*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*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*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*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Примечание: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- не применяется, если имеются основания неприменения запрета закупок товаров, указанные в Документации / Извещении;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- применяется также в случае приравнивания Заявки, в которой содержится предлож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 xml:space="preserve">ение о поставке товара российского происхождения, соответственно к Заявке, в которой содержится предложение о поставке товара, происходящего из иностранного государства на основании пункта 5 части 8 статьи 3 Федерального закона от 18 июля 2011 г. № 223-ФЗ 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br/>
              <w:t xml:space="preserve">«О закупках товаров, работ, услуг отдельными видами юридических лиц».</w:t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sz w:val="16"/>
                <w:szCs w:val="16"/>
                <w:highlight w:val="white"/>
              </w:rPr>
            </w:r>
          </w:p>
        </w:tc>
      </w:tr>
    </w:tbl>
    <w:p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hanging="284"/>
        <w:jc w:val="both"/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-  В данн</w:t>
      </w:r>
      <w:r>
        <w:rPr>
          <w:rFonts w:ascii="Times New Roman" w:hAnsi="Times New Roman"/>
          <w:sz w:val="20"/>
          <w:szCs w:val="20"/>
        </w:rPr>
        <w:t xml:space="preserve">ом Разделе Методики перечислены основания, по которым Комиссия имеет право отклонить Заявку Участника. Если Заявка одного из Участников по какому-либо основанию не была отклонена Комиссией, Заявки других Участников по такому основанию также не отклоняются.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rPr>
          <w:rFonts w:asciiTheme="minorHAnsi" w:hAnsiTheme="minorHAnsi"/>
          <w:sz w:val="20"/>
          <w:szCs w:val="20"/>
        </w:rPr>
      </w:pPr>
      <w:r/>
      <w:bookmarkStart w:id="0" w:name="_GoBack"/>
      <w:r/>
      <w:bookmarkEnd w:id="0"/>
      <w:r>
        <w:rPr>
          <w:rFonts w:asciiTheme="minorHAnsi" w:hAnsiTheme="minorHAnsi"/>
          <w:sz w:val="20"/>
          <w:szCs w:val="20"/>
        </w:rPr>
      </w:r>
      <w:r>
        <w:rPr>
          <w:rFonts w:asciiTheme="minorHAnsi" w:hAnsiTheme="minorHAnsi"/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w="16838" w:h="11906" w:orient="landscape"/>
      <w:pgMar w:top="709" w:right="964" w:bottom="851" w:left="1021" w:header="709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02"/>
        <w:jc w:val="both"/>
        <w:rPr>
          <w:rFonts w:ascii="Times New Roman" w:hAnsi="Times New Roman"/>
        </w:rPr>
      </w:pPr>
      <w:r>
        <w:rPr>
          <w:rStyle w:val="904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Здесь и далее в настоящем разделе согласно положениям пункта 4.</w:t>
      </w:r>
      <w:r>
        <w:rPr>
          <w:rFonts w:ascii="Times New Roman" w:hAnsi="Times New Roman"/>
          <w:i/>
        </w:rPr>
        <w:t xml:space="preserve">5.11</w:t>
      </w:r>
      <w:r>
        <w:rPr>
          <w:rFonts w:ascii="Times New Roman" w:hAnsi="Times New Roman"/>
          <w:i/>
        </w:rPr>
        <w:t xml:space="preserve"> Документации взамен документа, представляемого Участником (за исключением документов, представляемых по предусмотренным Документацией формам, в составе Заявки может быть представлена Справка с учетом требований пунктов 4.</w:t>
      </w:r>
      <w:r>
        <w:rPr>
          <w:rFonts w:ascii="Times New Roman" w:hAnsi="Times New Roman"/>
          <w:i/>
        </w:rPr>
        <w:t xml:space="preserve">5.11</w:t>
      </w:r>
      <w:r>
        <w:rPr>
          <w:rFonts w:ascii="Times New Roman" w:hAnsi="Times New Roman"/>
          <w:i/>
        </w:rPr>
        <w:t xml:space="preserve"> и 4.</w:t>
      </w:r>
      <w:r>
        <w:rPr>
          <w:rFonts w:ascii="Times New Roman" w:hAnsi="Times New Roman"/>
          <w:i/>
        </w:rPr>
        <w:t xml:space="preserve">5.12</w:t>
      </w:r>
      <w:r>
        <w:rPr>
          <w:rFonts w:ascii="Times New Roman" w:hAnsi="Times New Roman"/>
          <w:i/>
        </w:rPr>
        <w:t xml:space="preserve"> Документации, которая используется для анализа заявок на предмет соответствия Участника и состава его Заявки требованиям Документации наряду с другими документами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jc w:val="right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i/>
        <w:sz w:val="20"/>
        <w:szCs w:val="20"/>
      </w:rPr>
      <w:t xml:space="preserve">Приложение 3</w:t>
    </w:r>
    <w:r>
      <w:rPr>
        <w:rFonts w:ascii="Times New Roman" w:hAnsi="Times New Roman"/>
        <w:i/>
        <w:sz w:val="20"/>
        <w:szCs w:val="20"/>
      </w:rPr>
    </w:r>
    <w:r>
      <w:rPr>
        <w:rFonts w:ascii="Times New Roman" w:hAnsi="Times New Roman"/>
        <w:i/>
        <w:sz w:val="20"/>
        <w:szCs w:val="20"/>
      </w:rPr>
    </w:r>
  </w:p>
  <w:p>
    <w:pPr>
      <w:pStyle w:val="895"/>
      <w:jc w:val="right"/>
    </w:pPr>
    <w:r>
      <w:rPr>
        <w:rFonts w:ascii="Times New Roman" w:hAnsi="Times New Roman"/>
        <w:i/>
        <w:sz w:val="20"/>
        <w:szCs w:val="20"/>
      </w:rPr>
      <w:t xml:space="preserve">к Документации </w:t>
    </w:r>
    <w:r>
      <w:rPr>
        <w:rFonts w:ascii="Times New Roman" w:hAnsi="Times New Roman"/>
        <w:i/>
        <w:sz w:val="20"/>
        <w:szCs w:val="20"/>
      </w:rPr>
      <w:t xml:space="preserve">о конкурентном отборе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>
    <w:name w:val="Heading 1"/>
    <w:basedOn w:val="886"/>
    <w:next w:val="886"/>
    <w:link w:val="71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7">
    <w:name w:val="Heading 1 Char"/>
    <w:basedOn w:val="887"/>
    <w:link w:val="716"/>
    <w:uiPriority w:val="9"/>
    <w:rPr>
      <w:rFonts w:ascii="Arial" w:hAnsi="Arial" w:eastAsia="Arial" w:cs="Arial"/>
      <w:sz w:val="40"/>
      <w:szCs w:val="40"/>
    </w:rPr>
  </w:style>
  <w:style w:type="paragraph" w:styleId="718">
    <w:name w:val="Heading 2"/>
    <w:basedOn w:val="886"/>
    <w:next w:val="886"/>
    <w:link w:val="71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9">
    <w:name w:val="Heading 2 Char"/>
    <w:basedOn w:val="887"/>
    <w:link w:val="718"/>
    <w:uiPriority w:val="9"/>
    <w:rPr>
      <w:rFonts w:ascii="Arial" w:hAnsi="Arial" w:eastAsia="Arial" w:cs="Arial"/>
      <w:sz w:val="34"/>
    </w:rPr>
  </w:style>
  <w:style w:type="paragraph" w:styleId="720">
    <w:name w:val="Heading 3"/>
    <w:basedOn w:val="886"/>
    <w:next w:val="886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1">
    <w:name w:val="Heading 3 Char"/>
    <w:basedOn w:val="887"/>
    <w:link w:val="720"/>
    <w:uiPriority w:val="9"/>
    <w:rPr>
      <w:rFonts w:ascii="Arial" w:hAnsi="Arial" w:eastAsia="Arial" w:cs="Arial"/>
      <w:sz w:val="30"/>
      <w:szCs w:val="30"/>
    </w:rPr>
  </w:style>
  <w:style w:type="paragraph" w:styleId="722">
    <w:name w:val="Heading 4"/>
    <w:basedOn w:val="886"/>
    <w:next w:val="886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3">
    <w:name w:val="Heading 4 Char"/>
    <w:basedOn w:val="887"/>
    <w:link w:val="722"/>
    <w:uiPriority w:val="9"/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886"/>
    <w:next w:val="886"/>
    <w:link w:val="72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5">
    <w:name w:val="Heading 5 Char"/>
    <w:basedOn w:val="887"/>
    <w:link w:val="724"/>
    <w:uiPriority w:val="9"/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886"/>
    <w:next w:val="886"/>
    <w:link w:val="7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7">
    <w:name w:val="Heading 6 Char"/>
    <w:basedOn w:val="887"/>
    <w:link w:val="726"/>
    <w:uiPriority w:val="9"/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886"/>
    <w:next w:val="886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7 Char"/>
    <w:basedOn w:val="887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0">
    <w:name w:val="Heading 8"/>
    <w:basedOn w:val="886"/>
    <w:next w:val="886"/>
    <w:link w:val="73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1">
    <w:name w:val="Heading 8 Char"/>
    <w:basedOn w:val="887"/>
    <w:link w:val="730"/>
    <w:uiPriority w:val="9"/>
    <w:rPr>
      <w:rFonts w:ascii="Arial" w:hAnsi="Arial" w:eastAsia="Arial" w:cs="Arial"/>
      <w:i/>
      <w:iCs/>
      <w:sz w:val="22"/>
      <w:szCs w:val="22"/>
    </w:rPr>
  </w:style>
  <w:style w:type="paragraph" w:styleId="732">
    <w:name w:val="Heading 9"/>
    <w:basedOn w:val="886"/>
    <w:next w:val="886"/>
    <w:link w:val="73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>
    <w:name w:val="Heading 9 Char"/>
    <w:basedOn w:val="887"/>
    <w:link w:val="732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86"/>
    <w:next w:val="886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basedOn w:val="887"/>
    <w:link w:val="735"/>
    <w:uiPriority w:val="10"/>
    <w:rPr>
      <w:sz w:val="48"/>
      <w:szCs w:val="48"/>
    </w:rPr>
  </w:style>
  <w:style w:type="paragraph" w:styleId="737">
    <w:name w:val="Subtitle"/>
    <w:basedOn w:val="886"/>
    <w:next w:val="886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87"/>
    <w:link w:val="737"/>
    <w:uiPriority w:val="11"/>
    <w:rPr>
      <w:sz w:val="24"/>
      <w:szCs w:val="24"/>
    </w:rPr>
  </w:style>
  <w:style w:type="paragraph" w:styleId="739">
    <w:name w:val="Quote"/>
    <w:basedOn w:val="886"/>
    <w:next w:val="886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86"/>
    <w:next w:val="886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87"/>
    <w:link w:val="895"/>
    <w:uiPriority w:val="99"/>
  </w:style>
  <w:style w:type="character" w:styleId="744">
    <w:name w:val="Footer Char"/>
    <w:basedOn w:val="887"/>
    <w:link w:val="897"/>
    <w:uiPriority w:val="99"/>
  </w:style>
  <w:style w:type="paragraph" w:styleId="745">
    <w:name w:val="Caption"/>
    <w:basedOn w:val="886"/>
    <w:next w:val="886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>
    <w:name w:val="Caption Char"/>
    <w:basedOn w:val="745"/>
    <w:link w:val="897"/>
    <w:uiPriority w:val="99"/>
  </w:style>
  <w:style w:type="table" w:styleId="747">
    <w:name w:val="Table Grid Light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6">
    <w:name w:val="List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7">
    <w:name w:val="List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8">
    <w:name w:val="List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9">
    <w:name w:val="List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0">
    <w:name w:val="List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1">
    <w:name w:val="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 &amp; 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Bordered &amp; 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Bordered &amp; 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Bordered &amp; 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Bordered &amp; 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Bordered &amp; 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character" w:styleId="873">
    <w:name w:val="Footnote Text Char"/>
    <w:link w:val="902"/>
    <w:uiPriority w:val="99"/>
    <w:rPr>
      <w:sz w:val="18"/>
    </w:rPr>
  </w:style>
  <w:style w:type="character" w:styleId="874">
    <w:name w:val="Endnote Text Char"/>
    <w:link w:val="899"/>
    <w:uiPriority w:val="99"/>
    <w:rPr>
      <w:sz w:val="20"/>
    </w:rPr>
  </w:style>
  <w:style w:type="paragraph" w:styleId="875">
    <w:name w:val="toc 1"/>
    <w:basedOn w:val="886"/>
    <w:next w:val="886"/>
    <w:uiPriority w:val="39"/>
    <w:unhideWhenUsed/>
    <w:pPr>
      <w:ind w:left="0" w:right="0" w:firstLine="0"/>
      <w:spacing w:after="57"/>
    </w:pPr>
  </w:style>
  <w:style w:type="paragraph" w:styleId="876">
    <w:name w:val="toc 2"/>
    <w:basedOn w:val="886"/>
    <w:next w:val="886"/>
    <w:uiPriority w:val="39"/>
    <w:unhideWhenUsed/>
    <w:pPr>
      <w:ind w:left="283" w:right="0" w:firstLine="0"/>
      <w:spacing w:after="57"/>
    </w:pPr>
  </w:style>
  <w:style w:type="paragraph" w:styleId="877">
    <w:name w:val="toc 3"/>
    <w:basedOn w:val="886"/>
    <w:next w:val="886"/>
    <w:uiPriority w:val="39"/>
    <w:unhideWhenUsed/>
    <w:pPr>
      <w:ind w:left="567" w:right="0" w:firstLine="0"/>
      <w:spacing w:after="57"/>
    </w:pPr>
  </w:style>
  <w:style w:type="paragraph" w:styleId="878">
    <w:name w:val="toc 4"/>
    <w:basedOn w:val="886"/>
    <w:next w:val="886"/>
    <w:uiPriority w:val="39"/>
    <w:unhideWhenUsed/>
    <w:pPr>
      <w:ind w:left="850" w:right="0" w:firstLine="0"/>
      <w:spacing w:after="57"/>
    </w:pPr>
  </w:style>
  <w:style w:type="paragraph" w:styleId="879">
    <w:name w:val="toc 5"/>
    <w:basedOn w:val="886"/>
    <w:next w:val="886"/>
    <w:uiPriority w:val="39"/>
    <w:unhideWhenUsed/>
    <w:pPr>
      <w:ind w:left="1134" w:right="0" w:firstLine="0"/>
      <w:spacing w:after="57"/>
    </w:pPr>
  </w:style>
  <w:style w:type="paragraph" w:styleId="880">
    <w:name w:val="toc 6"/>
    <w:basedOn w:val="886"/>
    <w:next w:val="886"/>
    <w:uiPriority w:val="39"/>
    <w:unhideWhenUsed/>
    <w:pPr>
      <w:ind w:left="1417" w:right="0" w:firstLine="0"/>
      <w:spacing w:after="57"/>
    </w:pPr>
  </w:style>
  <w:style w:type="paragraph" w:styleId="881">
    <w:name w:val="toc 7"/>
    <w:basedOn w:val="886"/>
    <w:next w:val="886"/>
    <w:uiPriority w:val="39"/>
    <w:unhideWhenUsed/>
    <w:pPr>
      <w:ind w:left="1701" w:right="0" w:firstLine="0"/>
      <w:spacing w:after="57"/>
    </w:pPr>
  </w:style>
  <w:style w:type="paragraph" w:styleId="882">
    <w:name w:val="toc 8"/>
    <w:basedOn w:val="886"/>
    <w:next w:val="886"/>
    <w:uiPriority w:val="39"/>
    <w:unhideWhenUsed/>
    <w:pPr>
      <w:ind w:left="1984" w:right="0" w:firstLine="0"/>
      <w:spacing w:after="57"/>
    </w:pPr>
  </w:style>
  <w:style w:type="paragraph" w:styleId="883">
    <w:name w:val="toc 9"/>
    <w:basedOn w:val="886"/>
    <w:next w:val="886"/>
    <w:uiPriority w:val="39"/>
    <w:unhideWhenUsed/>
    <w:pPr>
      <w:ind w:left="2268" w:right="0" w:firstLine="0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886"/>
    <w:next w:val="886"/>
    <w:uiPriority w:val="99"/>
    <w:unhideWhenUsed/>
    <w:pPr>
      <w:spacing w:after="0" w:afterAutospacing="0"/>
    </w:pPr>
  </w:style>
  <w:style w:type="paragraph" w:styleId="886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887" w:default="1">
    <w:name w:val="Default Paragraph Font"/>
    <w:uiPriority w:val="1"/>
    <w:semiHidden/>
    <w:unhideWhenUsed/>
  </w:style>
  <w:style w:type="table" w:styleId="8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9" w:default="1">
    <w:name w:val="No List"/>
    <w:uiPriority w:val="99"/>
    <w:semiHidden/>
    <w:unhideWhenUsed/>
  </w:style>
  <w:style w:type="table" w:styleId="890">
    <w:name w:val="Table Grid"/>
    <w:basedOn w:val="88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1">
    <w:name w:val="Balloon Text"/>
    <w:basedOn w:val="886"/>
    <w:link w:val="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2" w:customStyle="1">
    <w:name w:val="Текст выноски Знак"/>
    <w:link w:val="891"/>
    <w:rPr>
      <w:rFonts w:ascii="Tahoma" w:hAnsi="Tahoma" w:cs="Tahoma"/>
      <w:sz w:val="16"/>
      <w:szCs w:val="16"/>
    </w:rPr>
  </w:style>
  <w:style w:type="paragraph" w:styleId="893">
    <w:name w:val="List Paragraph"/>
    <w:basedOn w:val="886"/>
    <w:qFormat/>
    <w:pPr>
      <w:contextualSpacing/>
      <w:ind w:left="720"/>
    </w:pPr>
  </w:style>
  <w:style w:type="character" w:styleId="894">
    <w:name w:val="Placeholder Text"/>
    <w:rPr>
      <w:color w:val="808080"/>
    </w:rPr>
  </w:style>
  <w:style w:type="paragraph" w:styleId="895">
    <w:name w:val="Header"/>
    <w:basedOn w:val="886"/>
    <w:link w:val="896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6" w:customStyle="1">
    <w:name w:val="Верхний колонтитул Знак"/>
    <w:basedOn w:val="887"/>
    <w:link w:val="895"/>
  </w:style>
  <w:style w:type="paragraph" w:styleId="897">
    <w:name w:val="Footer"/>
    <w:basedOn w:val="886"/>
    <w:link w:val="898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8" w:customStyle="1">
    <w:name w:val="Нижний колонтитул Знак"/>
    <w:basedOn w:val="887"/>
    <w:link w:val="897"/>
  </w:style>
  <w:style w:type="paragraph" w:styleId="899">
    <w:name w:val="endnote text"/>
    <w:basedOn w:val="886"/>
    <w:link w:val="900"/>
    <w:pPr>
      <w:spacing w:after="0" w:line="240" w:lineRule="auto"/>
    </w:pPr>
    <w:rPr>
      <w:sz w:val="20"/>
      <w:szCs w:val="20"/>
    </w:rPr>
  </w:style>
  <w:style w:type="character" w:styleId="900" w:customStyle="1">
    <w:name w:val="Текст концевой сноски Знак"/>
    <w:link w:val="899"/>
    <w:rPr>
      <w:sz w:val="20"/>
      <w:szCs w:val="20"/>
    </w:rPr>
  </w:style>
  <w:style w:type="character" w:styleId="901">
    <w:name w:val="endnote reference"/>
    <w:rPr>
      <w:vertAlign w:val="superscript"/>
    </w:rPr>
  </w:style>
  <w:style w:type="paragraph" w:styleId="902">
    <w:name w:val="footnote text"/>
    <w:basedOn w:val="886"/>
    <w:link w:val="903"/>
    <w:pPr>
      <w:spacing w:after="0" w:line="240" w:lineRule="auto"/>
    </w:pPr>
    <w:rPr>
      <w:sz w:val="20"/>
      <w:szCs w:val="20"/>
    </w:rPr>
  </w:style>
  <w:style w:type="character" w:styleId="903" w:customStyle="1">
    <w:name w:val="Текст сноски Знак"/>
    <w:link w:val="902"/>
    <w:rPr>
      <w:sz w:val="20"/>
      <w:szCs w:val="20"/>
    </w:rPr>
  </w:style>
  <w:style w:type="character" w:styleId="904">
    <w:name w:val="footnote reference"/>
    <w:uiPriority w:val="99"/>
    <w:rPr>
      <w:vertAlign w:val="superscript"/>
    </w:rPr>
  </w:style>
  <w:style w:type="character" w:styleId="905">
    <w:name w:val="annotation reference"/>
    <w:rPr>
      <w:sz w:val="16"/>
      <w:szCs w:val="16"/>
    </w:rPr>
  </w:style>
  <w:style w:type="paragraph" w:styleId="906">
    <w:name w:val="annotation text"/>
    <w:basedOn w:val="886"/>
    <w:link w:val="907"/>
    <w:pPr>
      <w:spacing w:line="240" w:lineRule="auto"/>
    </w:pPr>
    <w:rPr>
      <w:sz w:val="20"/>
      <w:szCs w:val="20"/>
    </w:rPr>
  </w:style>
  <w:style w:type="character" w:styleId="907" w:customStyle="1">
    <w:name w:val="Текст примечания Знак"/>
    <w:link w:val="906"/>
    <w:rPr>
      <w:sz w:val="20"/>
      <w:szCs w:val="20"/>
    </w:rPr>
  </w:style>
  <w:style w:type="paragraph" w:styleId="908">
    <w:name w:val="annotation subject"/>
    <w:basedOn w:val="906"/>
    <w:next w:val="906"/>
    <w:link w:val="909"/>
    <w:rPr>
      <w:b/>
      <w:bCs/>
    </w:rPr>
  </w:style>
  <w:style w:type="character" w:styleId="909" w:customStyle="1">
    <w:name w:val="Тема примечания Знак"/>
    <w:link w:val="908"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Gazprom JSC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SM.Zemskov</dc:creator>
  <cp:lastModifiedBy>NOVIELEV</cp:lastModifiedBy>
  <cp:revision>34</cp:revision>
  <dcterms:created xsi:type="dcterms:W3CDTF">2019-03-29T08:59:00Z</dcterms:created>
  <dcterms:modified xsi:type="dcterms:W3CDTF">2026-10-05T12:52:25Z</dcterms:modified>
</cp:coreProperties>
</file>