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spacing w:after="0"/>
        <w:rPr>
          <w:rFonts w:ascii="Times New Roman" w:hAnsi="Times New Roman"/>
          <w:i/>
          <w:sz w:val="20"/>
          <w:szCs w:val="20"/>
        </w:rPr>
      </w:pPr>
      <w:r>
        <w:rPr>
          <w:rFonts w:ascii="Times New Roman" w:hAnsi="Times New Roman"/>
          <w:i/>
          <w:sz w:val="20"/>
          <w:szCs w:val="20"/>
        </w:rPr>
      </w:r>
      <w:r>
        <w:rPr>
          <w:rFonts w:ascii="Times New Roman" w:hAnsi="Times New Roman"/>
          <w:i/>
          <w:sz w:val="20"/>
          <w:szCs w:val="20"/>
        </w:rPr>
      </w:r>
      <w:r>
        <w:rPr>
          <w:rFonts w:ascii="Times New Roman" w:hAnsi="Times New Roman"/>
          <w:i/>
          <w:sz w:val="20"/>
          <w:szCs w:val="20"/>
        </w:rPr>
      </w:r>
    </w:p>
    <w:p>
      <w:pPr>
        <w:jc w:val="center"/>
        <w:spacing w:after="0"/>
        <w:rPr>
          <w:rFonts w:ascii="Times New Roman" w:hAnsi="Times New Roman"/>
          <w:b/>
          <w:sz w:val="20"/>
          <w:szCs w:val="20"/>
        </w:rPr>
      </w:pPr>
      <w:r>
        <w:rPr>
          <w:rFonts w:ascii="Times New Roman" w:hAnsi="Times New Roman"/>
          <w:b/>
          <w:sz w:val="20"/>
          <w:szCs w:val="20"/>
        </w:rPr>
        <w:t xml:space="preserve">Методика анализа и оценки заявок Участников</w:t>
      </w:r>
      <w:r>
        <w:rPr>
          <w:rFonts w:ascii="Times New Roman" w:hAnsi="Times New Roman"/>
          <w:b/>
          <w:sz w:val="20"/>
          <w:szCs w:val="20"/>
        </w:rPr>
      </w:r>
      <w:r>
        <w:rPr>
          <w:rFonts w:ascii="Times New Roman" w:hAnsi="Times New Roman"/>
          <w:b/>
          <w:sz w:val="20"/>
          <w:szCs w:val="20"/>
        </w:rPr>
      </w:r>
    </w:p>
    <w:p>
      <w:pPr>
        <w:jc w:val="center"/>
        <w:spacing w:after="0"/>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pPr>
        <w:spacing w:after="0" w:line="240" w:lineRule="auto"/>
        <w:rPr>
          <w:rFonts w:ascii="Times New Roman" w:hAnsi="Times New Roman"/>
          <w:sz w:val="20"/>
          <w:szCs w:val="20"/>
        </w:rPr>
      </w:pPr>
      <w:r>
        <w:rPr>
          <w:rFonts w:ascii="Times New Roman" w:hAnsi="Times New Roman"/>
          <w:b/>
          <w:sz w:val="20"/>
          <w:szCs w:val="20"/>
        </w:rPr>
        <w:t xml:space="preserve">Раздел 2. Опросный лист по критериям оценки Участников</w:t>
      </w:r>
      <w:r>
        <w:rPr>
          <w:rFonts w:ascii="Times New Roman" w:hAnsi="Times New Roman"/>
          <w:sz w:val="20"/>
          <w:szCs w:val="20"/>
        </w:rPr>
      </w:r>
      <w:r>
        <w:rPr>
          <w:rFonts w:ascii="Times New Roman" w:hAnsi="Times New Roman"/>
          <w:sz w:val="20"/>
          <w:szCs w:val="20"/>
        </w:rPr>
      </w:r>
    </w:p>
    <w:p>
      <w:pP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bl>
      <w:tblPr>
        <w:tblW w:w="144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37"/>
        <w:gridCol w:w="3451"/>
        <w:gridCol w:w="6743"/>
        <w:gridCol w:w="1214"/>
        <w:gridCol w:w="1712"/>
      </w:tblGrid>
      <w:tr>
        <w:tblPrEx/>
        <w:trPr>
          <w:trHeight w:val="447"/>
          <w:tblHeader/>
        </w:trPr>
        <w:tc>
          <w:tcPr>
            <w:shd w:val="clear" w:color="auto" w:fill="auto"/>
            <w:tcW w:w="1337" w:type="dxa"/>
            <w:textDirection w:val="lrTb"/>
            <w:noWrap w:val="false"/>
          </w:tcPr>
          <w:p>
            <w:pPr>
              <w:spacing w:after="0" w:line="240" w:lineRule="auto"/>
              <w:rPr>
                <w:rFonts w:ascii="Times New Roman" w:hAnsi="Times New Roman"/>
                <w:b/>
                <w:sz w:val="20"/>
                <w:szCs w:val="20"/>
              </w:rPr>
            </w:pPr>
            <w:r>
              <w:rPr>
                <w:rFonts w:ascii="Times New Roman" w:hAnsi="Times New Roman"/>
                <w:b/>
                <w:sz w:val="20"/>
                <w:szCs w:val="20"/>
              </w:rPr>
              <w:t xml:space="preserve">п/п</w:t>
            </w:r>
            <w:r>
              <w:rPr>
                <w:rFonts w:ascii="Times New Roman" w:hAnsi="Times New Roman"/>
                <w:b/>
                <w:sz w:val="20"/>
                <w:szCs w:val="20"/>
              </w:rPr>
            </w:r>
            <w:r>
              <w:rPr>
                <w:rFonts w:ascii="Times New Roman" w:hAnsi="Times New Roman"/>
                <w:b/>
                <w:sz w:val="20"/>
                <w:szCs w:val="20"/>
              </w:rPr>
            </w:r>
          </w:p>
        </w:tc>
        <w:tc>
          <w:tcPr>
            <w:shd w:val="clear" w:color="auto" w:fill="auto"/>
            <w:tcW w:w="3451" w:type="dxa"/>
            <w:textDirection w:val="lrTb"/>
            <w:noWrap w:val="false"/>
          </w:tcPr>
          <w:p>
            <w:pPr>
              <w:spacing w:after="0" w:line="240" w:lineRule="auto"/>
              <w:rPr>
                <w:rFonts w:ascii="Times New Roman" w:hAnsi="Times New Roman"/>
                <w:b/>
                <w:sz w:val="20"/>
                <w:szCs w:val="20"/>
              </w:rPr>
            </w:pPr>
            <w:r>
              <w:rPr>
                <w:rFonts w:ascii="Times New Roman" w:hAnsi="Times New Roman"/>
                <w:b/>
                <w:sz w:val="20"/>
                <w:szCs w:val="20"/>
              </w:rPr>
              <w:t xml:space="preserve">Область проверки</w:t>
            </w:r>
            <w:r>
              <w:rPr>
                <w:rFonts w:ascii="Times New Roman" w:hAnsi="Times New Roman"/>
                <w:b/>
                <w:sz w:val="20"/>
                <w:szCs w:val="20"/>
              </w:rPr>
            </w:r>
            <w:r>
              <w:rPr>
                <w:rFonts w:ascii="Times New Roman" w:hAnsi="Times New Roman"/>
                <w:b/>
                <w:sz w:val="20"/>
                <w:szCs w:val="20"/>
              </w:rPr>
            </w:r>
          </w:p>
        </w:tc>
        <w:tc>
          <w:tcPr>
            <w:shd w:val="clear" w:color="auto" w:fill="auto"/>
            <w:tcW w:w="6743" w:type="dxa"/>
            <w:textDirection w:val="lrTb"/>
            <w:noWrap w:val="false"/>
          </w:tcPr>
          <w:p>
            <w:pPr>
              <w:spacing w:after="0" w:line="240" w:lineRule="auto"/>
              <w:rPr>
                <w:rFonts w:ascii="Times New Roman" w:hAnsi="Times New Roman"/>
                <w:b/>
                <w:sz w:val="20"/>
                <w:szCs w:val="20"/>
              </w:rPr>
            </w:pPr>
            <w:r>
              <w:rPr>
                <w:rFonts w:ascii="Times New Roman" w:hAnsi="Times New Roman"/>
                <w:b/>
                <w:sz w:val="20"/>
                <w:szCs w:val="20"/>
              </w:rPr>
              <w:t xml:space="preserve">Проверяемые требования</w:t>
            </w:r>
            <w:r>
              <w:rPr>
                <w:rFonts w:ascii="Times New Roman" w:hAnsi="Times New Roman"/>
                <w:b/>
                <w:sz w:val="20"/>
                <w:szCs w:val="20"/>
              </w:rPr>
            </w:r>
            <w:r>
              <w:rPr>
                <w:rFonts w:ascii="Times New Roman" w:hAnsi="Times New Roman"/>
                <w:b/>
                <w:sz w:val="20"/>
                <w:szCs w:val="20"/>
              </w:rPr>
            </w:r>
          </w:p>
        </w:tc>
        <w:tc>
          <w:tcPr>
            <w:shd w:val="clear" w:color="auto" w:fill="auto"/>
            <w:tcW w:w="1214" w:type="dxa"/>
            <w:textDirection w:val="lrTb"/>
            <w:noWrap w:val="false"/>
          </w:tcPr>
          <w:p>
            <w:pPr>
              <w:spacing w:after="0" w:line="240" w:lineRule="auto"/>
              <w:rPr>
                <w:rFonts w:ascii="Times New Roman" w:hAnsi="Times New Roman"/>
                <w:b/>
                <w:sz w:val="20"/>
                <w:szCs w:val="20"/>
              </w:rPr>
            </w:pPr>
            <w:r>
              <w:rPr>
                <w:rFonts w:ascii="Times New Roman" w:hAnsi="Times New Roman"/>
                <w:b/>
                <w:sz w:val="20"/>
                <w:szCs w:val="20"/>
              </w:rPr>
              <w:t xml:space="preserve">Сведения из Заявки</w:t>
            </w:r>
            <w:r>
              <w:rPr>
                <w:rFonts w:ascii="Times New Roman" w:hAnsi="Times New Roman"/>
                <w:b/>
                <w:sz w:val="20"/>
                <w:szCs w:val="20"/>
              </w:rPr>
            </w:r>
            <w:r>
              <w:rPr>
                <w:rFonts w:ascii="Times New Roman" w:hAnsi="Times New Roman"/>
                <w:b/>
                <w:sz w:val="20"/>
                <w:szCs w:val="20"/>
              </w:rPr>
            </w:r>
          </w:p>
        </w:tc>
        <w:tc>
          <w:tcPr>
            <w:shd w:val="clear" w:color="auto" w:fill="auto"/>
            <w:tcW w:w="1712" w:type="dxa"/>
            <w:textDirection w:val="lrTb"/>
            <w:noWrap w:val="false"/>
          </w:tcPr>
          <w:p>
            <w:pPr>
              <w:jc w:val="center"/>
              <w:spacing w:after="0" w:line="240" w:lineRule="auto"/>
              <w:rPr>
                <w:rFonts w:ascii="Times New Roman" w:hAnsi="Times New Roman"/>
                <w:b/>
                <w:sz w:val="20"/>
                <w:szCs w:val="20"/>
              </w:rPr>
            </w:pPr>
            <w:r>
              <w:rPr>
                <w:rFonts w:ascii="Times New Roman" w:hAnsi="Times New Roman"/>
                <w:b/>
                <w:sz w:val="20"/>
                <w:szCs w:val="20"/>
              </w:rPr>
              <w:t xml:space="preserve">Единица измерения</w:t>
            </w:r>
            <w:r>
              <w:rPr>
                <w:rFonts w:ascii="Times New Roman" w:hAnsi="Times New Roman"/>
                <w:b/>
                <w:sz w:val="20"/>
                <w:szCs w:val="20"/>
              </w:rPr>
            </w:r>
            <w:r>
              <w:rPr>
                <w:rFonts w:ascii="Times New Roman" w:hAnsi="Times New Roman"/>
                <w:b/>
                <w:sz w:val="20"/>
                <w:szCs w:val="20"/>
              </w:rPr>
            </w:r>
          </w:p>
        </w:tc>
      </w:tr>
      <w:tr>
        <w:tblPrEx/>
        <w:trPr>
          <w:trHeight w:val="1693"/>
        </w:trPr>
        <w:tc>
          <w:tcPr>
            <w:shd w:val="clear" w:color="ffffff" w:fill="ffffff"/>
            <w:tcW w:w="1337" w:type="dxa"/>
            <w:vMerge w:val="restart"/>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t xml:space="preserve">Наличие Технического предложения Участника</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t xml:space="preserve">Предоставлено ли Техническое предложение </w:t>
            </w:r>
            <w:r>
              <w:rPr>
                <w:rFonts w:ascii="Times New Roman" w:hAnsi="Times New Roman"/>
                <w:sz w:val="18"/>
                <w:szCs w:val="18"/>
              </w:rPr>
              <w:t xml:space="preserve">Участника </w:t>
            </w:r>
            <w:r>
              <w:rPr>
                <w:rFonts w:ascii="Times New Roman" w:hAnsi="Times New Roman"/>
                <w:sz w:val="18"/>
                <w:szCs w:val="18"/>
              </w:rPr>
              <w:t xml:space="preserve">без нарушений требований к заполнению формы, в том числе содержащее полные и корректные сведения</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14:ligatures w14:val="none"/>
              </w:rPr>
            </w:pPr>
            <w:r>
              <w:rPr>
                <w:rFonts w:ascii="Times New Roman" w:hAnsi="Times New Roman"/>
                <w:sz w:val="18"/>
                <w:szCs w:val="18"/>
              </w:rPr>
            </w:r>
            <w:r>
              <w:rPr>
                <w:rFonts w:ascii="Times New Roman" w:hAnsi="Times New Roman"/>
                <w:sz w:val="18"/>
                <w:szCs w:val="18"/>
                <w14:ligatures w14:val="none"/>
              </w:rPr>
            </w:r>
            <w:r>
              <w:rPr>
                <w:rFonts w:ascii="Times New Roman" w:hAnsi="Times New Roman"/>
                <w:sz w:val="18"/>
                <w:szCs w:val="18"/>
                <w14:ligatures w14:val="none"/>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14:ligatures w14:val="none"/>
              </w:rPr>
            </w:pPr>
            <w:r>
              <w:rPr>
                <w:rFonts w:ascii="Times New Roman" w:hAnsi="Times New Roman"/>
                <w:sz w:val="18"/>
                <w:szCs w:val="18"/>
                <w:lang w:val="en-US"/>
              </w:rPr>
            </w:r>
            <w:r>
              <w:rPr>
                <w:rFonts w:ascii="Times New Roman" w:hAnsi="Times New Roman"/>
                <w:sz w:val="18"/>
                <w:szCs w:val="18"/>
                <w14:ligatures w14:val="none"/>
              </w:rPr>
            </w:r>
            <w:r>
              <w:rPr>
                <w:rFonts w:ascii="Times New Roman" w:hAnsi="Times New Roman"/>
                <w:sz w:val="18"/>
                <w:szCs w:val="18"/>
                <w14:ligatures w14:val="none"/>
              </w:rPr>
            </w:r>
          </w:p>
        </w:tc>
      </w:tr>
      <w:tr>
        <w:tblPrEx/>
        <w:trPr>
          <w:trHeight w:val="1693"/>
        </w:trPr>
        <w:tc>
          <w:tcPr>
            <w:shd w:val="clear" w:color="ffffff" w:fill="ffffff"/>
            <w:tcW w:w="1337" w:type="dxa"/>
            <w:vMerge w:val="restart"/>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Объем работ, выполняемый собственными силами</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Учитывается объем работ, выполняемый собственными силами (без привлечения субподрядчиков/соисполнителей). Под собственными силами понимаются силы участника закупки с учетом дочерних и зависимых обществ (в которых участник имеет более 50% акций (долей))</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14:ligatures w14:val="none"/>
              </w:rPr>
            </w:pPr>
            <w:r>
              <w:rPr>
                <w:rFonts w:ascii="Times New Roman" w:hAnsi="Times New Roman"/>
                <w:sz w:val="18"/>
                <w:szCs w:val="18"/>
              </w:rPr>
            </w:r>
            <w:r>
              <w:rPr>
                <w:rFonts w:ascii="Times New Roman" w:hAnsi="Times New Roman"/>
                <w:sz w:val="18"/>
                <w:szCs w:val="18"/>
                <w14:ligatures w14:val="none"/>
              </w:rPr>
            </w:r>
            <w:r>
              <w:rPr>
                <w:rFonts w:ascii="Times New Roman" w:hAnsi="Times New Roman"/>
                <w:sz w:val="18"/>
                <w:szCs w:val="18"/>
                <w14:ligatures w14:val="none"/>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14:ligatures w14:val="none"/>
              </w:rPr>
            </w:pPr>
            <w:r>
              <w:rPr>
                <w:rFonts w:ascii="Times New Roman" w:hAnsi="Times New Roman"/>
                <w:sz w:val="18"/>
                <w:szCs w:val="18"/>
                <w:lang w:val="en-US"/>
              </w:rPr>
              <w:t xml:space="preserve">Процент</w:t>
            </w:r>
            <w:r>
              <w:rPr>
                <w:rFonts w:ascii="Times New Roman" w:hAnsi="Times New Roman"/>
                <w:sz w:val="18"/>
                <w:szCs w:val="18"/>
                <w14:ligatures w14:val="none"/>
              </w:rPr>
            </w:r>
            <w:r>
              <w:rPr>
                <w:rFonts w:ascii="Times New Roman" w:hAnsi="Times New Roman"/>
                <w:sz w:val="18"/>
                <w:szCs w:val="18"/>
                <w14:ligatures w14:val="none"/>
              </w:rPr>
            </w:r>
          </w:p>
        </w:tc>
      </w:tr>
      <w:tr>
        <w:tblPrEx/>
        <w:trPr>
          <w:trHeight w:val="1693"/>
        </w:trPr>
        <w:tc>
          <w:tcPr>
            <w:shd w:val="clear" w:color="auto" w:fill="auto"/>
            <w:tcW w:w="1337" w:type="dxa"/>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Опыт выполнения работ/оказания услуг (общее количество представленных в заявке Участника выполненных договоров).</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Сколько выполненных договоров представлено в Заявке согласно Форме № 3 «Справка о выполнении договоров». При подсчете договоров учитывается следующее:1. Тематика (указана в п. 5.1.1 Документации). 2. Стоимост</w:t>
            </w:r>
            <w:r>
              <w:rPr>
                <w:rFonts w:ascii="Times New Roman" w:hAnsi="Times New Roman"/>
                <w:sz w:val="18"/>
                <w:szCs w:val="18"/>
              </w:rPr>
              <w:t xml:space="preserve">ь договора: если начальная (максимальная) цена договора (предмета закупки) (НМЦ) составляет значение до 50 млн. рублей с НДС, то учитываются договоры со стоимостью не менее 50 % от НМЦ; если начальная (максимальная) цена договора (предмета закупки) (НМЦ) с</w:t>
            </w:r>
            <w:r>
              <w:rPr>
                <w:rFonts w:ascii="Times New Roman" w:hAnsi="Times New Roman"/>
                <w:sz w:val="18"/>
                <w:szCs w:val="18"/>
              </w:rPr>
              <w:t xml:space="preserve">оставляет значение от 50 до 500 млн. рублей с НДС, то учитываются договоры со стоимостью не менее 30 % от НМЦ; если начальная (максимальная) цена договора (предмета закупки) (НМЦ) составляет значение от 500 до 5000 млн. рублей с НДС, то учитываются договор</w:t>
            </w:r>
            <w:r>
              <w:rPr>
                <w:rFonts w:ascii="Times New Roman" w:hAnsi="Times New Roman"/>
                <w:sz w:val="18"/>
                <w:szCs w:val="18"/>
              </w:rPr>
              <w:t xml:space="preserve">ы со стоимостью не менее 20 % от НМЦ; если начальная (максимальная) цена договора (предмета закупки) (НМЦ) составляет значение более 5000 млн. рублей с НДС, то учитываются договоры со стоимостью не менее 10 % от НМЦ. 3. Наличие копии выполненного договора.</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14:ligatures w14:val="none"/>
              </w:rPr>
            </w:pPr>
            <w:r>
              <w:rPr>
                <w:rFonts w:ascii="Times New Roman" w:hAnsi="Times New Roman"/>
                <w:sz w:val="18"/>
                <w:szCs w:val="18"/>
              </w:rPr>
            </w:r>
            <w:r>
              <w:rPr>
                <w:rFonts w:ascii="Times New Roman" w:hAnsi="Times New Roman"/>
                <w:sz w:val="18"/>
                <w:szCs w:val="18"/>
                <w14:ligatures w14:val="none"/>
              </w:rPr>
            </w:r>
            <w:r>
              <w:rPr>
                <w:rFonts w:ascii="Times New Roman" w:hAnsi="Times New Roman"/>
                <w:sz w:val="18"/>
                <w:szCs w:val="18"/>
                <w14:ligatures w14:val="none"/>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14:ligatures w14:val="none"/>
              </w:rPr>
            </w:pPr>
            <w:r>
              <w:rPr>
                <w:rFonts w:ascii="Times New Roman" w:hAnsi="Times New Roman"/>
                <w:sz w:val="18"/>
                <w:szCs w:val="18"/>
                <w:lang w:val="en-US"/>
              </w:rPr>
              <w:t xml:space="preserve">Штука</w:t>
            </w:r>
            <w:r>
              <w:rPr>
                <w:rFonts w:ascii="Times New Roman" w:hAnsi="Times New Roman"/>
                <w:sz w:val="18"/>
                <w:szCs w:val="18"/>
                <w14:ligatures w14:val="none"/>
              </w:rPr>
            </w:r>
            <w:r>
              <w:rPr>
                <w:rFonts w:ascii="Times New Roman" w:hAnsi="Times New Roman"/>
                <w:sz w:val="18"/>
                <w:szCs w:val="18"/>
                <w14:ligatures w14:val="none"/>
              </w:rPr>
            </w:r>
          </w:p>
        </w:tc>
      </w:tr>
      <w:tr>
        <w:tblPrEx/>
        <w:trPr/>
        <w:tc>
          <w:tcPr>
            <w:shd w:val="clear" w:color="auto" w:fill="auto"/>
            <w:tcW w:w="1337" w:type="dxa"/>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Опыт выполнения работ/оказания услуг (кол-во представленных в заявке Участника выполненных договоров с отзывами).</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По скольким из указанных в пункте 3 настоящего раздела договоров представлены отзывы от заказчиков (учитываются сканированные копии отзывов, входящие в состав Заявки). </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14:ligatures w14:val="none"/>
              </w:rPr>
            </w:pPr>
            <w:r>
              <w:rPr>
                <w:rFonts w:ascii="Times New Roman" w:hAnsi="Times New Roman"/>
                <w:sz w:val="18"/>
                <w:szCs w:val="18"/>
              </w:rPr>
            </w:r>
            <w:r>
              <w:rPr>
                <w:rFonts w:ascii="Times New Roman" w:hAnsi="Times New Roman"/>
                <w:sz w:val="18"/>
                <w:szCs w:val="18"/>
                <w14:ligatures w14:val="none"/>
              </w:rPr>
            </w:r>
            <w:r>
              <w:rPr>
                <w:rFonts w:ascii="Times New Roman" w:hAnsi="Times New Roman"/>
                <w:sz w:val="18"/>
                <w:szCs w:val="18"/>
                <w14:ligatures w14:val="none"/>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14:ligatures w14:val="none"/>
              </w:rPr>
            </w:pPr>
            <w:r>
              <w:rPr>
                <w:rFonts w:ascii="Times New Roman" w:hAnsi="Times New Roman"/>
                <w:sz w:val="18"/>
                <w:szCs w:val="18"/>
                <w:lang w:val="en-US"/>
              </w:rPr>
              <w:t xml:space="preserve">Штука</w:t>
            </w:r>
            <w:r>
              <w:rPr>
                <w:rFonts w:ascii="Times New Roman" w:hAnsi="Times New Roman"/>
                <w:sz w:val="18"/>
                <w:szCs w:val="18"/>
                <w14:ligatures w14:val="none"/>
              </w:rPr>
            </w:r>
            <w:r>
              <w:rPr>
                <w:rFonts w:ascii="Times New Roman" w:hAnsi="Times New Roman"/>
                <w:sz w:val="18"/>
                <w:szCs w:val="18"/>
                <w14:ligatures w14:val="none"/>
              </w:rPr>
            </w:r>
          </w:p>
        </w:tc>
      </w:tr>
      <w:tr>
        <w:tblPrEx/>
        <w:trPr>
          <w:trHeight w:val="1191"/>
        </w:trPr>
        <w:tc>
          <w:tcPr>
            <w:shd w:val="clear" w:color="auto" w:fill="auto"/>
            <w:tcW w:w="1337" w:type="dxa"/>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eastAsia="Times New Roman"/>
                <w:sz w:val="18"/>
                <w:szCs w:val="18"/>
                <w:lang w:eastAsia="ru-RU"/>
              </w:rPr>
              <w:t xml:space="preserve">Наибольшее значение из </w:t>
            </w:r>
            <w:r>
              <w:rPr>
                <w:rFonts w:ascii="Times New Roman" w:hAnsi="Times New Roman"/>
                <w:iCs/>
                <w:sz w:val="18"/>
                <w:szCs w:val="18"/>
              </w:rPr>
              <w:t xml:space="preserve">показателей выручки Участника за три последних отчетных календарных года</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Какой размер </w:t>
            </w:r>
            <w:r>
              <w:rPr>
                <w:rFonts w:ascii="Times New Roman" w:hAnsi="Times New Roman" w:eastAsia="Times New Roman"/>
                <w:sz w:val="18"/>
                <w:szCs w:val="18"/>
                <w:lang w:eastAsia="ru-RU"/>
              </w:rPr>
              <w:t xml:space="preserve">наибольшего значения из </w:t>
            </w:r>
            <w:r>
              <w:rPr>
                <w:rFonts w:ascii="Times New Roman" w:hAnsi="Times New Roman"/>
                <w:iCs/>
                <w:sz w:val="18"/>
                <w:szCs w:val="18"/>
              </w:rPr>
              <w:t xml:space="preserve">показателей выручки Участника за три последних отчетных календарных года</w:t>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pStyle w:val="1352"/>
              <w:ind w:right="113"/>
              <w:jc w:val="both"/>
              <w:rPr>
                <w:rFonts w:ascii="Times New Roman" w:hAnsi="Times New Roman"/>
                <w:sz w:val="18"/>
                <w:szCs w:val="18"/>
              </w:rPr>
            </w:pPr>
            <w:r>
              <w:rPr>
                <w:rFonts w:ascii="Times New Roman" w:hAnsi="Times New Roman"/>
                <w:sz w:val="18"/>
                <w:szCs w:val="18"/>
              </w:rPr>
              <w:t xml:space="preserve">Показатели выручки определяются следующим образом:</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Размер годовой выручки организаций (кроме учреждений) признается равным показателю строки 2110 «Выручка» из отчета о финансовых результатах (ОКУД 0710002, ОКУД 0710002).</w:t>
            </w:r>
            <w:r>
              <w:rPr>
                <w:rFonts w:ascii="Times New Roman" w:hAnsi="Times New Roman"/>
                <w:sz w:val="18"/>
                <w:szCs w:val="18"/>
              </w:rPr>
            </w:r>
            <w:r>
              <w:rPr>
                <w:rFonts w:ascii="Times New Roman" w:hAnsi="Times New Roman"/>
                <w:sz w:val="18"/>
                <w:szCs w:val="18"/>
              </w:rPr>
            </w:r>
          </w:p>
          <w:p>
            <w:pPr>
              <w:pStyle w:val="1352"/>
              <w:ind w:right="113"/>
              <w:jc w:val="both"/>
              <w:rPr>
                <w:rFonts w:ascii="Times New Roman" w:hAnsi="Times New Roman"/>
                <w:sz w:val="18"/>
                <w:szCs w:val="18"/>
              </w:rPr>
            </w:pPr>
            <w:r>
              <w:rPr>
                <w:rFonts w:ascii="Times New Roman" w:hAnsi="Times New Roman"/>
                <w:sz w:val="18"/>
                <w:szCs w:val="18"/>
              </w:rPr>
              <w:t xml:space="preserve">Размер годовой выручки учреждений определяется в порядке, указанном в письме Минфина России 16.04.2018 № 02-06-10/25658.</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Размер годовой выручки индивидуальных предпринимателей признается равным показателям: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ОСНО- показателю строки 060 «Налоговая база для исчисления налога» раздела 2 декларации 3 – НДФЛ (КНД 1151020) по коду вида выручки «07»;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УСН – показателям с</w:t>
            </w:r>
            <w:r>
              <w:rPr>
                <w:rFonts w:ascii="Times New Roman" w:hAnsi="Times New Roman"/>
                <w:sz w:val="18"/>
                <w:szCs w:val="18"/>
              </w:rPr>
              <w:t xml:space="preserve">троки 113 «Сумма полученных доходов (налоговая база для исчисления налога) за налоговый период» раздела 2.1.1 или строки 213 «Сумма полученных доходов (налоговая база для исчисления налога) за налоговый период» раздела 2.2 декларации по УСН (КНД 1152017);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ЕСХН - показателю строки 010 «Сумма дохода за налоговый период, учитываемая для определения налоговой базы по налогу» раздела 1 декларации по ЕСХН (КНД 1151059).</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Размер годовой выручки хозяйствующего субъекта, применяющего налог на профессиональный доход, признается равным показателю «Общая сумма дохода за календарный год» в справке о состоянии расчетов по налогу на профессиональный доход (КНД 1122056).</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auto" w:fill="auto"/>
            <w:tcW w:w="1337" w:type="dxa"/>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Сумма неисполненных обязательств Участника перед контрагентами по всем договорам, срок выполнения которых попадает 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Какая сумма неисполненных обязательств Участника перед контрагентами по всем договорам, срок выполнения которых попадает на срок выполнения работ (оказания услуг), являющихся предметом закупки (</w:t>
            </w:r>
            <w:r>
              <w:rPr>
                <w:rFonts w:ascii="Times New Roman" w:hAnsi="Times New Roman"/>
                <w:b/>
                <w:sz w:val="18"/>
                <w:szCs w:val="18"/>
              </w:rPr>
              <w:t xml:space="preserve">сумма</w:t>
            </w:r>
            <w:r>
              <w:rPr>
                <w:rFonts w:ascii="Times New Roman" w:hAnsi="Times New Roman"/>
                <w:sz w:val="18"/>
                <w:szCs w:val="18"/>
              </w:rPr>
              <w:t xml:space="preserve"> по столбцу 8 формы «Справка о незавершенных обязательствах Участника перед контрагентами по выполнению работ (оказанию услуг), которые попадают 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auto" w:fill="auto"/>
            <w:tcW w:w="1337" w:type="dxa"/>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Суммарное количество месяцев исполнения неисполненных Участником перед контрагентами всех договоров обязательств, которые попадают 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Какое суммарное количество месяцев исполнения неисполненных Участником перед контрагентами всех договоров обязательств, которые попадают на срок выполнения работ (оказания услуг), являющихся предметом закупки (</w:t>
            </w:r>
            <w:r>
              <w:rPr>
                <w:rFonts w:ascii="Times New Roman" w:hAnsi="Times New Roman"/>
                <w:b/>
                <w:sz w:val="18"/>
                <w:szCs w:val="18"/>
              </w:rPr>
              <w:t xml:space="preserve">сумма</w:t>
            </w:r>
            <w:r>
              <w:rPr>
                <w:rFonts w:ascii="Times New Roman" w:hAnsi="Times New Roman"/>
                <w:sz w:val="18"/>
                <w:szCs w:val="18"/>
              </w:rPr>
              <w:t xml:space="preserve"> по столбцу 9 формы «Справка о незавершенных обязательствах Участника перед контрагентами по выполнению работ (оказанию услуг), которые попадают 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rPr>
              <w:t xml:space="preserve">Месяц</w:t>
            </w:r>
            <w:r>
              <w:rPr>
                <w:rFonts w:ascii="Times New Roman" w:hAnsi="Times New Roman"/>
                <w:sz w:val="18"/>
                <w:szCs w:val="18"/>
              </w:rPr>
            </w:r>
            <w:r>
              <w:rPr>
                <w:rFonts w:ascii="Times New Roman" w:hAnsi="Times New Roman"/>
                <w:sz w:val="18"/>
                <w:szCs w:val="18"/>
              </w:rPr>
            </w:r>
          </w:p>
        </w:tc>
      </w:tr>
      <w:tr>
        <w:tblPrEx/>
        <w:trPr/>
        <w:tc>
          <w:tcPr>
            <w:shd w:val="clear" w:color="auto" w:fill="auto"/>
            <w:tcW w:w="1337" w:type="dxa"/>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Количество полных месяцев</w:t>
            </w:r>
            <w:bookmarkStart w:id="0" w:name="_Ref137804749"/>
            <w:r>
              <w:rPr>
                <w:rStyle w:val="1354"/>
                <w:rFonts w:ascii="Times New Roman" w:hAnsi="Times New Roman"/>
                <w:sz w:val="18"/>
                <w:szCs w:val="18"/>
              </w:rPr>
              <w:footnoteReference w:id="2"/>
            </w:r>
            <w:r>
              <w:rPr>
                <w:rStyle w:val="1354"/>
                <w:rFonts w:ascii="Times New Roman" w:hAnsi="Times New Roman"/>
                <w:sz w:val="18"/>
                <w:szCs w:val="18"/>
              </w:rPr>
              <w:t xml:space="preserve"> </w:t>
            </w:r>
            <w:bookmarkEnd w:id="0"/>
            <w:r>
              <w:rPr>
                <w:rFonts w:ascii="Times New Roman" w:hAnsi="Times New Roman"/>
                <w:sz w:val="18"/>
                <w:szCs w:val="18"/>
              </w:rPr>
              <w:t xml:space="preserve">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Количество полных месяцев</w:t>
            </w:r>
            <w:r>
              <w:rPr>
                <w:rFonts w:ascii="Times New Roman" w:hAnsi="Times New Roman"/>
                <w:sz w:val="18"/>
                <w:szCs w:val="18"/>
                <w:vertAlign w:val="superscript"/>
              </w:rPr>
              <w:t xml:space="preserve">1</w:t>
            </w:r>
            <w:r>
              <w:rPr>
                <w:rFonts w:ascii="Times New Roman" w:hAnsi="Times New Roman"/>
                <w:sz w:val="18"/>
                <w:szCs w:val="18"/>
              </w:rPr>
              <w:t xml:space="preserve">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rPr>
              <w:t xml:space="preserve">Месяц</w:t>
            </w:r>
            <w:r>
              <w:rPr>
                <w:rFonts w:ascii="Times New Roman" w:hAnsi="Times New Roman"/>
                <w:sz w:val="18"/>
                <w:szCs w:val="18"/>
              </w:rPr>
            </w:r>
            <w:r>
              <w:rPr>
                <w:rFonts w:ascii="Times New Roman" w:hAnsi="Times New Roman"/>
                <w:sz w:val="18"/>
                <w:szCs w:val="18"/>
              </w:rPr>
            </w:r>
          </w:p>
        </w:tc>
      </w:tr>
      <w:tr>
        <w:tblPrEx/>
        <w:trPr/>
        <w:tc>
          <w:tcPr>
            <w:shd w:val="clear" w:color="ffffff" w:fill="ffffff"/>
            <w:tcW w:w="1337" w:type="dxa"/>
            <w:vMerge w:val="restart"/>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shd w:val="clear" w:color="ffffff" w:themeColor="background1" w:fill="ffffff" w:themeFill="background1"/>
              <w:rPr>
                <w:rFonts w:ascii="Times New Roman" w:hAnsi="Times New Roman"/>
                <w:sz w:val="18"/>
                <w:szCs w:val="18"/>
              </w:rPr>
            </w:pPr>
            <w:r>
              <w:rPr>
                <w:rFonts w:ascii="Times New Roman" w:hAnsi="Times New Roman" w:eastAsiaTheme="minorEastAsia"/>
                <w:iCs/>
                <w:sz w:val="18"/>
                <w:szCs w:val="18"/>
              </w:rPr>
              <w:t xml:space="preserve">Выручка Участника за последний отчётный календарный год</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Какой размер </w:t>
            </w:r>
            <w:r>
              <w:rPr>
                <w:rFonts w:ascii="Times New Roman" w:hAnsi="Times New Roman"/>
                <w:iCs/>
                <w:sz w:val="18"/>
                <w:szCs w:val="18"/>
              </w:rPr>
              <w:t xml:space="preserve">выручки Участника за последний отчетный календарный год</w:t>
            </w:r>
            <w:r>
              <w:rPr>
                <w:rFonts w:ascii="Times New Roman" w:hAnsi="Times New Roman"/>
                <w:sz w:val="18"/>
                <w:szCs w:val="18"/>
              </w:rPr>
              <w:t xml:space="preserve">: показатели выручки для целей расчета определяются в соответствии таблицей, приведенной в Приложении 1 к Методике.</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ffffff" w:fill="ffffff"/>
            <w:tcW w:w="1337" w:type="dxa"/>
            <w:vMerge w:val="restart"/>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shd w:val="clear" w:color="ffffff" w:themeColor="background1" w:fill="ffffff" w:themeFill="background1"/>
              <w:rPr>
                <w:rFonts w:ascii="Times New Roman" w:hAnsi="Times New Roman"/>
                <w:sz w:val="18"/>
                <w:szCs w:val="18"/>
              </w:rPr>
            </w:pPr>
            <w:r>
              <w:rPr>
                <w:rFonts w:ascii="Times New Roman" w:hAnsi="Times New Roman" w:eastAsiaTheme="minorEastAsia"/>
                <w:iCs/>
                <w:sz w:val="18"/>
                <w:szCs w:val="18"/>
              </w:rPr>
              <w:t xml:space="preserve">Среднее арифметическое значение выручки Участника, рассчитанной за три последних отчётных календарных года</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eastAsiaTheme="minorEastAsia"/>
                <w:iCs/>
                <w:sz w:val="18"/>
                <w:szCs w:val="18"/>
              </w:rPr>
              <w:t xml:space="preserve">Какое среднее арифметическое значение выручки Участника, рассчитанной за три последних отчётных календарных года: показатели выручки</w:t>
            </w:r>
            <w:r>
              <w:rPr>
                <w:rFonts w:ascii="Times New Roman" w:hAnsi="Times New Roman"/>
                <w:sz w:val="18"/>
                <w:szCs w:val="18"/>
              </w:rPr>
              <w:t xml:space="preserve"> для целей расчета определяются в соответствии таблицей, приведенной в Приложении 1 к Методике.</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ffffff" w:fill="ffffff"/>
            <w:tcW w:w="1337" w:type="dxa"/>
            <w:vMerge w:val="restart"/>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shd w:val="clear" w:color="ffffff" w:themeColor="background1" w:fill="ffffff" w:themeFill="background1"/>
              <w:rPr>
                <w:rFonts w:ascii="Times New Roman" w:hAnsi="Times New Roman"/>
                <w:sz w:val="18"/>
                <w:szCs w:val="18"/>
              </w:rPr>
            </w:pPr>
            <w:r>
              <w:rPr>
                <w:rFonts w:ascii="Times New Roman" w:hAnsi="Times New Roman" w:eastAsiaTheme="minorEastAsia"/>
                <w:iCs/>
                <w:sz w:val="18"/>
                <w:szCs w:val="18"/>
              </w:rPr>
              <w:t xml:space="preserve">Краткосрочные обязательства Участника за последний отчетный календарный год</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eastAsiaTheme="minorEastAsia"/>
                <w:iCs/>
                <w:sz w:val="18"/>
                <w:szCs w:val="18"/>
              </w:rPr>
              <w:t xml:space="preserve">Какой размер краткосрочных обязательств Участника за последний отчетный календарный год: п</w:t>
            </w:r>
            <w:r>
              <w:rPr>
                <w:rFonts w:ascii="Times New Roman" w:hAnsi="Times New Roman"/>
                <w:sz w:val="18"/>
                <w:szCs w:val="18"/>
              </w:rPr>
              <w:t xml:space="preserve">оказатели краткосрочных обязательств для целей расчета определяются в соответствии таблицей, приведенной в Приложении 1 к Методике.</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ffffff" w:fill="ffffff"/>
            <w:tcW w:w="1337" w:type="dxa"/>
            <w:vMerge w:val="restart"/>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shd w:val="clear" w:color="ffffff" w:themeColor="background1" w:fill="ffffff" w:themeFill="background1"/>
              <w:rPr>
                <w:rFonts w:ascii="Times New Roman" w:hAnsi="Times New Roman"/>
                <w:sz w:val="18"/>
                <w:szCs w:val="18"/>
              </w:rPr>
            </w:pPr>
            <w:r>
              <w:rPr>
                <w:rFonts w:ascii="Times New Roman" w:hAnsi="Times New Roman" w:eastAsiaTheme="minorEastAsia"/>
                <w:sz w:val="18"/>
                <w:szCs w:val="18"/>
              </w:rPr>
              <w:t xml:space="preserve">Основные средства Участника </w:t>
            </w:r>
            <w:r>
              <w:rPr>
                <w:rFonts w:ascii="Times New Roman" w:hAnsi="Times New Roman" w:eastAsiaTheme="minorEastAsia"/>
                <w:iCs/>
                <w:sz w:val="18"/>
                <w:szCs w:val="18"/>
              </w:rPr>
              <w:t xml:space="preserve">за последний отчетный календарный год</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Какой размер основных средств Участника за последний отчетный календарный год: показатели основных средств для целей расчета определяются в соответствии таблицей, приведенной в Приложении 1 к Методике.</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auto" w:fill="auto"/>
            <w:tcW w:w="1337" w:type="dxa"/>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Наличие справки о материально-технических ресурсах Участника</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14:ligatures w14:val="none"/>
              </w:rPr>
            </w:pPr>
            <w:r>
              <w:rPr>
                <w:rFonts w:ascii="Times New Roman" w:hAnsi="Times New Roman"/>
                <w:sz w:val="18"/>
                <w:szCs w:val="18"/>
              </w:rPr>
              <w:t xml:space="preserve">Предоставлена ли справка о материально-технических ресурсах Участника б</w:t>
            </w:r>
            <w:r>
              <w:rPr>
                <w:rFonts w:ascii="Times New Roman" w:hAnsi="Times New Roman"/>
                <w:sz w:val="18"/>
                <w:szCs w:val="18"/>
              </w:rPr>
              <w:t xml:space="preserve">ез </w:t>
            </w:r>
            <w:r>
              <w:rPr>
                <w:rFonts w:ascii="Times New Roman" w:hAnsi="Times New Roman"/>
                <w:sz w:val="18"/>
                <w:szCs w:val="18"/>
              </w:rPr>
              <w:t xml:space="preserve">нарушений требований к заполнению формы, в том числе содержащая полные и корректные сведения</w:t>
            </w:r>
            <w:r>
              <w:rPr>
                <w:rFonts w:ascii="Times New Roman" w:hAnsi="Times New Roman"/>
                <w:sz w:val="18"/>
                <w:szCs w:val="18"/>
                <w14:ligatures w14:val="none"/>
              </w:rPr>
            </w:r>
            <w:r>
              <w:rPr>
                <w:rFonts w:ascii="Times New Roman" w:hAnsi="Times New Roman"/>
                <w:sz w:val="18"/>
                <w:szCs w:val="18"/>
                <w14:ligatures w14:val="none"/>
              </w:rPr>
            </w:r>
          </w:p>
        </w:tc>
        <w:tc>
          <w:tcPr>
            <w:shd w:val="clear" w:color="auto" w:fill="auto"/>
            <w:tcW w:w="1214" w:type="dxa"/>
            <w:textDirection w:val="lrTb"/>
            <w:noWrap w:val="false"/>
          </w:tcPr>
          <w:p>
            <w:pPr>
              <w:rPr>
                <w:sz w:val="18"/>
                <w:szCs w:val="18"/>
              </w:rPr>
            </w:pPr>
            <w:r>
              <w:rPr>
                <w:sz w:val="18"/>
                <w:szCs w:val="18"/>
              </w:rPr>
            </w:r>
            <w:r>
              <w:rPr>
                <w:sz w:val="18"/>
                <w:szCs w:val="18"/>
              </w:rPr>
            </w:r>
            <w:r>
              <w:rPr>
                <w:sz w:val="18"/>
                <w:szCs w:val="18"/>
              </w:rPr>
            </w:r>
          </w:p>
        </w:tc>
        <w:tc>
          <w:tcPr>
            <w:shd w:val="clear" w:color="auto" w:fill="auto"/>
            <w:tcW w:w="1712" w:type="dxa"/>
            <w:vAlign w:val="top"/>
            <w:textDirection w:val="lrTb"/>
            <w:noWrap w:val="false"/>
          </w:tcPr>
          <w:p>
            <w:pPr>
              <w:rPr>
                <w:sz w:val="18"/>
                <w:szCs w:val="18"/>
              </w:rPr>
            </w:pPr>
            <w:r>
              <w:rPr>
                <w:sz w:val="18"/>
                <w:szCs w:val="18"/>
              </w:rPr>
            </w:r>
            <w:r>
              <w:rPr>
                <w:sz w:val="18"/>
                <w:szCs w:val="18"/>
              </w:rPr>
            </w:r>
            <w:r>
              <w:rPr>
                <w:sz w:val="18"/>
                <w:szCs w:val="18"/>
              </w:rPr>
            </w:r>
          </w:p>
        </w:tc>
      </w:tr>
      <w:tr>
        <w:tblPrEx/>
        <w:trPr/>
        <w:tc>
          <w:tcPr>
            <w:shd w:val="clear" w:color="auto" w:fill="auto"/>
            <w:tcW w:w="1337" w:type="dxa"/>
            <w:textDirection w:val="lrTb"/>
            <w:noWrap w:val="false"/>
          </w:tcPr>
          <w:p>
            <w:pPr>
              <w:pStyle w:val="1343"/>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Наличие справки о кадровых ресурсах Участника</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Предоставлена ли справка о кадровых ресурсах Участника </w:t>
            </w:r>
            <w:r>
              <w:rPr>
                <w:rFonts w:ascii="Times New Roman" w:hAnsi="Times New Roman"/>
                <w:sz w:val="18"/>
                <w:szCs w:val="18"/>
              </w:rPr>
              <w:t xml:space="preserve">б</w:t>
            </w:r>
            <w:r>
              <w:rPr>
                <w:rFonts w:ascii="Times New Roman" w:hAnsi="Times New Roman"/>
                <w:sz w:val="18"/>
                <w:szCs w:val="18"/>
              </w:rPr>
              <w:t xml:space="preserve">ез </w:t>
            </w:r>
            <w:r>
              <w:rPr>
                <w:rFonts w:ascii="Times New Roman" w:hAnsi="Times New Roman"/>
                <w:sz w:val="18"/>
                <w:szCs w:val="18"/>
              </w:rPr>
              <w:t xml:space="preserve">нарушений требований к заполнению формы, в том числе содержащая полные и корректные сведения</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rPr>
                <w:sz w:val="18"/>
                <w:szCs w:val="18"/>
              </w:rPr>
            </w:pPr>
            <w:r>
              <w:rPr>
                <w:sz w:val="18"/>
                <w:szCs w:val="18"/>
              </w:rPr>
            </w:r>
            <w:r>
              <w:rPr>
                <w:sz w:val="18"/>
                <w:szCs w:val="18"/>
              </w:rPr>
            </w:r>
            <w:r>
              <w:rPr>
                <w:sz w:val="18"/>
                <w:szCs w:val="18"/>
              </w:rPr>
            </w:r>
          </w:p>
        </w:tc>
        <w:tc>
          <w:tcPr>
            <w:shd w:val="clear" w:color="auto" w:fill="auto"/>
            <w:tcW w:w="1712" w:type="dxa"/>
            <w:vAlign w:val="top"/>
            <w:textDirection w:val="lrTb"/>
            <w:noWrap w:val="false"/>
          </w:tcPr>
          <w:p>
            <w:pPr>
              <w:rPr>
                <w:sz w:val="18"/>
                <w:szCs w:val="18"/>
              </w:rPr>
            </w:pPr>
            <w:r>
              <w:rPr>
                <w:sz w:val="18"/>
                <w:szCs w:val="18"/>
              </w:rPr>
            </w:r>
            <w:r>
              <w:rPr>
                <w:sz w:val="18"/>
                <w:szCs w:val="18"/>
              </w:rPr>
            </w:r>
            <w:r>
              <w:rPr>
                <w:sz w:val="18"/>
                <w:szCs w:val="18"/>
              </w:rPr>
            </w:r>
          </w:p>
        </w:tc>
      </w:tr>
    </w:tbl>
    <w:p>
      <w:pPr>
        <w:spacing w:after="0" w:line="240" w:lineRule="auto"/>
        <w:rPr>
          <w:rFonts w:ascii="Times New Roman" w:hAnsi="Times New Roman" w:eastAsiaTheme="minorHAnsi"/>
          <w:b/>
          <w:sz w:val="20"/>
          <w:szCs w:val="20"/>
        </w:rPr>
      </w:pPr>
      <w:r>
        <w:rPr>
          <w:rFonts w:ascii="Times New Roman" w:hAnsi="Times New Roman" w:eastAsiaTheme="minorHAnsi"/>
          <w:b/>
          <w:sz w:val="20"/>
          <w:szCs w:val="20"/>
        </w:rPr>
        <w:br w:type="page" w:clear="all"/>
      </w:r>
      <w:r>
        <w:rPr>
          <w:rFonts w:ascii="Times New Roman" w:hAnsi="Times New Roman" w:eastAsiaTheme="minorHAnsi"/>
          <w:b/>
          <w:sz w:val="20"/>
          <w:szCs w:val="20"/>
        </w:rPr>
      </w:r>
      <w:r>
        <w:rPr>
          <w:rFonts w:ascii="Times New Roman" w:hAnsi="Times New Roman" w:eastAsiaTheme="minorHAnsi"/>
          <w:b/>
          <w:sz w:val="20"/>
          <w:szCs w:val="20"/>
        </w:rPr>
      </w:r>
    </w:p>
    <w:p>
      <w:pPr>
        <w:spacing w:line="240" w:lineRule="auto"/>
        <w:rPr>
          <w:rFonts w:ascii="Times New Roman" w:hAnsi="Times New Roman"/>
          <w:b/>
          <w:sz w:val="20"/>
          <w:szCs w:val="20"/>
        </w:rPr>
      </w:pPr>
      <w:r>
        <w:rPr>
          <w:rFonts w:ascii="Times New Roman" w:hAnsi="Times New Roman"/>
          <w:sz w:val="20"/>
          <w:szCs w:val="20"/>
        </w:rPr>
      </w:r>
      <w:r>
        <w:rPr>
          <w:rFonts w:ascii="Times New Roman" w:hAnsi="Times New Roman"/>
          <w:b/>
          <w:sz w:val="20"/>
          <w:szCs w:val="20"/>
        </w:rPr>
        <w:t xml:space="preserve">Раздел 3. Оценка и сопоставление заявок Участников </w:t>
      </w:r>
      <w:r>
        <w:rPr>
          <w:rFonts w:ascii="Times New Roman" w:hAnsi="Times New Roman"/>
          <w:b/>
          <w:sz w:val="20"/>
          <w:szCs w:val="20"/>
        </w:rPr>
      </w:r>
      <w:r>
        <w:rPr>
          <w:rFonts w:ascii="Times New Roman" w:hAnsi="Times New Roman"/>
          <w:b/>
          <w:sz w:val="20"/>
          <w:szCs w:val="20"/>
        </w:rPr>
      </w:r>
    </w:p>
    <w:p>
      <w:pPr>
        <w:ind w:firstLine="567"/>
        <w:spacing w:after="0" w:line="240" w:lineRule="auto"/>
        <w:rPr>
          <w:rFonts w:ascii="Times New Roman" w:hAnsi="Times New Roman"/>
          <w:sz w:val="20"/>
          <w:szCs w:val="20"/>
        </w:rPr>
      </w:pPr>
      <w:r>
        <w:rPr>
          <w:rFonts w:ascii="Times New Roman" w:hAnsi="Times New Roman"/>
          <w:sz w:val="20"/>
          <w:szCs w:val="20"/>
        </w:rPr>
        <w:t xml:space="preserve">Рейтинг Заявки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r>
        <w:rPr>
          <w:rFonts w:ascii="Times New Roman" w:hAnsi="Times New Roman"/>
          <w:sz w:val="20"/>
          <w:szCs w:val="20"/>
        </w:rPr>
      </w:r>
      <w:r>
        <w:rPr>
          <w:rFonts w:ascii="Times New Roman" w:hAnsi="Times New Roman"/>
          <w:sz w:val="20"/>
          <w:szCs w:val="20"/>
        </w:rPr>
      </w:r>
    </w:p>
    <w:p>
      <w:pPr>
        <w:ind w:firstLine="567"/>
        <w:spacing w:after="0" w:line="240" w:lineRule="auto"/>
        <w:rPr>
          <w:rFonts w:ascii="Times New Roman" w:hAnsi="Times New Roman"/>
          <w:sz w:val="20"/>
          <w:szCs w:val="20"/>
        </w:rPr>
      </w:pPr>
      <w:r>
        <w:rPr>
          <w:rFonts w:ascii="Times New Roman" w:hAnsi="Times New Roman"/>
          <w:sz w:val="20"/>
          <w:szCs w:val="20"/>
        </w:rPr>
        <w:t xml:space="preserve">Дробное значение рейтинга заявки и оценки в баллах по критериям (подкритериям) округляются до двух десятичных знаков после запятой по математическим правилам округления.</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Для данной закупки максимальный уровень оценки устанавливается в баллах равных 100 или в процентах – равных 100%.</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Сравнительная оценка Заявок Участников проводится по следующим критериям:</w:t>
      </w:r>
      <w:r>
        <w:rPr>
          <w:rFonts w:ascii="Times New Roman" w:hAnsi="Times New Roman"/>
          <w:sz w:val="20"/>
          <w:szCs w:val="20"/>
        </w:rPr>
      </w:r>
      <w:r>
        <w:rPr>
          <w:rFonts w:ascii="Times New Roman" w:hAnsi="Times New Roman"/>
          <w:sz w:val="20"/>
          <w:szCs w:val="20"/>
        </w:rPr>
      </w:r>
    </w:p>
    <w:p>
      <w:pPr>
        <w:pStyle w:val="1343"/>
        <w:numPr>
          <w:ilvl w:val="0"/>
          <w:numId w:val="9"/>
        </w:numPr>
        <w:jc w:val="both"/>
        <w:spacing w:after="0" w:line="240" w:lineRule="auto"/>
        <w:rPr>
          <w:rFonts w:ascii="Times New Roman" w:hAnsi="Times New Roman"/>
          <w:sz w:val="20"/>
          <w:szCs w:val="20"/>
        </w:rPr>
      </w:pPr>
      <w:r>
        <w:rPr>
          <w:rFonts w:ascii="Times New Roman" w:hAnsi="Times New Roman"/>
          <w:sz w:val="20"/>
          <w:szCs w:val="20"/>
        </w:rPr>
        <w:t xml:space="preserve">Стоимостной</w:t>
      </w:r>
      <w:r>
        <w:rPr>
          <w:rFonts w:ascii="Times New Roman" w:hAnsi="Times New Roman"/>
          <w:sz w:val="20"/>
          <w:szCs w:val="20"/>
        </w:rPr>
      </w:r>
      <w:r>
        <w:rPr>
          <w:rFonts w:ascii="Times New Roman" w:hAnsi="Times New Roman"/>
          <w:sz w:val="20"/>
          <w:szCs w:val="20"/>
        </w:rPr>
      </w:r>
    </w:p>
    <w:p>
      <w:pPr>
        <w:pStyle w:val="1343"/>
        <w:numPr>
          <w:ilvl w:val="0"/>
          <w:numId w:val="9"/>
        </w:numPr>
        <w:jc w:val="both"/>
        <w:spacing w:after="0" w:line="240" w:lineRule="auto"/>
        <w:rPr>
          <w:rFonts w:ascii="Times New Roman" w:hAnsi="Times New Roman"/>
          <w:sz w:val="20"/>
          <w:szCs w:val="20"/>
        </w:rPr>
      </w:pPr>
      <w:r>
        <w:rPr>
          <w:rFonts w:ascii="Times New Roman" w:hAnsi="Times New Roman"/>
          <w:sz w:val="20"/>
          <w:szCs w:val="20"/>
        </w:rPr>
        <w:t xml:space="preserve">Нестоимостной</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Оценки по критериям заносятся в графу (S) сводного протокола балльной оценки Заявки Участника, на основе которых формируется общая оценка по данной Заявке, и в соответствующей графе выставляется балльная оценка. Для каждого критерия указа</w:t>
      </w:r>
      <w:r>
        <w:rPr>
          <w:rFonts w:ascii="Times New Roman" w:hAnsi="Times New Roman"/>
          <w:sz w:val="20"/>
          <w:szCs w:val="20"/>
        </w:rPr>
        <w:t xml:space="preserve">н коэффициент весомости (T). Конечная балльная оценка по каждому критерию (V) определяется как произведение оценки на указанный коэффициент (T x S). Общая оценка Заявки Участника определяется как сумма соответствующих итоговых оценок по всем критериям (V).</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Итоговая оценка Заявки Участника выводится как арифметическая сумма оценок всех вышеуказанных критериев. </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При этом устанавливается следующее долевое соотношение между максимально возможными оценками:</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eastAsiaTheme="minorHAnsi"/>
          <w:sz w:val="20"/>
          <w:szCs w:val="24"/>
        </w:rPr>
      </w:pPr>
      <w:r>
        <w:rPr>
          <w:rFonts w:ascii="Times New Roman" w:hAnsi="Times New Roman" w:eastAsiaTheme="minorHAnsi"/>
          <w:sz w:val="20"/>
          <w:szCs w:val="24"/>
        </w:rPr>
      </w:r>
      <w:r>
        <w:rPr>
          <w:rFonts w:ascii="Times New Roman" w:hAnsi="Times New Roman" w:eastAsiaTheme="minorHAnsi"/>
          <w:sz w:val="20"/>
          <w:szCs w:val="24"/>
        </w:rPr>
      </w:r>
      <w:r>
        <w:rPr>
          <w:rFonts w:ascii="Times New Roman" w:hAnsi="Times New Roman" w:eastAsiaTheme="minorHAnsi"/>
          <w:sz w:val="20"/>
          <w:szCs w:val="24"/>
        </w:rPr>
      </w:r>
    </w:p>
    <w:tbl>
      <w:tblPr>
        <w:tblW w:w="11062" w:type="dxa"/>
        <w:tblInd w:w="103" w:type="dxa"/>
        <w:tblLook w:val="04A0" w:firstRow="1" w:lastRow="0" w:firstColumn="1" w:lastColumn="0" w:noHBand="0" w:noVBand="1"/>
      </w:tblPr>
      <w:tblGrid>
        <w:gridCol w:w="809"/>
        <w:gridCol w:w="3671"/>
        <w:gridCol w:w="936"/>
        <w:gridCol w:w="1110"/>
        <w:gridCol w:w="1984"/>
        <w:gridCol w:w="2552"/>
      </w:tblGrid>
      <w:tr>
        <w:tblPrEx/>
        <w:trPr>
          <w:gridAfter w:val="3"/>
          <w:trHeight w:val="315"/>
        </w:trPr>
        <w:tc>
          <w:tcPr>
            <w:gridSpan w:val="2"/>
            <w:shd w:val="clear" w:color="ffffff" w:fill="ffffff"/>
            <w:tcBorders>
              <w:top w:val="single" w:color="000000" w:sz="4" w:space="0"/>
              <w:left w:val="single" w:color="000000" w:sz="4" w:space="0"/>
              <w:bottom w:val="single" w:color="000000" w:sz="4" w:space="0"/>
              <w:right w:val="single" w:color="000000" w:sz="4" w:space="0"/>
            </w:tcBorders>
            <w:tcW w:w="4480"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heme="minorHAnsi"/>
                <w:b/>
                <w:szCs w:val="24"/>
              </w:rPr>
              <w:t xml:space="preserve">Стоимостной</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W w:w="936"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40%</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gridAfter w:val="3"/>
          <w:trHeight w:val="315"/>
        </w:trPr>
        <w:tc>
          <w:tcPr>
            <w:gridSpan w:val="2"/>
            <w:shd w:val="clear" w:color="ffffff" w:fill="ffffff"/>
            <w:tcBorders>
              <w:top w:val="single" w:color="000000" w:sz="4" w:space="0"/>
              <w:left w:val="single" w:color="000000" w:sz="4" w:space="0"/>
              <w:bottom w:val="single" w:color="000000" w:sz="4" w:space="0"/>
              <w:right w:val="single" w:color="000000" w:sz="4" w:space="0"/>
            </w:tcBorders>
            <w:tcW w:w="4480"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heme="minorHAnsi"/>
                <w:b/>
                <w:szCs w:val="24"/>
              </w:rPr>
              <w:t xml:space="preserve">Нестоимостной</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none" w:color="000000" w:sz="4" w:space="0"/>
              <w:left w:val="single" w:color="000000" w:sz="4" w:space="0"/>
              <w:bottom w:val="single" w:color="000000" w:sz="4" w:space="0"/>
              <w:right w:val="single" w:color="000000" w:sz="4" w:space="0"/>
            </w:tcBorders>
            <w:tcW w:w="936"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60%</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gridAfter w:val="3"/>
          <w:trHeight w:val="315"/>
        </w:trPr>
        <w:tc>
          <w:tcPr>
            <w:gridSpan w:val="2"/>
            <w:shd w:val="clear" w:color="ffffff" w:fill="ffffff"/>
            <w:tcBorders>
              <w:top w:val="single" w:color="000000" w:sz="4" w:space="0"/>
              <w:left w:val="single" w:color="000000" w:sz="4" w:space="0"/>
              <w:bottom w:val="single" w:color="000000" w:sz="4" w:space="0"/>
              <w:right w:val="single" w:color="000000" w:sz="4" w:space="0"/>
            </w:tcBorders>
            <w:tcW w:w="4480"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Всего</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none" w:color="000000" w:sz="4" w:space="0"/>
              <w:left w:val="single" w:color="000000" w:sz="4" w:space="0"/>
              <w:bottom w:val="single" w:color="000000" w:sz="4" w:space="0"/>
              <w:right w:val="single" w:color="000000" w:sz="4" w:space="0"/>
            </w:tcBorders>
            <w:tcW w:w="936"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100%</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trHeight w:val="20"/>
        </w:trPr>
        <w:tc>
          <w:tcPr>
            <w:gridSpan w:val="6"/>
            <w:shd w:val="clear" w:color="ffffff" w:fill="ffffff"/>
            <w:tcBorders>
              <w:top w:val="none" w:color="000000" w:sz="4" w:space="0"/>
              <w:left w:val="none" w:color="000000" w:sz="4" w:space="0"/>
              <w:bottom w:val="none" w:color="000000" w:sz="4" w:space="0"/>
              <w:right w:val="none" w:color="000000" w:sz="4" w:space="0"/>
            </w:tcBorders>
            <w:tcW w:w="11062"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Сводный протокол балльной оценки </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trHeight w:val="20"/>
        </w:trPr>
        <w:tc>
          <w:tcPr>
            <w:shd w:val="clear" w:color="ffffff" w:fill="ffffff"/>
            <w:tcBorders>
              <w:top w:val="single" w:color="000000" w:sz="4" w:space="0"/>
              <w:left w:val="single" w:color="000000" w:sz="4" w:space="0"/>
              <w:bottom w:val="none" w:color="000000" w:sz="4" w:space="0"/>
              <w:right w:val="single" w:color="000000" w:sz="4" w:space="0"/>
            </w:tcBorders>
            <w:tcW w:w="809" w:type="dxa"/>
            <w:vAlign w:val="center"/>
            <w:textDirection w:val="lrTb"/>
            <w:noWrap w:val="false"/>
          </w:tcPr>
          <w:p>
            <w:pPr>
              <w:jc w:val="center"/>
              <w:spacing w:after="0" w:line="240" w:lineRule="auto"/>
              <w:rPr>
                <w:rFonts w:ascii="Times New Roman" w:hAnsi="Times New Roman" w:eastAsia="Times New Roman"/>
                <w:b/>
                <w:bCs/>
                <w:lang w:eastAsia="ru-RU"/>
              </w:rPr>
            </w:pPr>
            <w:r>
              <w:rPr>
                <w:rFonts w:ascii="Times New Roman" w:hAnsi="Times New Roman" w:eastAsia="Times New Roman"/>
                <w:b/>
                <w:bCs/>
                <w:lang w:eastAsia="ru-RU"/>
              </w:rPr>
              <w:t xml:space="preserve">п/п</w:t>
            </w:r>
            <w:r>
              <w:rPr>
                <w:rFonts w:ascii="Times New Roman" w:hAnsi="Times New Roman" w:eastAsia="Times New Roman"/>
                <w:b/>
                <w:bCs/>
                <w:lang w:eastAsia="ru-RU"/>
              </w:rPr>
            </w:r>
            <w:r>
              <w:rPr>
                <w:rFonts w:ascii="Times New Roman" w:hAnsi="Times New Roman" w:eastAsia="Times New Roman"/>
                <w:b/>
                <w:bCs/>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3671" w:type="dxa"/>
            <w:vAlign w:val="center"/>
            <w:textDirection w:val="lrTb"/>
            <w:noWrap w:val="false"/>
          </w:tcPr>
          <w:p>
            <w:pPr>
              <w:jc w:val="center"/>
              <w:spacing w:after="0" w:line="240" w:lineRule="auto"/>
              <w:rPr>
                <w:rFonts w:ascii="Times New Roman" w:hAnsi="Times New Roman" w:eastAsia="Times New Roman"/>
                <w:b/>
                <w:bCs/>
                <w:lang w:eastAsia="ru-RU"/>
              </w:rPr>
            </w:pPr>
            <w:r>
              <w:rPr>
                <w:rFonts w:ascii="Times New Roman" w:hAnsi="Times New Roman" w:eastAsia="Times New Roman"/>
                <w:b/>
                <w:bCs/>
                <w:lang w:eastAsia="ru-RU"/>
              </w:rPr>
              <w:t xml:space="preserve">Наименование критерия</w:t>
            </w:r>
            <w:r>
              <w:rPr>
                <w:rFonts w:ascii="Times New Roman" w:hAnsi="Times New Roman" w:eastAsia="Times New Roman"/>
                <w:b/>
                <w:bCs/>
                <w:lang w:eastAsia="ru-RU"/>
              </w:rPr>
            </w:r>
            <w:r>
              <w:rPr>
                <w:rFonts w:ascii="Times New Roman" w:hAnsi="Times New Roman" w:eastAsia="Times New Roman"/>
                <w:b/>
                <w:bCs/>
                <w:lang w:eastAsia="ru-RU"/>
              </w:rPr>
            </w:r>
          </w:p>
        </w:tc>
        <w:tc>
          <w:tcPr>
            <w:gridSpan w:val="2"/>
            <w:shd w:val="clear" w:color="ffffff" w:fill="ffffff"/>
            <w:tcBorders>
              <w:top w:val="single" w:color="000000" w:sz="4" w:space="0"/>
              <w:left w:val="none" w:color="000000" w:sz="4" w:space="0"/>
              <w:bottom w:val="single" w:color="000000" w:sz="4" w:space="0"/>
              <w:right w:val="single" w:color="000000" w:sz="4" w:space="0"/>
            </w:tcBorders>
            <w:tcW w:w="2046" w:type="dxa"/>
            <w:vAlign w:val="center"/>
            <w:textDirection w:val="lrTb"/>
            <w:noWrap w:val="false"/>
          </w:tcPr>
          <w:p>
            <w:pPr>
              <w:jc w:val="center"/>
              <w:spacing w:after="0" w:line="240" w:lineRule="auto"/>
              <w:rPr>
                <w:rFonts w:ascii="Times New Roman" w:hAnsi="Times New Roman" w:eastAsia="Times New Roman"/>
                <w:b/>
                <w:bCs/>
                <w:lang w:eastAsia="ru-RU"/>
              </w:rPr>
            </w:pPr>
            <w:r>
              <w:rPr>
                <w:rFonts w:ascii="Times New Roman" w:hAnsi="Times New Roman" w:eastAsia="Times New Roman"/>
                <w:b/>
                <w:bCs/>
                <w:lang w:eastAsia="ru-RU"/>
              </w:rPr>
              <w:t xml:space="preserve">Коэффициент значимости</w:t>
            </w:r>
            <w:r>
              <w:rPr>
                <w:rFonts w:ascii="Times New Roman" w:hAnsi="Times New Roman" w:eastAsia="Times New Roman"/>
                <w:b/>
                <w:bCs/>
                <w:lang w:eastAsia="ru-RU"/>
              </w:rPr>
              <w:br/>
              <w:t xml:space="preserve">(Т)</w:t>
            </w:r>
            <w:r>
              <w:rPr>
                <w:rFonts w:ascii="Times New Roman" w:hAnsi="Times New Roman" w:eastAsia="Times New Roman"/>
                <w:b/>
                <w:bCs/>
                <w:lang w:eastAsia="ru-RU"/>
              </w:rPr>
            </w:r>
            <w:r>
              <w:rPr>
                <w:rFonts w:ascii="Times New Roman" w:hAnsi="Times New Roman" w:eastAsia="Times New Roman"/>
                <w:b/>
                <w:bCs/>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1984" w:type="dxa"/>
            <w:vAlign w:val="center"/>
            <w:textDirection w:val="lrTb"/>
            <w:noWrap w:val="false"/>
          </w:tcPr>
          <w:p>
            <w:pPr>
              <w:jc w:val="center"/>
              <w:spacing w:after="0" w:line="240" w:lineRule="auto"/>
              <w:rPr>
                <w:rFonts w:ascii="Times New Roman" w:hAnsi="Times New Roman" w:eastAsia="Times New Roman"/>
                <w:b/>
                <w:bCs/>
                <w:lang w:eastAsia="ru-RU"/>
              </w:rPr>
            </w:pPr>
            <w:r>
              <w:rPr>
                <w:rFonts w:ascii="Times New Roman" w:hAnsi="Times New Roman" w:eastAsiaTheme="minorHAnsi"/>
                <w:szCs w:val="24"/>
              </w:rPr>
              <w:t xml:space="preserve">Общая оценка по критериям</w:t>
            </w:r>
            <w:r>
              <w:rPr>
                <w:rFonts w:ascii="Times New Roman" w:hAnsi="Times New Roman" w:eastAsia="Times New Roman"/>
                <w:b/>
                <w:bCs/>
                <w:lang w:eastAsia="ru-RU"/>
              </w:rPr>
              <w:br/>
              <w:t xml:space="preserve">(S)</w:t>
            </w:r>
            <w:r>
              <w:rPr>
                <w:rFonts w:ascii="Times New Roman" w:hAnsi="Times New Roman" w:eastAsia="Times New Roman"/>
                <w:b/>
                <w:bCs/>
                <w:lang w:eastAsia="ru-RU"/>
              </w:rPr>
            </w:r>
            <w:r>
              <w:rPr>
                <w:rFonts w:ascii="Times New Roman" w:hAnsi="Times New Roman" w:eastAsia="Times New Roman"/>
                <w:b/>
                <w:bCs/>
                <w:lang w:eastAsia="ru-RU"/>
              </w:rPr>
            </w:r>
          </w:p>
        </w:tc>
        <w:tc>
          <w:tcPr>
            <w:shd w:val="clear" w:color="ffffff" w:fill="ffffff"/>
            <w:tcBorders>
              <w:top w:val="single" w:color="000000" w:sz="4" w:space="0"/>
              <w:left w:val="none" w:color="000000" w:sz="4" w:space="0"/>
              <w:bottom w:val="none" w:color="000000" w:sz="4" w:space="0"/>
              <w:right w:val="single" w:color="000000" w:sz="4" w:space="0"/>
            </w:tcBorders>
            <w:tcW w:w="2552" w:type="dxa"/>
            <w:vAlign w:val="center"/>
            <w:textDirection w:val="lrTb"/>
            <w:noWrap w:val="false"/>
          </w:tcPr>
          <w:p>
            <w:pPr>
              <w:jc w:val="center"/>
              <w:spacing w:after="0" w:line="240" w:lineRule="auto"/>
              <w:rPr>
                <w:rFonts w:ascii="Times New Roman" w:hAnsi="Times New Roman" w:eastAsia="Times New Roman"/>
                <w:b/>
                <w:bCs/>
                <w:lang w:eastAsia="ru-RU"/>
              </w:rPr>
            </w:pPr>
            <w:r>
              <w:rPr>
                <w:rFonts w:ascii="Times New Roman" w:hAnsi="Times New Roman" w:eastAsia="Times New Roman"/>
                <w:b/>
                <w:bCs/>
                <w:lang w:eastAsia="ru-RU"/>
              </w:rPr>
              <w:t xml:space="preserve">Балльная оценка </w:t>
            </w:r>
            <w:r>
              <w:rPr>
                <w:rFonts w:ascii="Times New Roman" w:hAnsi="Times New Roman" w:eastAsia="Times New Roman"/>
                <w:b/>
                <w:bCs/>
                <w:lang w:eastAsia="ru-RU"/>
              </w:rPr>
              <w:br/>
              <w:t xml:space="preserve">(V=S*T)</w:t>
            </w:r>
            <w:r>
              <w:rPr>
                <w:rFonts w:ascii="Times New Roman" w:hAnsi="Times New Roman" w:eastAsia="Times New Roman"/>
                <w:b/>
                <w:bCs/>
                <w:lang w:eastAsia="ru-RU"/>
              </w:rPr>
            </w:r>
            <w:r>
              <w:rPr>
                <w:rFonts w:ascii="Times New Roman" w:hAnsi="Times New Roman" w:eastAsia="Times New Roman"/>
                <w:b/>
                <w:bCs/>
                <w:lang w:eastAsia="ru-RU"/>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809"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1.</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3671"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heme="minorHAnsi"/>
                <w:b/>
                <w:szCs w:val="24"/>
              </w:rPr>
              <w:t xml:space="preserve">Стоимостной</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gridSpan w:val="2"/>
            <w:shd w:val="clear" w:color="ffffff" w:fill="ffffff"/>
            <w:tcBorders>
              <w:top w:val="single" w:color="000000" w:sz="4" w:space="0"/>
              <w:left w:val="none" w:color="000000" w:sz="4" w:space="0"/>
              <w:bottom w:val="single" w:color="000000" w:sz="4" w:space="0"/>
              <w:right w:val="single" w:color="000000" w:sz="4" w:space="0"/>
            </w:tcBorders>
            <w:tcW w:w="2046"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4</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1984"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2552"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809"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2.</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3671"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heme="minorHAnsi"/>
                <w:b/>
                <w:szCs w:val="24"/>
              </w:rPr>
              <w:t xml:space="preserve">Нестоимостной</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gridSpan w:val="2"/>
            <w:shd w:val="clear" w:color="ffffff" w:fill="ffffff"/>
            <w:tcBorders>
              <w:top w:val="single" w:color="000000" w:sz="4" w:space="0"/>
              <w:left w:val="none" w:color="000000" w:sz="4" w:space="0"/>
              <w:bottom w:val="single" w:color="000000" w:sz="4" w:space="0"/>
              <w:right w:val="single" w:color="000000" w:sz="4" w:space="0"/>
            </w:tcBorders>
            <w:tcW w:w="2046"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6</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1984"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none" w:color="000000" w:sz="4" w:space="0"/>
              <w:left w:val="none" w:color="000000" w:sz="4" w:space="0"/>
              <w:bottom w:val="single" w:color="000000" w:sz="4" w:space="0"/>
              <w:right w:val="single" w:color="000000" w:sz="4" w:space="0"/>
            </w:tcBorders>
            <w:tcW w:w="2552"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trHeight w:val="20"/>
        </w:trPr>
        <w:tc>
          <w:tcPr>
            <w:gridSpan w:val="2"/>
            <w:shd w:val="clear" w:color="ffffff" w:fill="ffffff"/>
            <w:tcBorders>
              <w:top w:val="single" w:color="000000" w:sz="4" w:space="0"/>
              <w:left w:val="single" w:color="000000" w:sz="4" w:space="0"/>
              <w:bottom w:val="single" w:color="000000" w:sz="4" w:space="0"/>
              <w:right w:val="single" w:color="000000" w:sz="4" w:space="0"/>
            </w:tcBorders>
            <w:tcW w:w="4480"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Итоговая оценка</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gridSpan w:val="2"/>
            <w:shd w:val="clear" w:color="ffffff" w:fill="ffffff"/>
            <w:tcBorders>
              <w:top w:val="single" w:color="000000" w:sz="4" w:space="0"/>
              <w:left w:val="none" w:color="000000" w:sz="4" w:space="0"/>
              <w:bottom w:val="single" w:color="000000" w:sz="4" w:space="0"/>
              <w:right w:val="single" w:color="000000" w:sz="4" w:space="0"/>
            </w:tcBorders>
            <w:tcW w:w="2046"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10</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1984"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  V:</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none" w:color="000000" w:sz="4" w:space="0"/>
              <w:left w:val="none" w:color="000000" w:sz="4" w:space="0"/>
              <w:bottom w:val="single" w:color="000000" w:sz="4" w:space="0"/>
              <w:right w:val="single" w:color="000000" w:sz="4" w:space="0"/>
            </w:tcBorders>
            <w:tcW w:w="2552"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bl>
    <w:p>
      <w:pPr>
        <w:jc w:val="center"/>
        <w:spacing w:after="0" w:line="240" w:lineRule="auto"/>
        <w:rPr>
          <w:rFonts w:ascii="Times New Roman" w:hAnsi="Times New Roman" w:eastAsiaTheme="minorHAnsi"/>
          <w:sz w:val="20"/>
          <w:szCs w:val="20"/>
        </w:rPr>
      </w:pPr>
      <w:r>
        <w:rPr>
          <w:rFonts w:ascii="Times New Roman" w:hAnsi="Times New Roman" w:eastAsiaTheme="minorHAnsi"/>
          <w:sz w:val="20"/>
          <w:szCs w:val="20"/>
        </w:rPr>
      </w:r>
      <w:r>
        <w:rPr>
          <w:rFonts w:ascii="Times New Roman" w:hAnsi="Times New Roman" w:eastAsiaTheme="minorHAnsi"/>
          <w:sz w:val="20"/>
          <w:szCs w:val="20"/>
        </w:rPr>
      </w:r>
      <w:r>
        <w:rPr>
          <w:rFonts w:ascii="Times New Roman" w:hAnsi="Times New Roman" w:eastAsiaTheme="minorHAnsi"/>
          <w:sz w:val="20"/>
          <w:szCs w:val="20"/>
        </w:rPr>
      </w:r>
    </w:p>
    <w:p>
      <w:pPr>
        <w:jc w:val="center"/>
        <w:spacing w:after="0" w:line="240" w:lineRule="auto"/>
        <w:rPr>
          <w:rFonts w:ascii="Times New Roman" w:hAnsi="Times New Roman" w:eastAsiaTheme="minorHAnsi"/>
          <w:sz w:val="20"/>
          <w:szCs w:val="20"/>
        </w:rPr>
      </w:pPr>
      <w:r>
        <w:rPr>
          <w:rFonts w:ascii="Times New Roman" w:hAnsi="Times New Roman" w:eastAsiaTheme="minorHAnsi"/>
          <w:sz w:val="20"/>
          <w:szCs w:val="20"/>
        </w:rPr>
      </w:r>
      <w:r>
        <w:rPr>
          <w:rFonts w:ascii="Times New Roman" w:hAnsi="Times New Roman" w:eastAsiaTheme="minorHAnsi"/>
          <w:sz w:val="20"/>
          <w:szCs w:val="20"/>
        </w:rPr>
      </w:r>
      <w:r>
        <w:rPr>
          <w:rFonts w:ascii="Times New Roman" w:hAnsi="Times New Roman" w:eastAsiaTheme="minorHAnsi"/>
          <w:sz w:val="20"/>
          <w:szCs w:val="20"/>
        </w:rPr>
      </w:r>
    </w:p>
    <w:p>
      <w:pPr>
        <w:jc w:val="center"/>
        <w:spacing w:after="0" w:line="240" w:lineRule="auto"/>
        <w:rPr>
          <w:rFonts w:ascii="Times New Roman" w:hAnsi="Times New Roman" w:eastAsiaTheme="minorHAnsi"/>
          <w:sz w:val="20"/>
          <w:szCs w:val="20"/>
        </w:rPr>
      </w:pPr>
      <w:r>
        <w:rPr>
          <w:rFonts w:ascii="Times New Roman" w:hAnsi="Times New Roman" w:eastAsiaTheme="minorHAnsi"/>
          <w:sz w:val="20"/>
          <w:szCs w:val="20"/>
        </w:rPr>
      </w:r>
      <w:r>
        <w:rPr>
          <w:rFonts w:ascii="Times New Roman" w:hAnsi="Times New Roman" w:eastAsiaTheme="minorHAnsi"/>
          <w:sz w:val="20"/>
          <w:szCs w:val="20"/>
        </w:rPr>
      </w:r>
      <w:r>
        <w:rPr>
          <w:rFonts w:ascii="Times New Roman" w:hAnsi="Times New Roman" w:eastAsiaTheme="minorHAnsi"/>
          <w:sz w:val="20"/>
          <w:szCs w:val="20"/>
        </w:rPr>
      </w:r>
    </w:p>
    <w:p>
      <w:pPr>
        <w:spacing w:after="0" w:line="240" w:lineRule="auto"/>
        <w:rPr>
          <w:rFonts w:ascii="Times New Roman" w:hAnsi="Times New Roman" w:eastAsiaTheme="minorHAnsi"/>
          <w:b/>
          <w:szCs w:val="24"/>
        </w:rPr>
      </w:pPr>
      <w:r>
        <w:rPr>
          <w:rFonts w:ascii="Times New Roman" w:hAnsi="Times New Roman" w:eastAsiaTheme="minorHAnsi"/>
          <w:b/>
          <w:szCs w:val="24"/>
        </w:rPr>
        <w:br w:type="page" w:clear="all"/>
      </w:r>
      <w:r>
        <w:rPr>
          <w:rFonts w:ascii="Times New Roman" w:hAnsi="Times New Roman" w:eastAsiaTheme="minorHAnsi"/>
          <w:b/>
          <w:szCs w:val="24"/>
        </w:rPr>
      </w:r>
      <w:r>
        <w:rPr>
          <w:rFonts w:ascii="Times New Roman" w:hAnsi="Times New Roman" w:eastAsiaTheme="minorHAnsi"/>
          <w:b/>
          <w:szCs w:val="24"/>
        </w:rPr>
      </w:r>
    </w:p>
    <w:p>
      <w:pPr>
        <w:numPr>
          <w:ilvl w:val="0"/>
          <w:numId w:val="7"/>
        </w:numPr>
        <w:contextualSpacing/>
        <w:rPr>
          <w:rFonts w:ascii="Times New Roman" w:hAnsi="Times New Roman" w:eastAsiaTheme="minorHAnsi"/>
          <w:b/>
          <w:sz w:val="20"/>
          <w:szCs w:val="20"/>
        </w:rPr>
      </w:pPr>
      <w:r>
        <w:rPr>
          <w:rFonts w:ascii="Times New Roman" w:hAnsi="Times New Roman" w:eastAsiaTheme="minorHAnsi"/>
          <w:b/>
          <w:sz w:val="20"/>
          <w:szCs w:val="20"/>
        </w:rPr>
        <w:t xml:space="preserve">Оценка стоимостного критерия</w:t>
      </w:r>
      <w:r>
        <w:rPr>
          <w:rFonts w:ascii="Times New Roman" w:hAnsi="Times New Roman" w:eastAsiaTheme="minorHAnsi"/>
          <w:b/>
          <w:sz w:val="20"/>
          <w:szCs w:val="20"/>
        </w:rPr>
      </w:r>
      <w:r>
        <w:rPr>
          <w:rFonts w:ascii="Times New Roman" w:hAnsi="Times New Roman" w:eastAsiaTheme="minorHAnsi"/>
          <w:b/>
          <w:sz w:val="20"/>
          <w:szCs w:val="20"/>
        </w:rPr>
      </w:r>
    </w:p>
    <w:p>
      <w:pPr>
        <w:spacing w:after="0" w:line="240" w:lineRule="auto"/>
        <w:rPr>
          <w:rFonts w:ascii="Times New Roman" w:hAnsi="Times New Roman" w:eastAsiaTheme="minorHAnsi"/>
          <w:b/>
          <w:szCs w:val="24"/>
        </w:rPr>
      </w:pPr>
      <w:r>
        <w:rPr>
          <w:rFonts w:ascii="Times New Roman" w:hAnsi="Times New Roman" w:eastAsiaTheme="minorHAnsi"/>
          <w:b/>
          <w:szCs w:val="24"/>
        </w:rPr>
      </w:r>
      <w:r>
        <w:rPr>
          <w:rFonts w:ascii="Times New Roman" w:hAnsi="Times New Roman" w:eastAsiaTheme="minorHAnsi"/>
          <w:b/>
          <w:szCs w:val="24"/>
        </w:rPr>
      </w:r>
      <w:r>
        <w:rPr>
          <w:rFonts w:ascii="Times New Roman" w:hAnsi="Times New Roman" w:eastAsiaTheme="minorHAnsi"/>
          <w:b/>
          <w:szCs w:val="24"/>
        </w:rPr>
      </w:r>
    </w:p>
    <w:tbl>
      <w:tblPr>
        <w:tblW w:w="1587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8"/>
        <w:gridCol w:w="2663"/>
        <w:gridCol w:w="1190"/>
        <w:gridCol w:w="3831"/>
        <w:gridCol w:w="5327"/>
        <w:gridCol w:w="1134"/>
        <w:gridCol w:w="1134"/>
      </w:tblGrid>
      <w:tr>
        <w:tblPrEx/>
        <w:trPr>
          <w:trHeight w:val="20"/>
        </w:trPr>
        <w:tc>
          <w:tcPr>
            <w:shd w:val="clear" w:color="auto" w:fill="auto"/>
            <w:tcW w:w="598"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w:t>
            </w:r>
            <w:r>
              <w:rPr>
                <w:rFonts w:ascii="Times New Roman" w:hAnsi="Times New Roman" w:eastAsia="Times New Roman"/>
                <w:b/>
                <w:bCs/>
                <w:sz w:val="20"/>
                <w:szCs w:val="20"/>
                <w:lang w:eastAsia="ru-RU"/>
              </w:rPr>
              <w:br/>
              <w:t xml:space="preserve">п/п</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2663"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Подкритерии оценки*</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90"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Значимость (вес) **</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3831"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Предмет оценки</w:t>
            </w:r>
            <w:r>
              <w:rPr>
                <w:rFonts w:ascii="Times New Roman" w:hAnsi="Times New Roman" w:eastAsia="Times New Roman"/>
                <w:b/>
                <w:bCs/>
                <w:sz w:val="20"/>
                <w:szCs w:val="20"/>
              </w:rPr>
            </w:r>
            <w:r>
              <w:rPr>
                <w:rFonts w:ascii="Times New Roman" w:hAnsi="Times New Roman" w:eastAsia="Times New Roman"/>
                <w:b/>
                <w:bCs/>
                <w:sz w:val="20"/>
                <w:szCs w:val="20"/>
              </w:rPr>
            </w:r>
          </w:p>
        </w:tc>
        <w:tc>
          <w:tcPr>
            <w:tcW w:w="5327"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Принцип учета подкритерия</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Значение показателя (баллы)</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Оценка по подкритерию</w:t>
            </w:r>
            <w:r>
              <w:rPr>
                <w:rFonts w:ascii="Times New Roman" w:hAnsi="Times New Roman" w:eastAsia="Times New Roman"/>
                <w:b/>
                <w:bCs/>
                <w:sz w:val="20"/>
                <w:szCs w:val="20"/>
              </w:rPr>
            </w:r>
            <w:r>
              <w:rPr>
                <w:rFonts w:ascii="Times New Roman" w:hAnsi="Times New Roman" w:eastAsia="Times New Roman"/>
                <w:b/>
                <w:bCs/>
                <w:sz w:val="20"/>
                <w:szCs w:val="20"/>
              </w:rPr>
            </w:r>
          </w:p>
        </w:tc>
      </w:tr>
      <w:tr>
        <w:tblPrEx/>
        <w:trPr>
          <w:trHeight w:val="20"/>
        </w:trPr>
        <w:tc>
          <w:tcPr>
            <w:shd w:val="clear" w:color="auto" w:fill="auto"/>
            <w:tcW w:w="598" w:type="dxa"/>
            <w:textDirection w:val="lrTb"/>
            <w:noWrap w:val="false"/>
          </w:tcPr>
          <w:p>
            <w:pP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2663"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90"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А</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3831"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tcW w:w="5327"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В</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S = А х В</w:t>
            </w:r>
            <w:r>
              <w:rPr>
                <w:rFonts w:ascii="Times New Roman" w:hAnsi="Times New Roman" w:eastAsia="Times New Roman"/>
                <w:b/>
                <w:bCs/>
                <w:sz w:val="20"/>
                <w:szCs w:val="20"/>
              </w:rPr>
            </w:r>
            <w:r>
              <w:rPr>
                <w:rFonts w:ascii="Times New Roman" w:hAnsi="Times New Roman" w:eastAsia="Times New Roman"/>
                <w:b/>
                <w:bCs/>
                <w:sz w:val="20"/>
                <w:szCs w:val="20"/>
              </w:rPr>
            </w:r>
          </w:p>
        </w:tc>
      </w:tr>
      <w:tr>
        <w:tblPrEx/>
        <w:trPr>
          <w:trHeight w:val="20"/>
        </w:trPr>
        <w:tc>
          <w:tcPr>
            <w:shd w:val="clear" w:color="auto" w:fill="auto"/>
            <w:tcW w:w="598"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1.</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2663" w:type="dxa"/>
            <w:textDirection w:val="lrTb"/>
            <w:noWrap w:val="false"/>
          </w:tcPr>
          <w:p>
            <w:pPr>
              <w:spacing w:after="0" w:line="240" w:lineRule="auto"/>
              <w:rPr>
                <w:rFonts w:ascii="Times New Roman" w:hAnsi="Times New Roman" w:eastAsia="Times New Roman"/>
                <w:sz w:val="18"/>
                <w:szCs w:val="18"/>
              </w:rPr>
            </w:pPr>
            <w:r>
              <w:rPr>
                <w:rFonts w:ascii="Times New Roman" w:hAnsi="Times New Roman" w:eastAsiaTheme="minorHAnsi"/>
                <w:sz w:val="18"/>
                <w:szCs w:val="18"/>
              </w:rPr>
              <w:t xml:space="preserve">Уровень цены заявки</w:t>
            </w:r>
            <w:r>
              <w:rPr>
                <w:rFonts w:ascii="Times New Roman" w:hAnsi="Times New Roman" w:eastAsia="Times New Roman"/>
                <w:sz w:val="18"/>
                <w:szCs w:val="18"/>
              </w:rPr>
            </w:r>
            <w:r>
              <w:rPr>
                <w:rFonts w:ascii="Times New Roman" w:hAnsi="Times New Roman" w:eastAsia="Times New Roman"/>
                <w:sz w:val="18"/>
                <w:szCs w:val="18"/>
              </w:rPr>
            </w:r>
          </w:p>
        </w:tc>
        <w:tc>
          <w:tcPr>
            <w:shd w:val="clear" w:color="auto" w:fill="auto"/>
            <w:tcW w:w="1190"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1</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3831" w:type="dxa"/>
            <w:textDirection w:val="lrTb"/>
            <w:noWrap w:val="false"/>
          </w:tcPr>
          <w:p>
            <w:pPr>
              <w:spacing w:after="0" w:line="240" w:lineRule="auto"/>
              <w:rPr>
                <w:rFonts w:ascii="Times New Roman" w:hAnsi="Times New Roman" w:eastAsia="Times New Roman"/>
                <w:sz w:val="18"/>
                <w:szCs w:val="18"/>
              </w:rPr>
            </w:pPr>
            <w:r>
              <w:rPr>
                <w:rFonts w:ascii="Times New Roman" w:hAnsi="Times New Roman" w:eastAsiaTheme="minorHAnsi"/>
                <w:sz w:val="18"/>
                <w:szCs w:val="18"/>
              </w:rPr>
              <w:t xml:space="preserve">Коммерческое предложение участника</w:t>
            </w:r>
            <w:r>
              <w:rPr>
                <w:rFonts w:ascii="Times New Roman" w:hAnsi="Times New Roman" w:eastAsia="Times New Roman"/>
                <w:sz w:val="18"/>
                <w:szCs w:val="18"/>
              </w:rPr>
            </w:r>
            <w:r>
              <w:rPr>
                <w:rFonts w:ascii="Times New Roman" w:hAnsi="Times New Roman" w:eastAsia="Times New Roman"/>
                <w:sz w:val="18"/>
                <w:szCs w:val="18"/>
              </w:rPr>
            </w:r>
          </w:p>
        </w:tc>
        <w:tc>
          <w:tcPr>
            <w:tcW w:w="5327"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В= 10 * (N</w:t>
            </w:r>
            <w:r>
              <w:rPr>
                <w:rFonts w:ascii="Times New Roman" w:hAnsi="Times New Roman" w:eastAsiaTheme="minorHAnsi"/>
                <w:sz w:val="18"/>
                <w:szCs w:val="18"/>
                <w:lang w:val="en-US"/>
              </w:rPr>
              <w:t xml:space="preserve">min</w:t>
            </w:r>
            <w:r>
              <w:rPr>
                <w:rFonts w:ascii="Times New Roman" w:hAnsi="Times New Roman" w:eastAsiaTheme="minorHAnsi"/>
                <w:sz w:val="18"/>
                <w:szCs w:val="18"/>
              </w:rPr>
              <w:t xml:space="preserve">/Ni)</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где:</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N min– минимальная цена Заявки Участников.</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Ni –цена Заявки оцениваемого Участника.</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sz w:val="18"/>
                <w:szCs w:val="18"/>
              </w:rPr>
            </w:pPr>
            <w:r>
              <w:rPr>
                <w:rFonts w:ascii="Times New Roman" w:hAnsi="Times New Roman"/>
                <w:sz w:val="18"/>
                <w:szCs w:val="18"/>
              </w:rPr>
              <w:t xml:space="preserve">К учету принимаются итоговые значения цен независимо от применяемого режима налогообложения Участников.</w:t>
            </w:r>
            <w:r>
              <w:rPr>
                <w:rFonts w:ascii="Times New Roman" w:hAnsi="Times New Roman" w:eastAsiaTheme="minorHAnsi"/>
                <w:sz w:val="18"/>
                <w:szCs w:val="18"/>
              </w:rPr>
            </w:r>
            <w:r>
              <w:rPr>
                <w:rFonts w:ascii="Times New Roman" w:hAnsi="Times New Roman" w:eastAsiaTheme="minorHAns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 </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gridSpan w:val="5"/>
            <w:shd w:val="clear" w:color="auto" w:fill="auto"/>
            <w:tcW w:w="13609" w:type="dxa"/>
            <w:vAlign w:val="center"/>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Общая оценка по критерию</w:t>
            </w:r>
            <w:r>
              <w:rPr>
                <w:rFonts w:ascii="Times New Roman" w:hAnsi="Times New Roman" w:eastAsiaTheme="minorHAnsi"/>
                <w:sz w:val="18"/>
                <w:szCs w:val="18"/>
              </w:rPr>
            </w:r>
            <w:r>
              <w:rPr>
                <w:rFonts w:ascii="Times New Roman" w:hAnsi="Times New Roman" w:eastAsiaTheme="minorHAns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bl>
    <w:p>
      <w:pPr>
        <w:jc w:val="right"/>
        <w:spacing w:after="0" w:line="240" w:lineRule="auto"/>
        <w:rPr>
          <w:rFonts w:ascii="Times New Roman" w:hAnsi="Times New Roman" w:eastAsiaTheme="minorHAnsi"/>
          <w:sz w:val="20"/>
          <w:szCs w:val="20"/>
        </w:rPr>
      </w:pPr>
      <w:r>
        <w:rPr>
          <w:rFonts w:ascii="Times New Roman" w:hAnsi="Times New Roman" w:eastAsiaTheme="minorHAnsi"/>
          <w:sz w:val="20"/>
          <w:szCs w:val="20"/>
        </w:rPr>
      </w:r>
      <w:r>
        <w:rPr>
          <w:rFonts w:ascii="Times New Roman" w:hAnsi="Times New Roman" w:eastAsiaTheme="minorHAnsi"/>
          <w:sz w:val="20"/>
          <w:szCs w:val="20"/>
        </w:rPr>
      </w:r>
      <w:r>
        <w:rPr>
          <w:rFonts w:ascii="Times New Roman" w:hAnsi="Times New Roman" w:eastAsiaTheme="minorHAnsi"/>
          <w:sz w:val="20"/>
          <w:szCs w:val="20"/>
        </w:rPr>
      </w:r>
    </w:p>
    <w:p>
      <w:pPr>
        <w:jc w:val="right"/>
        <w:spacing w:after="0" w:line="240" w:lineRule="auto"/>
        <w:rPr>
          <w:rFonts w:ascii="Times New Roman" w:hAnsi="Times New Roman" w:eastAsiaTheme="minorHAnsi"/>
          <w:sz w:val="20"/>
          <w:szCs w:val="20"/>
        </w:rPr>
      </w:pPr>
      <w:r>
        <w:rPr>
          <w:rFonts w:ascii="Times New Roman" w:hAnsi="Times New Roman" w:eastAsiaTheme="minorHAnsi"/>
          <w:sz w:val="20"/>
          <w:szCs w:val="20"/>
        </w:rPr>
      </w:r>
      <w:r>
        <w:rPr>
          <w:rFonts w:ascii="Times New Roman" w:hAnsi="Times New Roman" w:eastAsiaTheme="minorHAnsi"/>
          <w:sz w:val="20"/>
          <w:szCs w:val="20"/>
        </w:rPr>
      </w:r>
      <w:r>
        <w:rPr>
          <w:rFonts w:ascii="Times New Roman" w:hAnsi="Times New Roman" w:eastAsiaTheme="minorHAnsi"/>
          <w:sz w:val="20"/>
          <w:szCs w:val="20"/>
        </w:rPr>
      </w:r>
    </w:p>
    <w:p>
      <w:pPr>
        <w:numPr>
          <w:ilvl w:val="0"/>
          <w:numId w:val="7"/>
        </w:numPr>
        <w:contextualSpacing/>
        <w:ind w:left="720"/>
        <w:spacing w:after="0" w:line="240" w:lineRule="auto"/>
        <w:rPr>
          <w:rFonts w:ascii="Times New Roman" w:hAnsi="Times New Roman" w:eastAsiaTheme="minorHAnsi"/>
          <w:b/>
          <w:sz w:val="20"/>
          <w:szCs w:val="20"/>
        </w:rPr>
      </w:pPr>
      <w:r>
        <w:rPr>
          <w:rFonts w:ascii="Times New Roman" w:hAnsi="Times New Roman" w:eastAsiaTheme="minorHAnsi"/>
          <w:b/>
          <w:sz w:val="20"/>
          <w:szCs w:val="20"/>
        </w:rPr>
        <w:t xml:space="preserve">Оценка нестоимостного критерия</w:t>
      </w:r>
      <w:r>
        <w:rPr>
          <w:rFonts w:ascii="Times New Roman" w:hAnsi="Times New Roman" w:eastAsiaTheme="minorHAnsi"/>
          <w:b/>
          <w:sz w:val="20"/>
          <w:szCs w:val="20"/>
        </w:rPr>
      </w:r>
      <w:r>
        <w:rPr>
          <w:rFonts w:ascii="Times New Roman" w:hAnsi="Times New Roman" w:eastAsiaTheme="minorHAnsi"/>
          <w:b/>
          <w:sz w:val="20"/>
          <w:szCs w:val="20"/>
        </w:rPr>
      </w:r>
    </w:p>
    <w:tbl>
      <w:tblPr>
        <w:tblW w:w="1587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80" w:firstRow="0" w:lastRow="0" w:firstColumn="1" w:lastColumn="0" w:noHBand="1" w:noVBand="1"/>
      </w:tblPr>
      <w:tblGrid>
        <w:gridCol w:w="568"/>
        <w:gridCol w:w="2693"/>
        <w:gridCol w:w="1105"/>
        <w:gridCol w:w="3685"/>
        <w:gridCol w:w="5558"/>
        <w:gridCol w:w="1134"/>
        <w:gridCol w:w="1134"/>
      </w:tblGrid>
      <w:tr>
        <w:tblPrEx/>
        <w:trPr>
          <w:trHeight w:val="20"/>
          <w:tblHeader/>
        </w:trPr>
        <w:tc>
          <w:tcPr>
            <w:shd w:val="clear" w:color="auto" w:fill="auto"/>
            <w:tcW w:w="568"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w:t>
            </w:r>
            <w:r>
              <w:rPr>
                <w:rFonts w:ascii="Times New Roman" w:hAnsi="Times New Roman" w:eastAsia="Times New Roman"/>
                <w:b/>
                <w:bCs/>
                <w:sz w:val="20"/>
                <w:szCs w:val="20"/>
                <w:lang w:eastAsia="ru-RU"/>
              </w:rPr>
              <w:br/>
              <w:t xml:space="preserve">п/п</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2693"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Подкритерии оценки</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Значимость (вес)</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3685"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Предмет оценки</w:t>
            </w:r>
            <w:r>
              <w:rPr>
                <w:rFonts w:ascii="Times New Roman" w:hAnsi="Times New Roman" w:eastAsia="Times New Roman"/>
                <w:b/>
                <w:bCs/>
                <w:sz w:val="20"/>
                <w:szCs w:val="20"/>
              </w:rPr>
            </w:r>
            <w:r>
              <w:rPr>
                <w:rFonts w:ascii="Times New Roman" w:hAnsi="Times New Roman" w:eastAsia="Times New Roman"/>
                <w:b/>
                <w:bCs/>
                <w:sz w:val="20"/>
                <w:szCs w:val="20"/>
              </w:rPr>
            </w:r>
          </w:p>
        </w:tc>
        <w:tc>
          <w:tcPr>
            <w:tcW w:w="5558"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Принцип учета подкритерия</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Значение показателя (баллы)</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Оценка по подкритерию</w:t>
            </w:r>
            <w:r>
              <w:rPr>
                <w:rFonts w:ascii="Times New Roman" w:hAnsi="Times New Roman" w:eastAsia="Times New Roman"/>
                <w:b/>
                <w:bCs/>
                <w:sz w:val="20"/>
                <w:szCs w:val="20"/>
              </w:rPr>
            </w:r>
            <w:r>
              <w:rPr>
                <w:rFonts w:ascii="Times New Roman" w:hAnsi="Times New Roman" w:eastAsia="Times New Roman"/>
                <w:b/>
                <w:bCs/>
                <w:sz w:val="20"/>
                <w:szCs w:val="20"/>
              </w:rPr>
            </w:r>
          </w:p>
        </w:tc>
      </w:tr>
      <w:tr>
        <w:tblPrEx/>
        <w:trPr>
          <w:trHeight w:val="20"/>
          <w:tblHeader/>
        </w:trPr>
        <w:tc>
          <w:tcPr>
            <w:shd w:val="clear" w:color="auto" w:fill="auto"/>
            <w:tcW w:w="568" w:type="dxa"/>
            <w:textDirection w:val="lrTb"/>
            <w:noWrap w:val="false"/>
          </w:tcPr>
          <w:p>
            <w:pP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2693"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05"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А</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3685"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tcW w:w="5558"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В</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S = А х В</w:t>
            </w:r>
            <w:r>
              <w:rPr>
                <w:rFonts w:ascii="Times New Roman" w:hAnsi="Times New Roman" w:eastAsia="Times New Roman"/>
                <w:b/>
                <w:bCs/>
                <w:sz w:val="20"/>
                <w:szCs w:val="20"/>
              </w:rPr>
            </w:r>
            <w:r>
              <w:rPr>
                <w:rFonts w:ascii="Times New Roman" w:hAnsi="Times New Roman" w:eastAsia="Times New Roman"/>
                <w:b/>
                <w:bCs/>
                <w:sz w:val="20"/>
                <w:szCs w:val="20"/>
              </w:rPr>
            </w:r>
          </w:p>
        </w:tc>
      </w:tr>
      <w:tr>
        <w:tblPrEx/>
        <w:trPr>
          <w:trHeight w:val="20"/>
        </w:trPr>
        <w:tc>
          <w:tcPr>
            <w:shd w:val="clear" w:color="ffffff" w:fill="ffffff"/>
            <w:tcW w:w="568"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1.</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ffffff" w:fill="ffffff"/>
            <w:tcW w:w="2693" w:type="dxa"/>
            <w:vMerge w:val="restart"/>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Технического предложения Участника</w:t>
            </w:r>
            <w:r>
              <w:rPr>
                <w:rFonts w:ascii="Times New Roman" w:hAnsi="Times New Roman" w:eastAsiaTheme="minorHAnsi"/>
                <w:sz w:val="18"/>
                <w:szCs w:val="18"/>
              </w:rPr>
            </w:r>
            <w:r>
              <w:rPr>
                <w:rFonts w:ascii="Times New Roman" w:hAnsi="Times New Roman" w:eastAsiaTheme="minorHAnsi"/>
                <w:sz w:val="18"/>
                <w:szCs w:val="18"/>
              </w:rPr>
            </w:r>
          </w:p>
        </w:tc>
        <w:tc>
          <w:tcPr>
            <w:shd w:val="clear" w:color="ffffff" w:fill="ffffff"/>
            <w:tcW w:w="1105" w:type="dxa"/>
            <w:vAlign w:val="center"/>
            <w:vMerge w:val="restart"/>
            <w:textDirection w:val="lrTb"/>
            <w:noWrap w:val="false"/>
          </w:tcPr>
          <w:p>
            <w:pPr>
              <w:jc w:val="center"/>
              <w:spacing w:after="0" w:line="240" w:lineRule="auto"/>
              <w:rPr>
                <w:rFonts w:ascii="Times New Roman" w:hAnsi="Times New Roman" w:eastAsiaTheme="minorHAnsi" w:cstheme="minorBidi"/>
                <w:b/>
                <w:bCs/>
                <w:sz w:val="18"/>
                <w:szCs w:val="18"/>
                <w14:ligatures w14:val="none"/>
              </w:rPr>
            </w:pPr>
            <w:r>
              <w:rPr>
                <w:rFonts w:ascii="Times New Roman" w:hAnsi="Times New Roman" w:eastAsiaTheme="minorHAnsi" w:cstheme="minorBidi"/>
                <w:b/>
                <w:bCs/>
                <w:sz w:val="18"/>
                <w:szCs w:val="18"/>
              </w:rPr>
              <w:t xml:space="preserve">0,01</w:t>
            </w:r>
            <w:r>
              <w:rPr>
                <w:rFonts w:ascii="Times New Roman" w:hAnsi="Times New Roman" w:eastAsiaTheme="minorHAnsi" w:cstheme="minorBidi"/>
                <w:b/>
                <w:bCs/>
                <w:sz w:val="18"/>
                <w:szCs w:val="18"/>
                <w14:ligatures w14:val="none"/>
              </w:rPr>
            </w:r>
            <w:r>
              <w:rPr>
                <w:rFonts w:ascii="Times New Roman" w:hAnsi="Times New Roman" w:eastAsiaTheme="minorHAnsi" w:cstheme="minorBidi"/>
                <w:b/>
                <w:bCs/>
                <w:sz w:val="18"/>
                <w:szCs w:val="18"/>
                <w14:ligatures w14:val="none"/>
              </w:rPr>
            </w:r>
          </w:p>
        </w:tc>
        <w:tc>
          <w:tcPr>
            <w:shd w:val="clear" w:color="ffffff" w:fill="ffffff"/>
            <w:tcW w:w="3685" w:type="dxa"/>
            <w:vMerge w:val="restart"/>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w:t>
            </w:r>
            <w:r>
              <w:rPr>
                <w:rFonts w:ascii="Times New Roman" w:hAnsi="Times New Roman" w:eastAsiaTheme="minorHAnsi"/>
                <w:sz w:val="18"/>
                <w:szCs w:val="18"/>
              </w:rPr>
              <w:t xml:space="preserve">Технического предложения </w:t>
            </w:r>
            <w:r>
              <w:rPr>
                <w:rFonts w:ascii="Times New Roman" w:hAnsi="Times New Roman" w:eastAsiaTheme="minorHAnsi"/>
                <w:sz w:val="18"/>
                <w:szCs w:val="18"/>
              </w:rPr>
              <w:t xml:space="preserve">Участника</w:t>
            </w:r>
            <w:r>
              <w:rPr>
                <w:rFonts w:ascii="Times New Roman" w:hAnsi="Times New Roman" w:eastAsiaTheme="minorHAnsi"/>
                <w:sz w:val="18"/>
                <w:szCs w:val="18"/>
              </w:rPr>
            </w:r>
            <w:r>
              <w:rPr>
                <w:rFonts w:ascii="Times New Roman" w:hAnsi="Times New Roman" w:eastAsiaTheme="minorHAnsi"/>
                <w:sz w:val="18"/>
                <w:szCs w:val="18"/>
              </w:rPr>
            </w:r>
          </w:p>
        </w:tc>
        <w:tc>
          <w:tcPr>
            <w:tcW w:w="5558" w:type="dxa"/>
            <w:vMerge w:val="restart"/>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Техническое предложение </w:t>
            </w:r>
            <w:r>
              <w:rPr>
                <w:rFonts w:ascii="Times New Roman" w:hAnsi="Times New Roman" w:eastAsiaTheme="minorHAnsi"/>
                <w:sz w:val="18"/>
                <w:szCs w:val="18"/>
              </w:rPr>
              <w:t xml:space="preserve">Участника</w:t>
            </w:r>
            <w:r>
              <w:rPr>
                <w:rFonts w:ascii="Times New Roman" w:hAnsi="Times New Roman" w:eastAsiaTheme="minorHAnsi"/>
                <w:sz w:val="18"/>
                <w:szCs w:val="18"/>
              </w:rPr>
              <w:t xml:space="preserve"> предоставлено – </w:t>
            </w:r>
            <w:r>
              <w:rPr>
                <w:rFonts w:ascii="Times New Roman" w:hAnsi="Times New Roman" w:eastAsiaTheme="minorHAnsi"/>
                <w:b/>
                <w:sz w:val="18"/>
                <w:szCs w:val="18"/>
              </w:rPr>
              <w:t xml:space="preserve">10 баллов.</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r>
            <w:r>
              <w:rPr>
                <w:rFonts w:ascii="Times New Roman" w:hAnsi="Times New Roman" w:eastAsiaTheme="minorHAnsi"/>
                <w:sz w:val="18"/>
                <w:szCs w:val="18"/>
              </w:rPr>
              <w:t xml:space="preserve">Техническое предложение</w:t>
            </w:r>
            <w:r>
              <w:rPr>
                <w:rFonts w:ascii="Times New Roman" w:hAnsi="Times New Roman" w:eastAsiaTheme="minorHAnsi"/>
                <w:sz w:val="18"/>
                <w:szCs w:val="18"/>
              </w:rPr>
              <w:t xml:space="preserve"> </w:t>
            </w:r>
            <w:r>
              <w:rPr>
                <w:rFonts w:ascii="Times New Roman" w:hAnsi="Times New Roman" w:eastAsiaTheme="minorHAnsi"/>
                <w:sz w:val="18"/>
                <w:szCs w:val="18"/>
              </w:rPr>
              <w:t xml:space="preserve">Участника</w:t>
            </w:r>
            <w:r>
              <w:rPr>
                <w:rFonts w:ascii="Times New Roman" w:hAnsi="Times New Roman" w:eastAsiaTheme="minorHAnsi"/>
                <w:sz w:val="18"/>
                <w:szCs w:val="18"/>
              </w:rPr>
              <w:t xml:space="preserve"> </w:t>
            </w:r>
            <w:r>
              <w:rPr>
                <w:rFonts w:ascii="Times New Roman" w:hAnsi="Times New Roman" w:eastAsiaTheme="minorHAnsi"/>
                <w:sz w:val="18"/>
                <w:szCs w:val="18"/>
              </w:rPr>
              <w:t xml:space="preserve">не предоставлено или </w:t>
            </w:r>
            <w:r>
              <w:rPr>
                <w:rFonts w:ascii="Times New Roman" w:hAnsi="Times New Roman"/>
                <w:sz w:val="18"/>
                <w:szCs w:val="18"/>
              </w:rPr>
              <w:t xml:space="preserve">представлено с нарушениями требований к заполнению формы, в том числе содержащее неполные или некорректные сведения</w:t>
            </w:r>
            <w:r>
              <w:rPr>
                <w:rFonts w:ascii="Times New Roman" w:hAnsi="Times New Roman" w:eastAsiaTheme="minorHAnsi"/>
                <w:sz w:val="18"/>
                <w:szCs w:val="18"/>
              </w:rPr>
              <w:t xml:space="preserve"> </w:t>
            </w:r>
            <w:r>
              <w:rPr>
                <w:rFonts w:ascii="Times New Roman" w:hAnsi="Times New Roman" w:eastAsiaTheme="minorHAnsi"/>
                <w:sz w:val="18"/>
                <w:szCs w:val="18"/>
              </w:rPr>
              <w:t xml:space="preserve">– </w:t>
              <w:br/>
            </w:r>
            <w:r>
              <w:rPr>
                <w:rFonts w:ascii="Times New Roman" w:hAnsi="Times New Roman" w:eastAsiaTheme="minorHAnsi"/>
                <w:b/>
                <w:sz w:val="18"/>
                <w:szCs w:val="18"/>
              </w:rPr>
              <w:t xml:space="preserve">0 баллов</w:t>
            </w:r>
            <w:r>
              <w:rPr>
                <w:rFonts w:ascii="Times New Roman" w:hAnsi="Times New Roman" w:eastAsiaTheme="minorHAnsi"/>
                <w:b/>
                <w:sz w:val="18"/>
                <w:szCs w:val="18"/>
              </w:rPr>
              <w:t xml:space="preserve">.</w:t>
            </w:r>
            <w:r>
              <w:rPr>
                <w:rFonts w:ascii="Times New Roman" w:hAnsi="Times New Roman" w:eastAsiaTheme="minorHAnsi"/>
                <w:sz w:val="18"/>
                <w:szCs w:val="18"/>
              </w:rPr>
            </w:r>
            <w:r>
              <w:rPr>
                <w:rFonts w:ascii="Times New Roman" w:hAnsi="Times New Roman" w:eastAsiaTheme="minorHAnsi"/>
                <w:sz w:val="18"/>
                <w:szCs w:val="18"/>
              </w:rPr>
            </w:r>
          </w:p>
        </w:tc>
        <w:tc>
          <w:tcPr>
            <w:shd w:val="clear" w:color="000000" w:fill="d8e4bc"/>
            <w:tcW w:w="1134"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ffffff" w:fill="ffffff"/>
            <w:tcW w:w="1134"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ffffff" w:fill="ffffff"/>
            <w:tcW w:w="568"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2.</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ffffff" w:fill="ffffff"/>
            <w:tcW w:w="2693" w:type="dxa"/>
            <w:vMerge w:val="restart"/>
            <w:textDirection w:val="lrTb"/>
            <w:noWrap w:val="false"/>
          </w:tcPr>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собственными силами</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shd w:val="clear" w:color="ffffff" w:fill="ffffff"/>
            <w:tcW w:w="1105" w:type="dxa"/>
            <w:vAlign w:val="center"/>
            <w:vMerge w:val="restart"/>
            <w:textDirection w:val="lrTb"/>
            <w:noWrap w:val="false"/>
          </w:tcPr>
          <w:p>
            <w:pPr>
              <w:jc w:val="center"/>
              <w:spacing w:after="0" w:line="240" w:lineRule="auto"/>
              <w:rPr>
                <w:rFonts w:ascii="Times New Roman" w:hAnsi="Times New Roman" w:eastAsiaTheme="minorHAnsi" w:cstheme="minorBidi"/>
                <w:b/>
                <w:sz w:val="18"/>
                <w:szCs w:val="20"/>
              </w:rPr>
            </w:pPr>
            <w:r>
              <w:rPr>
                <w:rFonts w:ascii="Times New Roman" w:hAnsi="Times New Roman" w:eastAsiaTheme="minorHAnsi" w:cstheme="minorBidi"/>
                <w:b/>
                <w:sz w:val="18"/>
                <w:szCs w:val="20"/>
              </w:rPr>
              <w:t xml:space="preserve">0,15</w:t>
            </w:r>
            <w:r>
              <w:rPr>
                <w:rFonts w:ascii="Times New Roman" w:hAnsi="Times New Roman" w:eastAsiaTheme="minorHAnsi" w:cstheme="minorBidi"/>
                <w:b/>
                <w:sz w:val="18"/>
                <w:szCs w:val="20"/>
              </w:rPr>
            </w:r>
            <w:r>
              <w:rPr>
                <w:rFonts w:ascii="Times New Roman" w:hAnsi="Times New Roman" w:eastAsiaTheme="minorHAnsi" w:cstheme="minorBidi"/>
                <w:b/>
                <w:sz w:val="18"/>
                <w:szCs w:val="20"/>
              </w:rPr>
            </w:r>
          </w:p>
        </w:tc>
        <w:tc>
          <w:tcPr>
            <w:shd w:val="clear" w:color="ffffff" w:fill="ffffff"/>
            <w:tcW w:w="3685" w:type="dxa"/>
            <w:vMerge w:val="restart"/>
            <w:textDirection w:val="lrTb"/>
            <w:noWrap w:val="false"/>
          </w:tcPr>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При оценке по данному под</w:t>
            </w:r>
            <w:r>
              <w:rPr>
                <w:rFonts w:ascii="Times New Roman" w:hAnsi="Times New Roman" w:eastAsiaTheme="minorHAnsi" w:cstheme="minorBidi"/>
                <w:sz w:val="18"/>
                <w:szCs w:val="18"/>
              </w:rPr>
              <w:t xml:space="preserve">критерию оценивается объем работ, выполняемый Участником собственными силами. Под «собственными силами» понимается как выполнение работ / оказание услуг Участником самостоятельно (лично), так и с привлечением субподрядчиков / соисполнителей из числа его до</w:t>
            </w:r>
            <w:r>
              <w:rPr>
                <w:rFonts w:ascii="Times New Roman" w:hAnsi="Times New Roman" w:eastAsiaTheme="minorHAnsi" w:cstheme="minorBidi"/>
                <w:sz w:val="18"/>
                <w:szCs w:val="18"/>
              </w:rPr>
              <w:t xml:space="preserve">черних обществ, в уставном капитале которых доля такого Участника превышает 50% акций (долей).</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tcW w:w="5558" w:type="dxa"/>
            <w:vMerge w:val="restart"/>
            <w:textDirection w:val="lrTb"/>
            <w:noWrap w:val="false"/>
          </w:tcPr>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90,001% до 100% – </w:t>
            </w:r>
            <w:r>
              <w:rPr>
                <w:rFonts w:ascii="Times New Roman" w:hAnsi="Times New Roman" w:eastAsiaTheme="minorHAnsi" w:cstheme="minorBidi"/>
                <w:b/>
                <w:bCs/>
                <w:sz w:val="18"/>
                <w:szCs w:val="18"/>
              </w:rPr>
              <w:t xml:space="preserve">10 баллов.</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w:t>
            </w:r>
            <w:r>
              <w:rPr>
                <w:rFonts w:ascii="Times New Roman" w:hAnsi="Times New Roman" w:eastAsiaTheme="minorHAnsi" w:cstheme="minorBidi"/>
                <w:sz w:val="18"/>
                <w:szCs w:val="18"/>
              </w:rPr>
              <w:t xml:space="preserve">80,001% до 90% – </w:t>
            </w:r>
            <w:r>
              <w:rPr>
                <w:rFonts w:ascii="Times New Roman" w:hAnsi="Times New Roman" w:eastAsiaTheme="minorHAnsi" w:cstheme="minorBidi"/>
                <w:b/>
                <w:bCs/>
                <w:sz w:val="18"/>
                <w:szCs w:val="18"/>
              </w:rPr>
              <w:t xml:space="preserve">9 баллов.</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70,001% до 80% – </w:t>
            </w:r>
            <w:r>
              <w:rPr>
                <w:rFonts w:ascii="Times New Roman" w:hAnsi="Times New Roman" w:eastAsiaTheme="minorHAnsi" w:cstheme="minorBidi"/>
                <w:b/>
                <w:bCs/>
                <w:sz w:val="18"/>
                <w:szCs w:val="18"/>
              </w:rPr>
              <w:t xml:space="preserve">8 баллов</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60,001% до 70% – </w:t>
            </w:r>
            <w:r>
              <w:rPr>
                <w:rFonts w:ascii="Times New Roman" w:hAnsi="Times New Roman" w:eastAsiaTheme="minorHAnsi" w:cstheme="minorBidi"/>
                <w:b/>
                <w:bCs/>
                <w:sz w:val="18"/>
                <w:szCs w:val="18"/>
              </w:rPr>
              <w:t xml:space="preserve">7 баллов</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50,001% до 60% – </w:t>
            </w:r>
            <w:r>
              <w:rPr>
                <w:rFonts w:ascii="Times New Roman" w:hAnsi="Times New Roman" w:eastAsiaTheme="minorHAnsi" w:cstheme="minorBidi"/>
                <w:b/>
                <w:bCs/>
                <w:sz w:val="18"/>
                <w:szCs w:val="18"/>
              </w:rPr>
              <w:t xml:space="preserve">6 баллов</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40,001% до 50% – </w:t>
            </w:r>
            <w:r>
              <w:rPr>
                <w:rFonts w:ascii="Times New Roman" w:hAnsi="Times New Roman" w:eastAsiaTheme="minorHAnsi" w:cstheme="minorBidi"/>
                <w:b/>
                <w:bCs/>
                <w:sz w:val="18"/>
                <w:szCs w:val="18"/>
              </w:rPr>
              <w:t xml:space="preserve">5 баллов</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30,0</w:t>
            </w:r>
            <w:r>
              <w:rPr>
                <w:rFonts w:ascii="Times New Roman" w:hAnsi="Times New Roman" w:eastAsiaTheme="minorHAnsi" w:cstheme="minorBidi"/>
                <w:sz w:val="18"/>
                <w:szCs w:val="18"/>
              </w:rPr>
              <w:t xml:space="preserve">01% до 40% – </w:t>
            </w:r>
            <w:r>
              <w:rPr>
                <w:rFonts w:ascii="Times New Roman" w:hAnsi="Times New Roman" w:eastAsiaTheme="minorHAnsi" w:cstheme="minorBidi"/>
                <w:b/>
                <w:bCs/>
                <w:sz w:val="18"/>
                <w:szCs w:val="18"/>
              </w:rPr>
              <w:t xml:space="preserve">4 балла</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20,001% до 30% – </w:t>
            </w:r>
            <w:r>
              <w:rPr>
                <w:rFonts w:ascii="Times New Roman" w:hAnsi="Times New Roman" w:eastAsiaTheme="minorHAnsi" w:cstheme="minorBidi"/>
                <w:b/>
                <w:bCs/>
                <w:sz w:val="18"/>
                <w:szCs w:val="18"/>
              </w:rPr>
              <w:t xml:space="preserve">3 балла.</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10,001% до 20% – </w:t>
            </w:r>
            <w:r>
              <w:rPr>
                <w:rFonts w:ascii="Times New Roman" w:hAnsi="Times New Roman" w:eastAsiaTheme="minorHAnsi" w:cstheme="minorBidi"/>
                <w:b/>
                <w:bCs/>
                <w:sz w:val="18"/>
                <w:szCs w:val="18"/>
              </w:rPr>
              <w:t xml:space="preserve">2 балла</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w:t>
            </w:r>
            <w:r>
              <w:rPr>
                <w:rFonts w:ascii="Times New Roman" w:hAnsi="Times New Roman" w:eastAsiaTheme="minorHAnsi" w:cstheme="minorBidi"/>
                <w:sz w:val="18"/>
                <w:szCs w:val="18"/>
              </w:rPr>
              <w:t xml:space="preserve">илами, равен от 0,001% до 10% – </w:t>
            </w:r>
            <w:r>
              <w:rPr>
                <w:rFonts w:ascii="Times New Roman" w:hAnsi="Times New Roman" w:eastAsiaTheme="minorHAnsi" w:cstheme="minorBidi"/>
                <w:b/>
                <w:bCs/>
                <w:sz w:val="18"/>
                <w:szCs w:val="18"/>
              </w:rPr>
              <w:t xml:space="preserve">1 балл.</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0% – </w:t>
            </w:r>
            <w:r>
              <w:rPr>
                <w:rFonts w:ascii="Times New Roman" w:hAnsi="Times New Roman" w:eastAsiaTheme="minorHAnsi" w:cstheme="minorBidi"/>
                <w:b/>
                <w:bCs/>
                <w:sz w:val="18"/>
                <w:szCs w:val="18"/>
              </w:rPr>
              <w:t xml:space="preserve">0 баллов.</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shd w:val="clear" w:color="000000" w:fill="d8e4bc"/>
            <w:tcW w:w="1134"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ffffff" w:fill="ffffff"/>
            <w:tcW w:w="1134"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3.</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269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Опыт выполнения работ/оказания услуг (кол-во договоров и отзывов к ним).</w:t>
            </w:r>
            <w:r>
              <w:rPr>
                <w:rFonts w:ascii="Times New Roman" w:hAnsi="Times New Roman"/>
                <w:sz w:val="18"/>
                <w:szCs w:val="18"/>
              </w:rPr>
            </w:r>
            <w:r>
              <w:rPr>
                <w:rFonts w:ascii="Times New Roman" w:hAnsi="Times New Roman"/>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imes New Roman"/>
                <w:b/>
                <w:bCs/>
                <w:sz w:val="18"/>
                <w:szCs w:val="20"/>
                <w:lang w:eastAsia="ru-RU"/>
              </w:rPr>
            </w:pPr>
            <w:r>
              <w:rPr>
                <w:rFonts w:ascii="Times New Roman" w:hAnsi="Times New Roman" w:eastAsia="Times New Roman"/>
                <w:b/>
                <w:bCs/>
                <w:sz w:val="18"/>
                <w:szCs w:val="20"/>
                <w:lang w:eastAsia="ru-RU"/>
              </w:rPr>
              <w:t xml:space="preserve">0,36</w:t>
            </w:r>
            <w:r>
              <w:rPr>
                <w:rFonts w:ascii="Times New Roman" w:hAnsi="Times New Roman" w:eastAsia="Times New Roman"/>
                <w:b/>
                <w:bCs/>
                <w:sz w:val="18"/>
                <w:szCs w:val="20"/>
                <w:lang w:eastAsia="ru-RU"/>
              </w:rPr>
            </w:r>
            <w:r>
              <w:rPr>
                <w:rFonts w:ascii="Times New Roman" w:hAnsi="Times New Roman" w:eastAsia="Times New Roman"/>
                <w:b/>
                <w:bCs/>
                <w:sz w:val="18"/>
                <w:szCs w:val="20"/>
                <w:lang w:eastAsia="ru-RU"/>
              </w:rPr>
            </w:r>
          </w:p>
        </w:tc>
        <w:tc>
          <w:tcPr>
            <w:shd w:val="clear" w:color="auto" w:fill="auto"/>
            <w:tcW w:w="3685"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Количество представленных в заявке Участника согласно Форме № 3 «Справка о выполнении договоров», выполненных договоров с отзывами от контрагентов и без.</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Договор должен быть заключен не ранее, чем за пять лет до размещения Извещения на информационных ресурсах, предусмотренных документацией о закупке, и выполнен на момент подачи Заявки. </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Отзыв от контрагента принимается к учету в случаях, если он:</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 представлен Участнику после выполнения договора;</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 позволяет однозначно идентифицировать принадлежность к выполненному договору (в отзыве указаны реквизиты договора);</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imes New Roman"/>
                <w:sz w:val="18"/>
                <w:szCs w:val="18"/>
              </w:rPr>
            </w:pPr>
            <w:r>
              <w:rPr>
                <w:rFonts w:ascii="Times New Roman" w:hAnsi="Times New Roman" w:eastAsiaTheme="minorHAnsi"/>
                <w:sz w:val="18"/>
                <w:szCs w:val="18"/>
              </w:rPr>
              <w:t xml:space="preserve">- содержит декларирование контрагентом факта надлежащего исполнения обязательств по договору.</w:t>
            </w:r>
            <w:r>
              <w:rPr>
                <w:rFonts w:ascii="Times New Roman" w:hAnsi="Times New Roman" w:eastAsia="Times New Roman"/>
                <w:sz w:val="18"/>
                <w:szCs w:val="18"/>
              </w:rPr>
            </w:r>
            <w:r>
              <w:rPr>
                <w:rFonts w:ascii="Times New Roman" w:hAnsi="Times New Roman" w:eastAsia="Times New Roman"/>
                <w:sz w:val="18"/>
                <w:szCs w:val="18"/>
              </w:rPr>
            </w:r>
          </w:p>
        </w:tc>
        <w:tc>
          <w:tcPr>
            <w:tcW w:w="5558"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За каждый договор с отзывом - </w:t>
            </w:r>
            <w:r>
              <w:rPr>
                <w:rFonts w:ascii="Times New Roman" w:hAnsi="Times New Roman"/>
                <w:b/>
                <w:sz w:val="18"/>
                <w:szCs w:val="18"/>
              </w:rPr>
              <w:t xml:space="preserve">1 балл,</w:t>
            </w:r>
            <w:r>
              <w:rPr>
                <w:rFonts w:ascii="Times New Roman" w:hAnsi="Times New Roman"/>
                <w:sz w:val="18"/>
                <w:szCs w:val="18"/>
              </w:rPr>
              <w:t xml:space="preserve"> </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за договор без отзыва - </w:t>
            </w:r>
            <w:r>
              <w:rPr>
                <w:rFonts w:ascii="Times New Roman" w:hAnsi="Times New Roman"/>
                <w:b/>
                <w:sz w:val="18"/>
                <w:szCs w:val="18"/>
              </w:rPr>
              <w:t xml:space="preserve">0,5 балла.</w:t>
            </w:r>
            <w:r>
              <w:rPr>
                <w:rFonts w:ascii="Times New Roman" w:hAnsi="Times New Roman"/>
                <w:sz w:val="18"/>
                <w:szCs w:val="18"/>
              </w:rPr>
              <w:t xml:space="preserve"> </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b/>
                <w:sz w:val="18"/>
                <w:szCs w:val="18"/>
              </w:rPr>
            </w:pPr>
            <w:r>
              <w:rPr>
                <w:rFonts w:ascii="Times New Roman" w:hAnsi="Times New Roman"/>
                <w:b/>
                <w:sz w:val="18"/>
                <w:szCs w:val="18"/>
              </w:rPr>
              <w:t xml:space="preserve">Максимальный балл - 10. </w:t>
            </w:r>
            <w:r>
              <w:rPr>
                <w:rFonts w:ascii="Times New Roman" w:hAnsi="Times New Roman"/>
                <w:b/>
                <w:sz w:val="18"/>
                <w:szCs w:val="18"/>
              </w:rPr>
            </w:r>
            <w:r>
              <w:rPr>
                <w:rFonts w:ascii="Times New Roman" w:hAnsi="Times New Roman"/>
                <w:b/>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Представленные договора оцениваются по следующим параметрам: </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1. Тематика (указана в п. 5.1.1 Документации).</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2. Стоимость договора: если начальная (максимальная) цена договора (предмета закупки) (НМЦ) составляет значение до 50 млн. рублей с НДС, то учитываются договоры со стоимостью не менее 50 % от НМЦ; если начальная (максимальная) ц</w:t>
            </w:r>
            <w:r>
              <w:rPr>
                <w:rFonts w:ascii="Times New Roman" w:hAnsi="Times New Roman"/>
                <w:sz w:val="18"/>
                <w:szCs w:val="18"/>
              </w:rPr>
              <w:t xml:space="preserve">ена договора (предмета закупки) (НМЦ) составляет значение от 50 до 500 млн. рублей с НДС, то учитываются договоры со стоимостью не менее 30 % от НМЦ; если начальная (максимальная) цена договора (предмета закупки) (НМЦ) составляет значение от 500 до 5000 мл</w:t>
            </w:r>
            <w:r>
              <w:rPr>
                <w:rFonts w:ascii="Times New Roman" w:hAnsi="Times New Roman"/>
                <w:sz w:val="18"/>
                <w:szCs w:val="18"/>
              </w:rPr>
              <w:t xml:space="preserve">н. рублей с НДС, то учитываются договоры со стоимостью не менее 20 % от НМЦ; если начальная (максимальная) цена договора (предмета закупки) (НМЦ) составляет значение более 5000 млн. рублей с НДС, то учитываются договоры со стоимостью не менее 10 % от НМЦ. </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3. Наличие копии выполненного договора.</w:t>
            </w:r>
            <w:r>
              <w:rPr>
                <w:rFonts w:ascii="Times New Roman" w:hAnsi="Times New Roman"/>
                <w:sz w:val="18"/>
                <w:szCs w:val="18"/>
              </w:rPr>
            </w:r>
            <w:r>
              <w:rPr>
                <w:rFonts w:ascii="Times New Roman" w:hAnsi="Times New Roman"/>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4.</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2693"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sz w:val="18"/>
                <w:szCs w:val="18"/>
              </w:rPr>
              <w:t xml:space="preserve">Соответствие начальной (максимальной) цены договора (предмета закупки) потенциалу деятельности</w:t>
            </w:r>
            <w:r>
              <w:rPr>
                <w:rFonts w:ascii="Times New Roman" w:hAnsi="Times New Roman" w:eastAsiaTheme="minorHAnsi"/>
                <w:sz w:val="18"/>
                <w:szCs w:val="18"/>
              </w:rPr>
            </w:r>
            <w:r>
              <w:rPr>
                <w:rFonts w:ascii="Times New Roman" w:hAnsi="Times New Roman" w:eastAsiaTheme="minorHAnsi"/>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imes New Roman"/>
                <w:b/>
                <w:bCs/>
                <w:sz w:val="18"/>
                <w:szCs w:val="18"/>
                <w:lang w:eastAsia="ru-RU"/>
              </w:rPr>
            </w:pPr>
            <w:r>
              <w:rPr>
                <w:rFonts w:ascii="Times New Roman" w:hAnsi="Times New Roman" w:eastAsia="Times New Roman"/>
                <w:b/>
                <w:bCs/>
                <w:sz w:val="18"/>
                <w:szCs w:val="18"/>
                <w:lang w:eastAsia="ru-RU"/>
              </w:rPr>
              <w:t xml:space="preserve">0,15</w:t>
            </w:r>
            <w:r>
              <w:rPr>
                <w:rFonts w:ascii="Times New Roman" w:hAnsi="Times New Roman" w:eastAsia="Times New Roman"/>
                <w:b/>
                <w:bCs/>
                <w:sz w:val="18"/>
                <w:szCs w:val="18"/>
                <w:lang w:eastAsia="ru-RU"/>
              </w:rPr>
            </w:r>
            <w:r>
              <w:rPr>
                <w:rFonts w:ascii="Times New Roman" w:hAnsi="Times New Roman" w:eastAsia="Times New Roman"/>
                <w:b/>
                <w:bCs/>
                <w:sz w:val="18"/>
                <w:szCs w:val="18"/>
                <w:lang w:eastAsia="ru-RU"/>
              </w:rPr>
            </w:r>
          </w:p>
        </w:tc>
        <w:tc>
          <w:tcPr>
            <w:shd w:val="clear" w:color="auto" w:fill="auto"/>
            <w:tcW w:w="3685"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Достаточный среднемесячный свободный потенциал деятельности Участника позволяет осуществлять стабильное бесперебойное выполнение работ (оказание услуг), являющихся предметом закупки:</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1.</w:t>
            </w:r>
            <w:r>
              <w:rPr>
                <w:rFonts w:ascii="Times New Roman" w:hAnsi="Times New Roman" w:eastAsiaTheme="minorHAnsi"/>
                <w:sz w:val="18"/>
                <w:szCs w:val="18"/>
              </w:rPr>
              <w:tab/>
              <w:t xml:space="preserve">Справка о незавершенных обязательствах Участника перед контрагентами п</w:t>
            </w:r>
            <w:r>
              <w:rPr>
                <w:rFonts w:ascii="Times New Roman" w:hAnsi="Times New Roman" w:eastAsiaTheme="minorHAnsi"/>
                <w:sz w:val="18"/>
                <w:szCs w:val="18"/>
              </w:rPr>
              <w:t xml:space="preserve">о выполнению работ (оказанию услуг), которые попадают на срок выполнения работ (оказания услуг), являющихся предметом закупки;</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2.</w:t>
            </w:r>
            <w:r>
              <w:rPr>
                <w:rFonts w:ascii="Times New Roman" w:hAnsi="Times New Roman" w:eastAsiaTheme="minorHAnsi"/>
                <w:sz w:val="18"/>
                <w:szCs w:val="18"/>
              </w:rPr>
              <w:tab/>
              <w:t xml:space="preserve">Документы о финансовых результатах Участника за три последних отчетных календарных года (при наличии):</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 для организаций: Отчет о финансовых результатах (ОКУД 0710002, ОКУД 0710002);</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 - для учреждений: Отчет о финансовых результатах деятельности учреждения (ф. 0503721);</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 для индивидуальных предпринимателей: </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если применяется ОСНО: Декларация 3 – НДФЛ (КНД </w:t>
            </w:r>
            <w:r>
              <w:rPr>
                <w:rFonts w:ascii="Times New Roman" w:hAnsi="Times New Roman" w:eastAsiaTheme="minorHAnsi"/>
                <w:sz w:val="18"/>
                <w:szCs w:val="18"/>
              </w:rPr>
              <w:t xml:space="preserve">1151020);</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если применяется УСН: Декларация по УСН (КНД 1152017);</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если применяется ЕСХН - Декларация по ЕСХН (КНД 1151059);</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 для хозяйствующего субъекта, применяющего налог на профессиональный доход: Справка о состоянии расчетов по налогу на профессиональн</w:t>
            </w:r>
            <w:r>
              <w:rPr>
                <w:rFonts w:ascii="Times New Roman" w:hAnsi="Times New Roman" w:eastAsiaTheme="minorHAnsi"/>
                <w:sz w:val="18"/>
                <w:szCs w:val="18"/>
              </w:rPr>
              <w:t xml:space="preserve">ый доход (КНД 1122056).</w:t>
            </w:r>
            <w:r>
              <w:rPr>
                <w:rFonts w:ascii="Times New Roman" w:hAnsi="Times New Roman" w:eastAsiaTheme="minorHAnsi"/>
                <w:sz w:val="18"/>
                <w:szCs w:val="18"/>
              </w:rPr>
            </w:r>
            <w:r>
              <w:rPr>
                <w:rFonts w:ascii="Times New Roman" w:hAnsi="Times New Roman" w:eastAsiaTheme="minorHAnsi"/>
                <w:sz w:val="18"/>
                <w:szCs w:val="18"/>
              </w:rPr>
            </w:r>
          </w:p>
        </w:tc>
        <w:tc>
          <w:tcPr>
            <w:tcW w:w="5558" w:type="dxa"/>
            <w:textDirection w:val="lrTb"/>
            <w:noWrap w:val="false"/>
          </w:tcPr>
          <w:p>
            <w:pPr>
              <w:jc w:val="both"/>
              <w:spacing w:after="0" w:line="240" w:lineRule="auto"/>
              <w:rPr>
                <w:rFonts w:ascii="Times New Roman" w:hAnsi="Times New Roman"/>
                <w:iCs/>
                <w:sz w:val="18"/>
                <w:szCs w:val="18"/>
              </w:rPr>
            </w:pPr>
            <w:r>
              <w:rPr>
                <w:rFonts w:ascii="Times New Roman" w:hAnsi="Times New Roman"/>
                <w:iCs/>
                <w:sz w:val="18"/>
                <w:szCs w:val="18"/>
              </w:rPr>
              <w:t xml:space="preserve">Расчет производится по формуле:</w:t>
            </w:r>
            <w:r>
              <w:rPr>
                <w:rFonts w:ascii="Times New Roman" w:hAnsi="Times New Roman"/>
                <w:iCs/>
                <w:sz w:val="18"/>
                <w:szCs w:val="18"/>
              </w:rPr>
            </w:r>
            <w:r>
              <w:rPr>
                <w:rFonts w:ascii="Times New Roman" w:hAnsi="Times New Roman"/>
                <w:iCs/>
                <w:sz w:val="18"/>
                <w:szCs w:val="18"/>
              </w:rPr>
            </w:r>
          </w:p>
          <w:p>
            <w:pPr>
              <w:spacing w:after="0" w:line="240" w:lineRule="auto"/>
              <w:rPr>
                <w:rFonts w:ascii="Times New Roman" w:hAnsi="Times New Roman"/>
                <w:b/>
                <w:sz w:val="18"/>
                <w:szCs w:val="18"/>
              </w:rPr>
            </w:pPr>
            <w:r>
              <w:rPr>
                <w:rFonts w:ascii="Times New Roman" w:hAnsi="Times New Roman"/>
                <w:b/>
                <w:sz w:val="18"/>
                <w:szCs w:val="18"/>
              </w:rPr>
            </w:r>
            <w:r>
              <w:rPr>
                <w:rFonts w:ascii="Times New Roman" w:hAnsi="Times New Roman"/>
                <w:b/>
                <w:sz w:val="18"/>
                <w:szCs w:val="18"/>
              </w:rPr>
            </w:r>
            <w:r>
              <w:rPr>
                <w:rFonts w:ascii="Times New Roman" w:hAnsi="Times New Roman"/>
                <w:b/>
                <w:sz w:val="18"/>
                <w:szCs w:val="18"/>
              </w:rPr>
            </w:r>
          </w:p>
          <w:p>
            <w:pPr>
              <w:spacing w:after="0" w:line="240" w:lineRule="auto"/>
              <w:rPr>
                <w:rFonts w:ascii="Times New Roman" w:hAnsi="Times New Roman"/>
                <w:b/>
                <w:sz w:val="18"/>
                <w:szCs w:val="18"/>
              </w:rPr>
            </w:pPr>
            <w:r>
              <w:rPr>
                <w:rFonts w:ascii="Times New Roman" w:hAnsi="Times New Roman"/>
                <w:b/>
                <w:sz w:val="18"/>
                <w:szCs w:val="18"/>
                <w:lang w:val="en-US"/>
              </w:rPr>
              <w:t xml:space="preserve">Un</w:t>
            </w:r>
            <w:r>
              <w:rPr>
                <w:rFonts w:ascii="Times New Roman" w:hAnsi="Times New Roman"/>
                <w:b/>
                <w:sz w:val="18"/>
                <w:szCs w:val="18"/>
              </w:rPr>
              <w:t xml:space="preserve"> = ((</w:t>
            </w:r>
            <w:r>
              <w:rPr>
                <w:rFonts w:ascii="Times New Roman" w:hAnsi="Times New Roman"/>
                <w:b/>
                <w:sz w:val="18"/>
                <w:szCs w:val="18"/>
                <w:lang w:val="en-US"/>
              </w:rPr>
              <w:t xml:space="preserve">V</w:t>
            </w:r>
            <w:r>
              <w:rPr>
                <w:rFonts w:ascii="Times New Roman" w:hAnsi="Times New Roman"/>
                <w:b/>
                <w:sz w:val="18"/>
                <w:szCs w:val="18"/>
                <w:vertAlign w:val="subscript"/>
                <w:lang w:val="en-US"/>
              </w:rPr>
              <w:t xml:space="preserve">md</w:t>
            </w:r>
            <w:r>
              <w:rPr>
                <w:rFonts w:ascii="Times New Roman" w:hAnsi="Times New Roman"/>
                <w:b/>
                <w:sz w:val="18"/>
                <w:szCs w:val="18"/>
              </w:rPr>
              <w:t xml:space="preserve"> / 12) – (∑</w:t>
            </w:r>
            <w:r>
              <w:rPr>
                <w:rFonts w:ascii="Times New Roman" w:hAnsi="Times New Roman"/>
                <w:b/>
                <w:sz w:val="18"/>
                <w:szCs w:val="18"/>
                <w:lang w:val="en-US"/>
              </w:rPr>
              <w:t xml:space="preserve">Z</w:t>
            </w:r>
            <w:r>
              <w:rPr>
                <w:rFonts w:ascii="Times New Roman" w:hAnsi="Times New Roman"/>
                <w:b/>
                <w:sz w:val="18"/>
                <w:szCs w:val="18"/>
                <w:vertAlign w:val="subscript"/>
                <w:lang w:val="en-US"/>
              </w:rPr>
              <w:t xml:space="preserve">n</w:t>
            </w:r>
            <w:r>
              <w:rPr>
                <w:rFonts w:ascii="Times New Roman" w:hAnsi="Times New Roman"/>
                <w:b/>
                <w:sz w:val="18"/>
                <w:szCs w:val="18"/>
                <w:vertAlign w:val="subscript"/>
              </w:rPr>
              <w:t xml:space="preserve">1…</w:t>
            </w:r>
            <w:r>
              <w:rPr>
                <w:rFonts w:ascii="Times New Roman" w:hAnsi="Times New Roman"/>
                <w:b/>
                <w:sz w:val="18"/>
                <w:szCs w:val="18"/>
                <w:vertAlign w:val="subscript"/>
                <w:lang w:val="en-US"/>
              </w:rPr>
              <w:t xml:space="preserve">nx</w:t>
            </w:r>
            <w:r>
              <w:rPr>
                <w:rFonts w:ascii="Times New Roman" w:hAnsi="Times New Roman"/>
                <w:b/>
                <w:sz w:val="18"/>
                <w:szCs w:val="18"/>
              </w:rPr>
              <w:t xml:space="preserve"> / ∑</w:t>
            </w:r>
            <w:r>
              <w:rPr>
                <w:rFonts w:ascii="Times New Roman" w:hAnsi="Times New Roman"/>
                <w:b/>
                <w:sz w:val="18"/>
                <w:szCs w:val="18"/>
                <w:lang w:val="en-US"/>
              </w:rPr>
              <w:t xml:space="preserve">S</w:t>
            </w:r>
            <w:r>
              <w:rPr>
                <w:rFonts w:ascii="Times New Roman" w:hAnsi="Times New Roman"/>
                <w:b/>
                <w:sz w:val="18"/>
                <w:szCs w:val="18"/>
                <w:vertAlign w:val="subscript"/>
                <w:lang w:val="en-US"/>
              </w:rPr>
              <w:t xml:space="preserve">n</w:t>
            </w:r>
            <w:r>
              <w:rPr>
                <w:rFonts w:ascii="Times New Roman" w:hAnsi="Times New Roman"/>
                <w:b/>
                <w:sz w:val="18"/>
                <w:szCs w:val="18"/>
                <w:vertAlign w:val="subscript"/>
              </w:rPr>
              <w:t xml:space="preserve">1…</w:t>
            </w:r>
            <w:r>
              <w:rPr>
                <w:rFonts w:ascii="Times New Roman" w:hAnsi="Times New Roman"/>
                <w:b/>
                <w:sz w:val="18"/>
                <w:szCs w:val="18"/>
                <w:vertAlign w:val="subscript"/>
                <w:lang w:val="en-US"/>
              </w:rPr>
              <w:t xml:space="preserve">nx</w:t>
            </w:r>
            <w:r>
              <w:rPr>
                <w:rFonts w:ascii="Times New Roman" w:hAnsi="Times New Roman"/>
                <w:b/>
                <w:sz w:val="18"/>
                <w:szCs w:val="18"/>
              </w:rPr>
              <w:t xml:space="preserve">)) / (</w:t>
            </w:r>
            <w:r>
              <w:rPr>
                <w:rFonts w:ascii="Times New Roman" w:hAnsi="Times New Roman"/>
                <w:b/>
                <w:sz w:val="18"/>
                <w:szCs w:val="18"/>
                <w:lang w:val="en-US"/>
              </w:rPr>
              <w:t xml:space="preserve">P</w:t>
            </w:r>
            <w:r>
              <w:rPr>
                <w:rFonts w:ascii="Times New Roman" w:hAnsi="Times New Roman"/>
                <w:b/>
                <w:sz w:val="18"/>
                <w:szCs w:val="18"/>
                <w:vertAlign w:val="subscript"/>
                <w:lang w:val="en-US"/>
              </w:rPr>
              <w:t xml:space="preserve">d</w:t>
            </w:r>
            <w:r>
              <w:rPr>
                <w:rFonts w:ascii="Times New Roman" w:hAnsi="Times New Roman"/>
                <w:b/>
                <w:sz w:val="18"/>
                <w:szCs w:val="18"/>
              </w:rPr>
              <w:t xml:space="preserve"> / </w:t>
            </w:r>
            <w:r>
              <w:rPr>
                <w:rFonts w:ascii="Times New Roman" w:hAnsi="Times New Roman"/>
                <w:b/>
                <w:sz w:val="18"/>
                <w:szCs w:val="18"/>
                <w:lang w:val="en-US"/>
              </w:rPr>
              <w:t xml:space="preserve">S</w:t>
            </w:r>
            <w:r>
              <w:rPr>
                <w:rFonts w:ascii="Times New Roman" w:hAnsi="Times New Roman"/>
                <w:b/>
                <w:sz w:val="18"/>
                <w:szCs w:val="18"/>
                <w:vertAlign w:val="subscript"/>
                <w:lang w:val="en-US"/>
              </w:rPr>
              <w:t xml:space="preserve">d</w:t>
            </w:r>
            <w:r>
              <w:rPr>
                <w:rFonts w:ascii="Times New Roman" w:hAnsi="Times New Roman"/>
                <w:b/>
                <w:sz w:val="18"/>
                <w:szCs w:val="18"/>
              </w:rPr>
              <w:t xml:space="preserve">), </w:t>
            </w:r>
            <w:r>
              <w:rPr>
                <w:rFonts w:ascii="Times New Roman" w:hAnsi="Times New Roman"/>
                <w:i/>
                <w:sz w:val="18"/>
                <w:szCs w:val="18"/>
              </w:rPr>
              <w:t xml:space="preserve">где:</w:t>
            </w:r>
            <w:r>
              <w:rPr>
                <w:rFonts w:ascii="Times New Roman" w:hAnsi="Times New Roman"/>
                <w:b/>
                <w:sz w:val="18"/>
                <w:szCs w:val="18"/>
              </w:rPr>
            </w:r>
            <w:r>
              <w:rPr>
                <w:rFonts w:ascii="Times New Roman" w:hAnsi="Times New Roman"/>
                <w:b/>
                <w:sz w:val="18"/>
                <w:szCs w:val="18"/>
              </w:rPr>
            </w:r>
          </w:p>
          <w:p>
            <w:pPr>
              <w:jc w:val="both"/>
              <w:spacing w:after="0" w:line="240" w:lineRule="auto"/>
              <w:rPr>
                <w:rFonts w:ascii="Times New Roman" w:hAnsi="Times New Roman"/>
                <w:b/>
                <w:i/>
                <w:sz w:val="18"/>
                <w:szCs w:val="18"/>
              </w:rPr>
            </w:pPr>
            <w:r>
              <w:rPr>
                <w:rFonts w:ascii="Times New Roman" w:hAnsi="Times New Roman"/>
                <w:b/>
                <w:i/>
                <w:sz w:val="18"/>
                <w:szCs w:val="18"/>
              </w:rPr>
            </w:r>
            <w:r>
              <w:rPr>
                <w:rFonts w:ascii="Times New Roman" w:hAnsi="Times New Roman"/>
                <w:b/>
                <w:i/>
                <w:sz w:val="18"/>
                <w:szCs w:val="18"/>
              </w:rPr>
            </w:r>
            <w:r>
              <w:rPr>
                <w:rFonts w:ascii="Times New Roman" w:hAnsi="Times New Roman"/>
                <w:b/>
                <w:i/>
                <w:sz w:val="18"/>
                <w:szCs w:val="18"/>
              </w:rPr>
            </w:r>
          </w:p>
          <w:p>
            <w:pPr>
              <w:jc w:val="both"/>
              <w:spacing w:after="0" w:line="240" w:lineRule="auto"/>
              <w:rPr>
                <w:rFonts w:ascii="Times New Roman" w:hAnsi="Times New Roman"/>
                <w:sz w:val="18"/>
                <w:szCs w:val="18"/>
              </w:rPr>
            </w:pPr>
            <w:r>
              <w:rPr>
                <w:rFonts w:ascii="Times New Roman" w:hAnsi="Times New Roman"/>
                <w:b/>
                <w:sz w:val="18"/>
                <w:szCs w:val="18"/>
                <w:lang w:val="en-US"/>
              </w:rPr>
              <w:t xml:space="preserve">Un</w:t>
            </w:r>
            <w:r>
              <w:rPr>
                <w:rFonts w:ascii="Times New Roman" w:hAnsi="Times New Roman"/>
                <w:b/>
                <w:sz w:val="18"/>
                <w:szCs w:val="18"/>
              </w:rPr>
              <w:t xml:space="preserve"> </w:t>
            </w:r>
            <w:r>
              <w:rPr>
                <w:rFonts w:ascii="Times New Roman" w:hAnsi="Times New Roman"/>
                <w:b/>
                <w:i/>
                <w:sz w:val="18"/>
                <w:szCs w:val="18"/>
              </w:rPr>
              <w:t xml:space="preserve">– </w:t>
            </w:r>
            <w:r>
              <w:rPr>
                <w:rFonts w:ascii="Times New Roman" w:hAnsi="Times New Roman"/>
                <w:sz w:val="18"/>
                <w:szCs w:val="18"/>
              </w:rPr>
              <w:t xml:space="preserve">коэффициент</w:t>
            </w:r>
            <w:r>
              <w:rPr>
                <w:rFonts w:ascii="Times New Roman" w:hAnsi="Times New Roman"/>
                <w:iCs/>
                <w:sz w:val="18"/>
                <w:szCs w:val="18"/>
              </w:rPr>
              <w:t xml:space="preserve"> соотношения среднемесячного свободного потенциала деятельности Участника </w:t>
            </w:r>
            <w:r>
              <w:rPr>
                <w:rFonts w:ascii="Times New Roman" w:hAnsi="Times New Roman"/>
                <w:sz w:val="18"/>
                <w:szCs w:val="18"/>
              </w:rPr>
              <w:t xml:space="preserve">и </w:t>
            </w:r>
            <w:r>
              <w:rPr>
                <w:rFonts w:ascii="Times New Roman" w:hAnsi="Times New Roman"/>
                <w:iCs/>
                <w:sz w:val="18"/>
                <w:szCs w:val="18"/>
              </w:rPr>
              <w:t xml:space="preserve">максимальной </w:t>
            </w:r>
            <w:r>
              <w:rPr>
                <w:rFonts w:ascii="Times New Roman" w:hAnsi="Times New Roman"/>
                <w:sz w:val="18"/>
                <w:szCs w:val="18"/>
              </w:rPr>
              <w:t xml:space="preserve">среднемесячной загрузки Участника </w:t>
            </w:r>
            <w:r>
              <w:rPr>
                <w:rFonts w:ascii="Times New Roman" w:hAnsi="Times New Roman"/>
                <w:iCs/>
                <w:sz w:val="18"/>
                <w:szCs w:val="18"/>
              </w:rPr>
              <w:t xml:space="preserve">в случае заключения с ним договора </w:t>
            </w:r>
            <w:r>
              <w:rPr>
                <w:rFonts w:ascii="Times New Roman" w:hAnsi="Times New Roman"/>
                <w:sz w:val="18"/>
                <w:szCs w:val="18"/>
              </w:rPr>
              <w:t xml:space="preserve">по результатам настоящей закупки;</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lang w:val="en-US"/>
              </w:rPr>
              <w:t xml:space="preserve">V</w:t>
            </w:r>
            <w:r>
              <w:rPr>
                <w:rFonts w:ascii="Times New Roman" w:hAnsi="Times New Roman"/>
                <w:b/>
                <w:sz w:val="18"/>
                <w:szCs w:val="18"/>
                <w:vertAlign w:val="subscript"/>
                <w:lang w:val="en-US"/>
              </w:rPr>
              <w:t xml:space="preserve">md</w:t>
            </w:r>
            <w:r>
              <w:rPr>
                <w:rFonts w:ascii="Times New Roman" w:hAnsi="Times New Roman"/>
                <w:b/>
                <w:sz w:val="18"/>
                <w:szCs w:val="18"/>
                <w:vertAlign w:val="subscript"/>
              </w:rPr>
              <w:t xml:space="preserve"> </w:t>
            </w:r>
            <w:r>
              <w:rPr>
                <w:rFonts w:ascii="Times New Roman" w:hAnsi="Times New Roman" w:eastAsia="Times New Roman"/>
                <w:sz w:val="18"/>
                <w:szCs w:val="18"/>
                <w:lang w:eastAsia="ru-RU"/>
              </w:rPr>
              <w:t xml:space="preserve">– наибольшее значение из </w:t>
            </w:r>
            <w:r>
              <w:rPr>
                <w:rFonts w:ascii="Times New Roman" w:hAnsi="Times New Roman"/>
                <w:iCs/>
                <w:sz w:val="18"/>
                <w:szCs w:val="18"/>
              </w:rPr>
              <w:t xml:space="preserve">показателей выручки Участника за три последних отчетных календарных года</w:t>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pStyle w:val="1352"/>
              <w:ind w:right="113"/>
              <w:jc w:val="both"/>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p>
            <w:pPr>
              <w:pStyle w:val="1352"/>
              <w:ind w:right="113"/>
              <w:jc w:val="both"/>
              <w:rPr>
                <w:rFonts w:ascii="Times New Roman" w:hAnsi="Times New Roman"/>
                <w:sz w:val="18"/>
                <w:szCs w:val="18"/>
              </w:rPr>
            </w:pPr>
            <w:r>
              <w:rPr>
                <w:rFonts w:ascii="Times New Roman" w:hAnsi="Times New Roman"/>
                <w:sz w:val="18"/>
                <w:szCs w:val="18"/>
              </w:rPr>
              <w:t xml:space="preserve">Показатели выручки для целей расчета определяются следующим образом:</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Размер годовой</w:t>
            </w:r>
            <w:r>
              <w:rPr>
                <w:rFonts w:ascii="Times New Roman" w:hAnsi="Times New Roman"/>
                <w:sz w:val="18"/>
                <w:szCs w:val="18"/>
              </w:rPr>
              <w:t xml:space="preserve"> выручки организаций (кроме учреждений) признается равным показателю строки 2110 «Выручка» из отчета о финансовых результатах (ОКУД 0710002, ОКУД 0710002).</w:t>
            </w:r>
            <w:r>
              <w:rPr>
                <w:rFonts w:ascii="Times New Roman" w:hAnsi="Times New Roman"/>
                <w:sz w:val="18"/>
                <w:szCs w:val="18"/>
              </w:rPr>
            </w:r>
            <w:r>
              <w:rPr>
                <w:rFonts w:ascii="Times New Roman" w:hAnsi="Times New Roman"/>
                <w:sz w:val="18"/>
                <w:szCs w:val="18"/>
              </w:rPr>
            </w:r>
          </w:p>
          <w:p>
            <w:pPr>
              <w:pStyle w:val="1352"/>
              <w:ind w:right="113"/>
              <w:jc w:val="both"/>
              <w:rPr>
                <w:rFonts w:ascii="Times New Roman" w:hAnsi="Times New Roman"/>
                <w:sz w:val="18"/>
                <w:szCs w:val="18"/>
              </w:rPr>
            </w:pPr>
            <w:r>
              <w:rPr>
                <w:rFonts w:ascii="Times New Roman" w:hAnsi="Times New Roman"/>
                <w:sz w:val="18"/>
                <w:szCs w:val="18"/>
              </w:rPr>
              <w:t xml:space="preserve">Размер годовой выручки учреждений определяется в порядке, указанном в письме Минфина России 16.04.20</w:t>
            </w:r>
            <w:r>
              <w:rPr>
                <w:rFonts w:ascii="Times New Roman" w:hAnsi="Times New Roman"/>
                <w:sz w:val="18"/>
                <w:szCs w:val="18"/>
              </w:rPr>
              <w:t xml:space="preserve">18 № 02-06-10/25658.</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Размер годовой выручки индивидуальных предпринимателей признается равным показателям: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ОСНО- показателю строки 060 «Налоговая база для исчисления налога» раздела 2 декларации 3 – НДФЛ (КНД 1151020) по коду вида выручки «07»;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УСН – показателям с</w:t>
            </w:r>
            <w:r>
              <w:rPr>
                <w:rFonts w:ascii="Times New Roman" w:hAnsi="Times New Roman"/>
                <w:sz w:val="18"/>
                <w:szCs w:val="18"/>
              </w:rPr>
              <w:t xml:space="preserve">троки 113 «Сумма полученных доходов (налоговая база для исчисления налога) за налоговый период» раздела 2.1.1 или строки 213 «Сумма полученных доходов (налоговая база для исчисления налога) за налоговый период» раздела 2.2 декларации по УСН (КНД 1152017);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ЕСХН - показателю строки 010 «Сумма дохода за налоговый период, учитываемая для определения налоговой базы по налогу» раздела 1 декларации по ЕСХН (КНД 1151059).</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sz w:val="18"/>
                <w:szCs w:val="18"/>
              </w:rPr>
              <w:t xml:space="preserve">Размер годовой выручки хозяйствующего субъекта, применяющего налог на профес</w:t>
            </w:r>
            <w:r>
              <w:rPr>
                <w:rFonts w:ascii="Times New Roman" w:hAnsi="Times New Roman"/>
                <w:sz w:val="18"/>
                <w:szCs w:val="18"/>
              </w:rPr>
              <w:t xml:space="preserve">сиональный доход, признается равным показателю «Общая сумма дохода за календарный год» в справке о состоянии расчетов по налогу на профессиональный доход (КНД 1122056).</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lang w:val="en-US"/>
              </w:rPr>
              <w:t xml:space="preserve">Z</w:t>
            </w:r>
            <w:r>
              <w:rPr>
                <w:rFonts w:ascii="Times New Roman" w:hAnsi="Times New Roman"/>
                <w:b/>
                <w:sz w:val="18"/>
                <w:szCs w:val="18"/>
              </w:rPr>
              <w:t xml:space="preserve"> </w:t>
            </w:r>
            <w:r>
              <w:rPr>
                <w:rFonts w:ascii="Times New Roman" w:hAnsi="Times New Roman"/>
                <w:sz w:val="18"/>
                <w:szCs w:val="18"/>
              </w:rPr>
              <w:t xml:space="preserve">– сумма неисполненных обязательств Участника </w:t>
            </w:r>
            <w:r>
              <w:rPr>
                <w:rFonts w:ascii="Times New Roman" w:hAnsi="Times New Roman"/>
                <w:iCs/>
                <w:sz w:val="18"/>
                <w:szCs w:val="18"/>
              </w:rPr>
              <w:t xml:space="preserve">перед </w:t>
            </w:r>
            <w:r>
              <w:rPr>
                <w:rFonts w:ascii="Times New Roman" w:hAnsi="Times New Roman"/>
                <w:sz w:val="18"/>
                <w:szCs w:val="18"/>
              </w:rPr>
              <w:t xml:space="preserve">контрагентом по договору, срок вып</w:t>
            </w:r>
            <w:r>
              <w:rPr>
                <w:rFonts w:ascii="Times New Roman" w:hAnsi="Times New Roman"/>
                <w:sz w:val="18"/>
                <w:szCs w:val="18"/>
              </w:rPr>
              <w:t xml:space="preserve">олнения которых попадает </w:t>
            </w:r>
            <w:r>
              <w:rPr>
                <w:rFonts w:ascii="Times New Roman" w:hAnsi="Times New Roman"/>
                <w:sz w:val="18"/>
                <w:szCs w:val="18"/>
              </w:rPr>
              <w:t xml:space="preserve">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lang w:val="en-US"/>
              </w:rPr>
              <w:t xml:space="preserve">S</w:t>
            </w:r>
            <w:r>
              <w:rPr>
                <w:rFonts w:ascii="Times New Roman" w:hAnsi="Times New Roman"/>
                <w:b/>
                <w:sz w:val="18"/>
                <w:szCs w:val="18"/>
                <w:vertAlign w:val="subscript"/>
              </w:rPr>
              <w:t xml:space="preserve"> </w:t>
            </w:r>
            <w:r>
              <w:rPr>
                <w:rFonts w:ascii="Times New Roman" w:hAnsi="Times New Roman"/>
                <w:b/>
                <w:sz w:val="18"/>
                <w:szCs w:val="18"/>
              </w:rPr>
              <w:t xml:space="preserve">–</w:t>
            </w:r>
            <w:r>
              <w:rPr>
                <w:rFonts w:ascii="Times New Roman" w:hAnsi="Times New Roman"/>
                <w:b/>
                <w:sz w:val="18"/>
                <w:szCs w:val="18"/>
                <w:vertAlign w:val="subscript"/>
              </w:rPr>
              <w:t xml:space="preserve"> </w:t>
            </w:r>
            <w:r>
              <w:rPr>
                <w:rFonts w:ascii="Times New Roman" w:hAnsi="Times New Roman"/>
                <w:sz w:val="18"/>
                <w:szCs w:val="18"/>
              </w:rPr>
              <w:t xml:space="preserve">количество месяцев исполнения неисполненных Участником перед контрагентом договора обязательств, которые попадают на срок выполнения работ (оказания услуг</w:t>
            </w:r>
            <w:r>
              <w:rPr>
                <w:rFonts w:ascii="Times New Roman" w:hAnsi="Times New Roman"/>
                <w:sz w:val="18"/>
                <w:szCs w:val="18"/>
              </w:rPr>
              <w:t xml:space="preserve">), являющихся предметом закупки;</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vertAlign w:val="subscript"/>
                <w:lang w:val="en-US"/>
              </w:rPr>
              <w:t xml:space="preserve">n</w:t>
            </w:r>
            <w:r>
              <w:rPr>
                <w:rFonts w:ascii="Times New Roman" w:hAnsi="Times New Roman"/>
                <w:b/>
                <w:sz w:val="18"/>
                <w:szCs w:val="18"/>
                <w:vertAlign w:val="subscript"/>
              </w:rPr>
              <w:t xml:space="preserve">1…</w:t>
            </w:r>
            <w:r>
              <w:rPr>
                <w:rFonts w:ascii="Times New Roman" w:hAnsi="Times New Roman"/>
                <w:b/>
                <w:sz w:val="18"/>
                <w:szCs w:val="18"/>
                <w:vertAlign w:val="subscript"/>
                <w:lang w:val="en-US"/>
              </w:rPr>
              <w:t xml:space="preserve">nx</w:t>
            </w:r>
            <w:r>
              <w:rPr>
                <w:rFonts w:ascii="Times New Roman" w:hAnsi="Times New Roman"/>
                <w:b/>
                <w:sz w:val="18"/>
                <w:szCs w:val="18"/>
                <w:vertAlign w:val="subscript"/>
              </w:rPr>
              <w:t xml:space="preserve"> </w:t>
            </w:r>
            <w:r>
              <w:rPr>
                <w:rFonts w:ascii="Times New Roman" w:hAnsi="Times New Roman"/>
                <w:b/>
                <w:sz w:val="18"/>
                <w:szCs w:val="18"/>
              </w:rPr>
              <w:t xml:space="preserve">– </w:t>
            </w:r>
            <w:r>
              <w:rPr>
                <w:rFonts w:ascii="Times New Roman" w:hAnsi="Times New Roman"/>
                <w:sz w:val="18"/>
                <w:szCs w:val="18"/>
              </w:rPr>
              <w:t xml:space="preserve">совокупность</w:t>
            </w:r>
            <w:r>
              <w:rPr>
                <w:rFonts w:ascii="Times New Roman" w:hAnsi="Times New Roman"/>
                <w:b/>
                <w:sz w:val="18"/>
                <w:szCs w:val="18"/>
              </w:rPr>
              <w:t xml:space="preserve"> </w:t>
            </w:r>
            <w:r>
              <w:rPr>
                <w:rFonts w:ascii="Times New Roman" w:hAnsi="Times New Roman"/>
                <w:iCs/>
                <w:sz w:val="18"/>
                <w:szCs w:val="18"/>
              </w:rPr>
              <w:t xml:space="preserve">незавершенных перед контрагентами договоров Участника,</w:t>
            </w:r>
            <w:r>
              <w:rPr>
                <w:rFonts w:ascii="Times New Roman" w:hAnsi="Times New Roman"/>
                <w:sz w:val="18"/>
                <w:szCs w:val="18"/>
              </w:rPr>
              <w:t xml:space="preserve"> которые попадают 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b/>
                <w:sz w:val="18"/>
                <w:szCs w:val="18"/>
                <w:lang w:val="en-US"/>
              </w:rPr>
              <w:t xml:space="preserve">P</w:t>
            </w:r>
            <w:r>
              <w:rPr>
                <w:rFonts w:ascii="Times New Roman" w:hAnsi="Times New Roman"/>
                <w:b/>
                <w:sz w:val="18"/>
                <w:szCs w:val="18"/>
                <w:vertAlign w:val="subscript"/>
                <w:lang w:val="en-US"/>
              </w:rPr>
              <w:t xml:space="preserve">d</w:t>
            </w:r>
            <w:r>
              <w:rPr>
                <w:rFonts w:ascii="Times New Roman" w:hAnsi="Times New Roman"/>
                <w:b/>
                <w:sz w:val="18"/>
                <w:szCs w:val="18"/>
                <w:vertAlign w:val="subscript"/>
              </w:rPr>
              <w:t xml:space="preserve"> </w:t>
            </w:r>
            <w:r>
              <w:rPr>
                <w:rFonts w:ascii="Times New Roman" w:hAnsi="Times New Roman"/>
                <w:b/>
                <w:sz w:val="18"/>
                <w:szCs w:val="18"/>
              </w:rPr>
              <w:t xml:space="preserve">– </w:t>
            </w:r>
            <w:r>
              <w:rPr>
                <w:rFonts w:ascii="Times New Roman" w:hAnsi="Times New Roman"/>
                <w:sz w:val="18"/>
                <w:szCs w:val="18"/>
              </w:rPr>
              <w:t xml:space="preserve">начальная (максимальная) цена договора (предмета зак</w:t>
            </w:r>
            <w:r>
              <w:rPr>
                <w:rFonts w:ascii="Times New Roman" w:hAnsi="Times New Roman"/>
                <w:sz w:val="18"/>
                <w:szCs w:val="18"/>
              </w:rPr>
              <w:t xml:space="preserve">упки).</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b/>
                <w:sz w:val="18"/>
                <w:szCs w:val="18"/>
                <w:lang w:val="en-US"/>
              </w:rPr>
              <w:t xml:space="preserve">S</w:t>
            </w:r>
            <w:r>
              <w:rPr>
                <w:rFonts w:ascii="Times New Roman" w:hAnsi="Times New Roman"/>
                <w:b/>
                <w:sz w:val="18"/>
                <w:szCs w:val="18"/>
                <w:vertAlign w:val="subscript"/>
                <w:lang w:val="en-US"/>
              </w:rPr>
              <w:t xml:space="preserve">d</w:t>
            </w:r>
            <w:r>
              <w:rPr>
                <w:rFonts w:ascii="Times New Roman" w:hAnsi="Times New Roman"/>
                <w:b/>
                <w:sz w:val="18"/>
                <w:szCs w:val="18"/>
                <w:vertAlign w:val="subscript"/>
              </w:rPr>
              <w:t xml:space="preserve"> </w:t>
            </w:r>
            <w:r>
              <w:rPr>
                <w:rFonts w:ascii="Times New Roman" w:hAnsi="Times New Roman"/>
                <w:b/>
                <w:sz w:val="18"/>
                <w:szCs w:val="18"/>
              </w:rPr>
              <w:t xml:space="preserve">– </w:t>
            </w:r>
            <w:r>
              <w:rPr>
                <w:rFonts w:ascii="Times New Roman" w:hAnsi="Times New Roman"/>
                <w:sz w:val="18"/>
                <w:szCs w:val="18"/>
              </w:rPr>
              <w:t xml:space="preserve">количество полных месяцев</w:t>
            </w:r>
            <w:r>
              <w:rPr>
                <w:rFonts w:ascii="Times New Roman" w:hAnsi="Times New Roman"/>
                <w:sz w:val="18"/>
                <w:szCs w:val="18"/>
                <w:vertAlign w:val="superscript"/>
              </w:rPr>
              <w:t xml:space="preserve">1</w:t>
            </w:r>
            <w:r>
              <w:rPr>
                <w:rFonts w:ascii="Times New Roman" w:hAnsi="Times New Roman"/>
                <w:sz w:val="18"/>
                <w:szCs w:val="18"/>
              </w:rPr>
              <w:t xml:space="preserve">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p>
            <w:pPr>
              <w:ind w:left="13"/>
              <w:jc w:val="both"/>
              <w:spacing w:after="0" w:line="240" w:lineRule="auto"/>
              <w:tabs>
                <w:tab w:val="left" w:pos="585" w:leader="none"/>
              </w:tabs>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sz w:val="18"/>
                <w:szCs w:val="18"/>
              </w:rPr>
              <w:t xml:space="preserve">Значение </w:t>
            </w:r>
            <w:r>
              <w:rPr>
                <w:rFonts w:ascii="Times New Roman" w:hAnsi="Times New Roman"/>
                <w:b/>
                <w:sz w:val="18"/>
                <w:szCs w:val="18"/>
                <w:lang w:val="en-US"/>
              </w:rPr>
              <w:t xml:space="preserve">U</w:t>
            </w:r>
            <w:r>
              <w:rPr>
                <w:rFonts w:ascii="Times New Roman" w:hAnsi="Times New Roman"/>
                <w:b/>
                <w:sz w:val="18"/>
                <w:szCs w:val="18"/>
                <w:vertAlign w:val="subscript"/>
                <w:lang w:val="en-US"/>
              </w:rPr>
              <w:t xml:space="preserve">n</w:t>
            </w:r>
            <w:r>
              <w:rPr>
                <w:rFonts w:ascii="Times New Roman" w:hAnsi="Times New Roman"/>
                <w:b/>
                <w:sz w:val="18"/>
                <w:szCs w:val="18"/>
                <w:vertAlign w:val="subscript"/>
              </w:rPr>
              <w:t xml:space="preserve"> </w:t>
            </w:r>
            <w:r>
              <w:rPr>
                <w:rFonts w:ascii="Times New Roman" w:hAnsi="Times New Roman"/>
                <w:iCs/>
                <w:sz w:val="18"/>
                <w:szCs w:val="18"/>
              </w:rPr>
              <w:t xml:space="preserve">соответствует балльным показателям оценки </w:t>
            </w:r>
            <w:r>
              <w:rPr>
                <w:rFonts w:ascii="Times New Roman" w:hAnsi="Times New Roman"/>
                <w:iCs/>
                <w:sz w:val="18"/>
                <w:szCs w:val="18"/>
                <w:lang w:val="en-US"/>
              </w:rPr>
              <w:t xml:space="preserve">B</w:t>
            </w:r>
            <w:r>
              <w:rPr>
                <w:rFonts w:ascii="Times New Roman" w:hAnsi="Times New Roman"/>
                <w:iCs/>
                <w:sz w:val="18"/>
                <w:szCs w:val="18"/>
              </w:rPr>
              <w:t xml:space="preserve">:</w:t>
            </w:r>
            <w:r>
              <w:rPr>
                <w:rFonts w:ascii="Times New Roman" w:hAnsi="Times New Roman"/>
                <w:iCs/>
                <w:sz w:val="18"/>
                <w:szCs w:val="18"/>
              </w:rPr>
            </w:r>
            <w:r>
              <w:rPr>
                <w:rFonts w:ascii="Times New Roman" w:hAnsi="Times New Roman"/>
                <w:iCs/>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iCs/>
                <w:sz w:val="18"/>
                <w:szCs w:val="18"/>
              </w:rPr>
              <w:t xml:space="preserve">Если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b/>
                <w:i/>
                <w:iCs/>
                <w:sz w:val="18"/>
                <w:szCs w:val="18"/>
                <w:vertAlign w:val="subscript"/>
              </w:rPr>
              <w:t xml:space="preserve"> </w:t>
            </w:r>
            <w:r>
              <w:rPr>
                <w:rFonts w:ascii="Times New Roman" w:hAnsi="Times New Roman"/>
                <w:iCs/>
                <w:sz w:val="18"/>
                <w:szCs w:val="18"/>
              </w:rPr>
              <w:t xml:space="preserve">≥ 8, то В=10</w:t>
            </w:r>
            <w:r>
              <w:rPr>
                <w:rFonts w:ascii="Times New Roman" w:hAnsi="Times New Roman"/>
                <w:iCs/>
                <w:sz w:val="18"/>
                <w:szCs w:val="18"/>
              </w:rPr>
            </w:r>
            <w:r>
              <w:rPr>
                <w:rFonts w:ascii="Times New Roman" w:hAnsi="Times New Roman"/>
                <w:iCs/>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iCs/>
                <w:sz w:val="18"/>
                <w:szCs w:val="18"/>
              </w:rPr>
              <w:t xml:space="preserve">Если 6 ≤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iCs/>
                <w:sz w:val="18"/>
                <w:szCs w:val="18"/>
                <w:vertAlign w:val="subscript"/>
              </w:rPr>
              <w:t xml:space="preserve"> </w:t>
            </w:r>
            <w:r>
              <w:rPr>
                <w:rFonts w:ascii="Times New Roman" w:hAnsi="Times New Roman"/>
                <w:i/>
                <w:iCs/>
                <w:sz w:val="18"/>
                <w:szCs w:val="18"/>
              </w:rPr>
              <w:t xml:space="preserve">&lt;</w:t>
            </w:r>
            <w:r>
              <w:rPr>
                <w:rFonts w:ascii="Times New Roman" w:hAnsi="Times New Roman"/>
                <w:iCs/>
                <w:sz w:val="18"/>
                <w:szCs w:val="18"/>
                <w:vertAlign w:val="subscript"/>
              </w:rPr>
              <w:t xml:space="preserve"> </w:t>
            </w:r>
            <w:r>
              <w:rPr>
                <w:rFonts w:ascii="Times New Roman" w:hAnsi="Times New Roman"/>
                <w:iCs/>
                <w:sz w:val="18"/>
                <w:szCs w:val="18"/>
              </w:rPr>
              <w:t xml:space="preserve">8, то В=8</w:t>
            </w:r>
            <w:r>
              <w:rPr>
                <w:rFonts w:ascii="Times New Roman" w:hAnsi="Times New Roman"/>
                <w:iCs/>
                <w:sz w:val="18"/>
                <w:szCs w:val="18"/>
              </w:rPr>
            </w:r>
            <w:r>
              <w:rPr>
                <w:rFonts w:ascii="Times New Roman" w:hAnsi="Times New Roman"/>
                <w:iCs/>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iCs/>
                <w:sz w:val="18"/>
                <w:szCs w:val="18"/>
              </w:rPr>
              <w:t xml:space="preserve">Если 4 ≤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iCs/>
                <w:sz w:val="18"/>
                <w:szCs w:val="18"/>
                <w:vertAlign w:val="subscript"/>
              </w:rPr>
              <w:t xml:space="preserve"> </w:t>
            </w:r>
            <w:r>
              <w:rPr>
                <w:rFonts w:ascii="Times New Roman" w:hAnsi="Times New Roman"/>
                <w:i/>
                <w:iCs/>
                <w:sz w:val="18"/>
                <w:szCs w:val="18"/>
              </w:rPr>
              <w:t xml:space="preserve">&lt;</w:t>
            </w:r>
            <w:r>
              <w:rPr>
                <w:rFonts w:ascii="Times New Roman" w:hAnsi="Times New Roman"/>
                <w:iCs/>
                <w:sz w:val="18"/>
                <w:szCs w:val="18"/>
                <w:vertAlign w:val="subscript"/>
              </w:rPr>
              <w:t xml:space="preserve"> </w:t>
            </w:r>
            <w:r>
              <w:rPr>
                <w:rFonts w:ascii="Times New Roman" w:hAnsi="Times New Roman"/>
                <w:iCs/>
                <w:sz w:val="18"/>
                <w:szCs w:val="18"/>
              </w:rPr>
              <w:t xml:space="preserve">6, то В=6</w:t>
            </w:r>
            <w:r>
              <w:rPr>
                <w:rFonts w:ascii="Times New Roman" w:hAnsi="Times New Roman"/>
                <w:iCs/>
                <w:sz w:val="18"/>
                <w:szCs w:val="18"/>
              </w:rPr>
            </w:r>
            <w:r>
              <w:rPr>
                <w:rFonts w:ascii="Times New Roman" w:hAnsi="Times New Roman"/>
                <w:iCs/>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iCs/>
                <w:sz w:val="18"/>
                <w:szCs w:val="18"/>
              </w:rPr>
              <w:t xml:space="preserve">Если 2 ≤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iCs/>
                <w:sz w:val="18"/>
                <w:szCs w:val="18"/>
                <w:vertAlign w:val="subscript"/>
              </w:rPr>
              <w:t xml:space="preserve"> </w:t>
            </w:r>
            <w:r>
              <w:rPr>
                <w:rFonts w:ascii="Times New Roman" w:hAnsi="Times New Roman"/>
                <w:i/>
                <w:iCs/>
                <w:sz w:val="18"/>
                <w:szCs w:val="18"/>
              </w:rPr>
              <w:t xml:space="preserve">&lt;</w:t>
            </w:r>
            <w:r>
              <w:rPr>
                <w:rFonts w:ascii="Times New Roman" w:hAnsi="Times New Roman"/>
                <w:iCs/>
                <w:sz w:val="18"/>
                <w:szCs w:val="18"/>
                <w:vertAlign w:val="subscript"/>
              </w:rPr>
              <w:t xml:space="preserve"> </w:t>
            </w:r>
            <w:r>
              <w:rPr>
                <w:rFonts w:ascii="Times New Roman" w:hAnsi="Times New Roman"/>
                <w:iCs/>
                <w:sz w:val="18"/>
                <w:szCs w:val="18"/>
              </w:rPr>
              <w:t xml:space="preserve">4, то В=4</w:t>
            </w:r>
            <w:r>
              <w:rPr>
                <w:rFonts w:ascii="Times New Roman" w:hAnsi="Times New Roman"/>
                <w:iCs/>
                <w:sz w:val="18"/>
                <w:szCs w:val="18"/>
              </w:rPr>
            </w:r>
            <w:r>
              <w:rPr>
                <w:rFonts w:ascii="Times New Roman" w:hAnsi="Times New Roman"/>
                <w:iCs/>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iCs/>
                <w:sz w:val="18"/>
                <w:szCs w:val="18"/>
              </w:rPr>
              <w:t xml:space="preserve">Если 1 ≤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iCs/>
                <w:sz w:val="18"/>
                <w:szCs w:val="18"/>
                <w:vertAlign w:val="subscript"/>
              </w:rPr>
              <w:t xml:space="preserve"> </w:t>
            </w:r>
            <w:r>
              <w:rPr>
                <w:rFonts w:ascii="Times New Roman" w:hAnsi="Times New Roman"/>
                <w:i/>
                <w:iCs/>
                <w:sz w:val="18"/>
                <w:szCs w:val="18"/>
              </w:rPr>
              <w:t xml:space="preserve">&lt;</w:t>
            </w:r>
            <w:r>
              <w:rPr>
                <w:rFonts w:ascii="Times New Roman" w:hAnsi="Times New Roman"/>
                <w:iCs/>
                <w:sz w:val="18"/>
                <w:szCs w:val="18"/>
                <w:vertAlign w:val="subscript"/>
              </w:rPr>
              <w:t xml:space="preserve"> </w:t>
            </w:r>
            <w:r>
              <w:rPr>
                <w:rFonts w:ascii="Times New Roman" w:hAnsi="Times New Roman"/>
                <w:iCs/>
                <w:sz w:val="18"/>
                <w:szCs w:val="18"/>
              </w:rPr>
              <w:t xml:space="preserve">2, то В=2</w:t>
            </w:r>
            <w:r>
              <w:rPr>
                <w:rFonts w:ascii="Times New Roman" w:hAnsi="Times New Roman"/>
                <w:iCs/>
                <w:sz w:val="18"/>
                <w:szCs w:val="18"/>
              </w:rPr>
            </w:r>
            <w:r>
              <w:rPr>
                <w:rFonts w:ascii="Times New Roman" w:hAnsi="Times New Roman"/>
                <w:iCs/>
                <w:sz w:val="18"/>
                <w:szCs w:val="18"/>
              </w:rPr>
            </w:r>
          </w:p>
          <w:p>
            <w:pPr>
              <w:spacing w:after="0" w:line="240" w:lineRule="auto"/>
              <w:rPr>
                <w:rFonts w:ascii="Times New Roman" w:hAnsi="Times New Roman" w:eastAsiaTheme="minorHAnsi" w:cstheme="minorBidi"/>
                <w:sz w:val="18"/>
                <w:szCs w:val="18"/>
              </w:rPr>
            </w:pPr>
            <w:r>
              <w:rPr>
                <w:rFonts w:ascii="Times New Roman" w:hAnsi="Times New Roman"/>
                <w:iCs/>
                <w:sz w:val="18"/>
                <w:szCs w:val="18"/>
              </w:rPr>
              <w:t xml:space="preserve">Если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b/>
                <w:i/>
                <w:sz w:val="18"/>
                <w:szCs w:val="18"/>
                <w:vertAlign w:val="subscript"/>
              </w:rPr>
              <w:t xml:space="preserve"> </w:t>
            </w:r>
            <w:r>
              <w:rPr>
                <w:rFonts w:ascii="Times New Roman" w:hAnsi="Times New Roman"/>
                <w:i/>
                <w:iCs/>
                <w:sz w:val="18"/>
                <w:szCs w:val="18"/>
              </w:rPr>
              <w:t xml:space="preserve">&lt; </w:t>
            </w:r>
            <w:r>
              <w:rPr>
                <w:rFonts w:ascii="Times New Roman" w:hAnsi="Times New Roman"/>
                <w:iCs/>
                <w:sz w:val="18"/>
                <w:szCs w:val="18"/>
              </w:rPr>
              <w:t xml:space="preserve">1, то В=0</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b/>
                <w:bCs/>
                <w:sz w:val="18"/>
                <w:szCs w:val="18"/>
                <w14:ligatures w14:val="none"/>
              </w:rPr>
            </w:pPr>
            <w:r>
              <w:rPr>
                <w:rFonts w:ascii="Times New Roman" w:hAnsi="Times New Roman" w:eastAsia="Times New Roman"/>
                <w:b/>
                <w:bCs/>
                <w:sz w:val="18"/>
                <w:szCs w:val="18"/>
                <w:lang w:eastAsia="ru-RU"/>
              </w:rPr>
              <w:t xml:space="preserve">5.</w:t>
            </w:r>
            <w:r>
              <w:rPr>
                <w:rFonts w:ascii="Times New Roman" w:hAnsi="Times New Roman" w:eastAsia="Times New Roman"/>
                <w:b/>
                <w:bCs/>
                <w:sz w:val="18"/>
                <w:szCs w:val="18"/>
                <w14:ligatures w14:val="none"/>
              </w:rPr>
            </w:r>
            <w:r>
              <w:rPr>
                <w:rFonts w:ascii="Times New Roman" w:hAnsi="Times New Roman" w:eastAsia="Times New Roman"/>
                <w:b/>
                <w:bCs/>
                <w:sz w:val="18"/>
                <w:szCs w:val="18"/>
                <w14:ligatures w14:val="none"/>
              </w:rPr>
            </w:r>
          </w:p>
        </w:tc>
        <w:tc>
          <w:tcPr>
            <w:shd w:val="clear" w:color="auto" w:fill="auto"/>
            <w:tcW w:w="269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Финансовое состояние</w:t>
            </w:r>
            <w:r>
              <w:rPr>
                <w:rFonts w:ascii="Times New Roman" w:hAnsi="Times New Roman"/>
                <w:sz w:val="18"/>
                <w:szCs w:val="18"/>
              </w:rPr>
            </w:r>
            <w:r>
              <w:rPr>
                <w:rFonts w:ascii="Times New Roman" w:hAnsi="Times New Roman"/>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imes New Roman"/>
                <w:b/>
                <w:bCs/>
                <w:sz w:val="18"/>
                <w:szCs w:val="18"/>
                <w:lang w:eastAsia="ru-RU"/>
              </w:rPr>
            </w:pPr>
            <w:r>
              <w:rPr>
                <w:rFonts w:ascii="Times New Roman" w:hAnsi="Times New Roman" w:eastAsia="Times New Roman"/>
                <w:b/>
                <w:bCs/>
                <w:sz w:val="18"/>
                <w:szCs w:val="18"/>
                <w:lang w:eastAsia="ru-RU"/>
              </w:rPr>
              <w:t xml:space="preserve">0,23</w:t>
            </w:r>
            <w:r>
              <w:rPr>
                <w:rFonts w:ascii="Times New Roman" w:hAnsi="Times New Roman" w:eastAsia="Times New Roman"/>
                <w:b/>
                <w:bCs/>
                <w:sz w:val="18"/>
                <w:szCs w:val="18"/>
                <w:lang w:eastAsia="ru-RU"/>
              </w:rPr>
            </w:r>
            <w:r>
              <w:rPr>
                <w:rFonts w:ascii="Times New Roman" w:hAnsi="Times New Roman" w:eastAsia="Times New Roman"/>
                <w:b/>
                <w:bCs/>
                <w:sz w:val="18"/>
                <w:szCs w:val="18"/>
                <w:lang w:eastAsia="ru-RU"/>
              </w:rPr>
            </w:r>
          </w:p>
        </w:tc>
        <w:tc>
          <w:tcPr>
            <w:shd w:val="clear" w:color="auto" w:fill="auto"/>
            <w:tcW w:w="3685" w:type="dxa"/>
            <w:textDirection w:val="lrTb"/>
            <w:noWrap w:val="false"/>
          </w:tcPr>
          <w:p>
            <w:pPr>
              <w:jc w:val="both"/>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Достаточное финансовое состояние Участника (уровень </w:t>
            </w:r>
            <w:r>
              <w:rPr>
                <w:rFonts w:ascii="Times New Roman" w:hAnsi="Times New Roman" w:eastAsiaTheme="minorHAnsi"/>
                <w:sz w:val="18"/>
                <w:szCs w:val="18"/>
              </w:rPr>
              <w:t xml:space="preserve">коммерческого</w:t>
            </w:r>
            <w:r>
              <w:rPr>
                <w:rFonts w:ascii="Times New Roman" w:hAnsi="Times New Roman" w:eastAsiaTheme="minorHAnsi"/>
                <w:sz w:val="18"/>
                <w:szCs w:val="18"/>
              </w:rPr>
              <w:t xml:space="preserve"> предложения участника относительно выручки, уровень закредитованности относительно выручки, уровень основных средств относительно выручки) позволяет осуществлять стабильное бесперебойное выполнение работ (оказание услуг), являющихся предметом закупки</w:t>
            </w:r>
            <w:r>
              <w:rPr>
                <w:rFonts w:ascii="Times New Roman" w:hAnsi="Times New Roman" w:eastAsiaTheme="minorHAnsi"/>
                <w:sz w:val="18"/>
                <w:szCs w:val="18"/>
              </w:rPr>
              <w:t xml:space="preserve">:</w:t>
            </w:r>
            <w:r>
              <w:rPr>
                <w:rFonts w:ascii="Times New Roman" w:hAnsi="Times New Roman" w:eastAsiaTheme="minorHAnsi"/>
                <w:sz w:val="18"/>
                <w:szCs w:val="18"/>
              </w:rPr>
            </w:r>
            <w:r>
              <w:rPr>
                <w:rFonts w:ascii="Times New Roman" w:hAnsi="Times New Roman" w:eastAsiaTheme="minorHAnsi"/>
                <w:sz w:val="18"/>
                <w:szCs w:val="18"/>
              </w:rPr>
            </w:r>
          </w:p>
          <w:p>
            <w:pPr>
              <w:jc w:val="both"/>
              <w:spacing w:after="0" w:line="240" w:lineRule="auto"/>
              <w:rPr>
                <w:rFonts w:ascii="Times New Roman" w:hAnsi="Times New Roman" w:eastAsiaTheme="minorHAnsi"/>
                <w:sz w:val="18"/>
                <w:szCs w:val="18"/>
              </w:rPr>
            </w:pPr>
            <w:r>
              <w:rPr>
                <w:rFonts w:ascii="Times New Roman" w:hAnsi="Times New Roman" w:eastAsiaTheme="minorHAnsi"/>
                <w:sz w:val="18"/>
                <w:szCs w:val="18"/>
              </w:rPr>
            </w:r>
            <w:r>
              <w:rPr>
                <w:rFonts w:ascii="Times New Roman" w:hAnsi="Times New Roman" w:eastAsiaTheme="minorHAnsi"/>
                <w:sz w:val="18"/>
                <w:szCs w:val="18"/>
              </w:rPr>
            </w:r>
            <w:r>
              <w:rPr>
                <w:rFonts w:ascii="Times New Roman" w:hAnsi="Times New Roman" w:eastAsiaTheme="minorHAnsi"/>
                <w:sz w:val="18"/>
                <w:szCs w:val="18"/>
              </w:rPr>
            </w:r>
          </w:p>
          <w:p>
            <w:pPr>
              <w:jc w:val="both"/>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Документы:</w:t>
            </w:r>
            <w:r>
              <w:rPr>
                <w:rFonts w:ascii="Times New Roman" w:hAnsi="Times New Roman" w:eastAsiaTheme="minorHAnsi"/>
                <w:sz w:val="18"/>
                <w:szCs w:val="18"/>
              </w:rPr>
            </w:r>
            <w:r>
              <w:rPr>
                <w:rFonts w:ascii="Times New Roman" w:hAnsi="Times New Roman" w:eastAsiaTheme="minorHAnsi"/>
                <w:sz w:val="18"/>
                <w:szCs w:val="18"/>
              </w:rPr>
            </w:r>
          </w:p>
          <w:p>
            <w:pPr>
              <w:jc w:val="both"/>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Показатели выручки, краткосрочных обязательств, основных средств и подтверждающие их документы указаны в таблице, приведенной в Приложении 1 к Методике.</w:t>
            </w:r>
            <w:r>
              <w:rPr>
                <w:rFonts w:ascii="Times New Roman" w:hAnsi="Times New Roman" w:eastAsiaTheme="minorHAnsi"/>
                <w:sz w:val="18"/>
                <w:szCs w:val="18"/>
              </w:rPr>
            </w:r>
            <w:r>
              <w:rPr>
                <w:rFonts w:ascii="Times New Roman" w:hAnsi="Times New Roman" w:eastAsiaTheme="minorHAnsi"/>
                <w:sz w:val="18"/>
                <w:szCs w:val="18"/>
              </w:rPr>
            </w:r>
          </w:p>
          <w:p>
            <w:pPr>
              <w:jc w:val="both"/>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r>
            <w:r>
              <w:rPr>
                <w:rFonts w:ascii="Times New Roman" w:hAnsi="Times New Roman" w:eastAsiaTheme="minorHAnsi"/>
                <w:sz w:val="18"/>
                <w:szCs w:val="18"/>
              </w:rPr>
            </w:r>
            <w:r>
              <w:rPr>
                <w:rFonts w:ascii="Times New Roman" w:hAnsi="Times New Roman" w:eastAsiaTheme="minorHAnsi"/>
                <w:sz w:val="18"/>
                <w:szCs w:val="18"/>
              </w:rPr>
            </w:r>
          </w:p>
        </w:tc>
        <w:tc>
          <w:tcPr>
            <w:tcW w:w="5558" w:type="dxa"/>
            <w:textDirection w:val="lrTb"/>
            <w:noWrap w:val="false"/>
          </w:tcPr>
          <w:p>
            <w:pPr>
              <w:rPr>
                <w:rFonts w:ascii="Times New Roman" w:hAnsi="Times New Roman"/>
                <w:sz w:val="18"/>
                <w:szCs w:val="18"/>
              </w:rPr>
            </w:pPr>
            <w:r>
              <w:rPr>
                <w:rFonts w:ascii="Times New Roman" w:hAnsi="Times New Roman"/>
                <w:sz w:val="18"/>
                <w:szCs w:val="1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-97155</wp:posOffset>
                      </wp:positionH>
                      <wp:positionV relativeFrom="paragraph">
                        <wp:posOffset>236221</wp:posOffset>
                      </wp:positionV>
                      <wp:extent cx="3338195" cy="514350"/>
                      <wp:effectExtent l="0" t="0" r="0" b="0"/>
                      <wp:wrapNone/>
                      <wp:docPr id="1" name="TextBox 107"/>
                      <wp:cNvGraphicFramePr/>
                      <a:graphic xmlns:a="http://schemas.openxmlformats.org/drawingml/2006/main">
                        <a:graphicData uri="http://schemas.microsoft.com/office/word/2010/wordprocessingShape">
                          <wps:wsp>
                            <wps:cNvPr id="0" name=""/>
                            <wps:cNvSpPr txBox="1"/>
                            <wps:spPr bwMode="auto">
                              <a:xfrm>
                                <a:off x="0" y="0"/>
                                <a:ext cx="3338193" cy="514350"/>
                              </a:xfrm>
                              <a:prstGeom prst="rect">
                                <a:avLst/>
                              </a:prstGeom>
                              <a:noFill/>
                            </wps:spPr>
                            <wps:txbx>
                              <w:txbxContent>
                                <w:p>
                                  <w:pPr>
                                    <w:pStyle w:val="1362"/>
                                    <w:spacing w:before="0" w:beforeAutospacing="0" w:after="0" w:afterAutospacing="0"/>
                                    <w:rPr>
                                      <w:b/>
                                      <w:i/>
                                      <w:iCs/>
                                      <w:sz w:val="20"/>
                                      <w:szCs w:val="20"/>
                                    </w:rPr>
                                  </w:pPr>
                                  <w:r/>
                                  <m:oMath>
                                    <m:r>
                                      <w:rPr>
                                        <w:rFonts w:ascii="Cambria Math" w:hAnsi="Cambria Math"/>
                                        <w:sz w:val="20"/>
                                        <w:szCs w:val="20"/>
                                      </w:rPr>
                                      <m:rPr>
                                        <m:sty m:val="bi"/>
                                      </m:rPr>
                                      <m:t>В=</m:t>
                                    </m:r>
                                    <m:f>
                                      <m:fPr>
                                        <m:ctrlPr/>
                                      </m:fPr>
                                      <m:num>
                                        <m:r>
                                          <w:rPr>
                                            <w:rFonts w:ascii="Cambria Math" w:hAnsi="Cambria Math"/>
                                            <w:sz w:val="20"/>
                                            <w:szCs w:val="20"/>
                                          </w:rPr>
                                          <m:rPr>
                                            <m:sty m:val="bi"/>
                                          </m:rPr>
                                          <m:t>10</m:t>
                                        </m:r>
                                      </m:num>
                                      <m:den>
                                        <m:r>
                                          <w:rPr>
                                            <w:rFonts w:ascii="Cambria Math" w:hAnsi="Cambria Math"/>
                                            <w:sz w:val="20"/>
                                            <w:szCs w:val="20"/>
                                          </w:rPr>
                                          <m:rPr>
                                            <m:sty m:val="bi"/>
                                          </m:rPr>
                                          <m:t>3</m:t>
                                        </m:r>
                                      </m:den>
                                    </m:f>
                                    <m:d>
                                      <m:dPr>
                                        <m:ctrlPr/>
                                      </m:dPr>
                                      <m:e>
                                        <m:sSub>
                                          <m:sSubPr>
                                            <m:ctrlPr/>
                                          </m:sSubPr>
                                          <m:e>
                                            <m:r>
                                              <w:rPr>
                                                <w:rFonts w:ascii="Cambria Math" w:hAnsi="Cambria Math"/>
                                                <w:sz w:val="20"/>
                                                <w:szCs w:val="20"/>
                                              </w:rPr>
                                              <m:rPr>
                                                <m:sty m:val="bi"/>
                                              </m:rPr>
                                              <m:t>К</m:t>
                                            </m:r>
                                          </m:e>
                                          <m:sub>
                                            <m:r>
                                              <w:rPr>
                                                <w:rFonts w:ascii="Cambria Math" w:hAnsi="Cambria Math"/>
                                                <w:sz w:val="20"/>
                                                <w:szCs w:val="20"/>
                                              </w:rPr>
                                              <m:rPr>
                                                <m:sty m:val="bi"/>
                                              </m:rPr>
                                              <m:t>П</m:t>
                                            </m:r>
                                          </m:sub>
                                        </m:sSub>
                                        <m:r>
                                          <w:rPr>
                                            <w:rFonts w:ascii="Cambria Math" w:hAnsi="Cambria Math"/>
                                            <w:sz w:val="20"/>
                                            <w:szCs w:val="20"/>
                                          </w:rPr>
                                          <m:rPr>
                                            <m:sty m:val="bi"/>
                                          </m:rPr>
                                          <m:t>+</m:t>
                                        </m:r>
                                        <m:sSub>
                                          <m:sSubPr>
                                            <m:ctrlPr/>
                                          </m:sSubPr>
                                          <m:e>
                                            <m:r>
                                              <w:rPr>
                                                <w:rFonts w:ascii="Cambria Math" w:hAnsi="Cambria Math"/>
                                                <w:sz w:val="20"/>
                                                <w:szCs w:val="20"/>
                                              </w:rPr>
                                              <m:rPr>
                                                <m:sty m:val="bi"/>
                                              </m:rPr>
                                              <m:t>К</m:t>
                                            </m:r>
                                          </m:e>
                                          <m:sub>
                                            <m:r>
                                              <w:rPr>
                                                <w:rFonts w:ascii="Cambria Math" w:hAnsi="Cambria Math"/>
                                                <w:sz w:val="20"/>
                                                <w:szCs w:val="20"/>
                                              </w:rPr>
                                              <m:rPr>
                                                <m:sty m:val="bi"/>
                                              </m:rPr>
                                              <m:t>ФП</m:t>
                                            </m:r>
                                          </m:sub>
                                        </m:sSub>
                                        <m:r>
                                          <w:rPr>
                                            <w:rFonts w:ascii="Cambria Math" w:hAnsi="Cambria Math"/>
                                            <w:sz w:val="20"/>
                                            <w:szCs w:val="20"/>
                                          </w:rPr>
                                          <m:rPr>
                                            <m:sty m:val="bi"/>
                                          </m:rPr>
                                          <m:t>+ </m:t>
                                        </m:r>
                                        <m:sSub>
                                          <m:sSubPr>
                                            <m:ctrlPr/>
                                          </m:sSubPr>
                                          <m:e>
                                            <m:r>
                                              <w:rPr>
                                                <w:rFonts w:ascii="Cambria Math" w:hAnsi="Cambria Math"/>
                                                <w:sz w:val="20"/>
                                                <w:szCs w:val="20"/>
                                              </w:rPr>
                                              <m:rPr>
                                                <m:sty m:val="bi"/>
                                              </m:rPr>
                                              <m:t>К</m:t>
                                            </m:r>
                                          </m:e>
                                          <m:sub>
                                            <m:r>
                                              <w:rPr>
                                                <w:rFonts w:ascii="Cambria Math" w:hAnsi="Cambria Math"/>
                                                <w:sz w:val="20"/>
                                                <w:szCs w:val="20"/>
                                              </w:rPr>
                                              <m:rPr>
                                                <m:sty m:val="bi"/>
                                              </m:rPr>
                                              <m:t>ОС</m:t>
                                            </m:r>
                                          </m:sub>
                                        </m:sSub>
                                      </m:e>
                                    </m:d>
                                  </m:oMath>
                                  <w:r>
                                    <w:rPr>
                                      <w:b/>
                                      <w:i/>
                                      <w:iCs/>
                                      <w:sz w:val="20"/>
                                      <w:szCs w:val="20"/>
                                    </w:rPr>
                                    <w:t xml:space="preserve">,</w:t>
                                  </w:r>
                                  <w:r>
                                    <w:rPr>
                                      <w:b/>
                                      <w:i/>
                                      <w:iCs/>
                                      <w:sz w:val="20"/>
                                      <w:szCs w:val="20"/>
                                    </w:rPr>
                                    <w:t xml:space="preserve"> </w:t>
                                  </w:r>
                                  <w:r>
                                    <w:rPr>
                                      <w:i/>
                                      <w:iCs/>
                                      <w:sz w:val="20"/>
                                      <w:szCs w:val="20"/>
                                    </w:rPr>
                                    <w:t xml:space="preserve">где:</w:t>
                                  </w:r>
                                  <w:r>
                                    <w:rPr>
                                      <w:b/>
                                      <w:i/>
                                      <w:iCs/>
                                      <w:sz w:val="20"/>
                                      <w:szCs w:val="20"/>
                                    </w:rPr>
                                  </w:r>
                                  <w:r>
                                    <w:rPr>
                                      <w:b/>
                                      <w:i/>
                                      <w:iCs/>
                                      <w:sz w:val="20"/>
                                      <w:szCs w:val="20"/>
                                    </w:rPr>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shape 0" o:spid="_x0000_s0" o:spt="202" type="#_x0000_t202" style="position:absolute;z-index:251659264;o:allowoverlap:true;o:allowincell:true;mso-position-horizontal-relative:text;margin-left:-7.65pt;mso-position-horizontal:absolute;mso-position-vertical-relative:text;margin-top:18.60pt;mso-position-vertical:absolute;width:262.85pt;height:40.50pt;mso-wrap-distance-left:9.00pt;mso-wrap-distance-top:0.00pt;mso-wrap-distance-right:9.00pt;mso-wrap-distance-bottom:0.00pt;visibility:visible;" filled="f">
                      <v:textbox inset="0,0,0,0">
                        <w:txbxContent>
                          <w:p>
                            <w:pPr>
                              <w:pStyle w:val="1362"/>
                              <w:spacing w:before="0" w:beforeAutospacing="0" w:after="0" w:afterAutospacing="0"/>
                              <w:rPr>
                                <w:b/>
                                <w:i/>
                                <w:iCs/>
                                <w:sz w:val="20"/>
                                <w:szCs w:val="20"/>
                              </w:rPr>
                            </w:pPr>
                            <w:r/>
                            <m:oMath>
                              <m:r>
                                <w:rPr>
                                  <w:rFonts w:ascii="Cambria Math" w:hAnsi="Cambria Math"/>
                                  <w:sz w:val="20"/>
                                  <w:szCs w:val="20"/>
                                </w:rPr>
                                <m:rPr>
                                  <m:sty m:val="bi"/>
                                </m:rPr>
                                <m:t>В=</m:t>
                              </m:r>
                              <m:f>
                                <m:fPr>
                                  <m:ctrlPr/>
                                </m:fPr>
                                <m:num>
                                  <m:r>
                                    <w:rPr>
                                      <w:rFonts w:ascii="Cambria Math" w:hAnsi="Cambria Math"/>
                                      <w:sz w:val="20"/>
                                      <w:szCs w:val="20"/>
                                    </w:rPr>
                                    <m:rPr>
                                      <m:sty m:val="bi"/>
                                    </m:rPr>
                                    <m:t>10</m:t>
                                  </m:r>
                                </m:num>
                                <m:den>
                                  <m:r>
                                    <w:rPr>
                                      <w:rFonts w:ascii="Cambria Math" w:hAnsi="Cambria Math"/>
                                      <w:sz w:val="20"/>
                                      <w:szCs w:val="20"/>
                                    </w:rPr>
                                    <m:rPr>
                                      <m:sty m:val="bi"/>
                                    </m:rPr>
                                    <m:t>3</m:t>
                                  </m:r>
                                </m:den>
                              </m:f>
                              <m:d>
                                <m:dPr>
                                  <m:ctrlPr/>
                                </m:dPr>
                                <m:e>
                                  <m:sSub>
                                    <m:sSubPr>
                                      <m:ctrlPr/>
                                    </m:sSubPr>
                                    <m:e>
                                      <m:r>
                                        <w:rPr>
                                          <w:rFonts w:ascii="Cambria Math" w:hAnsi="Cambria Math"/>
                                          <w:sz w:val="20"/>
                                          <w:szCs w:val="20"/>
                                        </w:rPr>
                                        <m:rPr>
                                          <m:sty m:val="bi"/>
                                        </m:rPr>
                                        <m:t>К</m:t>
                                      </m:r>
                                    </m:e>
                                    <m:sub>
                                      <m:r>
                                        <w:rPr>
                                          <w:rFonts w:ascii="Cambria Math" w:hAnsi="Cambria Math"/>
                                          <w:sz w:val="20"/>
                                          <w:szCs w:val="20"/>
                                        </w:rPr>
                                        <m:rPr>
                                          <m:sty m:val="bi"/>
                                        </m:rPr>
                                        <m:t>П</m:t>
                                      </m:r>
                                    </m:sub>
                                  </m:sSub>
                                  <m:r>
                                    <w:rPr>
                                      <w:rFonts w:ascii="Cambria Math" w:hAnsi="Cambria Math"/>
                                      <w:sz w:val="20"/>
                                      <w:szCs w:val="20"/>
                                    </w:rPr>
                                    <m:rPr>
                                      <m:sty m:val="bi"/>
                                    </m:rPr>
                                    <m:t>+</m:t>
                                  </m:r>
                                  <m:sSub>
                                    <m:sSubPr>
                                      <m:ctrlPr/>
                                    </m:sSubPr>
                                    <m:e>
                                      <m:r>
                                        <w:rPr>
                                          <w:rFonts w:ascii="Cambria Math" w:hAnsi="Cambria Math"/>
                                          <w:sz w:val="20"/>
                                          <w:szCs w:val="20"/>
                                        </w:rPr>
                                        <m:rPr>
                                          <m:sty m:val="bi"/>
                                        </m:rPr>
                                        <m:t>К</m:t>
                                      </m:r>
                                    </m:e>
                                    <m:sub>
                                      <m:r>
                                        <w:rPr>
                                          <w:rFonts w:ascii="Cambria Math" w:hAnsi="Cambria Math"/>
                                          <w:sz w:val="20"/>
                                          <w:szCs w:val="20"/>
                                        </w:rPr>
                                        <m:rPr>
                                          <m:sty m:val="bi"/>
                                        </m:rPr>
                                        <m:t>ФП</m:t>
                                      </m:r>
                                    </m:sub>
                                  </m:sSub>
                                  <m:r>
                                    <w:rPr>
                                      <w:rFonts w:ascii="Cambria Math" w:hAnsi="Cambria Math"/>
                                      <w:sz w:val="20"/>
                                      <w:szCs w:val="20"/>
                                    </w:rPr>
                                    <m:rPr>
                                      <m:sty m:val="bi"/>
                                    </m:rPr>
                                    <m:t>+ </m:t>
                                  </m:r>
                                  <m:sSub>
                                    <m:sSubPr>
                                      <m:ctrlPr/>
                                    </m:sSubPr>
                                    <m:e>
                                      <m:r>
                                        <w:rPr>
                                          <w:rFonts w:ascii="Cambria Math" w:hAnsi="Cambria Math"/>
                                          <w:sz w:val="20"/>
                                          <w:szCs w:val="20"/>
                                        </w:rPr>
                                        <m:rPr>
                                          <m:sty m:val="bi"/>
                                        </m:rPr>
                                        <m:t>К</m:t>
                                      </m:r>
                                    </m:e>
                                    <m:sub>
                                      <m:r>
                                        <w:rPr>
                                          <w:rFonts w:ascii="Cambria Math" w:hAnsi="Cambria Math"/>
                                          <w:sz w:val="20"/>
                                          <w:szCs w:val="20"/>
                                        </w:rPr>
                                        <m:rPr>
                                          <m:sty m:val="bi"/>
                                        </m:rPr>
                                        <m:t>ОС</m:t>
                                      </m:r>
                                    </m:sub>
                                  </m:sSub>
                                </m:e>
                              </m:d>
                            </m:oMath>
                            <w:r>
                              <w:rPr>
                                <w:b/>
                                <w:i/>
                                <w:iCs/>
                                <w:sz w:val="20"/>
                                <w:szCs w:val="20"/>
                              </w:rPr>
                              <w:t xml:space="preserve">,</w:t>
                            </w:r>
                            <w:r>
                              <w:rPr>
                                <w:b/>
                                <w:i/>
                                <w:iCs/>
                                <w:sz w:val="20"/>
                                <w:szCs w:val="20"/>
                              </w:rPr>
                              <w:t xml:space="preserve"> </w:t>
                            </w:r>
                            <w:r>
                              <w:rPr>
                                <w:i/>
                                <w:iCs/>
                                <w:sz w:val="20"/>
                                <w:szCs w:val="20"/>
                              </w:rPr>
                              <w:t xml:space="preserve">где:</w:t>
                            </w:r>
                            <w:r>
                              <w:rPr>
                                <w:b/>
                                <w:i/>
                                <w:iCs/>
                                <w:sz w:val="20"/>
                                <w:szCs w:val="20"/>
                              </w:rPr>
                            </w:r>
                            <w:r>
                              <w:rPr>
                                <w:b/>
                                <w:i/>
                                <w:iCs/>
                                <w:sz w:val="20"/>
                                <w:szCs w:val="20"/>
                              </w:rPr>
                            </w:r>
                          </w:p>
                        </w:txbxContent>
                      </v:textbox>
                    </v:shape>
                  </w:pict>
                </mc:Fallback>
              </mc:AlternateContent>
            </w:r>
            <w:r>
              <w:rPr>
                <w:rFonts w:ascii="Times New Roman" w:hAnsi="Times New Roman"/>
                <w:sz w:val="18"/>
                <w:szCs w:val="18"/>
              </w:rPr>
              <w:t xml:space="preserve">Расчет</w:t>
            </w:r>
            <w:r>
              <w:rPr>
                <w:rFonts w:ascii="Times New Roman" w:hAnsi="Times New Roman"/>
                <w:sz w:val="18"/>
                <w:szCs w:val="18"/>
              </w:rPr>
              <w:t xml:space="preserve"> </w:t>
            </w:r>
            <w:r>
              <w:rPr>
                <w:rFonts w:ascii="Times New Roman" w:hAnsi="Times New Roman"/>
                <w:sz w:val="18"/>
                <w:szCs w:val="18"/>
              </w:rPr>
              <w:t xml:space="preserve">количества баллов</w:t>
            </w:r>
            <w:r>
              <w:rPr>
                <w:rFonts w:ascii="Times New Roman" w:hAnsi="Times New Roman"/>
                <w:sz w:val="18"/>
                <w:szCs w:val="18"/>
              </w:rPr>
              <w:t xml:space="preserve"> производится по формуле:</w:t>
            </w:r>
            <w:r>
              <w:rPr>
                <w:rFonts w:ascii="Times New Roman" w:hAnsi="Times New Roman"/>
                <w:sz w:val="18"/>
                <w:szCs w:val="18"/>
              </w:rPr>
            </w:r>
            <w:r>
              <w:rPr>
                <w:rFonts w:ascii="Times New Roman" w:hAnsi="Times New Roman"/>
                <w:sz w:val="18"/>
                <w:szCs w:val="18"/>
              </w:rPr>
            </w:r>
          </w:p>
          <w:p>
            <w:pPr>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rPr>
              <w:t xml:space="preserve">К</w:t>
            </w:r>
            <w:r>
              <w:rPr>
                <w:rFonts w:ascii="Times New Roman" w:hAnsi="Times New Roman"/>
                <w:b/>
                <w:sz w:val="18"/>
                <w:szCs w:val="18"/>
                <w:vertAlign w:val="subscript"/>
              </w:rPr>
              <w:t xml:space="preserve">П</w:t>
            </w:r>
            <w:r>
              <w:rPr>
                <w:rFonts w:ascii="Times New Roman" w:hAnsi="Times New Roman"/>
                <w:sz w:val="18"/>
                <w:szCs w:val="18"/>
              </w:rPr>
              <w:t xml:space="preserve"> – коэффициент платёжеспособности рассчитывается по формуле</w:t>
            </w:r>
            <w:r>
              <w:rPr>
                <w:rStyle w:val="1354"/>
                <w:rFonts w:ascii="Times New Roman" w:hAnsi="Times New Roman"/>
                <w:sz w:val="18"/>
                <w:szCs w:val="18"/>
              </w:rPr>
              <w:footnoteReference w:id="3"/>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rPr>
              <w:t xml:space="preserve">К</w:t>
            </w:r>
            <w:r>
              <w:rPr>
                <w:rFonts w:ascii="Times New Roman" w:hAnsi="Times New Roman"/>
                <w:b/>
                <w:sz w:val="18"/>
                <w:szCs w:val="18"/>
                <w:vertAlign w:val="subscript"/>
              </w:rPr>
              <w:t xml:space="preserve">ФП</w:t>
            </w:r>
            <w:r>
              <w:rPr>
                <w:rFonts w:ascii="Times New Roman" w:hAnsi="Times New Roman"/>
                <w:sz w:val="18"/>
                <w:szCs w:val="18"/>
              </w:rPr>
              <w:t xml:space="preserve"> – коэффициент финансового потенциала исполнения договора в случае заключения с Участником договора по результатам настоящей закупки рассчитывается по формуле</w:t>
            </w:r>
            <w:r>
              <w:rPr>
                <w:rStyle w:val="1354"/>
                <w:rFonts w:ascii="Times New Roman" w:hAnsi="Times New Roman"/>
                <w:sz w:val="18"/>
                <w:szCs w:val="18"/>
              </w:rPr>
              <w:footnoteReference w:id="4"/>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rPr>
              <w:t xml:space="preserve">К</w:t>
            </w:r>
            <w:r>
              <w:rPr>
                <w:rFonts w:ascii="Times New Roman" w:hAnsi="Times New Roman"/>
                <w:b/>
                <w:sz w:val="18"/>
                <w:szCs w:val="18"/>
                <w:vertAlign w:val="subscript"/>
              </w:rPr>
              <w:t xml:space="preserve">ОС</w:t>
            </w:r>
            <w:r>
              <w:rPr>
                <w:rFonts w:ascii="Times New Roman" w:hAnsi="Times New Roman"/>
                <w:sz w:val="18"/>
                <w:szCs w:val="18"/>
              </w:rPr>
              <w:t xml:space="preserve"> – коэффициент оценки основных средств рассчитывается по формуле</w:t>
            </w:r>
            <w:r>
              <w:rPr>
                <w:rStyle w:val="1354"/>
                <w:rFonts w:ascii="Times New Roman" w:hAnsi="Times New Roman"/>
                <w:sz w:val="18"/>
                <w:szCs w:val="18"/>
              </w:rPr>
              <w:footnoteReference w:id="5"/>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ind w:right="87"/>
              <w:jc w:val="both"/>
              <w:spacing w:after="0" w:line="240" w:lineRule="auto"/>
              <w:rPr>
                <w:rFonts w:ascii="Times New Roman" w:hAnsi="Times New Roman"/>
                <w:iCs/>
                <w:sz w:val="18"/>
                <w:szCs w:val="18"/>
              </w:rPr>
            </w:pPr>
            <w:r>
              <w:rPr>
                <w:sz w:val="18"/>
                <w:szCs w:val="18"/>
              </w:rPr>
            </w:r>
            <m:oMath>
              <m:r>
                <w:rPr>
                  <w:rFonts w:ascii="Cambria Math" w:hAnsi="Cambria Math" w:eastAsia="Cambria Math" w:cs="Cambria Math"/>
                  <w:sz w:val="18"/>
                  <w:szCs w:val="18"/>
                  <w:lang w:val="en-US"/>
                </w:rPr>
                <m:rPr>
                  <m:sty m:val="bi"/>
                </m:rPr>
                <m:t>V</m:t>
              </m:r>
              <m:r>
                <w:rPr>
                  <w:rFonts w:ascii="Cambria Math" w:hAnsi="Cambria Math" w:eastAsia="Cambria Math" w:cs="Cambria Math"/>
                  <w:sz w:val="18"/>
                  <w:szCs w:val="18"/>
                </w:rPr>
                <m:rPr>
                  <m:sty m:val="bi"/>
                </m:rPr>
                <m:t> </m:t>
              </m:r>
            </m:oMath>
            <w:r>
              <w:rPr>
                <w:rFonts w:ascii="Times New Roman" w:hAnsi="Times New Roman" w:eastAsiaTheme="minorEastAsia"/>
                <w:iCs/>
                <w:sz w:val="18"/>
                <w:szCs w:val="18"/>
              </w:rPr>
              <w:t xml:space="preserve">– выручка Участника за последний отчётный календарный год;</w:t>
            </w:r>
            <w:r>
              <w:rPr>
                <w:rFonts w:ascii="Times New Roman" w:hAnsi="Times New Roman"/>
                <w:iCs/>
                <w:sz w:val="18"/>
                <w:szCs w:val="18"/>
              </w:rPr>
            </w:r>
            <w:r>
              <w:rPr>
                <w:rFonts w:ascii="Times New Roman" w:hAnsi="Times New Roman"/>
                <w:iCs/>
                <w:sz w:val="18"/>
                <w:szCs w:val="18"/>
              </w:rPr>
            </w:r>
          </w:p>
          <w:p>
            <w:pPr>
              <w:ind w:right="87"/>
              <w:jc w:val="both"/>
              <w:spacing w:after="0" w:line="240" w:lineRule="auto"/>
              <w:rPr>
                <w:rFonts w:ascii="Times New Roman" w:hAnsi="Times New Roman" w:eastAsiaTheme="minorEastAsia"/>
                <w:sz w:val="18"/>
                <w:szCs w:val="18"/>
              </w:rPr>
            </w:pPr>
            <w:r>
              <w:rPr>
                <w:sz w:val="18"/>
                <w:szCs w:val="18"/>
              </w:rPr>
            </w:r>
            <m:oMath>
              <m:sSub>
                <m:sSubPr>
                  <m:ctrlPr>
                    <w:rPr>
                      <w:rFonts w:ascii="Cambria Math" w:hAnsi="Cambria Math" w:eastAsia="Cambria Math" w:cs="Cambria Math"/>
                      <w:b/>
                      <w:i/>
                      <w:sz w:val="18"/>
                      <w:szCs w:val="18"/>
                      <w:lang w:val="en-US"/>
                    </w:rPr>
                  </m:ctrlPr>
                </m:sSubPr>
                <m:e>
                  <m:r>
                    <w:rPr>
                      <w:rFonts w:ascii="Cambria Math" w:hAnsi="Cambria Math" w:eastAsia="Cambria Math" w:cs="Cambria Math"/>
                      <w:sz w:val="18"/>
                      <w:szCs w:val="18"/>
                      <w:lang w:val="en-US"/>
                    </w:rPr>
                    <m:rPr>
                      <m:sty m:val="bi"/>
                    </m:rPr>
                    <m:t>V</m:t>
                  </m:r>
                </m:e>
                <m:sub>
                  <m:r>
                    <w:rPr>
                      <w:rFonts w:ascii="Cambria Math" w:hAnsi="Cambria Math" w:eastAsia="Cambria Math" w:cs="Cambria Math"/>
                      <w:sz w:val="18"/>
                      <w:szCs w:val="18"/>
                    </w:rPr>
                    <m:rPr>
                      <m:sty m:val="bi"/>
                    </m:rPr>
                    <m:t>ср</m:t>
                  </m:r>
                </m:sub>
              </m:sSub>
            </m:oMath>
            <w:r>
              <w:rPr>
                <w:rFonts w:ascii="Times New Roman" w:hAnsi="Times New Roman" w:eastAsiaTheme="minorEastAsia"/>
                <w:iCs/>
                <w:sz w:val="18"/>
                <w:szCs w:val="18"/>
              </w:rPr>
              <w:t xml:space="preserve"> – среднее арифметическое значение выручки Участника, рассчитанной за три последних отчётных календарных года;</w:t>
            </w:r>
            <w:r>
              <w:rPr>
                <w:rFonts w:ascii="Times New Roman" w:hAnsi="Times New Roman" w:eastAsiaTheme="minorEastAsia"/>
                <w:sz w:val="18"/>
                <w:szCs w:val="18"/>
              </w:rPr>
            </w:r>
            <w:r>
              <w:rPr>
                <w:rFonts w:ascii="Times New Roman" w:hAnsi="Times New Roman" w:eastAsiaTheme="minorEastAsia"/>
                <w:sz w:val="18"/>
                <w:szCs w:val="18"/>
              </w:rPr>
            </w:r>
          </w:p>
          <w:p>
            <w:pPr>
              <w:ind w:right="87"/>
              <w:jc w:val="both"/>
              <w:spacing w:after="0" w:line="240" w:lineRule="auto"/>
              <w:rPr>
                <w:rFonts w:ascii="Times New Roman" w:hAnsi="Times New Roman"/>
                <w:sz w:val="18"/>
                <w:szCs w:val="18"/>
              </w:rPr>
            </w:pPr>
            <w:r>
              <w:rPr>
                <w:rFonts w:ascii="Times New Roman" w:hAnsi="Times New Roman" w:eastAsiaTheme="minorEastAsia"/>
                <w:b/>
                <w:iCs/>
                <w:sz w:val="18"/>
                <w:szCs w:val="18"/>
              </w:rPr>
              <w:t xml:space="preserve">КО</w:t>
            </w:r>
            <w:r>
              <w:rPr>
                <w:rFonts w:ascii="Times New Roman" w:hAnsi="Times New Roman" w:eastAsiaTheme="minorEastAsia"/>
                <w:iCs/>
                <w:sz w:val="18"/>
                <w:szCs w:val="18"/>
              </w:rPr>
              <w:t xml:space="preserve"> – краткосрочные обязательства Участника за последний отчетный календарный год;</w:t>
            </w:r>
            <w:r>
              <w:rPr>
                <w:rFonts w:ascii="Times New Roman" w:hAnsi="Times New Roman"/>
                <w:sz w:val="18"/>
                <w:szCs w:val="18"/>
              </w:rPr>
            </w:r>
            <w:r>
              <w:rPr>
                <w:rFonts w:ascii="Times New Roman" w:hAnsi="Times New Roman"/>
                <w:sz w:val="18"/>
                <w:szCs w:val="18"/>
              </w:rPr>
            </w:r>
          </w:p>
          <w:p>
            <w:pPr>
              <w:ind w:right="87"/>
              <w:jc w:val="both"/>
              <w:spacing w:after="0" w:line="240" w:lineRule="auto"/>
              <w:rPr>
                <w:rFonts w:ascii="Times New Roman" w:hAnsi="Times New Roman"/>
                <w:iCs/>
                <w:sz w:val="18"/>
                <w:szCs w:val="18"/>
              </w:rPr>
            </w:pPr>
            <w:r>
              <w:rPr>
                <w:rFonts w:ascii="Times New Roman" w:hAnsi="Times New Roman" w:eastAsiaTheme="minorEastAsia"/>
                <w:b/>
                <w:sz w:val="18"/>
                <w:szCs w:val="18"/>
              </w:rPr>
              <w:t xml:space="preserve">ОС </w:t>
            </w:r>
            <w:r>
              <w:rPr>
                <w:rFonts w:ascii="Times New Roman" w:hAnsi="Times New Roman" w:eastAsiaTheme="minorEastAsia"/>
                <w:sz w:val="18"/>
                <w:szCs w:val="18"/>
              </w:rPr>
              <w:t xml:space="preserve">- основные средства Участника </w:t>
            </w:r>
            <w:r>
              <w:rPr>
                <w:rFonts w:ascii="Times New Roman" w:hAnsi="Times New Roman" w:eastAsiaTheme="minorEastAsia"/>
                <w:iCs/>
                <w:sz w:val="18"/>
                <w:szCs w:val="18"/>
              </w:rPr>
              <w:t xml:space="preserve">за последний отчетный календарный год;</w:t>
            </w:r>
            <w:r>
              <w:rPr>
                <w:rFonts w:ascii="Times New Roman" w:hAnsi="Times New Roman"/>
                <w:iCs/>
                <w:sz w:val="18"/>
                <w:szCs w:val="18"/>
              </w:rPr>
            </w:r>
            <w:r>
              <w:rPr>
                <w:rFonts w:ascii="Times New Roman" w:hAnsi="Times New Roman"/>
                <w:iCs/>
                <w:sz w:val="18"/>
                <w:szCs w:val="18"/>
              </w:rPr>
            </w:r>
          </w:p>
          <w:p>
            <w:pPr>
              <w:jc w:val="both"/>
              <w:spacing w:after="0" w:line="240" w:lineRule="auto"/>
              <w:rPr>
                <w:rFonts w:ascii="Times New Roman" w:hAnsi="Times New Roman" w:eastAsiaTheme="minorHAnsi"/>
                <w:sz w:val="18"/>
                <w:szCs w:val="18"/>
              </w:rPr>
            </w:pPr>
            <w:r>
              <w:rPr>
                <w:sz w:val="18"/>
                <w:szCs w:val="18"/>
              </w:rPr>
            </w:r>
            <m:oMath>
              <m:sSub>
                <m:sSubPr>
                  <m:ctrlPr>
                    <w:rPr>
                      <w:rFonts w:ascii="Cambria Math" w:hAnsi="Cambria Math" w:eastAsia="Cambria Math" w:cs="Cambria Math"/>
                      <w:b/>
                      <w:sz w:val="18"/>
                      <w:szCs w:val="18"/>
                      <w:lang w:val="en-US"/>
                    </w:rPr>
                  </m:ctrlPr>
                </m:sSubPr>
                <m:e>
                  <m:r>
                    <w:rPr>
                      <w:rFonts w:ascii="Cambria Math" w:hAnsi="Cambria Math" w:eastAsia="Cambria Math"/>
                      <w:sz w:val="18"/>
                      <w:szCs w:val="18"/>
                      <w:lang w:val="en-US"/>
                    </w:rPr>
                    <m:rPr>
                      <m:sty m:val="bi"/>
                    </m:rPr>
                    <m:t>N</m:t>
                  </m:r>
                </m:e>
                <m:sub>
                  <m:r>
                    <w:rPr>
                      <w:rFonts w:ascii="Cambria Math" w:hAnsi="Cambria Math" w:eastAsia="Cambria Math"/>
                      <w:sz w:val="18"/>
                      <w:szCs w:val="18"/>
                      <w:lang w:val="en-US"/>
                    </w:rPr>
                    <m:rPr>
                      <m:sty m:val="bi"/>
                    </m:rPr>
                    <m:t>i</m:t>
                  </m:r>
                </m:sub>
              </m:sSub>
            </m:oMath>
            <w:r>
              <w:rPr>
                <w:rFonts w:ascii="Times New Roman" w:hAnsi="Times New Roman" w:eastAsiaTheme="minorEastAsia"/>
                <w:sz w:val="18"/>
                <w:szCs w:val="18"/>
              </w:rPr>
              <w:t xml:space="preserve"> – </w:t>
            </w:r>
            <w:r>
              <w:rPr>
                <w:rFonts w:ascii="Times New Roman" w:hAnsi="Times New Roman" w:eastAsiaTheme="minorHAnsi"/>
                <w:sz w:val="18"/>
                <w:szCs w:val="18"/>
              </w:rPr>
              <w:t xml:space="preserve">ц</w:t>
            </w:r>
            <w:r>
              <w:rPr>
                <w:rFonts w:ascii="Times New Roman" w:hAnsi="Times New Roman" w:eastAsiaTheme="minorHAnsi"/>
                <w:sz w:val="18"/>
                <w:szCs w:val="18"/>
              </w:rPr>
              <w:t xml:space="preserve">е</w:t>
            </w:r>
            <w:r>
              <w:rPr>
                <w:rFonts w:ascii="Times New Roman" w:hAnsi="Times New Roman" w:eastAsiaTheme="minorHAnsi"/>
                <w:sz w:val="18"/>
                <w:szCs w:val="18"/>
              </w:rPr>
              <w:t xml:space="preserve">на Заявки оцениваемого Участника. К учету принимается итоговое значение цены независимо от применяемого режима налогообложения Участника. В случае, если договор по итогам закупки планируется заключить на всю начальную (максимальную) цену предмета закупки </w:t>
            </w:r>
            <w:r>
              <w:rPr>
                <w:rFonts w:ascii="Times New Roman" w:hAnsi="Times New Roman" w:eastAsiaTheme="minorHAnsi"/>
                <w:sz w:val="18"/>
                <w:szCs w:val="18"/>
              </w:rPr>
              <w:t xml:space="preserve">независимо от цен заявок, подаваемых участниками закупки, то </w:t>
            </w:r>
            <m:oMath>
              <m:sSub>
                <m:sSubPr>
                  <m:ctrlPr>
                    <w:rPr>
                      <w:rFonts w:ascii="Cambria Math" w:hAnsi="Cambria Math" w:eastAsia="Cambria Math"/>
                      <w:b/>
                      <w:sz w:val="18"/>
                      <w:szCs w:val="18"/>
                      <w:lang w:val="en-US"/>
                    </w:rPr>
                  </m:ctrlPr>
                </m:sSubPr>
                <m:e>
                  <m:r>
                    <w:rPr>
                      <w:rFonts w:ascii="Cambria Math" w:hAnsi="Cambria Math" w:eastAsia="Cambria Math"/>
                      <w:sz w:val="18"/>
                      <w:szCs w:val="18"/>
                      <w:lang w:val="en-US"/>
                    </w:rPr>
                    <m:rPr>
                      <m:sty m:val="bi"/>
                    </m:rPr>
                    <m:t>N</m:t>
                  </m:r>
                </m:e>
                <m:sub>
                  <m:r>
                    <w:rPr>
                      <w:rFonts w:ascii="Cambria Math" w:hAnsi="Cambria Math" w:eastAsia="Cambria Math"/>
                      <w:sz w:val="18"/>
                      <w:szCs w:val="18"/>
                      <w:lang w:val="en-US"/>
                    </w:rPr>
                    <m:rPr>
                      <m:sty m:val="bi"/>
                    </m:rPr>
                    <m:t>i</m:t>
                  </m:r>
                </m:sub>
              </m:sSub>
            </m:oMath>
            <w:r>
              <w:rPr>
                <w:rFonts w:ascii="Times New Roman" w:hAnsi="Times New Roman" w:eastAsiaTheme="minorEastAsia"/>
                <w:sz w:val="18"/>
                <w:szCs w:val="18"/>
              </w:rPr>
              <w:t xml:space="preserve"> </w:t>
            </w:r>
            <w:r>
              <w:rPr>
                <w:rFonts w:ascii="Times New Roman" w:hAnsi="Times New Roman" w:eastAsiaTheme="minorEastAsia"/>
                <w:sz w:val="18"/>
                <w:szCs w:val="18"/>
              </w:rPr>
              <w:t xml:space="preserve">принимается равным сумме начальной (максимальной) цены предмета закупки</w:t>
            </w:r>
            <w:r>
              <w:rPr>
                <w:rFonts w:ascii="Times New Roman" w:hAnsi="Times New Roman" w:eastAsiaTheme="minorHAnsi"/>
                <w:sz w:val="18"/>
                <w:szCs w:val="18"/>
              </w:rPr>
              <w:t xml:space="preserve">;</w:t>
            </w:r>
            <w:r>
              <w:rPr>
                <w:rFonts w:ascii="Times New Roman" w:hAnsi="Times New Roman" w:eastAsiaTheme="minorHAnsi"/>
                <w:sz w:val="18"/>
                <w:szCs w:val="18"/>
              </w:rPr>
            </w:r>
            <w:r>
              <w:rPr>
                <w:rFonts w:ascii="Times New Roman" w:hAnsi="Times New Roman" w:eastAsiaTheme="minorHAnsi"/>
                <w:sz w:val="18"/>
                <w:szCs w:val="18"/>
              </w:rPr>
            </w:r>
          </w:p>
          <w:p>
            <w:pPr>
              <w:jc w:val="both"/>
              <w:spacing w:after="0" w:line="240" w:lineRule="auto"/>
              <w:rPr>
                <w:rFonts w:ascii="Times New Roman" w:hAnsi="Times New Roman"/>
                <w:sz w:val="18"/>
                <w:szCs w:val="18"/>
              </w:rPr>
            </w:pPr>
            <w:r>
              <w:rPr>
                <w:sz w:val="18"/>
                <w:szCs w:val="18"/>
              </w:rPr>
            </w:r>
            <m:oMath>
              <m:sSub>
                <m:sSubPr>
                  <m:ctrlPr>
                    <w:rPr>
                      <w:rFonts w:ascii="Cambria Math" w:hAnsi="Cambria Math" w:cs="Cambria Math" w:eastAsiaTheme="minorEastAsia"/>
                      <w:b/>
                      <w:sz w:val="18"/>
                      <w:szCs w:val="18"/>
                    </w:rPr>
                  </m:ctrlPr>
                </m:sSubPr>
                <m:e>
                  <m:r>
                    <w:rPr>
                      <w:rFonts w:ascii="Cambria Math" w:hAnsi="Cambria Math" w:eastAsiaTheme="minorEastAsia"/>
                      <w:sz w:val="18"/>
                      <w:szCs w:val="18"/>
                    </w:rPr>
                    <m:rPr>
                      <m:sty m:val="bi"/>
                    </m:rPr>
                    <m:t>S</m:t>
                  </m:r>
                </m:e>
                <m:sub>
                  <m:r>
                    <w:rPr>
                      <w:rFonts w:ascii="Cambria Math" w:hAnsi="Cambria Math" w:eastAsiaTheme="minorEastAsia"/>
                      <w:sz w:val="18"/>
                      <w:szCs w:val="18"/>
                    </w:rPr>
                    <m:rPr>
                      <m:sty m:val="b"/>
                    </m:rPr>
                    <m:t>d</m:t>
                  </m:r>
                </m:sub>
              </m:sSub>
            </m:oMath>
            <w:r>
              <w:rPr>
                <w:rFonts w:ascii="Times New Roman" w:hAnsi="Times New Roman" w:eastAsiaTheme="minorEastAsia"/>
                <w:sz w:val="18"/>
                <w:szCs w:val="18"/>
              </w:rPr>
              <w:t xml:space="preserve"> – </w:t>
            </w:r>
            <w:r>
              <w:rPr>
                <w:rFonts w:ascii="Times New Roman" w:hAnsi="Times New Roman"/>
                <w:sz w:val="18"/>
                <w:szCs w:val="18"/>
              </w:rPr>
              <w:t xml:space="preserve">количество полных месяцев</w:t>
            </w:r>
            <w:r>
              <w:rPr>
                <w:rFonts w:ascii="Times New Roman" w:hAnsi="Times New Roman"/>
                <w:sz w:val="18"/>
                <w:szCs w:val="18"/>
                <w:vertAlign w:val="superscript"/>
              </w:rPr>
              <w:t xml:space="preserve">1</w:t>
            </w:r>
            <w:r>
              <w:rPr>
                <w:rFonts w:ascii="Times New Roman" w:hAnsi="Times New Roman"/>
                <w:sz w:val="18"/>
                <w:szCs w:val="18"/>
              </w:rPr>
              <w:t xml:space="preserve"> выполнения работ (оказания услуг), являющихся предметом закупки</w:t>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sz w:val="18"/>
                <w:szCs w:val="18"/>
              </w:rPr>
            </w:r>
            <m:oMath>
              <m:sSub>
                <m:sSubPr>
                  <m:ctrlPr>
                    <w:rPr>
                      <w:rFonts w:ascii="Cambria Math" w:hAnsi="Cambria Math" w:cs="Cambria Math" w:eastAsiaTheme="minorEastAsia"/>
                      <w:b/>
                      <w:i/>
                      <w:sz w:val="18"/>
                      <w:szCs w:val="18"/>
                    </w:rPr>
                  </m:ctrlPr>
                </m:sSubPr>
                <m:e>
                  <m:r>
                    <w:rPr>
                      <w:rFonts w:ascii="Cambria Math" w:hAnsi="Cambria Math" w:eastAsiaTheme="minorEastAsia"/>
                      <w:sz w:val="18"/>
                      <w:szCs w:val="18"/>
                    </w:rPr>
                    <m:rPr>
                      <m:sty m:val="bi"/>
                    </m:rPr>
                    <m:t>S</m:t>
                  </m:r>
                </m:e>
                <m:sub>
                  <m:r>
                    <w:rPr>
                      <w:rFonts w:ascii="Cambria Math" w:hAnsi="Cambria Math" w:eastAsiaTheme="minorEastAsia"/>
                      <w:sz w:val="18"/>
                      <w:szCs w:val="18"/>
                      <w:lang w:val="en-US"/>
                    </w:rPr>
                    <m:rPr>
                      <m:sty m:val="bi"/>
                    </m:rPr>
                    <m:t>y</m:t>
                  </m:r>
                </m:sub>
              </m:sSub>
            </m:oMath>
            <w:r>
              <w:rPr>
                <w:rFonts w:ascii="Times New Roman" w:hAnsi="Times New Roman" w:eastAsiaTheme="minorEastAsia"/>
                <w:sz w:val="18"/>
                <w:szCs w:val="18"/>
              </w:rPr>
              <w:t xml:space="preserve"> – </w:t>
            </w:r>
            <w:r>
              <w:rPr>
                <w:rFonts w:ascii="Times New Roman" w:hAnsi="Times New Roman"/>
                <w:sz w:val="18"/>
                <w:szCs w:val="18"/>
              </w:rPr>
              <w:t xml:space="preserve">количество полных лет выполнения работ (оказания услуг), являющихся предметом закупки, рассчитывается по формуле:</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eastAsiaTheme="minorHAnsi"/>
                <w:sz w:val="18"/>
                <w:szCs w:val="18"/>
              </w:rPr>
            </w:pPr>
            <w:r>
              <w:rPr>
                <w:sz w:val="18"/>
                <w:szCs w:val="18"/>
              </w:rPr>
            </w:r>
            <m:oMath>
              <m:sSub>
                <m:sSubPr>
                  <m:ctrlPr>
                    <w:rPr>
                      <w:rFonts w:ascii="Cambria Math" w:hAnsi="Cambria Math" w:cs="Cambria Math" w:eastAsiaTheme="minorEastAsia"/>
                      <w:b/>
                      <w:i/>
                      <w:iCs/>
                      <w:sz w:val="18"/>
                      <w:szCs w:val="18"/>
                      <w:lang w:val="en-US" w:eastAsia="ru-RU"/>
                    </w:rPr>
                  </m:ctrlPr>
                </m:sSubPr>
                <m:e>
                  <m:r>
                    <w:rPr>
                      <w:rFonts w:ascii="Cambria Math" w:hAnsi="Cambria Math"/>
                      <w:sz w:val="18"/>
                      <w:szCs w:val="18"/>
                      <w:lang w:val="en-US"/>
                    </w:rPr>
                    <m:rPr>
                      <m:sty m:val="bi"/>
                    </m:rPr>
                    <m:t>S</m:t>
                  </m:r>
                </m:e>
                <m:sub>
                  <m:r>
                    <w:rPr>
                      <w:rFonts w:ascii="Cambria Math" w:hAnsi="Cambria Math"/>
                      <w:sz w:val="18"/>
                      <w:szCs w:val="18"/>
                      <w:lang w:val="en-US"/>
                    </w:rPr>
                    <m:rPr>
                      <m:sty m:val="bi"/>
                    </m:rPr>
                    <m:t>y</m:t>
                  </m:r>
                </m:sub>
              </m:sSub>
              <m:r>
                <w:rPr>
                  <w:rFonts w:ascii="Cambria Math" w:hAnsi="Cambria Math"/>
                  <w:sz w:val="18"/>
                  <w:szCs w:val="18"/>
                </w:rPr>
                <m:rPr/>
                <m:t>=</m:t>
              </m:r>
              <m:sSub>
                <m:sSubPr>
                  <m:ctrlPr>
                    <w:rPr>
                      <w:rFonts w:ascii="Cambria Math" w:hAnsi="Cambria Math" w:cs="Cambria Math" w:eastAsiaTheme="minorEastAsia"/>
                      <w:i/>
                      <w:iCs/>
                      <w:sz w:val="18"/>
                      <w:szCs w:val="18"/>
                      <w:lang w:val="en-US" w:eastAsia="ru-RU"/>
                    </w:rPr>
                  </m:ctrlPr>
                </m:sSubPr>
                <m:e>
                  <m:r>
                    <w:rPr>
                      <w:rFonts w:ascii="Cambria Math" w:hAnsi="Cambria Math"/>
                      <w:sz w:val="18"/>
                      <w:szCs w:val="18"/>
                      <w:lang w:val="en-US"/>
                    </w:rPr>
                    <m:rPr/>
                    <m:t>S</m:t>
                  </m:r>
                </m:e>
                <m:sub>
                  <m:r>
                    <w:rPr>
                      <w:rFonts w:ascii="Cambria Math" w:hAnsi="Cambria Math"/>
                      <w:sz w:val="18"/>
                      <w:szCs w:val="18"/>
                      <w:lang w:val="en-US"/>
                    </w:rPr>
                    <m:rPr/>
                    <m:t>d</m:t>
                  </m:r>
                </m:sub>
              </m:sSub>
              <m:r>
                <w:rPr>
                  <w:rFonts w:ascii="Cambria Math" w:hAnsi="Cambria Math"/>
                  <w:sz w:val="18"/>
                  <w:szCs w:val="18"/>
                </w:rPr>
                <m:rPr/>
                <m:t>/12</m:t>
              </m:r>
            </m:oMath>
            <w:r>
              <w:rPr>
                <w:rFonts w:ascii="Times New Roman" w:hAnsi="Times New Roman"/>
                <w:sz w:val="18"/>
                <w:szCs w:val="18"/>
              </w:rPr>
              <w:t xml:space="preserve"> с округлением до целого числа в сторону увеличения. Если полученное значение меньше единицы, то </w:t>
            </w:r>
            <w:r>
              <w:rPr>
                <w:rFonts w:ascii="Times New Roman" w:hAnsi="Times New Roman"/>
                <w:iCs/>
                <w:sz w:val="18"/>
                <w:szCs w:val="18"/>
                <w:lang w:eastAsia="ru-RU"/>
              </w:rPr>
              <w:t xml:space="preserve">принимается равным 1.</w:t>
            </w:r>
            <w:r>
              <w:rPr>
                <w:rFonts w:ascii="Times New Roman" w:hAnsi="Times New Roman" w:eastAsiaTheme="minorHAnsi"/>
                <w:sz w:val="18"/>
                <w:szCs w:val="18"/>
              </w:rPr>
            </w:r>
            <w:r>
              <w:rPr>
                <w:rFonts w:ascii="Times New Roman" w:hAnsi="Times New Roman" w:eastAsiaTheme="minorHAnsi"/>
                <w:sz w:val="18"/>
                <w:szCs w:val="18"/>
              </w:rPr>
            </w:r>
          </w:p>
          <w:p>
            <w:pPr>
              <w:ind w:right="87"/>
              <w:jc w:val="both"/>
              <w:spacing w:after="0" w:line="240" w:lineRule="auto"/>
              <w:rPr>
                <w:rFonts w:ascii="Times New Roman" w:hAnsi="Times New Roman"/>
                <w:sz w:val="18"/>
                <w:szCs w:val="18"/>
              </w:rPr>
            </w:pPr>
            <w:r>
              <w:rPr>
                <w:rFonts w:ascii="Times New Roman" w:hAnsi="Times New Roman"/>
                <w:b/>
                <w:sz w:val="18"/>
                <w:szCs w:val="18"/>
                <w:lang w:val="en-US"/>
              </w:rPr>
              <w:t xml:space="preserve">e</w:t>
            </w:r>
            <w:r>
              <w:rPr>
                <w:rFonts w:ascii="Times New Roman" w:hAnsi="Times New Roman"/>
                <w:sz w:val="18"/>
                <w:szCs w:val="18"/>
              </w:rPr>
              <w:t xml:space="preserve"> </w:t>
            </w:r>
            <w:r>
              <w:rPr>
                <w:rFonts w:ascii="Times New Roman" w:hAnsi="Times New Roman"/>
                <w:sz w:val="18"/>
                <w:szCs w:val="18"/>
              </w:rPr>
              <w:t xml:space="preserve">– число Эйлера (равно 2,71</w:t>
            </w:r>
            <w:bookmarkStart w:id="0" w:name="undefined"/>
            <w:r>
              <w:rPr>
                <w:sz w:val="18"/>
                <w:szCs w:val="18"/>
              </w:rPr>
            </w:r>
            <w:bookmarkEnd w:id="0"/>
            <w:r>
              <w:rPr>
                <w:rFonts w:ascii="Times New Roman" w:hAnsi="Times New Roman"/>
                <w:sz w:val="18"/>
                <w:szCs w:val="18"/>
              </w:rPr>
              <w:t xml:space="preserve">828 с учетом округления).</w:t>
            </w:r>
            <w:r>
              <w:rPr>
                <w:rFonts w:ascii="Times New Roman" w:hAnsi="Times New Roman"/>
                <w:sz w:val="18"/>
                <w:szCs w:val="18"/>
              </w:rPr>
            </w:r>
            <w:r>
              <w:rPr>
                <w:rFonts w:ascii="Times New Roman" w:hAnsi="Times New Roman"/>
                <w:sz w:val="18"/>
                <w:szCs w:val="18"/>
              </w:rPr>
            </w:r>
          </w:p>
        </w:tc>
        <w:tc>
          <w:tcPr>
            <w:shd w:val="clear" w:color="000000" w:fill="d8e4bc"/>
            <w:tcW w:w="1134" w:type="dxa"/>
            <w:vAlign w:val="center"/>
            <w:textDirection w:val="lrTb"/>
            <w:noWrap w:val="false"/>
          </w:tcPr>
          <w:p>
            <w:pPr>
              <w:rPr>
                <w:sz w:val="18"/>
                <w:szCs w:val="18"/>
              </w:rPr>
            </w:pPr>
            <w:r>
              <w:rPr>
                <w:sz w:val="18"/>
                <w:szCs w:val="18"/>
              </w:rPr>
            </w:r>
            <w:r>
              <w:rPr>
                <w:sz w:val="18"/>
                <w:szCs w:val="18"/>
              </w:rPr>
            </w:r>
            <w:r>
              <w:rPr>
                <w:sz w:val="18"/>
                <w:szCs w:val="18"/>
              </w:rPr>
            </w:r>
          </w:p>
        </w:tc>
        <w:tc>
          <w:tcPr>
            <w:shd w:val="clear" w:color="auto" w:fill="auto"/>
            <w:tcW w:w="1134" w:type="dxa"/>
            <w:vAlign w:val="center"/>
            <w:textDirection w:val="lrTb"/>
            <w:noWrap w:val="false"/>
          </w:tcPr>
          <w:p>
            <w:pPr>
              <w:rPr>
                <w:sz w:val="18"/>
                <w:szCs w:val="18"/>
              </w:rPr>
            </w:pPr>
            <w:r>
              <w:rPr>
                <w:sz w:val="18"/>
                <w:szCs w:val="18"/>
              </w:rPr>
            </w:r>
            <w:r>
              <w:rPr>
                <w:sz w:val="18"/>
                <w:szCs w:val="18"/>
              </w:rPr>
            </w:r>
            <w:r>
              <w:rPr>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cstheme="minorBidi"/>
                <w:b/>
                <w:bCs/>
                <w:sz w:val="18"/>
                <w:szCs w:val="18"/>
              </w:rPr>
            </w:pPr>
            <w:r>
              <w:rPr>
                <w:rFonts w:ascii="Times New Roman" w:hAnsi="Times New Roman" w:eastAsia="Times New Roman" w:cstheme="minorBidi"/>
                <w:b/>
                <w:bCs/>
                <w:sz w:val="18"/>
                <w:szCs w:val="18"/>
                <w:lang w:eastAsia="ru-RU"/>
              </w:rPr>
              <w:t xml:space="preserve">6</w:t>
            </w:r>
            <w:r>
              <w:rPr>
                <w:rFonts w:ascii="Times New Roman" w:hAnsi="Times New Roman" w:eastAsia="Times New Roman" w:cstheme="minorBidi"/>
                <w:b/>
                <w:bCs/>
                <w:sz w:val="18"/>
                <w:szCs w:val="18"/>
                <w:lang w:eastAsia="ru-RU"/>
              </w:rPr>
              <w:t xml:space="preserve">.</w:t>
            </w:r>
            <w:r>
              <w:rPr>
                <w:rFonts w:ascii="Times New Roman" w:hAnsi="Times New Roman" w:eastAsia="Times New Roman" w:cstheme="minorBidi"/>
                <w:b/>
                <w:bCs/>
                <w:sz w:val="18"/>
                <w:szCs w:val="18"/>
              </w:rPr>
            </w:r>
            <w:r>
              <w:rPr>
                <w:rFonts w:ascii="Times New Roman" w:hAnsi="Times New Roman" w:eastAsia="Times New Roman" w:cstheme="minorBidi"/>
                <w:b/>
                <w:bCs/>
                <w:sz w:val="18"/>
                <w:szCs w:val="18"/>
              </w:rPr>
            </w:r>
          </w:p>
        </w:tc>
        <w:tc>
          <w:tcPr>
            <w:shd w:val="clear" w:color="auto" w:fill="auto"/>
            <w:tcW w:w="2693"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справки о материально-технических ресурсах Участника</w:t>
            </w:r>
            <w:r>
              <w:rPr>
                <w:rFonts w:ascii="Times New Roman" w:hAnsi="Times New Roman" w:eastAsiaTheme="minorHAnsi"/>
                <w:sz w:val="18"/>
                <w:szCs w:val="18"/>
              </w:rPr>
            </w:r>
            <w:r>
              <w:rPr>
                <w:rFonts w:ascii="Times New Roman" w:hAnsi="Times New Roman" w:eastAsiaTheme="minorHAnsi"/>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heme="minorHAnsi" w:cstheme="minorBidi"/>
                <w:b/>
                <w:bCs/>
                <w:sz w:val="18"/>
                <w:szCs w:val="18"/>
                <w:lang w:val="en-US"/>
                <w14:ligatures w14:val="none"/>
              </w:rPr>
            </w:pPr>
            <w:r>
              <w:rPr>
                <w:rFonts w:ascii="Times New Roman" w:hAnsi="Times New Roman" w:eastAsiaTheme="minorHAnsi" w:cstheme="minorBidi"/>
                <w:b/>
                <w:bCs/>
                <w:sz w:val="18"/>
                <w:szCs w:val="18"/>
                <w:lang w:val="en-US"/>
              </w:rPr>
            </w:r>
            <w:r>
              <w:rPr>
                <w:rFonts w:ascii="Times New Roman" w:hAnsi="Times New Roman" w:eastAsiaTheme="minorHAnsi" w:cstheme="minorBidi"/>
                <w:b/>
                <w:bCs/>
                <w:sz w:val="18"/>
                <w:szCs w:val="18"/>
                <w:lang w:val="en-US"/>
              </w:rPr>
              <w:t xml:space="preserve">0</w:t>
            </w:r>
            <w:r>
              <w:rPr>
                <w:rFonts w:ascii="Times New Roman" w:hAnsi="Times New Roman" w:eastAsiaTheme="minorHAnsi" w:cstheme="minorBidi"/>
                <w:b/>
                <w:bCs/>
                <w:sz w:val="18"/>
                <w:szCs w:val="18"/>
                <w:lang w:val="en-US"/>
              </w:rPr>
              <w:t xml:space="preserve">,05</w:t>
            </w:r>
            <w:r>
              <w:rPr>
                <w:rFonts w:ascii="Times New Roman" w:hAnsi="Times New Roman" w:eastAsiaTheme="minorHAnsi" w:cstheme="minorBidi"/>
                <w:b/>
                <w:bCs/>
                <w:sz w:val="18"/>
                <w:szCs w:val="18"/>
                <w:lang w:val="en-US"/>
                <w14:ligatures w14:val="none"/>
              </w:rPr>
            </w:r>
            <w:r>
              <w:rPr>
                <w:rFonts w:ascii="Times New Roman" w:hAnsi="Times New Roman" w:eastAsiaTheme="minorHAnsi" w:cstheme="minorBidi"/>
                <w:b/>
                <w:bCs/>
                <w:sz w:val="18"/>
                <w:szCs w:val="18"/>
                <w:lang w:val="en-US"/>
                <w14:ligatures w14:val="none"/>
              </w:rPr>
            </w:r>
          </w:p>
        </w:tc>
        <w:tc>
          <w:tcPr>
            <w:shd w:val="clear" w:color="auto" w:fill="auto"/>
            <w:tcW w:w="3685"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справки о материально-технических ресурсах Участника</w:t>
            </w:r>
            <w:r>
              <w:rPr>
                <w:rFonts w:ascii="Times New Roman" w:hAnsi="Times New Roman" w:eastAsiaTheme="minorHAnsi"/>
                <w:sz w:val="18"/>
                <w:szCs w:val="18"/>
              </w:rPr>
            </w:r>
            <w:r>
              <w:rPr>
                <w:rFonts w:ascii="Times New Roman" w:hAnsi="Times New Roman" w:eastAsiaTheme="minorHAnsi"/>
                <w:sz w:val="18"/>
                <w:szCs w:val="18"/>
              </w:rPr>
            </w:r>
          </w:p>
        </w:tc>
        <w:tc>
          <w:tcPr>
            <w:tcW w:w="5558" w:type="dxa"/>
            <w:textDirection w:val="lrTb"/>
            <w:noWrap w:val="false"/>
          </w:tcPr>
          <w:p>
            <w:pPr>
              <w:spacing w:after="0" w:line="240" w:lineRule="auto"/>
              <w:rPr>
                <w:rFonts w:ascii="Times New Roman" w:hAnsi="Times New Roman" w:eastAsiaTheme="minorHAnsi"/>
                <w:b/>
                <w:sz w:val="18"/>
                <w:szCs w:val="18"/>
              </w:rPr>
            </w:pPr>
            <w:r>
              <w:rPr>
                <w:rFonts w:ascii="Times New Roman" w:hAnsi="Times New Roman" w:eastAsiaTheme="minorHAnsi"/>
                <w:sz w:val="18"/>
                <w:szCs w:val="18"/>
              </w:rPr>
              <w:t xml:space="preserve">Справка о материально-технических ресурсах Участника предоставлена – </w:t>
            </w:r>
            <w:r>
              <w:rPr>
                <w:rFonts w:ascii="Times New Roman" w:hAnsi="Times New Roman" w:eastAsiaTheme="minorHAnsi"/>
                <w:b/>
                <w:sz w:val="18"/>
                <w:szCs w:val="18"/>
              </w:rPr>
              <w:t xml:space="preserve">10 баллов.</w:t>
            </w:r>
            <w:r>
              <w:rPr>
                <w:rFonts w:ascii="Times New Roman" w:hAnsi="Times New Roman" w:eastAsiaTheme="minorHAnsi"/>
                <w:b/>
                <w:sz w:val="18"/>
                <w:szCs w:val="18"/>
              </w:rPr>
            </w:r>
            <w:r>
              <w:rPr>
                <w:rFonts w:ascii="Times New Roman" w:hAnsi="Times New Roman" w:eastAsiaTheme="minorHAnsi"/>
                <w:b/>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Справка о материально-технических ресурсах Участника не предоставлена или </w:t>
            </w:r>
            <w:r>
              <w:rPr>
                <w:rFonts w:ascii="Times New Roman" w:hAnsi="Times New Roman"/>
                <w:sz w:val="18"/>
                <w:szCs w:val="18"/>
              </w:rPr>
              <w:t xml:space="preserve">представлена с нарушениями требований к заполнению формы, в том числе содержащая неполные или некорректные сведения</w:t>
            </w:r>
            <w:r>
              <w:rPr>
                <w:rFonts w:ascii="Times New Roman" w:hAnsi="Times New Roman" w:eastAsiaTheme="minorHAnsi"/>
                <w:sz w:val="18"/>
                <w:szCs w:val="18"/>
              </w:rPr>
              <w:t xml:space="preserve"> – </w:t>
            </w:r>
            <w:r>
              <w:rPr>
                <w:rFonts w:ascii="Times New Roman" w:hAnsi="Times New Roman" w:eastAsiaTheme="minorHAnsi"/>
                <w:b/>
                <w:sz w:val="18"/>
                <w:szCs w:val="18"/>
              </w:rPr>
              <w:t xml:space="preserve">0 баллов.</w:t>
            </w:r>
            <w:r>
              <w:rPr>
                <w:rFonts w:ascii="Times New Roman" w:hAnsi="Times New Roman" w:eastAsiaTheme="minorHAnsi"/>
                <w:sz w:val="18"/>
                <w:szCs w:val="18"/>
              </w:rPr>
            </w:r>
            <w:r>
              <w:rPr>
                <w:rFonts w:ascii="Times New Roman" w:hAnsi="Times New Roman" w:eastAsiaTheme="minorHAns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cstheme="minorBidi"/>
                <w:b/>
                <w:bCs/>
                <w:sz w:val="18"/>
                <w:szCs w:val="18"/>
              </w:rPr>
            </w:pPr>
            <w:r>
              <w:rPr>
                <w:rFonts w:ascii="Times New Roman" w:hAnsi="Times New Roman" w:eastAsia="Times New Roman" w:cstheme="minorBidi"/>
                <w:b/>
                <w:bCs/>
                <w:sz w:val="18"/>
                <w:szCs w:val="18"/>
                <w:lang w:val="en-US" w:eastAsia="ru-RU"/>
              </w:rPr>
              <w:t xml:space="preserve">7</w:t>
            </w:r>
            <w:r>
              <w:rPr>
                <w:rFonts w:ascii="Times New Roman" w:hAnsi="Times New Roman" w:eastAsia="Times New Roman" w:cstheme="minorBidi"/>
                <w:b/>
                <w:bCs/>
                <w:sz w:val="18"/>
                <w:szCs w:val="18"/>
                <w:lang w:val="en-US" w:eastAsia="ru-RU"/>
              </w:rPr>
              <w:t xml:space="preserve">.</w:t>
            </w:r>
            <w:r>
              <w:rPr>
                <w:rFonts w:ascii="Times New Roman" w:hAnsi="Times New Roman" w:eastAsia="Times New Roman" w:cstheme="minorBidi"/>
                <w:b/>
                <w:bCs/>
                <w:sz w:val="18"/>
                <w:szCs w:val="18"/>
              </w:rPr>
            </w:r>
            <w:r>
              <w:rPr>
                <w:rFonts w:ascii="Times New Roman" w:hAnsi="Times New Roman" w:eastAsia="Times New Roman" w:cstheme="minorBidi"/>
                <w:b/>
                <w:bCs/>
                <w:sz w:val="18"/>
                <w:szCs w:val="18"/>
              </w:rPr>
            </w:r>
          </w:p>
        </w:tc>
        <w:tc>
          <w:tcPr>
            <w:shd w:val="clear" w:color="auto" w:fill="auto"/>
            <w:tcW w:w="2693"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справки о кадровых ресурсах Участника</w:t>
            </w:r>
            <w:r>
              <w:rPr>
                <w:rFonts w:ascii="Times New Roman" w:hAnsi="Times New Roman" w:eastAsiaTheme="minorHAnsi"/>
                <w:sz w:val="18"/>
                <w:szCs w:val="18"/>
              </w:rPr>
            </w:r>
            <w:r>
              <w:rPr>
                <w:rFonts w:ascii="Times New Roman" w:hAnsi="Times New Roman" w:eastAsiaTheme="minorHAnsi"/>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heme="minorHAnsi" w:cstheme="minorBidi"/>
                <w:b/>
                <w:bCs/>
                <w:sz w:val="18"/>
                <w:szCs w:val="18"/>
                <w:lang w:val="en-US"/>
                <w14:ligatures w14:val="none"/>
              </w:rPr>
            </w:pPr>
            <w:r>
              <w:rPr>
                <w:rFonts w:ascii="Times New Roman" w:hAnsi="Times New Roman" w:eastAsiaTheme="minorHAnsi" w:cstheme="minorBidi"/>
                <w:b/>
                <w:bCs/>
                <w:sz w:val="18"/>
                <w:szCs w:val="18"/>
                <w:lang w:val="en-US"/>
              </w:rPr>
            </w:r>
            <w:r>
              <w:rPr>
                <w:rFonts w:ascii="Times New Roman" w:hAnsi="Times New Roman" w:eastAsiaTheme="minorHAnsi" w:cstheme="minorBidi"/>
                <w:b/>
                <w:bCs/>
                <w:sz w:val="18"/>
                <w:szCs w:val="18"/>
                <w:lang w:val="en-US"/>
              </w:rPr>
              <w:t xml:space="preserve">0</w:t>
            </w:r>
            <w:r>
              <w:rPr>
                <w:rFonts w:ascii="Times New Roman" w:hAnsi="Times New Roman" w:eastAsiaTheme="minorHAnsi" w:cstheme="minorBidi"/>
                <w:b/>
                <w:bCs/>
                <w:sz w:val="18"/>
                <w:szCs w:val="18"/>
                <w:lang w:val="en-US"/>
              </w:rPr>
              <w:t xml:space="preserve">,05</w:t>
            </w:r>
            <w:r>
              <w:rPr>
                <w:rFonts w:ascii="Times New Roman" w:hAnsi="Times New Roman" w:eastAsiaTheme="minorHAnsi" w:cstheme="minorBidi"/>
                <w:b/>
                <w:bCs/>
                <w:sz w:val="18"/>
                <w:szCs w:val="18"/>
                <w:lang w:val="en-US"/>
                <w14:ligatures w14:val="none"/>
              </w:rPr>
            </w:r>
            <w:r>
              <w:rPr>
                <w:rFonts w:ascii="Times New Roman" w:hAnsi="Times New Roman" w:eastAsiaTheme="minorHAnsi" w:cstheme="minorBidi"/>
                <w:b/>
                <w:bCs/>
                <w:sz w:val="18"/>
                <w:szCs w:val="18"/>
                <w:lang w:val="en-US"/>
                <w14:ligatures w14:val="none"/>
              </w:rPr>
            </w:r>
          </w:p>
        </w:tc>
        <w:tc>
          <w:tcPr>
            <w:shd w:val="clear" w:color="auto" w:fill="auto"/>
            <w:tcW w:w="3685"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справки о кадровых ресурсах Участника</w:t>
            </w:r>
            <w:r>
              <w:rPr>
                <w:rFonts w:ascii="Times New Roman" w:hAnsi="Times New Roman" w:eastAsiaTheme="minorHAnsi"/>
                <w:sz w:val="18"/>
                <w:szCs w:val="18"/>
              </w:rPr>
            </w:r>
            <w:r>
              <w:rPr>
                <w:rFonts w:ascii="Times New Roman" w:hAnsi="Times New Roman" w:eastAsiaTheme="minorHAnsi"/>
                <w:sz w:val="18"/>
                <w:szCs w:val="18"/>
              </w:rPr>
            </w:r>
          </w:p>
        </w:tc>
        <w:tc>
          <w:tcPr>
            <w:tcW w:w="5558"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Справка о кадровых ресурсах Участника предоставлена – </w:t>
            </w:r>
            <w:r>
              <w:rPr>
                <w:rFonts w:ascii="Times New Roman" w:hAnsi="Times New Roman" w:eastAsiaTheme="minorHAnsi"/>
                <w:b/>
                <w:sz w:val="18"/>
                <w:szCs w:val="18"/>
              </w:rPr>
              <w:t xml:space="preserve">10 баллов.</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Справка о кадровых ресурсах Участника </w:t>
            </w:r>
            <w:r>
              <w:rPr>
                <w:rFonts w:ascii="Times New Roman" w:hAnsi="Times New Roman" w:eastAsiaTheme="minorHAnsi"/>
                <w:sz w:val="18"/>
                <w:szCs w:val="18"/>
              </w:rPr>
              <w:t xml:space="preserve">не предоставлена или </w:t>
            </w:r>
            <w:r>
              <w:rPr>
                <w:rFonts w:ascii="Times New Roman" w:hAnsi="Times New Roman"/>
                <w:sz w:val="18"/>
                <w:szCs w:val="18"/>
              </w:rPr>
              <w:t xml:space="preserve">представлена с нарушениями требований к заполнению формы, в том числе содержащая неполные или некорректные сведения</w:t>
            </w:r>
            <w:r>
              <w:rPr>
                <w:rFonts w:ascii="Times New Roman" w:hAnsi="Times New Roman" w:eastAsiaTheme="minorHAnsi"/>
                <w:sz w:val="18"/>
                <w:szCs w:val="18"/>
              </w:rPr>
              <w:t xml:space="preserve"> </w:t>
            </w:r>
            <w:r>
              <w:rPr>
                <w:rFonts w:ascii="Times New Roman" w:hAnsi="Times New Roman" w:eastAsiaTheme="minorHAnsi"/>
                <w:sz w:val="18"/>
                <w:szCs w:val="18"/>
              </w:rPr>
              <w:t xml:space="preserve">– </w:t>
              <w:br/>
            </w:r>
            <w:r>
              <w:rPr>
                <w:rFonts w:ascii="Times New Roman" w:hAnsi="Times New Roman" w:eastAsiaTheme="minorHAnsi"/>
                <w:b/>
                <w:sz w:val="18"/>
                <w:szCs w:val="18"/>
              </w:rPr>
              <w:t xml:space="preserve">0 баллов</w:t>
            </w:r>
            <w:r>
              <w:rPr>
                <w:rFonts w:ascii="Times New Roman" w:hAnsi="Times New Roman" w:eastAsiaTheme="minorHAnsi"/>
                <w:sz w:val="18"/>
                <w:szCs w:val="18"/>
              </w:rPr>
              <w:t xml:space="preserve">.</w:t>
            </w:r>
            <w:r>
              <w:rPr>
                <w:rFonts w:ascii="Times New Roman" w:hAnsi="Times New Roman" w:eastAsiaTheme="minorHAnsi"/>
                <w:sz w:val="18"/>
                <w:szCs w:val="18"/>
              </w:rPr>
            </w:r>
            <w:r>
              <w:rPr>
                <w:rFonts w:ascii="Times New Roman" w:hAnsi="Times New Roman" w:eastAsiaTheme="minorHAns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cstheme="minorBidi"/>
                <w:b/>
                <w:bCs/>
                <w:sz w:val="18"/>
                <w:szCs w:val="18"/>
              </w:rPr>
            </w:pPr>
            <w:r>
              <w:rPr>
                <w:rFonts w:ascii="Times New Roman" w:hAnsi="Times New Roman" w:eastAsia="Times New Roman" w:cstheme="minorBidi"/>
                <w:b/>
                <w:bCs/>
                <w:sz w:val="18"/>
                <w:szCs w:val="18"/>
                <w:lang w:eastAsia="ru-RU"/>
              </w:rPr>
            </w:r>
            <w:r>
              <w:rPr>
                <w:rFonts w:ascii="Times New Roman" w:hAnsi="Times New Roman" w:eastAsia="Times New Roman" w:cstheme="minorBidi"/>
                <w:b/>
                <w:bCs/>
                <w:sz w:val="18"/>
                <w:szCs w:val="18"/>
              </w:rPr>
            </w:r>
            <w:r>
              <w:rPr>
                <w:rFonts w:ascii="Times New Roman" w:hAnsi="Times New Roman" w:eastAsia="Times New Roman" w:cstheme="minorBidi"/>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cstheme="minorBidi"/>
                <w:b/>
                <w:bCs/>
                <w:sz w:val="18"/>
                <w:szCs w:val="18"/>
              </w:rPr>
            </w:pPr>
            <w:r>
              <w:rPr>
                <w:rFonts w:ascii="Times New Roman" w:hAnsi="Times New Roman" w:eastAsia="Times New Roman" w:cstheme="minorBidi"/>
                <w:b/>
                <w:bCs/>
                <w:sz w:val="18"/>
                <w:szCs w:val="18"/>
                <w:lang w:eastAsia="ru-RU"/>
              </w:rPr>
            </w:r>
            <w:r>
              <w:rPr>
                <w:rFonts w:ascii="Times New Roman" w:hAnsi="Times New Roman" w:eastAsia="Times New Roman" w:cstheme="minorBidi"/>
                <w:b/>
                <w:bCs/>
                <w:sz w:val="18"/>
                <w:szCs w:val="18"/>
              </w:rPr>
            </w:r>
            <w:r>
              <w:rPr>
                <w:rFonts w:ascii="Times New Roman" w:hAnsi="Times New Roman" w:eastAsia="Times New Roman" w:cstheme="minorBidi"/>
                <w:b/>
                <w:bCs/>
                <w:sz w:val="18"/>
                <w:szCs w:val="18"/>
              </w:rPr>
            </w:r>
          </w:p>
        </w:tc>
      </w:tr>
      <w:tr>
        <w:tblPrEx/>
        <w:trPr>
          <w:cantSplit/>
          <w:trHeight w:val="513"/>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Mar>
              <w:left w:w="28" w:type="dxa"/>
              <w:right w:w="28" w:type="dxa"/>
            </w:tcMar>
            <w:tcW w:w="2693" w:type="dxa"/>
            <w:textDirection w:val="lrTb"/>
            <w:noWrap w:val="false"/>
          </w:tcPr>
          <w:p>
            <w:pPr>
              <w:jc w:val="center"/>
              <w:spacing w:after="0" w:line="240" w:lineRule="auto"/>
              <w:rPr>
                <w:rFonts w:ascii="Times New Roman" w:hAnsi="Times New Roman" w:eastAsiaTheme="minorHAnsi"/>
                <w:b/>
                <w:sz w:val="18"/>
                <w:szCs w:val="18"/>
              </w:rPr>
            </w:pPr>
            <w:r>
              <w:rPr>
                <w:rFonts w:ascii="Times New Roman" w:hAnsi="Times New Roman" w:eastAsiaTheme="minorHAnsi"/>
                <w:b/>
                <w:sz w:val="18"/>
                <w:szCs w:val="18"/>
              </w:rPr>
              <w:t xml:space="preserve">Общая оценка по критерию </w:t>
            </w:r>
            <w:r>
              <w:rPr>
                <w:rFonts w:ascii="Times New Roman" w:hAnsi="Times New Roman" w:eastAsiaTheme="minorHAnsi"/>
                <w:b/>
                <w:sz w:val="18"/>
                <w:szCs w:val="18"/>
              </w:rPr>
            </w:r>
            <w:r>
              <w:rPr>
                <w:rFonts w:ascii="Times New Roman" w:hAnsi="Times New Roman" w:eastAsiaTheme="minorHAnsi"/>
                <w:b/>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1</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3685" w:type="dxa"/>
            <w:textDirection w:val="lrTb"/>
            <w:noWrap w:val="false"/>
          </w:tcPr>
          <w:p>
            <w:pPr>
              <w:spacing w:after="0" w:line="240" w:lineRule="auto"/>
              <w:rPr>
                <w:rFonts w:ascii="Times New Roman" w:hAnsi="Times New Roman" w:eastAsiaTheme="minorHAnsi"/>
                <w:b/>
                <w:sz w:val="18"/>
                <w:szCs w:val="18"/>
              </w:rPr>
            </w:pPr>
            <w:r>
              <w:rPr>
                <w:rFonts w:ascii="Times New Roman" w:hAnsi="Times New Roman" w:eastAsiaTheme="minorHAnsi"/>
                <w:b/>
                <w:sz w:val="18"/>
                <w:szCs w:val="18"/>
              </w:rPr>
            </w:r>
            <w:r>
              <w:rPr>
                <w:rFonts w:ascii="Times New Roman" w:hAnsi="Times New Roman" w:eastAsiaTheme="minorHAnsi"/>
                <w:b/>
                <w:sz w:val="18"/>
                <w:szCs w:val="18"/>
              </w:rPr>
            </w:r>
            <w:r>
              <w:rPr>
                <w:rFonts w:ascii="Times New Roman" w:hAnsi="Times New Roman" w:eastAsiaTheme="minorHAnsi"/>
                <w:b/>
                <w:sz w:val="18"/>
                <w:szCs w:val="18"/>
              </w:rPr>
            </w:r>
          </w:p>
        </w:tc>
        <w:tc>
          <w:tcPr>
            <w:tcW w:w="5558" w:type="dxa"/>
            <w:textDirection w:val="lrTb"/>
            <w:noWrap w:val="false"/>
          </w:tcPr>
          <w:p>
            <w:pPr>
              <w:spacing w:after="0" w:line="240" w:lineRule="auto"/>
              <w:rPr>
                <w:rFonts w:ascii="Times New Roman" w:hAnsi="Times New Roman" w:eastAsia="Times New Roman"/>
                <w:b/>
                <w:sz w:val="18"/>
                <w:szCs w:val="18"/>
              </w:rPr>
            </w:pPr>
            <w:r>
              <w:rPr>
                <w:rFonts w:ascii="Times New Roman" w:hAnsi="Times New Roman" w:eastAsia="Times New Roman"/>
                <w:b/>
                <w:sz w:val="18"/>
                <w:szCs w:val="18"/>
              </w:rPr>
            </w:r>
            <w:r>
              <w:rPr>
                <w:rFonts w:ascii="Times New Roman" w:hAnsi="Times New Roman" w:eastAsia="Times New Roman"/>
                <w:b/>
                <w:sz w:val="18"/>
                <w:szCs w:val="18"/>
              </w:rPr>
            </w:r>
            <w:r>
              <w:rPr>
                <w:rFonts w:ascii="Times New Roman" w:hAnsi="Times New Roman" w:eastAsia="Times New Roman"/>
                <w:b/>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heme="minorHAnsi"/>
                <w:b/>
                <w:sz w:val="18"/>
                <w:szCs w:val="18"/>
              </w:rPr>
              <w:t xml:space="preserve">P=∑ S:</w:t>
            </w:r>
            <w:r>
              <w:rPr>
                <w:rFonts w:ascii="Times New Roman" w:hAnsi="Times New Roman" w:eastAsia="Times New Roman"/>
                <w:b/>
                <w:bCs/>
                <w:sz w:val="18"/>
                <w:szCs w:val="18"/>
              </w:rPr>
            </w:r>
            <w:r>
              <w:rPr>
                <w:rFonts w:ascii="Times New Roman" w:hAnsi="Times New Roman" w:eastAsia="Times New Roman"/>
                <w:b/>
                <w:bCs/>
                <w:sz w:val="18"/>
                <w:szCs w:val="18"/>
              </w:rPr>
            </w:r>
          </w:p>
        </w:tc>
      </w:tr>
    </w:tbl>
    <w:p>
      <w:pPr>
        <w:contextualSpacing/>
        <w:ind w:left="720" w:firstLine="567"/>
        <w:spacing w:after="0" w:line="240" w:lineRule="auto"/>
        <w:rPr>
          <w:rFonts w:ascii="Times New Roman" w:hAnsi="Times New Roman" w:eastAsiaTheme="minorHAnsi"/>
          <w:sz w:val="18"/>
          <w:szCs w:val="20"/>
        </w:rPr>
      </w:pPr>
      <w:r>
        <w:rPr>
          <w:rFonts w:ascii="Times New Roman" w:hAnsi="Times New Roman" w:eastAsiaTheme="minorHAnsi"/>
          <w:sz w:val="18"/>
          <w:szCs w:val="20"/>
        </w:rPr>
      </w:r>
      <w:r>
        <w:rPr>
          <w:rFonts w:ascii="Times New Roman" w:hAnsi="Times New Roman" w:eastAsiaTheme="minorHAnsi"/>
          <w:sz w:val="18"/>
          <w:szCs w:val="20"/>
        </w:rPr>
      </w:r>
      <w:r>
        <w:rPr>
          <w:rFonts w:ascii="Times New Roman" w:hAnsi="Times New Roman" w:eastAsiaTheme="minorHAnsi"/>
          <w:sz w:val="18"/>
          <w:szCs w:val="20"/>
        </w:rPr>
      </w:r>
    </w:p>
    <w:p>
      <w:pPr>
        <w:spacing w:after="0" w:line="240" w:lineRule="auto"/>
        <w:rPr>
          <w:rFonts w:ascii="Times New Roman" w:hAnsi="Times New Roman" w:eastAsiaTheme="minorHAnsi" w:cstheme="minorBidi"/>
          <w:sz w:val="18"/>
          <w:szCs w:val="20"/>
        </w:rPr>
      </w:pPr>
      <w:r>
        <w:rPr>
          <w:rFonts w:ascii="Times New Roman" w:hAnsi="Times New Roman" w:eastAsiaTheme="minorHAnsi" w:cstheme="minorBidi"/>
          <w:sz w:val="18"/>
          <w:szCs w:val="20"/>
        </w:rPr>
        <w:t xml:space="preserve">* - Подкритерии оценки выбираются в соответствии с требованиями Документации по предмету закупки.</w:t>
      </w:r>
      <w:r>
        <w:rPr>
          <w:rFonts w:ascii="Times New Roman" w:hAnsi="Times New Roman" w:eastAsiaTheme="minorHAnsi" w:cstheme="minorBidi"/>
          <w:sz w:val="18"/>
          <w:szCs w:val="20"/>
        </w:rPr>
      </w:r>
      <w:r>
        <w:rPr>
          <w:rFonts w:ascii="Times New Roman" w:hAnsi="Times New Roman" w:eastAsiaTheme="minorHAnsi" w:cstheme="minorBidi"/>
          <w:sz w:val="18"/>
          <w:szCs w:val="20"/>
        </w:rPr>
      </w:r>
    </w:p>
    <w:p>
      <w:pPr>
        <w:spacing w:after="0" w:line="240" w:lineRule="auto"/>
        <w:rPr>
          <w:rFonts w:ascii="Times New Roman" w:hAnsi="Times New Roman" w:eastAsiaTheme="minorHAnsi" w:cstheme="minorBidi"/>
          <w:sz w:val="18"/>
          <w:szCs w:val="20"/>
        </w:rPr>
      </w:pPr>
      <w:r>
        <w:rPr>
          <w:rFonts w:ascii="Times New Roman" w:hAnsi="Times New Roman" w:eastAsiaTheme="minorHAnsi" w:cstheme="minorBidi"/>
          <w:sz w:val="18"/>
          <w:szCs w:val="20"/>
        </w:rPr>
        <w:t xml:space="preserve">** - Значимость (вес) определяется в зависимости от выбранных подкритериев оценки.</w:t>
      </w:r>
      <w:r>
        <w:rPr>
          <w:rFonts w:ascii="Times New Roman" w:hAnsi="Times New Roman" w:eastAsiaTheme="minorHAnsi" w:cstheme="minorBidi"/>
          <w:sz w:val="18"/>
          <w:szCs w:val="20"/>
        </w:rPr>
      </w:r>
      <w:r>
        <w:rPr>
          <w:rFonts w:ascii="Times New Roman" w:hAnsi="Times New Roman" w:eastAsiaTheme="minorHAnsi" w:cstheme="minorBidi"/>
          <w:sz w:val="18"/>
          <w:szCs w:val="20"/>
        </w:rPr>
      </w:r>
    </w:p>
    <w:p>
      <w:pPr>
        <w:jc w:val="center"/>
        <w:spacing w:after="0" w:line="240" w:lineRule="auto"/>
        <w:rPr>
          <w:rFonts w:ascii="Times New Roman" w:hAnsi="Times New Roman" w:eastAsiaTheme="minorHAnsi"/>
          <w:sz w:val="18"/>
          <w:szCs w:val="20"/>
        </w:rPr>
      </w:pPr>
      <w:r>
        <w:rPr>
          <w:rFonts w:ascii="Times New Roman" w:hAnsi="Times New Roman" w:eastAsiaTheme="minorHAnsi"/>
          <w:sz w:val="18"/>
          <w:szCs w:val="20"/>
        </w:rPr>
      </w:r>
      <w:r>
        <w:rPr>
          <w:rFonts w:ascii="Times New Roman" w:hAnsi="Times New Roman" w:eastAsiaTheme="minorHAnsi"/>
          <w:sz w:val="18"/>
          <w:szCs w:val="20"/>
        </w:rPr>
      </w:r>
      <w:r>
        <w:rPr>
          <w:rFonts w:ascii="Times New Roman" w:hAnsi="Times New Roman" w:eastAsiaTheme="minorHAnsi"/>
          <w:sz w:val="18"/>
          <w:szCs w:val="20"/>
        </w:rPr>
      </w:r>
    </w:p>
    <w:p>
      <w:pPr>
        <w:rPr>
          <w:rFonts w:ascii="Times New Roman" w:hAnsi="Times New Roman" w:eastAsiaTheme="minorHAnsi"/>
          <w:sz w:val="18"/>
          <w:szCs w:val="18"/>
        </w:rPr>
      </w:pPr>
      <w:r>
        <w:rPr>
          <w:rFonts w:ascii="Times New Roman" w:hAnsi="Times New Roman" w:eastAsiaTheme="minorHAnsi"/>
          <w:sz w:val="18"/>
          <w:szCs w:val="20"/>
        </w:rPr>
        <w:br w:type="page" w:clear="all"/>
      </w:r>
      <w:r>
        <w:rPr>
          <w:rFonts w:ascii="Times New Roman" w:hAnsi="Times New Roman" w:eastAsiaTheme="minorHAnsi"/>
          <w:sz w:val="18"/>
          <w:szCs w:val="18"/>
        </w:rPr>
      </w:r>
      <w:r>
        <w:rPr>
          <w:rFonts w:ascii="Times New Roman" w:hAnsi="Times New Roman" w:eastAsiaTheme="minorHAnsi"/>
          <w:sz w:val="18"/>
          <w:szCs w:val="18"/>
        </w:rPr>
      </w:r>
    </w:p>
    <w:p>
      <w:pPr>
        <w:ind w:left="13608"/>
        <w:spacing w:after="0" w:line="240" w:lineRule="auto"/>
        <w:rPr>
          <w:rFonts w:ascii="Times New Roman" w:hAnsi="Times New Roman" w:eastAsiaTheme="minorHAnsi"/>
          <w:sz w:val="18"/>
          <w:szCs w:val="20"/>
        </w:rPr>
      </w:pPr>
      <w:r>
        <w:rPr>
          <w:rFonts w:ascii="Times New Roman" w:hAnsi="Times New Roman" w:eastAsiaTheme="minorHAnsi"/>
          <w:sz w:val="18"/>
          <w:szCs w:val="20"/>
        </w:rPr>
        <w:t xml:space="preserve">Приложение 1 </w:t>
      </w:r>
      <w:r>
        <w:rPr>
          <w:rFonts w:ascii="Times New Roman" w:hAnsi="Times New Roman" w:eastAsiaTheme="minorHAnsi"/>
          <w:sz w:val="18"/>
          <w:szCs w:val="20"/>
        </w:rPr>
      </w:r>
      <w:r>
        <w:rPr>
          <w:rFonts w:ascii="Times New Roman" w:hAnsi="Times New Roman" w:eastAsiaTheme="minorHAnsi"/>
          <w:sz w:val="18"/>
          <w:szCs w:val="20"/>
        </w:rPr>
      </w:r>
    </w:p>
    <w:p>
      <w:pPr>
        <w:ind w:left="13608"/>
        <w:spacing w:after="0" w:line="240" w:lineRule="auto"/>
        <w:rPr>
          <w:rFonts w:ascii="Times New Roman" w:hAnsi="Times New Roman" w:eastAsiaTheme="minorHAnsi"/>
          <w:sz w:val="18"/>
          <w:szCs w:val="20"/>
        </w:rPr>
      </w:pPr>
      <w:r>
        <w:rPr>
          <w:rFonts w:ascii="Times New Roman" w:hAnsi="Times New Roman" w:eastAsiaTheme="minorHAnsi"/>
          <w:sz w:val="18"/>
          <w:szCs w:val="20"/>
        </w:rPr>
      </w:r>
      <w:r>
        <w:rPr>
          <w:rFonts w:ascii="Times New Roman" w:hAnsi="Times New Roman" w:eastAsiaTheme="minorHAnsi"/>
          <w:sz w:val="18"/>
          <w:szCs w:val="20"/>
        </w:rPr>
      </w:r>
      <w:r>
        <w:rPr>
          <w:rFonts w:ascii="Times New Roman" w:hAnsi="Times New Roman" w:eastAsiaTheme="minorHAnsi"/>
          <w:sz w:val="18"/>
          <w:szCs w:val="20"/>
        </w:rPr>
      </w:r>
    </w:p>
    <w:p>
      <w:pPr>
        <w:jc w:val="center"/>
        <w:spacing w:after="0" w:line="240" w:lineRule="auto"/>
        <w:tabs>
          <w:tab w:val="left" w:pos="9435" w:leader="none"/>
        </w:tabs>
        <w:rPr>
          <w:rFonts w:ascii="Times New Roman" w:hAnsi="Times New Roman"/>
          <w:b/>
          <w:sz w:val="18"/>
        </w:rPr>
      </w:pPr>
      <w:r>
        <w:rPr>
          <w:rFonts w:ascii="Times New Roman" w:hAnsi="Times New Roman" w:eastAsiaTheme="minorHAnsi"/>
          <w:b/>
        </w:rPr>
        <w:t xml:space="preserve">Показатели значений выручки, </w:t>
      </w:r>
      <w:r>
        <w:rPr>
          <w:rFonts w:ascii="Times New Roman" w:hAnsi="Times New Roman" w:eastAsiaTheme="minorHAnsi"/>
          <w:b/>
          <w:sz w:val="24"/>
          <w:szCs w:val="24"/>
        </w:rPr>
        <w:t xml:space="preserve">краткосрочных обязательств и основных средств</w:t>
      </w:r>
      <w:r/>
      <w:r>
        <w:rPr>
          <w:rFonts w:ascii="Times New Roman" w:hAnsi="Times New Roman"/>
          <w:b/>
          <w:sz w:val="18"/>
        </w:rPr>
      </w:r>
    </w:p>
    <w:p>
      <w:pPr>
        <w:jc w:val="center"/>
        <w:spacing w:after="0" w:line="240" w:lineRule="auto"/>
        <w:rPr>
          <w:rFonts w:ascii="Times New Roman" w:hAnsi="Times New Roman"/>
          <w:b/>
        </w:rPr>
      </w:pPr>
      <w:r>
        <w:rPr>
          <w:rFonts w:ascii="Times New Roman" w:hAnsi="Times New Roman" w:eastAsiaTheme="minorHAnsi"/>
          <w:b/>
        </w:rPr>
        <w:t xml:space="preserve">и подтверждающие их документы</w:t>
      </w:r>
      <w:r>
        <w:rPr>
          <w:rFonts w:ascii="Times New Roman" w:hAnsi="Times New Roman" w:eastAsiaTheme="minorHAnsi"/>
        </w:rPr>
        <w:t xml:space="preserve"> </w:t>
      </w:r>
      <w:r>
        <w:rPr>
          <w:rFonts w:ascii="Times New Roman" w:hAnsi="Times New Roman"/>
          <w:b/>
        </w:rPr>
        <w:t xml:space="preserve">для целей расчета Методики</w:t>
      </w:r>
      <w:r>
        <w:rPr>
          <w:rStyle w:val="1354"/>
          <w:rFonts w:ascii="Times New Roman" w:hAnsi="Times New Roman"/>
          <w:b/>
        </w:rPr>
        <w:footnoteReference w:id="6"/>
      </w:r>
      <w:r/>
      <w:r>
        <w:rPr>
          <w:rFonts w:ascii="Times New Roman" w:hAnsi="Times New Roman"/>
          <w:b/>
        </w:rPr>
      </w:r>
    </w:p>
    <w:p>
      <w:pPr>
        <w:ind w:left="-284"/>
        <w:jc w:val="both"/>
        <w:spacing w:after="0" w:line="240" w:lineRule="auto"/>
        <w:rPr>
          <w:rFonts w:ascii="Times New Roman" w:hAnsi="Times New Roman"/>
          <w:b/>
          <w:sz w:val="18"/>
          <w:szCs w:val="20"/>
        </w:rPr>
      </w:pPr>
      <w:r>
        <w:rPr>
          <w:rFonts w:ascii="Times New Roman" w:hAnsi="Times New Roman"/>
          <w:b/>
          <w:sz w:val="18"/>
          <w:szCs w:val="20"/>
        </w:rPr>
      </w:r>
      <w:r/>
      <w:r>
        <w:rPr>
          <w:rFonts w:ascii="Times New Roman" w:hAnsi="Times New Roman"/>
          <w:b/>
          <w:sz w:val="18"/>
          <w:szCs w:val="20"/>
        </w:rPr>
      </w:r>
    </w:p>
    <w:tbl>
      <w:tblPr>
        <w:tblStyle w:val="1363"/>
        <w:tblW w:w="15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62"/>
        <w:gridCol w:w="2127"/>
        <w:gridCol w:w="3827"/>
        <w:gridCol w:w="4394"/>
        <w:gridCol w:w="4394"/>
      </w:tblGrid>
      <w:tr>
        <w:tblPrEx/>
        <w:trPr>
          <w:cantSplit/>
        </w:trPr>
        <w:tc>
          <w:tcPr>
            <w:shd w:val="clear" w:color="ffffff" w:fill="ffffff"/>
            <w:tcMar>
              <w:left w:w="108" w:type="dxa"/>
              <w:top w:w="0" w:type="dxa"/>
              <w:right w:w="108" w:type="dxa"/>
              <w:bottom w:w="0" w:type="dxa"/>
            </w:tcMar>
            <w:tcW w:w="562" w:type="dxa"/>
            <w:vAlign w:val="center"/>
            <w:textDirection w:val="lrTb"/>
            <w:noWrap w:val="false"/>
          </w:tcPr>
          <w:p>
            <w:pPr>
              <w:jc w:val="both"/>
              <w:spacing w:after="0" w:line="240" w:lineRule="auto"/>
              <w:rPr>
                <w:rFonts w:ascii="Times New Roman" w:hAnsi="Times New Roman" w:eastAsia="Times New Roman"/>
                <w:b/>
                <w:sz w:val="16"/>
                <w:szCs w:val="16"/>
              </w:rPr>
            </w:pPr>
            <w:r>
              <w:rPr>
                <w:rFonts w:ascii="Times New Roman" w:hAnsi="Times New Roman" w:eastAsia="Times New Roman"/>
                <w:b/>
                <w:sz w:val="16"/>
                <w:szCs w:val="16"/>
              </w:rPr>
              <w:t xml:space="preserve">№ п/п</w:t>
            </w:r>
            <w:r>
              <w:rPr>
                <w:rFonts w:ascii="Times New Roman" w:hAnsi="Times New Roman" w:eastAsia="Times New Roman"/>
                <w:b/>
                <w:sz w:val="16"/>
                <w:szCs w:val="16"/>
              </w:rPr>
            </w:r>
            <w:r>
              <w:rPr>
                <w:rFonts w:ascii="Times New Roman" w:hAnsi="Times New Roman" w:eastAsia="Times New Roman"/>
                <w:b/>
                <w:sz w:val="16"/>
                <w:szCs w:val="16"/>
              </w:rPr>
            </w:r>
          </w:p>
        </w:tc>
        <w:tc>
          <w:tcPr>
            <w:shd w:val="clear" w:color="ffffff" w:fill="ffffff"/>
            <w:tcMar>
              <w:left w:w="108" w:type="dxa"/>
              <w:top w:w="0" w:type="dxa"/>
              <w:right w:w="108" w:type="dxa"/>
              <w:bottom w:w="0" w:type="dxa"/>
            </w:tcMar>
            <w:tcW w:w="2127" w:type="dxa"/>
            <w:vAlign w:val="center"/>
            <w:textDirection w:val="lrTb"/>
            <w:noWrap w:val="false"/>
          </w:tcPr>
          <w:p>
            <w:pPr>
              <w:jc w:val="center"/>
              <w:spacing w:after="0" w:line="240" w:lineRule="auto"/>
              <w:rPr>
                <w:rFonts w:ascii="Times New Roman" w:hAnsi="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t xml:space="preserve">Организационно-правовая форма</w:t>
            </w:r>
            <w:r>
              <w:rPr>
                <w:rFonts w:ascii="Times New Roman" w:hAnsi="Times New Roman" w:eastAsia="Times New Roman"/>
                <w:b/>
                <w:sz w:val="16"/>
                <w:szCs w:val="16"/>
                <w:lang w:val="en-US"/>
              </w:rPr>
              <w:t xml:space="preserve"> </w:t>
            </w:r>
            <w:r>
              <w:rPr>
                <w:rFonts w:ascii="Times New Roman" w:hAnsi="Times New Roman" w:eastAsia="Times New Roman"/>
                <w:b/>
                <w:sz w:val="16"/>
                <w:szCs w:val="16"/>
              </w:rPr>
              <w:t xml:space="preserve">Участника</w:t>
            </w:r>
            <w:r>
              <w:rPr>
                <w:rFonts w:ascii="Times New Roman" w:hAnsi="Times New Roman"/>
                <w:b/>
                <w:sz w:val="16"/>
                <w:szCs w:val="16"/>
              </w:rPr>
            </w:r>
            <w:r>
              <w:rPr>
                <w:rFonts w:ascii="Times New Roman" w:hAnsi="Times New Roman"/>
                <w:b/>
                <w:sz w:val="16"/>
                <w:szCs w:val="16"/>
              </w:rPr>
            </w:r>
          </w:p>
        </w:tc>
        <w:tc>
          <w:tcPr>
            <w:shd w:val="clear" w:color="ffffff" w:fill="ffffff"/>
            <w:tcW w:w="3827" w:type="dxa"/>
            <w:vAlign w:val="center"/>
            <w:textDirection w:val="lrTb"/>
            <w:noWrap w:val="false"/>
          </w:tcPr>
          <w:p>
            <w:pPr>
              <w:jc w:val="center"/>
              <w:spacing w:after="0" w:line="240" w:lineRule="auto"/>
              <w:rPr>
                <w:rFonts w:ascii="Times New Roman" w:hAnsi="Times New Roman" w:eastAsia="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t xml:space="preserve">ВЫРУЧКА</w:t>
            </w:r>
            <w:r>
              <w:rPr>
                <w:rFonts w:ascii="Times New Roman" w:hAnsi="Times New Roman" w:eastAsia="Times New Roman"/>
                <w:b/>
                <w:sz w:val="16"/>
                <w:szCs w:val="16"/>
              </w:rPr>
            </w:r>
            <w:r>
              <w:rPr>
                <w:rFonts w:ascii="Times New Roman" w:hAnsi="Times New Roman" w:eastAsia="Times New Roman"/>
                <w:b/>
                <w:sz w:val="16"/>
                <w:szCs w:val="16"/>
              </w:rPr>
            </w:r>
          </w:p>
          <w:p>
            <w:pPr>
              <w:jc w:val="both"/>
              <w:spacing w:after="0" w:line="240" w:lineRule="auto"/>
              <w:rPr>
                <w:rFonts w:ascii="Times New Roman" w:hAnsi="Times New Roman" w:eastAsia="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r>
            <w:r>
              <w:rPr>
                <w:rFonts w:ascii="Times New Roman" w:hAnsi="Times New Roman" w:eastAsia="Times New Roman"/>
                <w:b/>
                <w:sz w:val="16"/>
                <w:szCs w:val="16"/>
              </w:rPr>
            </w:r>
            <w:r>
              <w:rPr>
                <w:rFonts w:ascii="Times New Roman" w:hAnsi="Times New Roman" w:eastAsia="Times New Roman"/>
                <w:b/>
                <w:sz w:val="16"/>
                <w:szCs w:val="16"/>
              </w:rPr>
            </w:r>
          </w:p>
          <w:p>
            <w:pPr>
              <w:jc w:val="center"/>
              <w:spacing w:after="0" w:line="240" w:lineRule="auto"/>
              <w:rPr>
                <w:rFonts w:ascii="Times New Roman" w:hAnsi="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t xml:space="preserve">Коды строки отчётности для показателя «</w:t>
            </w:r>
            <w:r>
              <w:rPr>
                <w:rFonts w:ascii="Times New Roman" w:hAnsi="Times New Roman" w:eastAsia="Times New Roman"/>
                <w:b/>
                <w:sz w:val="16"/>
                <w:szCs w:val="16"/>
                <w:lang w:val="en-US"/>
              </w:rPr>
              <w:t xml:space="preserve">V</w:t>
            </w:r>
            <w:r>
              <w:rPr>
                <w:rFonts w:ascii="Times New Roman" w:hAnsi="Times New Roman" w:eastAsia="Times New Roman"/>
                <w:b/>
                <w:sz w:val="16"/>
                <w:szCs w:val="16"/>
              </w:rPr>
              <w:t xml:space="preserve">»</w:t>
            </w:r>
            <w:r>
              <w:rPr>
                <w:rFonts w:ascii="Times New Roman" w:hAnsi="Times New Roman"/>
                <w:b/>
                <w:sz w:val="16"/>
                <w:szCs w:val="16"/>
              </w:rPr>
            </w:r>
            <w:r>
              <w:rPr>
                <w:rFonts w:ascii="Times New Roman" w:hAnsi="Times New Roman"/>
                <w:b/>
                <w:sz w:val="16"/>
                <w:szCs w:val="16"/>
              </w:rPr>
            </w:r>
          </w:p>
        </w:tc>
        <w:tc>
          <w:tcPr>
            <w:tcW w:w="4394" w:type="dxa"/>
            <w:textDirection w:val="lrTb"/>
            <w:noWrap w:val="false"/>
          </w:tcPr>
          <w:p>
            <w:pPr>
              <w:jc w:val="center"/>
              <w:spacing w:after="0" w:line="240" w:lineRule="auto"/>
              <w:rPr>
                <w:rFonts w:ascii="Times New Roman" w:hAnsi="Times New Roman" w:eastAsia="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t xml:space="preserve">КРАТКОСРОЧНЫЕ ОБЯЗАТЕЛЬСТВА</w:t>
            </w:r>
            <w:r>
              <w:rPr>
                <w:rFonts w:ascii="Times New Roman" w:hAnsi="Times New Roman" w:eastAsia="Times New Roman"/>
                <w:b/>
                <w:sz w:val="16"/>
                <w:szCs w:val="16"/>
              </w:rPr>
            </w:r>
            <w:r>
              <w:rPr>
                <w:rFonts w:ascii="Times New Roman" w:hAnsi="Times New Roman" w:eastAsia="Times New Roman"/>
                <w:b/>
                <w:sz w:val="16"/>
                <w:szCs w:val="16"/>
              </w:rPr>
            </w:r>
          </w:p>
          <w:p>
            <w:pPr>
              <w:jc w:val="center"/>
              <w:spacing w:after="0" w:line="240" w:lineRule="auto"/>
              <w:rPr>
                <w:rFonts w:ascii="Times New Roman" w:hAnsi="Times New Roman" w:eastAsia="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r>
            <w:r>
              <w:rPr>
                <w:rFonts w:ascii="Times New Roman" w:hAnsi="Times New Roman" w:eastAsia="Times New Roman"/>
                <w:b/>
                <w:sz w:val="16"/>
                <w:szCs w:val="16"/>
              </w:rPr>
            </w:r>
            <w:r>
              <w:rPr>
                <w:rFonts w:ascii="Times New Roman" w:hAnsi="Times New Roman" w:eastAsia="Times New Roman"/>
                <w:b/>
                <w:sz w:val="16"/>
                <w:szCs w:val="16"/>
              </w:rPr>
            </w:r>
          </w:p>
          <w:p>
            <w:pPr>
              <w:jc w:val="center"/>
              <w:spacing w:after="0" w:line="240" w:lineRule="auto"/>
              <w:rPr>
                <w:rFonts w:ascii="Times New Roman" w:hAnsi="Times New Roman" w:eastAsia="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t xml:space="preserve">Коды строки отчётности</w:t>
            </w:r>
            <w:r>
              <w:rPr>
                <w:rFonts w:ascii="Times New Roman" w:hAnsi="Times New Roman" w:eastAsia="Times New Roman"/>
                <w:b/>
                <w:sz w:val="16"/>
                <w:szCs w:val="16"/>
              </w:rPr>
            </w:r>
            <w:r>
              <w:rPr>
                <w:rFonts w:ascii="Times New Roman" w:hAnsi="Times New Roman" w:eastAsia="Times New Roman"/>
                <w:b/>
                <w:sz w:val="16"/>
                <w:szCs w:val="16"/>
              </w:rPr>
            </w:r>
          </w:p>
          <w:p>
            <w:pPr>
              <w:jc w:val="center"/>
              <w:spacing w:after="0" w:line="240" w:lineRule="auto"/>
              <w:rPr>
                <w:rFonts w:ascii="Times New Roman" w:hAnsi="Times New Roman" w:eastAsia="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t xml:space="preserve">для показателя «КО»</w:t>
            </w:r>
            <w:r>
              <w:rPr>
                <w:rFonts w:ascii="Times New Roman" w:hAnsi="Times New Roman" w:eastAsia="Times New Roman"/>
                <w:b/>
                <w:sz w:val="16"/>
                <w:szCs w:val="16"/>
              </w:rPr>
            </w:r>
            <w:r>
              <w:rPr>
                <w:rFonts w:ascii="Times New Roman" w:hAnsi="Times New Roman" w:eastAsia="Times New Roman"/>
                <w:b/>
                <w:sz w:val="16"/>
                <w:szCs w:val="16"/>
              </w:rPr>
            </w:r>
          </w:p>
        </w:tc>
        <w:tc>
          <w:tcPr>
            <w:tcW w:w="4394" w:type="dxa"/>
            <w:textDirection w:val="lrTb"/>
            <w:noWrap w:val="false"/>
          </w:tcPr>
          <w:p>
            <w:pPr>
              <w:jc w:val="center"/>
              <w:spacing w:after="0" w:line="240" w:lineRule="auto"/>
              <w:rPr>
                <w:rFonts w:ascii="Times New Roman" w:hAnsi="Times New Roman" w:eastAsia="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t xml:space="preserve">ОСНОВНЫЕ СРЕДСТВА</w:t>
            </w:r>
            <w:r>
              <w:rPr>
                <w:rFonts w:ascii="Times New Roman" w:hAnsi="Times New Roman" w:eastAsia="Times New Roman"/>
                <w:b/>
                <w:sz w:val="16"/>
                <w:szCs w:val="16"/>
              </w:rPr>
            </w:r>
            <w:r>
              <w:rPr>
                <w:rFonts w:ascii="Times New Roman" w:hAnsi="Times New Roman" w:eastAsia="Times New Roman"/>
                <w:b/>
                <w:sz w:val="16"/>
                <w:szCs w:val="16"/>
              </w:rPr>
            </w:r>
          </w:p>
          <w:p>
            <w:pPr>
              <w:jc w:val="center"/>
              <w:spacing w:after="0" w:line="240" w:lineRule="auto"/>
              <w:rPr>
                <w:rFonts w:ascii="Times New Roman" w:hAnsi="Times New Roman" w:eastAsia="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r>
            <w:r>
              <w:rPr>
                <w:rFonts w:ascii="Times New Roman" w:hAnsi="Times New Roman" w:eastAsia="Times New Roman"/>
                <w:b/>
                <w:sz w:val="16"/>
                <w:szCs w:val="16"/>
              </w:rPr>
            </w:r>
            <w:r>
              <w:rPr>
                <w:rFonts w:ascii="Times New Roman" w:hAnsi="Times New Roman" w:eastAsia="Times New Roman"/>
                <w:b/>
                <w:sz w:val="16"/>
                <w:szCs w:val="16"/>
              </w:rPr>
            </w:r>
          </w:p>
          <w:p>
            <w:pPr>
              <w:jc w:val="center"/>
              <w:spacing w:after="0" w:line="240" w:lineRule="auto"/>
              <w:rPr>
                <w:rFonts w:ascii="Times New Roman" w:hAnsi="Times New Roman" w:eastAsia="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t xml:space="preserve">Коды строки отчётности</w:t>
            </w:r>
            <w:r>
              <w:rPr>
                <w:rFonts w:ascii="Times New Roman" w:hAnsi="Times New Roman" w:eastAsia="Times New Roman"/>
                <w:b/>
                <w:sz w:val="16"/>
                <w:szCs w:val="16"/>
              </w:rPr>
            </w:r>
            <w:r>
              <w:rPr>
                <w:rFonts w:ascii="Times New Roman" w:hAnsi="Times New Roman" w:eastAsia="Times New Roman"/>
                <w:b/>
                <w:sz w:val="16"/>
                <w:szCs w:val="16"/>
              </w:rPr>
            </w:r>
          </w:p>
          <w:p>
            <w:pPr>
              <w:jc w:val="center"/>
              <w:spacing w:after="0" w:line="240" w:lineRule="auto"/>
              <w:rPr>
                <w:rFonts w:ascii="Times New Roman" w:hAnsi="Times New Roman" w:eastAsia="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b/>
                <w:sz w:val="16"/>
                <w:szCs w:val="16"/>
              </w:rPr>
              <w:t xml:space="preserve">для показателя «ОС»</w:t>
            </w:r>
            <w:r>
              <w:rPr>
                <w:rFonts w:ascii="Times New Roman" w:hAnsi="Times New Roman" w:eastAsia="Times New Roman"/>
                <w:b/>
                <w:sz w:val="16"/>
                <w:szCs w:val="16"/>
              </w:rPr>
            </w:r>
            <w:r>
              <w:rPr>
                <w:rFonts w:ascii="Times New Roman" w:hAnsi="Times New Roman" w:eastAsia="Times New Roman"/>
                <w:b/>
                <w:sz w:val="16"/>
                <w:szCs w:val="16"/>
              </w:rPr>
            </w:r>
          </w:p>
        </w:tc>
      </w:tr>
      <w:tr>
        <w:tblPrEx/>
        <w:trPr>
          <w:cantSplit/>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1</w:t>
            </w:r>
            <w:r>
              <w:rPr>
                <w:rFonts w:ascii="Times New Roman" w:hAnsi="Times New Roman" w:eastAsia="Times New Roman"/>
                <w:sz w:val="16"/>
                <w:szCs w:val="16"/>
              </w:rPr>
            </w:r>
            <w:r>
              <w:rPr>
                <w:rFonts w:ascii="Times New Roman" w:hAnsi="Times New Roman" w:eastAsia="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sz w:val="16"/>
                <w:szCs w:val="16"/>
              </w:rPr>
            </w:pPr>
            <w:r>
              <w:rPr>
                <w:rFonts w:ascii="Times New Roman" w:hAnsi="Times New Roman" w:eastAsia="Times New Roman"/>
                <w:sz w:val="16"/>
                <w:szCs w:val="16"/>
              </w:rPr>
              <w:t xml:space="preserve">Бюджетные организации и учреждения</w:t>
            </w:r>
            <w:r>
              <w:rPr>
                <w:rFonts w:ascii="Times New Roman" w:hAnsi="Times New Roman"/>
                <w:sz w:val="16"/>
                <w:szCs w:val="16"/>
              </w:rPr>
            </w:r>
            <w:r>
              <w:rPr>
                <w:rFonts w:ascii="Times New Roman" w:hAnsi="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ОКУД 0503721 (отчет </w:t>
            </w:r>
            <w:r>
              <w:rPr>
                <w:rFonts w:ascii="Times New Roman" w:hAnsi="Times New Roman" w:eastAsia="Times New Roman"/>
                <w:sz w:val="16"/>
                <w:szCs w:val="16"/>
              </w:rPr>
              <w:t xml:space="preserve">фин.рез</w:t>
            </w:r>
            <w:r>
              <w:rPr>
                <w:rFonts w:ascii="Times New Roman" w:hAnsi="Times New Roman" w:eastAsia="Times New Roman"/>
                <w:sz w:val="16"/>
                <w:szCs w:val="16"/>
              </w:rPr>
              <w:t xml:space="preserve">.) и ОКУД 0503723 (отчет о движении денежных средств)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lang w:val="en-US"/>
              </w:rPr>
              <w:t xml:space="preserve">V</w:t>
            </w:r>
            <w:r>
              <w:rPr>
                <w:rFonts w:ascii="Times New Roman" w:hAnsi="Times New Roman" w:eastAsia="Times New Roman"/>
                <w:sz w:val="16"/>
                <w:szCs w:val="16"/>
              </w:rPr>
              <w:t xml:space="preserve"> = стр. 040 (ОКУД 0503721) за вычетом суммы доходов от компенсации (возмещения) затрат, отражаемые по КОСГУ </w:t>
            </w:r>
            <w:hyperlink r:id="rId11" w:tooltip="Приказ Минфина России от 01.07.2013 N 65н (ред. от 27.12.2017) &quot;Об утверждении Указаний о порядке применения бюджетной классификации Российской Федерации&quot; (с изм. и доп., вступ. в силу с 01.01.2018) ------------ Утратил силу или отменен {КонсультантПлюс}" w:history="1">
              <w:r>
                <w:rPr>
                  <w:rFonts w:ascii="Times New Roman" w:hAnsi="Times New Roman" w:eastAsia="Times New Roman"/>
                  <w:sz w:val="16"/>
                  <w:szCs w:val="16"/>
                </w:rPr>
                <w:t xml:space="preserve">134</w:t>
              </w:r>
            </w:hyperlink>
            <w:r>
              <w:rPr>
                <w:rFonts w:ascii="Times New Roman" w:hAnsi="Times New Roman" w:eastAsia="Times New Roman"/>
                <w:sz w:val="16"/>
                <w:szCs w:val="16"/>
              </w:rPr>
              <w:t xml:space="preserve"> «Доходы от компенсации затрат» (ОКУД 0503723)</w:t>
            </w:r>
            <w:r>
              <w:rPr>
                <w:rFonts w:ascii="Times New Roman" w:hAnsi="Times New Roman" w:eastAsia="Times New Roman"/>
                <w:sz w:val="16"/>
                <w:szCs w:val="16"/>
                <w:vertAlign w:val="superscript"/>
              </w:rPr>
              <w:footnoteReference w:id="7"/>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либо ОКУД 0503121 (отчет о </w:t>
            </w:r>
            <w:r>
              <w:rPr>
                <w:rFonts w:ascii="Times New Roman" w:hAnsi="Times New Roman" w:eastAsia="Times New Roman"/>
                <w:sz w:val="16"/>
                <w:szCs w:val="16"/>
              </w:rPr>
              <w:t xml:space="preserve">фин.рез</w:t>
            </w:r>
            <w:r>
              <w:rPr>
                <w:rFonts w:ascii="Times New Roman" w:hAnsi="Times New Roman" w:eastAsia="Times New Roman"/>
                <w:sz w:val="16"/>
                <w:szCs w:val="16"/>
              </w:rPr>
              <w:t xml:space="preserve">.) и ОКУД 0503123 (отчет о движении денежных средств):</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lang w:val="en-US"/>
              </w:rPr>
              <w:t xml:space="preserve">V</w:t>
            </w:r>
            <w:r>
              <w:rPr>
                <w:rFonts w:ascii="Times New Roman" w:hAnsi="Times New Roman" w:eastAsia="Times New Roman"/>
                <w:sz w:val="16"/>
                <w:szCs w:val="16"/>
              </w:rPr>
              <w:t xml:space="preserve"> = стр. 040 (ОКУД 0503121) за вычетом суммы доходов от компенсации (возмещения) затрат, отражаемые по КОСГУ </w:t>
            </w:r>
            <w:hyperlink r:id="rId12" w:tooltip="Приказ Минфина России от 01.07.2013 N 65н (ред. от 27.12.2017) &quot;Об утверждении Указаний о порядке применения бюджетной классификации Российской Федерации&quot; (с изм. и доп., вступ. в силу с 01.01.2018) ------------ Утратил силу или отменен {КонсультантПлюс}" w:history="1">
              <w:r>
                <w:rPr>
                  <w:rFonts w:ascii="Times New Roman" w:hAnsi="Times New Roman" w:eastAsia="Times New Roman"/>
                  <w:sz w:val="16"/>
                  <w:szCs w:val="16"/>
                </w:rPr>
                <w:t xml:space="preserve">134</w:t>
              </w:r>
            </w:hyperlink>
            <w:r>
              <w:rPr>
                <w:rFonts w:ascii="Times New Roman" w:hAnsi="Times New Roman" w:eastAsia="Times New Roman"/>
                <w:sz w:val="16"/>
                <w:szCs w:val="16"/>
              </w:rPr>
              <w:t xml:space="preserve"> «Доходы от компенсации затрат» (ОКУД 0503123)</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ОКУД 0503730 (бух. баланс) либо ОКУД 0503130 (бух. баланс):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КО = стр.550 - стр.401 - стр.411- стр.471</w:t>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ОКУД 0503730 (бух. баланс) либо ОКУД 0503130 (бух. баланс)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ОС = стр. 030</w:t>
            </w:r>
            <w:r>
              <w:rPr>
                <w:rFonts w:ascii="Times New Roman" w:hAnsi="Times New Roman" w:eastAsia="Times New Roman"/>
                <w:sz w:val="16"/>
                <w:szCs w:val="16"/>
              </w:rPr>
            </w:r>
            <w:r>
              <w:rPr>
                <w:rFonts w:ascii="Times New Roman" w:hAnsi="Times New Roman" w:eastAsia="Times New Roman"/>
                <w:sz w:val="16"/>
                <w:szCs w:val="16"/>
              </w:rPr>
            </w:r>
          </w:p>
        </w:tc>
      </w:tr>
      <w:tr>
        <w:tblPrEx/>
        <w:trPr>
          <w:cantSplit/>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sz w:val="16"/>
                <w:szCs w:val="16"/>
              </w:rPr>
            </w:pPr>
            <w:r>
              <w:rPr>
                <w:rFonts w:ascii="Times New Roman" w:hAnsi="Times New Roman"/>
                <w:sz w:val="16"/>
                <w:szCs w:val="16"/>
              </w:rPr>
              <w:t xml:space="preserve">2</w:t>
            </w:r>
            <w:r>
              <w:rPr>
                <w:rFonts w:ascii="Times New Roman" w:hAnsi="Times New Roman"/>
                <w:sz w:val="16"/>
                <w:szCs w:val="16"/>
              </w:rPr>
            </w:r>
            <w:r>
              <w:rPr>
                <w:rFonts w:ascii="Times New Roman" w:hAnsi="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sz w:val="16"/>
                <w:szCs w:val="16"/>
              </w:rPr>
            </w:pPr>
            <w:r>
              <w:rPr>
                <w:rFonts w:ascii="Times New Roman" w:hAnsi="Times New Roman" w:eastAsia="Times New Roman"/>
                <w:sz w:val="16"/>
                <w:szCs w:val="16"/>
              </w:rPr>
              <w:t xml:space="preserve">Организации, кроме кредитных организаций и юридических лиц, указанных в пункте 1 настоящей таблицы</w:t>
            </w:r>
            <w:r>
              <w:rPr>
                <w:rFonts w:ascii="Times New Roman" w:hAnsi="Times New Roman"/>
                <w:sz w:val="16"/>
                <w:szCs w:val="16"/>
              </w:rPr>
            </w:r>
            <w:r>
              <w:rPr>
                <w:rFonts w:ascii="Times New Roman" w:hAnsi="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ОКУД 0710002 (отчет о </w:t>
            </w:r>
            <w:r>
              <w:rPr>
                <w:rFonts w:ascii="Times New Roman" w:hAnsi="Times New Roman" w:eastAsia="Times New Roman"/>
                <w:sz w:val="16"/>
                <w:szCs w:val="16"/>
              </w:rPr>
              <w:t xml:space="preserve">фин.рез</w:t>
            </w:r>
            <w:r>
              <w:rPr>
                <w:rFonts w:ascii="Times New Roman" w:hAnsi="Times New Roman" w:eastAsia="Times New Roman"/>
                <w:sz w:val="16"/>
                <w:szCs w:val="16"/>
              </w:rPr>
              <w:t xml:space="preserve">.) либо ОКУД 0710002 (упрощенный отчет о </w:t>
            </w:r>
            <w:r>
              <w:rPr>
                <w:rFonts w:ascii="Times New Roman" w:hAnsi="Times New Roman" w:eastAsia="Times New Roman"/>
                <w:sz w:val="16"/>
                <w:szCs w:val="16"/>
              </w:rPr>
              <w:t xml:space="preserve">фин.рез</w:t>
            </w:r>
            <w:r>
              <w:rPr>
                <w:rFonts w:ascii="Times New Roman" w:hAnsi="Times New Roman" w:eastAsia="Times New Roman"/>
                <w:sz w:val="16"/>
                <w:szCs w:val="16"/>
              </w:rPr>
              <w:t xml:space="preserve">.)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sz w:val="16"/>
                <w:szCs w:val="16"/>
              </w:rPr>
              <w:outlineLvl w:val="0"/>
            </w:pPr>
            <w:r>
              <w:rPr>
                <w:rFonts w:ascii="Times New Roman" w:hAnsi="Times New Roman"/>
                <w:sz w:val="16"/>
                <w:szCs w:val="16"/>
              </w:rPr>
              <w:t xml:space="preserve">начиная с отчетности за 2025 год (согласно приказу Минфина России от 04.10.2023 № 157н) </w:t>
            </w:r>
            <w:r>
              <w:rPr>
                <w:rFonts w:ascii="Times New Roman" w:hAnsi="Times New Roman" w:eastAsia="Times New Roman"/>
                <w:sz w:val="16"/>
                <w:szCs w:val="16"/>
                <w:lang w:val="en-US"/>
              </w:rPr>
              <w:t xml:space="preserve">V</w:t>
            </w:r>
            <w:r>
              <w:rPr>
                <w:rFonts w:ascii="Times New Roman" w:hAnsi="Times New Roman"/>
                <w:sz w:val="16"/>
                <w:szCs w:val="16"/>
              </w:rPr>
              <w:t xml:space="preserve"> определяется по:</w:t>
            </w:r>
            <w:r>
              <w:rPr>
                <w:rFonts w:ascii="Times New Roman" w:hAnsi="Times New Roman"/>
                <w:sz w:val="16"/>
                <w:szCs w:val="16"/>
              </w:rPr>
            </w:r>
            <w:r>
              <w:rPr>
                <w:rFonts w:ascii="Times New Roman" w:hAnsi="Times New Roman"/>
                <w:sz w:val="16"/>
                <w:szCs w:val="16"/>
              </w:rPr>
            </w:r>
          </w:p>
          <w:p>
            <w:pPr>
              <w:jc w:val="both"/>
              <w:spacing w:after="0" w:line="240" w:lineRule="auto"/>
              <w:rPr>
                <w:rFonts w:ascii="Times New Roman" w:hAnsi="Times New Roman"/>
                <w:sz w:val="16"/>
                <w:szCs w:val="16"/>
              </w:rPr>
              <w:outlineLvl w:val="0"/>
            </w:pPr>
            <w:r>
              <w:rPr>
                <w:rFonts w:ascii="Times New Roman" w:hAnsi="Times New Roman"/>
                <w:sz w:val="16"/>
                <w:szCs w:val="16"/>
              </w:rPr>
              <w:t xml:space="preserve">- отчету о финансовых результатах (форма 0710002, Приложение № 4 к ФСБУ 4/2023);</w:t>
            </w:r>
            <w:r>
              <w:rPr>
                <w:rFonts w:ascii="Times New Roman" w:hAnsi="Times New Roman"/>
                <w:sz w:val="16"/>
                <w:szCs w:val="16"/>
              </w:rPr>
            </w:r>
            <w:r>
              <w:rPr>
                <w:rFonts w:ascii="Times New Roman" w:hAnsi="Times New Roman"/>
                <w:sz w:val="16"/>
                <w:szCs w:val="16"/>
              </w:rPr>
            </w:r>
          </w:p>
          <w:p>
            <w:pPr>
              <w:jc w:val="both"/>
              <w:spacing w:after="0" w:line="240" w:lineRule="auto"/>
              <w:rPr>
                <w:rFonts w:ascii="Times New Roman" w:hAnsi="Times New Roman"/>
                <w:sz w:val="16"/>
                <w:szCs w:val="16"/>
              </w:rPr>
              <w:outlineLvl w:val="0"/>
            </w:pPr>
            <w:r>
              <w:rPr>
                <w:rFonts w:ascii="Times New Roman" w:hAnsi="Times New Roman"/>
                <w:sz w:val="16"/>
                <w:szCs w:val="16"/>
              </w:rPr>
              <w:t xml:space="preserve">- упрощенный отчет о финансовых результатах (Приложение № 9 к ФСБУ 4/2023). </w:t>
            </w:r>
            <w:r>
              <w:rPr>
                <w:rFonts w:ascii="Times New Roman" w:hAnsi="Times New Roman"/>
                <w:sz w:val="16"/>
                <w:szCs w:val="16"/>
              </w:rPr>
            </w:r>
            <w:r>
              <w:rPr>
                <w:rFonts w:ascii="Times New Roman" w:hAnsi="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lang w:val="en-US"/>
              </w:rPr>
              <w:t xml:space="preserve">V</w:t>
            </w:r>
            <w:r>
              <w:rPr>
                <w:rFonts w:ascii="Times New Roman" w:hAnsi="Times New Roman" w:eastAsia="Times New Roman"/>
                <w:sz w:val="16"/>
                <w:szCs w:val="16"/>
              </w:rPr>
              <w:t xml:space="preserve"> = стр. 2110</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ОКУД 0710001 (</w:t>
            </w:r>
            <w:r>
              <w:rPr>
                <w:rFonts w:ascii="Times New Roman" w:hAnsi="Times New Roman" w:eastAsia="Times New Roman"/>
                <w:sz w:val="16"/>
                <w:szCs w:val="16"/>
              </w:rPr>
              <w:t xml:space="preserve">бух.баланс</w:t>
            </w:r>
            <w:r>
              <w:rPr>
                <w:rFonts w:ascii="Times New Roman" w:hAnsi="Times New Roman" w:eastAsia="Times New Roman"/>
                <w:sz w:val="16"/>
                <w:szCs w:val="16"/>
              </w:rPr>
              <w:t xml:space="preserve">):</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КО = стр.1500</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либо</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ОКУД 0710001 (упрощенный бух. баланс)</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КО=стр. 1510 + стр. 1520 + стр.1530 (при наличии) + стр. 1550 (при наличии)</w:t>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ОКУД 0710001 (бух. баланс) либо ОКУД 0710001 (упрощенный бух. баланс)</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ОС = стр. 1150</w:t>
            </w:r>
            <w:r>
              <w:rPr>
                <w:rFonts w:ascii="Times New Roman" w:hAnsi="Times New Roman" w:eastAsia="Times New Roman"/>
                <w:sz w:val="16"/>
                <w:szCs w:val="16"/>
              </w:rPr>
            </w:r>
            <w:r>
              <w:rPr>
                <w:rFonts w:ascii="Times New Roman" w:hAnsi="Times New Roman" w:eastAsia="Times New Roman"/>
                <w:sz w:val="16"/>
                <w:szCs w:val="16"/>
              </w:rPr>
            </w:r>
          </w:p>
        </w:tc>
      </w:tr>
      <w:tr>
        <w:tblPrEx/>
        <w:trPr>
          <w:cantSplit/>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3</w:t>
            </w:r>
            <w:r>
              <w:rPr>
                <w:rFonts w:ascii="Times New Roman" w:hAnsi="Times New Roman" w:eastAsia="Times New Roman"/>
                <w:sz w:val="16"/>
                <w:szCs w:val="16"/>
              </w:rPr>
            </w:r>
            <w:r>
              <w:rPr>
                <w:rFonts w:ascii="Times New Roman" w:hAnsi="Times New Roman" w:eastAsia="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ИП (ОСНО):</w:t>
            </w:r>
            <w:r>
              <w:rPr>
                <w:rFonts w:ascii="Times New Roman" w:hAnsi="Times New Roman"/>
                <w:sz w:val="16"/>
                <w:szCs w:val="16"/>
              </w:rPr>
            </w:r>
            <w:r>
              <w:rPr>
                <w:rFonts w:ascii="Times New Roman" w:hAnsi="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КНД 1151020 (декларация):</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lang w:val="en-US"/>
              </w:rPr>
              <w:t xml:space="preserve">V</w:t>
            </w:r>
            <w:r>
              <w:rPr>
                <w:rFonts w:ascii="Times New Roman" w:hAnsi="Times New Roman" w:eastAsia="Times New Roman"/>
                <w:sz w:val="16"/>
                <w:szCs w:val="16"/>
              </w:rPr>
              <w:t xml:space="preserve"> = стр. 0</w:t>
            </w:r>
            <w:r>
              <w:rPr>
                <w:rFonts w:ascii="Times New Roman" w:hAnsi="Times New Roman" w:eastAsia="Times New Roman"/>
                <w:sz w:val="16"/>
                <w:szCs w:val="16"/>
              </w:rPr>
              <w:t xml:space="preserve">3</w:t>
            </w:r>
            <w:r>
              <w:rPr>
                <w:rFonts w:ascii="Times New Roman" w:hAnsi="Times New Roman" w:eastAsia="Times New Roman"/>
                <w:sz w:val="16"/>
                <w:szCs w:val="16"/>
              </w:rPr>
              <w:t xml:space="preserve">0 в</w:t>
            </w:r>
            <w:r>
              <w:rPr>
                <w:rFonts w:ascii="Times New Roman" w:hAnsi="Times New Roman" w:eastAsia="Times New Roman"/>
                <w:sz w:val="16"/>
                <w:szCs w:val="16"/>
              </w:rPr>
              <w:t xml:space="preserve"> приложении 3</w:t>
            </w:r>
            <w:r>
              <w:rPr>
                <w:rFonts w:ascii="Times New Roman" w:hAnsi="Times New Roman" w:eastAsia="Times New Roman"/>
                <w:sz w:val="16"/>
                <w:szCs w:val="16"/>
              </w:rPr>
              <w:t xml:space="preserve"> раздел</w:t>
            </w:r>
            <w:r>
              <w:rPr>
                <w:rFonts w:ascii="Times New Roman" w:hAnsi="Times New Roman" w:eastAsia="Times New Roman"/>
                <w:sz w:val="16"/>
                <w:szCs w:val="16"/>
              </w:rPr>
              <w:t xml:space="preserve">а</w:t>
            </w:r>
            <w:r>
              <w:rPr>
                <w:rFonts w:ascii="Times New Roman" w:hAnsi="Times New Roman" w:eastAsia="Times New Roman"/>
                <w:sz w:val="16"/>
                <w:szCs w:val="16"/>
              </w:rPr>
              <w:t xml:space="preserve"> 2 </w:t>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Кредитный отчет из бюро кредитных историй</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КО = совокупный размер непогашенных сумм задолженности по договорам займа (кредита) денежных средств, непосредственн</w:t>
            </w:r>
            <w:r>
              <w:rPr>
                <w:rFonts w:ascii="Times New Roman" w:hAnsi="Times New Roman" w:eastAsia="Times New Roman"/>
                <w:sz w:val="16"/>
                <w:szCs w:val="16"/>
              </w:rPr>
              <w:t xml:space="preserve">о связанных с процессом осуществления ИП предпринимательской деятельности, которые имелись по состоянию на 31 декабря последнего года, предшествующего году опубликования извещения о закупке, и должны быть погашены в течение года с момента их возникновения.</w:t>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Документ, отражающий учет основных средств в порядке, предусмотренном Приказом Минфина России № 86н, МНС России № БГ-3-04/430 от 13.08.2002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ОС = совокупная стоимость основных средств ИП (имущества), непосредственно используемых им в процессе осуществления предпринимательской деятельности.</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r>
      <w:tr>
        <w:tblPrEx/>
        <w:trPr>
          <w:cantSplit/>
          <w:trHeight w:val="276"/>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4</w:t>
            </w:r>
            <w:r>
              <w:rPr>
                <w:rFonts w:ascii="Times New Roman" w:hAnsi="Times New Roman" w:eastAsia="Times New Roman"/>
                <w:sz w:val="16"/>
                <w:szCs w:val="16"/>
              </w:rPr>
            </w:r>
            <w:r>
              <w:rPr>
                <w:rFonts w:ascii="Times New Roman" w:hAnsi="Times New Roman" w:eastAsia="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ИП (УСН):</w:t>
            </w:r>
            <w:r>
              <w:rPr>
                <w:rFonts w:ascii="Times New Roman" w:hAnsi="Times New Roman"/>
                <w:sz w:val="16"/>
                <w:szCs w:val="16"/>
              </w:rPr>
            </w:r>
            <w:r>
              <w:rPr>
                <w:rFonts w:ascii="Times New Roman" w:hAnsi="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КНД 1152017 (декларация)</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lang w:val="en-US"/>
              </w:rPr>
              <w:t xml:space="preserve">V</w:t>
            </w:r>
            <w:r>
              <w:rPr>
                <w:rFonts w:ascii="Times New Roman" w:hAnsi="Times New Roman" w:eastAsia="Times New Roman"/>
                <w:sz w:val="16"/>
                <w:szCs w:val="16"/>
              </w:rPr>
              <w:t xml:space="preserve"> = стр. 113 раздела 2.1.1 или стр. 213 раздела 2.2 (в зависимости от того, в какой из строк есть информация в наличии)</w:t>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Кредитный отчет из бюро кредитных историй</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КО = совокупный размер непогашенных сумм задолженности по договорам займа (кредита) денежных средств, непосредственно</w:t>
            </w:r>
            <w:r>
              <w:rPr>
                <w:rFonts w:ascii="Times New Roman" w:hAnsi="Times New Roman" w:eastAsia="Times New Roman"/>
                <w:sz w:val="16"/>
                <w:szCs w:val="16"/>
              </w:rPr>
              <w:t xml:space="preserve"> связанных с процессом осуществления ИП предпринимательской деятельности, которые имелись по состоянию на 31 декабря последнего года, предшествующего году опубликования извещения о закупке, и должны быть погашены в течение года с момента их возникновения.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 если объектом налогообложения являются «доходы минус расходы», то предоставляется документ, отражающий учет основных средств в порядке, предусмотренном Приказом Минфина России от 22.10.2012 № 135н.</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 если объектом налогообложения являются «доходы», то представляются: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tabs>
                <w:tab w:val="left" w:pos="176" w:leader="none"/>
              </w:tabs>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w:t>
            </w:r>
            <w:r>
              <w:rPr>
                <w:rFonts w:ascii="Times New Roman" w:hAnsi="Times New Roman" w:eastAsia="Times New Roman"/>
                <w:sz w:val="16"/>
                <w:szCs w:val="16"/>
              </w:rPr>
              <w:tab/>
              <w:t xml:space="preserve">в отношении недвижимого имущества предоставляется выписка из ЕГРН с указанием кадастровой стоимости по состоянию на 31 декабря последнего года, предшествующего году опубликования извещения о закупке;</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tabs>
                <w:tab w:val="left" w:pos="176" w:leader="none"/>
              </w:tabs>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w:t>
            </w:r>
            <w:r>
              <w:rPr>
                <w:rFonts w:ascii="Times New Roman" w:hAnsi="Times New Roman" w:eastAsia="Times New Roman"/>
                <w:sz w:val="16"/>
                <w:szCs w:val="16"/>
              </w:rPr>
              <w:tab/>
              <w:t xml:space="preserve">в отношении дв</w:t>
            </w:r>
            <w:r>
              <w:rPr>
                <w:rFonts w:ascii="Times New Roman" w:hAnsi="Times New Roman" w:eastAsia="Times New Roman"/>
                <w:sz w:val="16"/>
                <w:szCs w:val="16"/>
              </w:rPr>
              <w:t xml:space="preserve">ижимого имущества сроком полезного использования (эксплуатации) более 12 месяцев или более одного операционного цикла, если он длится более 12 месяцев предоставляются документы, подтверждающие право собственности на имущество (при наличии) и его стоимость.</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ОС = совокупная стоимость основных средств ИП (имущества), непосредственно используемых им в процессе осуществления предпринимательской деятельности.</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r>
      <w:tr>
        <w:tblPrEx/>
        <w:trPr>
          <w:cantSplit/>
          <w:trHeight w:val="276"/>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5</w:t>
            </w:r>
            <w:r>
              <w:rPr>
                <w:rFonts w:ascii="Times New Roman" w:hAnsi="Times New Roman" w:eastAsia="Times New Roman"/>
                <w:sz w:val="16"/>
                <w:szCs w:val="16"/>
              </w:rPr>
            </w:r>
            <w:r>
              <w:rPr>
                <w:rFonts w:ascii="Times New Roman" w:hAnsi="Times New Roman" w:eastAsia="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ИП (патент):</w:t>
            </w:r>
            <w:r>
              <w:rPr>
                <w:rFonts w:ascii="Times New Roman" w:hAnsi="Times New Roman"/>
                <w:sz w:val="16"/>
                <w:szCs w:val="16"/>
              </w:rPr>
            </w:r>
            <w:r>
              <w:rPr>
                <w:rFonts w:ascii="Times New Roman" w:hAnsi="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Выписка из Книги учета доходов индивидуальных предпринимателей, применяющих патентную систему налогообложения, утв.  Приказом Минфина России от 22.10.2012 № 135н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lang w:val="en-US"/>
              </w:rPr>
              <w:t xml:space="preserve">V</w:t>
            </w:r>
            <w:r>
              <w:rPr>
                <w:rFonts w:ascii="Times New Roman" w:hAnsi="Times New Roman" w:eastAsia="Times New Roman"/>
                <w:sz w:val="16"/>
                <w:szCs w:val="16"/>
              </w:rPr>
              <w:t xml:space="preserve"> = раздел I столб. «Доходы, учитываемые при исчислении налоговой базы» по стр. «Итого за налоговый период» за год)</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Начиная с </w:t>
            </w:r>
            <w:r>
              <w:rPr>
                <w:rFonts w:ascii="Times New Roman" w:hAnsi="Times New Roman" w:eastAsia="Times New Roman"/>
                <w:sz w:val="16"/>
                <w:szCs w:val="16"/>
              </w:rPr>
              <w:t xml:space="preserve">с</w:t>
            </w:r>
            <w:r>
              <w:rPr>
                <w:rFonts w:ascii="Times New Roman" w:hAnsi="Times New Roman" w:eastAsia="Times New Roman"/>
                <w:sz w:val="16"/>
                <w:szCs w:val="16"/>
              </w:rPr>
              <w:t xml:space="preserve"> отчетности за 2024 год (согласно приказу ФНС России от 07.11.2023 N ЕА-7-3/816@):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sz w:val="16"/>
                <w:szCs w:val="16"/>
              </w:rPr>
            </w:pPr>
            <w:r>
              <w:rPr>
                <w:rFonts w:ascii="Times New Roman" w:hAnsi="Times New Roman" w:eastAsia="Times New Roman"/>
                <w:sz w:val="16"/>
                <w:szCs w:val="16"/>
                <w:lang w:val="en-US"/>
              </w:rPr>
              <w:t xml:space="preserve">V</w:t>
            </w:r>
            <w:r>
              <w:rPr>
                <w:rFonts w:ascii="Times New Roman" w:hAnsi="Times New Roman" w:eastAsia="Times New Roman"/>
                <w:sz w:val="16"/>
                <w:szCs w:val="16"/>
              </w:rPr>
              <w:t xml:space="preserve"> = стр. «Итого за налоговый период» столб. 1 «Доходы» (</w:t>
            </w:r>
            <w:r>
              <w:rPr>
                <w:rFonts w:ascii="Times New Roman" w:hAnsi="Times New Roman"/>
                <w:sz w:val="16"/>
                <w:szCs w:val="16"/>
              </w:rPr>
              <w:t xml:space="preserve">Приложение 3 к приказу ФНС России от 07.11.2023 N ЕА-7-3/816@)</w:t>
            </w:r>
            <w:r>
              <w:rPr>
                <w:rFonts w:ascii="Times New Roman" w:hAnsi="Times New Roman"/>
                <w:sz w:val="16"/>
                <w:szCs w:val="16"/>
              </w:rPr>
            </w:r>
            <w:r>
              <w:rPr>
                <w:rFonts w:ascii="Times New Roman" w:hAnsi="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Кредитный отчет из бюро кредитных историй</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КО = совокупный размер непогашенных сумм задолженности по договорам займа (кредита) денежных средств, непосредственно</w:t>
            </w:r>
            <w:r>
              <w:rPr>
                <w:rFonts w:ascii="Times New Roman" w:hAnsi="Times New Roman" w:eastAsia="Times New Roman"/>
                <w:sz w:val="16"/>
                <w:szCs w:val="16"/>
              </w:rPr>
              <w:t xml:space="preserve"> связанных с процессом осуществления ИП предпринимательской деятельности, которые имелись по состоянию на 31 декабря последнего года, предшествующего году опубликования извещения о закупке, и должны быть погашены в течение года с момента их возникновения.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tabs>
                <w:tab w:val="left" w:pos="176" w:leader="none"/>
              </w:tabs>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w:t>
            </w:r>
            <w:r>
              <w:rPr>
                <w:rFonts w:ascii="Times New Roman" w:hAnsi="Times New Roman" w:eastAsia="Times New Roman"/>
                <w:sz w:val="16"/>
                <w:szCs w:val="16"/>
              </w:rPr>
              <w:tab/>
              <w:t xml:space="preserve">в отношении недвижимого имущества предоставляется выписка из ЕГРН с указанием кадастровой стоимости по состоянию на 31 декабря последнего года, предшествующего году опубликования извещения о закупке;</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tabs>
                <w:tab w:val="left" w:pos="176" w:leader="none"/>
              </w:tabs>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w:t>
            </w:r>
            <w:r>
              <w:rPr>
                <w:rFonts w:ascii="Times New Roman" w:hAnsi="Times New Roman" w:eastAsia="Times New Roman"/>
                <w:sz w:val="16"/>
                <w:szCs w:val="16"/>
              </w:rPr>
              <w:tab/>
              <w:t xml:space="preserve">в отношении дв</w:t>
            </w:r>
            <w:r>
              <w:rPr>
                <w:rFonts w:ascii="Times New Roman" w:hAnsi="Times New Roman" w:eastAsia="Times New Roman"/>
                <w:sz w:val="16"/>
                <w:szCs w:val="16"/>
              </w:rPr>
              <w:t xml:space="preserve">ижимого имущества сроком полезного использования (эксплуатации) более 12 месяцев или более одного операционного цикла, если он длится более 12 месяцев предоставляются документы, подтверждающие право собственности на имущество (при наличии) и его стоимость.</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ОС = совокупная стоимость основных средств ИП (имущества), непосредственно используемых им в процессе осуществления предпринимательской деятельности.</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r>
      <w:tr>
        <w:tblPrEx/>
        <w:trPr>
          <w:cantSplit/>
          <w:trHeight w:val="276"/>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6</w:t>
            </w:r>
            <w:r>
              <w:rPr>
                <w:rFonts w:ascii="Times New Roman" w:hAnsi="Times New Roman" w:eastAsia="Times New Roman"/>
                <w:sz w:val="16"/>
                <w:szCs w:val="16"/>
              </w:rPr>
            </w:r>
            <w:r>
              <w:rPr>
                <w:rFonts w:ascii="Times New Roman" w:hAnsi="Times New Roman" w:eastAsia="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ИП (ЕСХН)</w:t>
            </w:r>
            <w:r>
              <w:rPr>
                <w:rFonts w:ascii="Times New Roman" w:hAnsi="Times New Roman" w:eastAsia="Times New Roman"/>
                <w:sz w:val="16"/>
                <w:szCs w:val="16"/>
              </w:rPr>
            </w:r>
            <w:r>
              <w:rPr>
                <w:rFonts w:ascii="Times New Roman" w:hAnsi="Times New Roman" w:eastAsia="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sz w:val="16"/>
                <w:szCs w:val="16"/>
              </w:rPr>
            </w:pPr>
            <w:r>
              <w:rPr>
                <w:rFonts w:ascii="Times New Roman" w:hAnsi="Times New Roman"/>
                <w:sz w:val="16"/>
                <w:szCs w:val="16"/>
              </w:rPr>
              <w:t xml:space="preserve">Декларация по ЕСХН (КНД 1151059)</w:t>
            </w:r>
            <w:r>
              <w:rPr>
                <w:rFonts w:ascii="Times New Roman" w:hAnsi="Times New Roman"/>
                <w:sz w:val="16"/>
                <w:szCs w:val="16"/>
              </w:rPr>
            </w:r>
            <w:r>
              <w:rPr>
                <w:rFonts w:ascii="Times New Roman" w:hAnsi="Times New Roman"/>
                <w:sz w:val="16"/>
                <w:szCs w:val="16"/>
              </w:rPr>
            </w:r>
          </w:p>
          <w:p>
            <w:pPr>
              <w:jc w:val="both"/>
              <w:spacing w:after="0" w:line="240" w:lineRule="auto"/>
              <w:rPr>
                <w:rFonts w:ascii="Times New Roman" w:hAnsi="Times New Roman"/>
                <w:sz w:val="16"/>
                <w:szCs w:val="16"/>
              </w:rPr>
            </w:pPr>
            <w:r>
              <w:rPr>
                <w:rFonts w:ascii="Times New Roman" w:hAnsi="Times New Roman"/>
                <w:sz w:val="16"/>
                <w:szCs w:val="16"/>
              </w:rPr>
              <w:t xml:space="preserve">Размер годовой выручки признается равным показателю строки 010 «Сумма дохода за налоговый период, учитываемая для определения налоговой базы по налогу» раздела 2 декларации по ЕСХН (КНД 1151059).</w:t>
            </w:r>
            <w:r>
              <w:rPr>
                <w:rFonts w:ascii="Times New Roman" w:hAnsi="Times New Roman"/>
                <w:sz w:val="16"/>
                <w:szCs w:val="16"/>
              </w:rPr>
            </w:r>
            <w:r>
              <w:rPr>
                <w:rFonts w:ascii="Times New Roman" w:hAnsi="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sz w:val="16"/>
                <w:szCs w:val="16"/>
              </w:rPr>
            </w:pPr>
            <w:r>
              <w:rPr>
                <w:rFonts w:ascii="Times New Roman" w:hAnsi="Times New Roman"/>
                <w:sz w:val="16"/>
                <w:szCs w:val="16"/>
              </w:rPr>
              <w:t xml:space="preserve">Кредитный отчет из бюро кредитных историй</w:t>
            </w:r>
            <w:r>
              <w:rPr>
                <w:rFonts w:ascii="Times New Roman" w:hAnsi="Times New Roman"/>
                <w:sz w:val="16"/>
                <w:szCs w:val="16"/>
              </w:rPr>
            </w:r>
            <w:r>
              <w:rPr>
                <w:rFonts w:ascii="Times New Roman" w:hAnsi="Times New Roman"/>
                <w:sz w:val="16"/>
                <w:szCs w:val="16"/>
              </w:rPr>
            </w:r>
          </w:p>
          <w:p>
            <w:pPr>
              <w:jc w:val="both"/>
              <w:spacing w:after="0" w:line="240" w:lineRule="auto"/>
              <w:rPr>
                <w:rFonts w:ascii="Times New Roman" w:hAnsi="Times New Roman"/>
                <w:sz w:val="16"/>
                <w:szCs w:val="16"/>
              </w:rPr>
            </w:pPr>
            <w:r>
              <w:rPr>
                <w:rFonts w:ascii="Times New Roman" w:hAnsi="Times New Roman"/>
                <w:sz w:val="16"/>
                <w:szCs w:val="16"/>
              </w:rPr>
            </w:r>
            <w:r>
              <w:rPr>
                <w:rFonts w:ascii="Times New Roman" w:hAnsi="Times New Roman"/>
                <w:sz w:val="16"/>
                <w:szCs w:val="16"/>
              </w:rPr>
            </w:r>
            <w:r>
              <w:rPr>
                <w:rFonts w:ascii="Times New Roman" w:hAnsi="Times New Roman"/>
                <w:sz w:val="16"/>
                <w:szCs w:val="16"/>
              </w:rPr>
            </w:r>
          </w:p>
          <w:p>
            <w:pPr>
              <w:jc w:val="both"/>
              <w:spacing w:after="0" w:line="240" w:lineRule="auto"/>
              <w:rPr>
                <w:rFonts w:ascii="Times New Roman" w:hAnsi="Times New Roman"/>
                <w:sz w:val="16"/>
                <w:szCs w:val="16"/>
              </w:rPr>
            </w:pPr>
            <w:r>
              <w:rPr>
                <w:rFonts w:ascii="Times New Roman" w:hAnsi="Times New Roman"/>
                <w:sz w:val="16"/>
                <w:szCs w:val="16"/>
              </w:rPr>
              <w:t xml:space="preserve">КО = совокупный размер непогашенных сумм задолженности по договорам займа (кредита) денежных средств, непосредственно</w:t>
            </w:r>
            <w:r>
              <w:rPr>
                <w:rFonts w:ascii="Times New Roman" w:hAnsi="Times New Roman"/>
                <w:sz w:val="16"/>
                <w:szCs w:val="16"/>
              </w:rPr>
              <w:t xml:space="preserve"> связанных с процессом осуществления ИП предпринимательской деятельности, которые имелись по состоянию на 31 декабря последнего года, предшествующего году опубликования извещения о закупке, и должны быть погашены в течение года с момента их возникновения. </w:t>
            </w:r>
            <w:r>
              <w:rPr>
                <w:rFonts w:ascii="Times New Roman" w:hAnsi="Times New Roman"/>
                <w:sz w:val="16"/>
                <w:szCs w:val="16"/>
              </w:rPr>
            </w:r>
            <w:r>
              <w:rPr>
                <w:rFonts w:ascii="Times New Roman" w:hAnsi="Times New Roman"/>
                <w:sz w:val="16"/>
                <w:szCs w:val="16"/>
              </w:rPr>
            </w:r>
          </w:p>
          <w:p>
            <w:pPr>
              <w:jc w:val="both"/>
              <w:spacing w:after="0" w:line="240" w:lineRule="auto"/>
              <w:rPr>
                <w:rFonts w:ascii="Times New Roman" w:hAnsi="Times New Roman"/>
                <w:sz w:val="16"/>
                <w:szCs w:val="16"/>
              </w:rPr>
            </w:pPr>
            <w:r>
              <w:rPr>
                <w:rFonts w:ascii="Times New Roman" w:hAnsi="Times New Roman"/>
                <w:sz w:val="16"/>
                <w:szCs w:val="16"/>
              </w:rPr>
            </w:r>
            <w:r>
              <w:rPr>
                <w:rFonts w:ascii="Times New Roman" w:hAnsi="Times New Roman"/>
                <w:sz w:val="16"/>
                <w:szCs w:val="16"/>
              </w:rPr>
            </w:r>
            <w:r>
              <w:rPr>
                <w:rFonts w:ascii="Times New Roman" w:hAnsi="Times New Roman"/>
                <w:sz w:val="16"/>
                <w:szCs w:val="16"/>
              </w:rPr>
            </w:r>
          </w:p>
        </w:tc>
        <w:tc>
          <w:tcPr>
            <w:tcW w:w="4394" w:type="dxa"/>
            <w:textDirection w:val="lrTb"/>
            <w:noWrap w:val="false"/>
          </w:tcPr>
          <w:p>
            <w:pPr>
              <w:jc w:val="both"/>
              <w:spacing w:after="0" w:line="240" w:lineRule="auto"/>
              <w:tabs>
                <w:tab w:val="left" w:pos="176" w:leader="none"/>
                <w:tab w:val="left" w:pos="884" w:leader="none"/>
              </w:tabs>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w:t>
            </w:r>
            <w:r>
              <w:rPr>
                <w:rFonts w:ascii="Times New Roman" w:hAnsi="Times New Roman"/>
                <w:sz w:val="16"/>
                <w:szCs w:val="16"/>
              </w:rPr>
              <w:tab/>
            </w:r>
            <w:r>
              <w:rPr>
                <w:rFonts w:ascii="Times New Roman" w:hAnsi="Times New Roman" w:eastAsia="Times New Roman"/>
                <w:sz w:val="16"/>
                <w:szCs w:val="16"/>
              </w:rPr>
              <w:t xml:space="preserve">в отношении недвижимого имущества предоставляется выписка из ЕГРН с указанием кадастровой стоимости по состоянию на 31 декабря последнего года, предшествующего году опубликования извещения о закупке;</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tabs>
                <w:tab w:val="left" w:pos="176" w:leader="none"/>
              </w:tabs>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w:t>
            </w:r>
            <w:r>
              <w:rPr>
                <w:rFonts w:ascii="Times New Roman" w:hAnsi="Times New Roman" w:eastAsia="Times New Roman"/>
                <w:sz w:val="16"/>
                <w:szCs w:val="16"/>
              </w:rPr>
              <w:tab/>
              <w:t xml:space="preserve">в отношении дв</w:t>
            </w:r>
            <w:r>
              <w:rPr>
                <w:rFonts w:ascii="Times New Roman" w:hAnsi="Times New Roman" w:eastAsia="Times New Roman"/>
                <w:sz w:val="16"/>
                <w:szCs w:val="16"/>
              </w:rPr>
              <w:t xml:space="preserve">ижимого имущества сроком полезного использования (эксплуатации) более 12 месяцев или более одного операционного цикла, если он длится более 12 месяцев предоставляются документы, подтверждающие право собственности на имущество (при наличии) и его стоимость.</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ОС = совокупная стоимость основных средств ИП (имущества), непосредственно используемых им в процессе осуществления предпринимательской деятельности.</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sz w:val="16"/>
                <w:szCs w:val="16"/>
              </w:rPr>
            </w:pPr>
            <w:r>
              <w:rPr>
                <w:rFonts w:ascii="Times New Roman" w:hAnsi="Times New Roman"/>
                <w:sz w:val="16"/>
                <w:szCs w:val="16"/>
              </w:rPr>
            </w:r>
            <w:r>
              <w:rPr>
                <w:rFonts w:ascii="Times New Roman" w:hAnsi="Times New Roman"/>
                <w:sz w:val="16"/>
                <w:szCs w:val="16"/>
              </w:rPr>
            </w:r>
            <w:r>
              <w:rPr>
                <w:rFonts w:ascii="Times New Roman" w:hAnsi="Times New Roman"/>
                <w:sz w:val="16"/>
                <w:szCs w:val="16"/>
              </w:rPr>
            </w:r>
          </w:p>
        </w:tc>
      </w:tr>
      <w:tr>
        <w:tblPrEx/>
        <w:trPr>
          <w:cantSplit/>
          <w:trHeight w:val="276"/>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t xml:space="preserve">7</w:t>
            </w:r>
            <w:r>
              <w:rPr>
                <w:rFonts w:ascii="Times New Roman" w:hAnsi="Times New Roman" w:eastAsia="Times New Roman"/>
                <w:sz w:val="16"/>
                <w:szCs w:val="16"/>
              </w:rPr>
            </w:r>
            <w:r>
              <w:rPr>
                <w:rFonts w:ascii="Times New Roman" w:hAnsi="Times New Roman" w:eastAsia="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sz w:val="16"/>
                <w:szCs w:val="16"/>
              </w:rPr>
              <w:t xml:space="preserve">Физическое лицо (хозяйствующий субъект, применяющий налог на профессиональный доход (далее – физлицо (</w:t>
            </w:r>
            <w:r>
              <w:rPr>
                <w:rFonts w:ascii="Times New Roman" w:hAnsi="Times New Roman"/>
                <w:sz w:val="16"/>
                <w:szCs w:val="16"/>
              </w:rPr>
              <w:t xml:space="preserve">самозанятое</w:t>
            </w:r>
            <w:r>
              <w:rPr>
                <w:rFonts w:ascii="Times New Roman" w:hAnsi="Times New Roman"/>
                <w:sz w:val="16"/>
                <w:szCs w:val="16"/>
              </w:rPr>
              <w:t xml:space="preserve">).</w:t>
            </w:r>
            <w:r>
              <w:rPr>
                <w:rFonts w:ascii="Times New Roman" w:hAnsi="Times New Roman"/>
                <w:sz w:val="16"/>
                <w:szCs w:val="16"/>
              </w:rPr>
            </w:r>
            <w:r>
              <w:rPr>
                <w:rFonts w:ascii="Times New Roman" w:hAnsi="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КНД 1122036 (справка о состоянии расчётов)</w:t>
            </w:r>
            <w:r>
              <w:rPr>
                <w:rFonts w:ascii="Times New Roman" w:hAnsi="Times New Roman"/>
                <w:sz w:val="16"/>
                <w:szCs w:val="16"/>
              </w:rPr>
            </w:r>
            <w:r>
              <w:rPr>
                <w:rFonts w:ascii="Times New Roman" w:hAnsi="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lang w:val="en-US"/>
              </w:rPr>
              <w:t xml:space="preserve">V</w:t>
            </w:r>
            <w:r>
              <w:rPr>
                <w:rFonts w:ascii="Times New Roman" w:hAnsi="Times New Roman" w:eastAsia="Times New Roman"/>
                <w:sz w:val="16"/>
                <w:szCs w:val="16"/>
              </w:rPr>
              <w:t xml:space="preserve"> = стр. «Общая сумма дохода за календарный год (руб.)»</w:t>
            </w:r>
            <w:r>
              <w:rPr>
                <w:rFonts w:ascii="Times New Roman" w:hAnsi="Times New Roman" w:eastAsia="Times New Roman"/>
                <w:sz w:val="16"/>
                <w:szCs w:val="16"/>
              </w:rPr>
              <w:b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Кредитный отчет из бюро кредитных историй</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КО = совокупный размер непогашенных сумм задолженности по договорам займа (кредита) денежных средств, непосредственно</w:t>
            </w:r>
            <w:r>
              <w:rPr>
                <w:rFonts w:ascii="Times New Roman" w:hAnsi="Times New Roman" w:eastAsia="Times New Roman"/>
                <w:sz w:val="16"/>
                <w:szCs w:val="16"/>
              </w:rPr>
              <w:t xml:space="preserve"> связанных с процессом осуществления ИП предпринимательской деятельности, которые имелись по состоянию на 31 декабря последнего года, предшествующего году опубликования извещения о закупке, и должны быть погашены в течение года с момента их возникновения. </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tc>
        <w:tc>
          <w:tcPr>
            <w:tcW w:w="4394" w:type="dxa"/>
            <w:textDirection w:val="lrTb"/>
            <w:noWrap w:val="false"/>
          </w:tcPr>
          <w:p>
            <w:pPr>
              <w:jc w:val="both"/>
              <w:spacing w:after="0" w:line="240" w:lineRule="auto"/>
              <w:tabs>
                <w:tab w:val="left" w:pos="176" w:leader="none"/>
              </w:tabs>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w:t>
            </w:r>
            <w:r>
              <w:rPr>
                <w:rFonts w:ascii="Times New Roman" w:hAnsi="Times New Roman" w:eastAsia="Times New Roman"/>
                <w:sz w:val="16"/>
                <w:szCs w:val="16"/>
              </w:rPr>
              <w:tab/>
              <w:t xml:space="preserve">в отношении недвижимого имущества предоставляется выписка из ЕГРН с указанием кадастровой стоимости по состоянию на 31 декабря последнего года, предшествующего году опубликования извещения о закупке;</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tabs>
                <w:tab w:val="left" w:pos="176" w:leader="none"/>
              </w:tabs>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w:t>
            </w:r>
            <w:r>
              <w:rPr>
                <w:rFonts w:ascii="Times New Roman" w:hAnsi="Times New Roman" w:eastAsia="Times New Roman"/>
                <w:sz w:val="16"/>
                <w:szCs w:val="16"/>
              </w:rPr>
              <w:tab/>
              <w:t xml:space="preserve">в отношении дв</w:t>
            </w:r>
            <w:r>
              <w:rPr>
                <w:rFonts w:ascii="Times New Roman" w:hAnsi="Times New Roman" w:eastAsia="Times New Roman"/>
                <w:sz w:val="16"/>
                <w:szCs w:val="16"/>
              </w:rPr>
              <w:t xml:space="preserve">ижимого имущества сроком полезного использования (эксплуатации) более 12 месяцев или более одного операционного цикла, если он длится более 12 месяцев предоставляются документы, подтверждающие право собственности на имущество (при наличии) и его стоимость.</w:t>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r>
            <w:r>
              <w:rPr>
                <w:rFonts w:ascii="Times New Roman" w:hAnsi="Times New Roman" w:eastAsia="Times New Roman"/>
                <w:sz w:val="16"/>
                <w:szCs w:val="16"/>
              </w:rPr>
            </w:r>
            <w:r>
              <w:rPr>
                <w:rFonts w:ascii="Times New Roman" w:hAnsi="Times New Roman" w:eastAsia="Times New Roman"/>
                <w:sz w:val="16"/>
                <w:szCs w:val="16"/>
              </w:rPr>
            </w:r>
          </w:p>
          <w:p>
            <w:pPr>
              <w:jc w:val="both"/>
              <w:spacing w:after="0" w:line="240" w:lineRule="auto"/>
              <w:rPr>
                <w:rFonts w:ascii="Times New Roman" w:hAnsi="Times New Roman" w:eastAsia="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sz w:val="16"/>
                <w:szCs w:val="16"/>
              </w:rPr>
              <w:t xml:space="preserve">ОС = совокупная стоимость основных средств (имущества), физлица (</w:t>
            </w:r>
            <w:r>
              <w:rPr>
                <w:rFonts w:ascii="Times New Roman" w:hAnsi="Times New Roman" w:eastAsia="Times New Roman"/>
                <w:sz w:val="16"/>
                <w:szCs w:val="16"/>
              </w:rPr>
              <w:t xml:space="preserve">самозанятого</w:t>
            </w:r>
            <w:r>
              <w:rPr>
                <w:rFonts w:ascii="Times New Roman" w:hAnsi="Times New Roman" w:eastAsia="Times New Roman"/>
                <w:sz w:val="16"/>
                <w:szCs w:val="16"/>
              </w:rPr>
              <w:t xml:space="preserve">) непосредственно используемых им в процессе осуществления предпринимательской деятельности.</w:t>
            </w:r>
            <w:r>
              <w:rPr>
                <w:rFonts w:ascii="Times New Roman" w:hAnsi="Times New Roman" w:eastAsia="Times New Roman"/>
                <w:sz w:val="16"/>
                <w:szCs w:val="16"/>
              </w:rPr>
            </w:r>
            <w:r>
              <w:rPr>
                <w:rFonts w:ascii="Times New Roman" w:hAnsi="Times New Roman" w:eastAsia="Times New Roman"/>
                <w:sz w:val="16"/>
                <w:szCs w:val="16"/>
              </w:rPr>
            </w:r>
          </w:p>
        </w:tc>
      </w:tr>
    </w:tbl>
    <w:p>
      <w:r/>
      <w:r/>
      <w:r/>
    </w:p>
    <w:p>
      <w:pPr>
        <w:rPr>
          <w:rFonts w:ascii="Times New Roman" w:hAnsi="Times New Roman" w:eastAsiaTheme="minorHAnsi"/>
          <w:b/>
          <w:sz w:val="18"/>
          <w:szCs w:val="18"/>
        </w:rPr>
      </w:pPr>
      <w:r>
        <w:rPr>
          <w:rFonts w:ascii="Times New Roman" w:hAnsi="Times New Roman" w:eastAsiaTheme="minorHAnsi"/>
          <w:b/>
          <w:sz w:val="18"/>
          <w:szCs w:val="18"/>
        </w:rPr>
      </w:r>
    </w:p>
    <w:p>
      <w:pP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sectPr>
      <w:headerReference w:type="default" r:id="rId9"/>
      <w:footerReference w:type="default" r:id="rId10"/>
      <w:footnotePr/>
      <w:endnotePr/>
      <w:type w:val="nextPage"/>
      <w:pgSz w:w="16838" w:h="11906" w:orient="landscape"/>
      <w:pgMar w:top="709" w:right="964" w:bottom="851" w:left="1021" w:header="709" w:footer="567"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40803050406030204"/>
  </w:font>
  <w:font w:name="Wingdings">
    <w:panose1 w:val="05010000000000000000"/>
  </w:font>
  <w:font w:name="Courier New">
    <w:panose1 w:val="02070309020205020404"/>
  </w:font>
  <w:font w:name="Symbol">
    <w:panose1 w:val="05010000000000000000"/>
  </w:font>
  <w:font w:name="Tahoma">
    <w:panose1 w:val="020B0604030504040204"/>
  </w:font>
  <w:font w:name="Arial">
    <w:panose1 w:val="020B06040202020202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47"/>
      <w:jc w:val="right"/>
    </w:pPr>
    <w:r>
      <w:fldChar w:fldCharType="begin"/>
    </w:r>
    <w:r>
      <w:instrText xml:space="preserve">PAGE   \* MERGEFORMAT</w:instrText>
    </w:r>
    <w:r>
      <w:fldChar w:fldCharType="separate"/>
    </w:r>
    <w:r>
      <w:t xml:space="preserve">8</w:t>
    </w:r>
    <w:r>
      <w:fldChar w:fldCharType="end"/>
    </w:r>
    <w:r/>
  </w:p>
  <w:p>
    <w:pPr>
      <w:pStyle w:val="1347"/>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349"/>
        <w:rPr>
          <w:rFonts w:ascii="Times New Roman" w:hAnsi="Times New Roman"/>
          <w:sz w:val="18"/>
          <w:szCs w:val="18"/>
        </w:rPr>
      </w:pPr>
      <w:r>
        <w:rPr>
          <w:rStyle w:val="1354"/>
        </w:rPr>
        <w:footnoteRef/>
      </w:r>
      <w:r>
        <w:t xml:space="preserve"> </w:t>
      </w:r>
      <w:r>
        <w:rPr>
          <w:rFonts w:ascii="Times New Roman" w:hAnsi="Times New Roman"/>
          <w:sz w:val="18"/>
          <w:szCs w:val="18"/>
        </w:rPr>
        <w:t xml:space="preserve">Под полным месяцем выполнения работ (оказания услуг) понимается месяц, входящий в сроки (периоды) выполнения работ/оказания услуг, указанные в Документации, с первого по последнее число месяца.</w:t>
      </w:r>
      <w:r>
        <w:rPr>
          <w:rFonts w:ascii="Times New Roman" w:hAnsi="Times New Roman"/>
          <w:sz w:val="18"/>
          <w:szCs w:val="18"/>
        </w:rPr>
      </w:r>
      <w:r>
        <w:rPr>
          <w:rFonts w:ascii="Times New Roman" w:hAnsi="Times New Roman"/>
          <w:sz w:val="18"/>
          <w:szCs w:val="18"/>
        </w:rPr>
      </w:r>
    </w:p>
    <w:p>
      <w:pPr>
        <w:pStyle w:val="1349"/>
        <w:rPr>
          <w:rFonts w:ascii="Times New Roman" w:hAnsi="Times New Roman"/>
          <w:sz w:val="18"/>
          <w:szCs w:val="18"/>
        </w:rPr>
      </w:pPr>
      <w:r>
        <w:rPr>
          <w:rFonts w:ascii="Times New Roman" w:hAnsi="Times New Roman"/>
          <w:sz w:val="18"/>
          <w:szCs w:val="18"/>
        </w:rPr>
        <w:t xml:space="preserve">Если в Документации сроки (периоды) выполнения работ/оказания услуг указаны в формате «Месяц, Год», то указанный месяц считается как полный.</w:t>
      </w:r>
      <w:r>
        <w:rPr>
          <w:rFonts w:ascii="Times New Roman" w:hAnsi="Times New Roman"/>
          <w:sz w:val="18"/>
          <w:szCs w:val="18"/>
        </w:rPr>
      </w:r>
      <w:r>
        <w:rPr>
          <w:rFonts w:ascii="Times New Roman" w:hAnsi="Times New Roman"/>
          <w:sz w:val="18"/>
          <w:szCs w:val="18"/>
        </w:rPr>
      </w:r>
    </w:p>
    <w:p>
      <w:pPr>
        <w:pStyle w:val="1349"/>
        <w:rPr>
          <w:rFonts w:ascii="Times New Roman" w:hAnsi="Times New Roman"/>
          <w:sz w:val="18"/>
          <w:szCs w:val="18"/>
        </w:rPr>
      </w:pPr>
      <w:r>
        <w:rPr>
          <w:rFonts w:ascii="Times New Roman" w:hAnsi="Times New Roman"/>
          <w:sz w:val="18"/>
          <w:szCs w:val="18"/>
        </w:rPr>
        <w:t xml:space="preserve">Если в Документации сроки (периоды) выполнения работ/оказания услуг указаны в формате «Текст, День, Месяц, Год» или «Текст, Месяц, Год», то сроки принимаются без учета текстовой части.</w:t>
      </w:r>
      <w:r>
        <w:rPr>
          <w:rFonts w:ascii="Times New Roman" w:hAnsi="Times New Roman"/>
          <w:sz w:val="18"/>
          <w:szCs w:val="18"/>
        </w:rPr>
      </w:r>
      <w:r>
        <w:rPr>
          <w:rFonts w:ascii="Times New Roman" w:hAnsi="Times New Roman"/>
          <w:sz w:val="18"/>
          <w:szCs w:val="18"/>
        </w:rPr>
      </w:r>
    </w:p>
    <w:p>
      <w:pPr>
        <w:pStyle w:val="1349"/>
        <w:rPr>
          <w:rFonts w:ascii="Times New Roman" w:hAnsi="Times New Roman"/>
          <w:sz w:val="18"/>
          <w:szCs w:val="18"/>
        </w:rPr>
      </w:pPr>
      <w:r>
        <w:rPr>
          <w:rFonts w:ascii="Times New Roman" w:hAnsi="Times New Roman"/>
          <w:sz w:val="18"/>
          <w:szCs w:val="18"/>
        </w:rPr>
        <w:t xml:space="preserve">Если в Документ</w:t>
      </w:r>
      <w:r>
        <w:rPr>
          <w:rFonts w:ascii="Times New Roman" w:hAnsi="Times New Roman"/>
          <w:sz w:val="18"/>
          <w:szCs w:val="18"/>
        </w:rPr>
        <w:t xml:space="preserve">ации срок начала выполнения работ/оказания услуг указан не в формате «День, Месяц, Год» или «Месяц, Год», то за полный месяц принимается месяц, следующий за месяцем первоначально установленной в Извещении Даты подведения итогов (на день публикации закупки)</w:t>
      </w:r>
      <w:r>
        <w:rPr>
          <w:rFonts w:ascii="Times New Roman" w:hAnsi="Times New Roman"/>
          <w:sz w:val="18"/>
          <w:szCs w:val="18"/>
        </w:rPr>
      </w:r>
      <w:r>
        <w:rPr>
          <w:rFonts w:ascii="Times New Roman" w:hAnsi="Times New Roman"/>
          <w:sz w:val="18"/>
          <w:szCs w:val="18"/>
        </w:rPr>
      </w:r>
    </w:p>
    <w:p>
      <w:pPr>
        <w:pStyle w:val="1352"/>
      </w:pPr>
      <w:r/>
      <w:r/>
    </w:p>
  </w:footnote>
  <w:footnote w:id="3">
    <w:p>
      <w:pPr>
        <w:pStyle w:val="1362"/>
        <w:spacing w:before="0" w:beforeAutospacing="0" w:after="0" w:afterAutospacing="0"/>
        <w:rPr>
          <w:sz w:val="28"/>
          <w:szCs w:val="28"/>
        </w:rPr>
      </w:pPr>
      <w:r>
        <w:rPr>
          <w:rStyle w:val="1354"/>
        </w:rPr>
        <w:footnoteRef/>
      </w:r>
      <w:r>
        <w:t xml:space="preserve"> </w:t>
      </w:r>
      <m:oMath>
        <m:sSub>
          <m:sSubPr>
            <m:ctrlPr>
              <w:rPr>
                <w:rFonts w:ascii="Cambria Math" w:hAnsi="Cambria Math" w:cstheme="minorBidi"/>
                <w:i/>
                <w:iCs/>
                <w:sz w:val="28"/>
                <w:szCs w:val="28"/>
              </w:rPr>
            </m:ctrlPr>
          </m:sSubPr>
          <m:e>
            <m:r>
              <w:rPr>
                <w:rFonts w:ascii="Cambria Math" w:hAnsi="Cambria Math" w:cstheme="minorBidi"/>
                <w:sz w:val="28"/>
                <w:szCs w:val="28"/>
              </w:rPr>
              <m:rPr/>
              <m:t>К</m:t>
            </m:r>
          </m:e>
          <m:sub>
            <m:r>
              <w:rPr>
                <w:rFonts w:ascii="Cambria Math" w:hAnsi="Cambria Math" w:cstheme="minorBidi"/>
                <w:sz w:val="28"/>
                <w:szCs w:val="28"/>
              </w:rPr>
              <m:rPr/>
              <m:t>П</m:t>
            </m:r>
          </m:sub>
        </m:sSub>
        <m:r>
          <w:rPr>
            <w:rFonts w:ascii="Cambria Math" w:hAnsi="Cambria Math" w:cstheme="minorBidi"/>
            <w:sz w:val="28"/>
            <w:szCs w:val="28"/>
          </w:rPr>
          <m:rPr>
            <m:sty m:val="p"/>
          </m:rPr>
          <m:t>=</m:t>
        </m:r>
        <m:sSup>
          <m:sSupPr>
            <m:ctrlPr>
              <w:rPr>
                <w:rFonts w:ascii="Cambria Math" w:hAnsi="Cambria Math" w:cstheme="minorBidi"/>
                <w:i/>
                <w:iCs/>
                <w:sz w:val="28"/>
                <w:szCs w:val="28"/>
                <w:lang w:val="en-US"/>
              </w:rPr>
            </m:ctrlPr>
          </m:sSupPr>
          <m:e>
            <m:r>
              <w:rPr>
                <w:rFonts w:ascii="Cambria Math" w:hAnsi="Cambria Math" w:cstheme="minorBidi"/>
                <w:sz w:val="28"/>
                <w:szCs w:val="28"/>
              </w:rPr>
              <m:rPr/>
              <m:t> </m:t>
            </m:r>
            <m:r>
              <w:rPr>
                <w:rFonts w:ascii="Cambria Math" w:hAnsi="Cambria Math" w:cstheme="minorBidi"/>
                <w:sz w:val="28"/>
                <w:szCs w:val="28"/>
                <w:lang w:val="en-US"/>
              </w:rPr>
              <m:rPr/>
              <m:t>e</m:t>
            </m:r>
          </m:e>
          <m:sup>
            <m:sSup>
              <m:sSupPr>
                <m:ctrlPr>
                  <w:rPr>
                    <w:rFonts w:ascii="Cambria Math" w:hAnsi="Cambria Math" w:cstheme="minorBidi"/>
                    <w:i/>
                    <w:iCs/>
                    <w:sz w:val="28"/>
                    <w:szCs w:val="28"/>
                    <w:lang w:val="en-US"/>
                  </w:rPr>
                </m:ctrlPr>
              </m:sSupPr>
              <m:e>
                <m:r>
                  <w:rPr>
                    <w:rFonts w:ascii="Cambria Math" w:hAnsi="Cambria Math" w:cstheme="minorBidi"/>
                    <w:sz w:val="28"/>
                    <w:szCs w:val="28"/>
                  </w:rPr>
                  <m:rPr/>
                  <m:t>-0,1</m:t>
                </m:r>
              </m:e>
              <m:sup>
                <m:sSup>
                  <m:sSupPr>
                    <m:ctrlPr>
                      <w:rPr>
                        <w:rFonts w:ascii="Cambria Math" w:hAnsi="Cambria Math" w:cstheme="minorBidi"/>
                        <w:i/>
                        <w:iCs/>
                        <w:sz w:val="28"/>
                        <w:szCs w:val="28"/>
                        <w:lang w:val="en-US"/>
                      </w:rPr>
                    </m:ctrlPr>
                  </m:sSupPr>
                  <m:e>
                    <m:d>
                      <m:dPr>
                        <m:ctrlPr>
                          <w:rPr>
                            <w:rFonts w:ascii="Cambria Math" w:hAnsi="Cambria Math" w:cstheme="minorBidi"/>
                            <w:i/>
                            <w:iCs/>
                            <w:sz w:val="28"/>
                            <w:szCs w:val="28"/>
                            <w:lang w:val="en-US"/>
                          </w:rPr>
                        </m:ctrlPr>
                      </m:dPr>
                      <m:e>
                        <m:r>
                          <w:rPr>
                            <w:rFonts w:ascii="Cambria Math" w:hAnsi="Cambria Math" w:cstheme="minorBidi"/>
                            <w:sz w:val="28"/>
                            <w:szCs w:val="28"/>
                          </w:rPr>
                          <m:rPr/>
                          <m:t>1,6-</m:t>
                        </m:r>
                        <m:rad>
                          <m:radPr>
                            <m:degHide m:val="off"/>
                            <m:ctrlPr>
                              <w:rPr>
                                <w:rFonts w:ascii="Cambria Math" w:hAnsi="Cambria Math" w:cstheme="minorBidi"/>
                                <w:i/>
                                <w:iCs/>
                                <w:sz w:val="28"/>
                                <w:szCs w:val="28"/>
                              </w:rPr>
                            </m:ctrlPr>
                          </m:radPr>
                          <m:deg>
                            <m:r>
                              <w:rPr>
                                <w:rFonts w:ascii="Cambria Math" w:hAnsi="Cambria Math" w:cstheme="minorBidi"/>
                                <w:sz w:val="28"/>
                                <w:szCs w:val="28"/>
                              </w:rPr>
                              <m:rPr/>
                              <m:t>5</m:t>
                            </m:r>
                          </m:deg>
                          <m:e>
                            <m:sSup>
                              <m:sSupPr>
                                <m:ctrlPr>
                                  <w:rPr>
                                    <w:rFonts w:ascii="Cambria Math" w:hAnsi="Cambria Math" w:cstheme="minorBidi"/>
                                    <w:i/>
                                    <w:iCs/>
                                    <w:sz w:val="28"/>
                                    <w:szCs w:val="28"/>
                                  </w:rPr>
                                </m:ctrlPr>
                              </m:sSupPr>
                              <m:e>
                                <m:d>
                                  <m:dPr>
                                    <m:ctrlPr>
                                      <w:rPr>
                                        <w:rFonts w:ascii="Cambria Math" w:hAnsi="Cambria Math" w:cstheme="minorBidi"/>
                                        <w:i/>
                                        <w:iCs/>
                                        <w:sz w:val="28"/>
                                        <w:szCs w:val="28"/>
                                      </w:rPr>
                                    </m:ctrlPr>
                                  </m:dPr>
                                  <m:e>
                                    <m:f>
                                      <m:fPr>
                                        <m:type m:val="lin"/>
                                        <m:ctrlPr>
                                          <w:rPr>
                                            <w:rFonts w:ascii="Cambria Math" w:hAnsi="Cambria Math" w:cstheme="minorBidi"/>
                                            <w:i/>
                                            <w:iCs/>
                                            <w:sz w:val="28"/>
                                            <w:szCs w:val="28"/>
                                          </w:rPr>
                                        </m:ctrlPr>
                                      </m:fPr>
                                      <m:num>
                                        <m:r>
                                          <w:rPr>
                                            <w:rFonts w:ascii="Cambria Math" w:hAnsi="Cambria Math" w:cstheme="minorBidi"/>
                                            <w:sz w:val="28"/>
                                            <w:szCs w:val="28"/>
                                          </w:rPr>
                                          <m:rPr/>
                                          <m:t>(КО+0,1)</m:t>
                                        </m:r>
                                      </m:num>
                                      <m:den>
                                        <m:r>
                                          <w:rPr>
                                            <w:rFonts w:ascii="Cambria Math" w:hAnsi="Cambria Math" w:cstheme="minorBidi"/>
                                            <w:sz w:val="28"/>
                                            <w:szCs w:val="28"/>
                                          </w:rPr>
                                          <m:rPr/>
                                          <m:t>(V+0,1)</m:t>
                                        </m:r>
                                      </m:den>
                                    </m:f>
                                  </m:e>
                                </m:d>
                              </m:e>
                              <m:sup>
                                <m:r>
                                  <w:rPr>
                                    <w:rFonts w:ascii="Cambria Math" w:hAnsi="Cambria Math" w:cstheme="minorBidi"/>
                                    <w:sz w:val="28"/>
                                    <w:szCs w:val="28"/>
                                  </w:rPr>
                                  <m:rPr/>
                                  <m:t>3</m:t>
                                </m:r>
                              </m:sup>
                            </m:sSup>
                          </m:e>
                        </m:rad>
                        <m:r>
                          <w:rPr>
                            <w:rFonts w:ascii="Cambria Math" w:hAnsi="Cambria Math" w:cstheme="minorBidi"/>
                            <w:sz w:val="28"/>
                            <w:szCs w:val="28"/>
                          </w:rPr>
                          <m:rPr/>
                          <m:t>/</m:t>
                        </m:r>
                        <m:d>
                          <m:dPr>
                            <m:ctrlPr>
                              <w:rPr>
                                <w:rFonts w:ascii="Cambria Math" w:hAnsi="Cambria Math" w:cstheme="minorBidi"/>
                                <w:i/>
                                <w:sz w:val="28"/>
                                <w:szCs w:val="28"/>
                              </w:rPr>
                            </m:ctrlPr>
                          </m:dPr>
                          <m:e>
                            <m:sSup>
                              <m:sSupPr>
                                <m:ctrlPr>
                                  <w:rPr>
                                    <w:rFonts w:ascii="Cambria Math" w:hAnsi="Cambria Math" w:cstheme="minorBidi"/>
                                    <w:i/>
                                    <w:iCs/>
                                    <w:sz w:val="28"/>
                                    <w:szCs w:val="28"/>
                                  </w:rPr>
                                </m:ctrlPr>
                              </m:sSupPr>
                              <m:e>
                                <m:d>
                                  <m:dPr>
                                    <m:ctrlPr>
                                      <w:rPr>
                                        <w:rFonts w:ascii="Cambria Math" w:hAnsi="Cambria Math" w:cstheme="minorBidi"/>
                                        <w:i/>
                                        <w:iCs/>
                                        <w:sz w:val="28"/>
                                        <w:szCs w:val="28"/>
                                      </w:rPr>
                                    </m:ctrlPr>
                                  </m:dPr>
                                  <m:e>
                                    <m:func>
                                      <m:funcPr>
                                        <m:ctrlPr>
                                          <w:rPr>
                                            <w:rFonts w:ascii="Cambria Math" w:hAnsi="Cambria Math" w:cstheme="minorBidi"/>
                                            <w:i/>
                                            <w:iCs/>
                                            <w:sz w:val="28"/>
                                            <w:szCs w:val="28"/>
                                            <w:lang w:val="en-US"/>
                                          </w:rPr>
                                        </m:ctrlPr>
                                      </m:funcPr>
                                      <m:fName>
                                        <m:sSub>
                                          <m:sSubPr>
                                            <m:ctrlPr>
                                              <w:rPr>
                                                <w:rFonts w:ascii="Cambria Math" w:hAnsi="Cambria Math" w:cstheme="minorBidi"/>
                                                <w:i/>
                                                <w:iCs/>
                                                <w:sz w:val="28"/>
                                                <w:szCs w:val="28"/>
                                                <w:lang w:val="en-US"/>
                                              </w:rPr>
                                            </m:ctrlPr>
                                          </m:sSubPr>
                                          <m:e>
                                            <m:r>
                                              <w:rPr>
                                                <w:rFonts w:ascii="Cambria Math" w:hAnsi="Cambria Math" w:cstheme="minorBidi"/>
                                                <w:sz w:val="28"/>
                                                <w:szCs w:val="28"/>
                                                <w:lang w:val="en-US"/>
                                              </w:rPr>
                                              <m:rPr/>
                                              <m:t>log</m:t>
                                            </m:r>
                                          </m:e>
                                          <m:sub>
                                            <m:sSup>
                                              <m:sSupPr>
                                                <m:ctrlPr>
                                                  <w:rPr>
                                                    <w:rFonts w:ascii="Cambria Math" w:hAnsi="Cambria Math" w:cstheme="minorBidi"/>
                                                    <w:i/>
                                                    <w:iCs/>
                                                    <w:sz w:val="28"/>
                                                    <w:szCs w:val="28"/>
                                                  </w:rPr>
                                                </m:ctrlPr>
                                              </m:sSupPr>
                                              <m:e>
                                                <m:r>
                                                  <w:rPr>
                                                    <w:rFonts w:ascii="Cambria Math" w:hAnsi="Cambria Math" w:cstheme="minorBidi"/>
                                                    <w:sz w:val="28"/>
                                                    <w:szCs w:val="28"/>
                                                  </w:rPr>
                                                  <m:rPr/>
                                                  <m:t>10</m:t>
                                                </m:r>
                                              </m:e>
                                              <m:sup>
                                                <m:r>
                                                  <w:rPr>
                                                    <w:rFonts w:ascii="Cambria Math" w:hAnsi="Cambria Math" w:cstheme="minorBidi"/>
                                                    <w:sz w:val="28"/>
                                                    <w:szCs w:val="28"/>
                                                  </w:rPr>
                                                  <m:rPr/>
                                                  <m:t>8</m:t>
                                                </m:r>
                                              </m:sup>
                                            </m:sSup>
                                          </m:sub>
                                        </m:sSub>
                                      </m:fName>
                                      <m:e>
                                        <m:d>
                                          <m:dPr>
                                            <m:ctrlPr>
                                              <w:rPr>
                                                <w:rFonts w:ascii="Cambria Math" w:hAnsi="Cambria Math" w:cstheme="minorBidi"/>
                                                <w:i/>
                                                <w:iCs/>
                                                <w:sz w:val="28"/>
                                                <w:szCs w:val="28"/>
                                              </w:rPr>
                                            </m:ctrlPr>
                                          </m:dPr>
                                          <m:e>
                                            <m:r>
                                              <w:rPr>
                                                <w:rFonts w:ascii="Cambria Math" w:hAnsi="Cambria Math" w:cstheme="minorBidi"/>
                                                <w:sz w:val="28"/>
                                                <w:szCs w:val="28"/>
                                              </w:rPr>
                                              <m:rPr/>
                                              <m:t>КО+1</m:t>
                                            </m:r>
                                          </m:e>
                                        </m:d>
                                      </m:e>
                                    </m:func>
                                  </m:e>
                                </m:d>
                              </m:e>
                              <m:sup>
                                <m:r>
                                  <w:rPr>
                                    <w:rFonts w:ascii="Cambria Math" w:hAnsi="Cambria Math" w:cstheme="minorBidi"/>
                                    <w:sz w:val="28"/>
                                    <w:szCs w:val="28"/>
                                  </w:rPr>
                                  <m:rPr/>
                                  <m:t>8</m:t>
                                </m:r>
                              </m:sup>
                            </m:sSup>
                            <m:r>
                              <w:rPr>
                                <w:rFonts w:ascii="Cambria Math" w:hAnsi="Cambria Math" w:cstheme="minorBidi"/>
                                <w:sz w:val="28"/>
                                <w:szCs w:val="28"/>
                              </w:rPr>
                              <m:rPr/>
                              <m:t>+1</m:t>
                            </m:r>
                          </m:e>
                        </m:d>
                      </m:e>
                    </m:d>
                  </m:e>
                  <m:sup>
                    <m:r>
                      <w:rPr>
                        <w:rFonts w:ascii="Cambria Math" w:hAnsi="Cambria Math" w:cstheme="minorBidi"/>
                        <w:sz w:val="28"/>
                        <w:szCs w:val="28"/>
                      </w:rPr>
                      <m:rPr/>
                      <m:t>3</m:t>
                    </m:r>
                  </m:sup>
                </m:sSup>
                <m:r>
                  <w:rPr>
                    <w:rFonts w:ascii="Cambria Math" w:hAnsi="Cambria Math" w:cstheme="minorBidi"/>
                    <w:sz w:val="28"/>
                    <w:szCs w:val="28"/>
                  </w:rPr>
                  <m:rPr/>
                  <m:t>-1</m:t>
                </m:r>
              </m:sup>
            </m:sSup>
          </m:sup>
        </m:sSup>
        <m:r>
          <w:rPr>
            <w:rFonts w:ascii="Cambria Math" w:hAnsi="Cambria Math"/>
            <w:sz w:val="28"/>
            <w:szCs w:val="28"/>
          </w:rPr>
          <m:rPr/>
          <m:t>*</m:t>
        </m:r>
        <m:sSup>
          <m:sSupPr>
            <m:ctrlPr>
              <w:rPr>
                <w:rFonts w:ascii="Cambria Math" w:hAnsi="Cambria Math" w:cstheme="minorBidi"/>
                <w:i/>
                <w:iCs/>
                <w:sz w:val="28"/>
                <w:szCs w:val="28"/>
                <w:lang w:val="en-US"/>
              </w:rPr>
            </m:ctrlPr>
          </m:sSupPr>
          <m:e>
            <m:r>
              <w:rPr>
                <w:rFonts w:ascii="Cambria Math" w:hAnsi="Cambria Math" w:cstheme="minorBidi"/>
                <w:sz w:val="28"/>
                <w:szCs w:val="28"/>
                <w:lang w:val="en-US"/>
              </w:rPr>
              <m:rPr/>
              <m:t>e</m:t>
            </m:r>
          </m:e>
          <m:sup>
            <m:sSup>
              <m:sSupPr>
                <m:ctrlPr>
                  <w:rPr>
                    <w:rFonts w:ascii="Cambria Math" w:hAnsi="Cambria Math" w:cstheme="minorBidi"/>
                    <w:i/>
                    <w:iCs/>
                    <w:sz w:val="28"/>
                    <w:szCs w:val="28"/>
                    <w:lang w:val="en-US"/>
                  </w:rPr>
                </m:ctrlPr>
              </m:sSupPr>
              <m:e>
                <m:r>
                  <w:rPr>
                    <w:rFonts w:ascii="Cambria Math" w:hAnsi="Cambria Math" w:cstheme="minorBidi"/>
                    <w:sz w:val="28"/>
                    <w:szCs w:val="28"/>
                  </w:rPr>
                  <m:rPr/>
                  <m:t>-0,1</m:t>
                </m:r>
              </m:e>
              <m:sup>
                <m:sSup>
                  <m:sSupPr>
                    <m:ctrlPr>
                      <w:rPr>
                        <w:rFonts w:ascii="Cambria Math" w:hAnsi="Cambria Math" w:cstheme="minorBidi"/>
                        <w:i/>
                        <w:iCs/>
                        <w:sz w:val="28"/>
                        <w:szCs w:val="28"/>
                        <w:lang w:val="en-US"/>
                      </w:rPr>
                    </m:ctrlPr>
                  </m:sSupPr>
                  <m:e>
                    <m:d>
                      <m:dPr>
                        <m:ctrlPr>
                          <w:rPr>
                            <w:rFonts w:ascii="Cambria Math" w:hAnsi="Cambria Math" w:cstheme="minorBidi"/>
                            <w:i/>
                            <w:iCs/>
                            <w:sz w:val="28"/>
                            <w:szCs w:val="28"/>
                            <w:lang w:val="en-US"/>
                          </w:rPr>
                        </m:ctrlPr>
                      </m:dPr>
                      <m:e>
                        <m:r>
                          <w:rPr>
                            <w:rFonts w:ascii="Cambria Math" w:hAnsi="Cambria Math" w:cstheme="minorBidi"/>
                            <w:sz w:val="28"/>
                            <w:szCs w:val="28"/>
                          </w:rPr>
                          <m:rPr/>
                          <m:t>1,4*</m:t>
                        </m:r>
                        <m:d>
                          <m:dPr>
                            <m:ctrlPr>
                              <w:rPr>
                                <w:rFonts w:ascii="Cambria Math" w:hAnsi="Cambria Math" w:cstheme="minorBidi"/>
                                <w:i/>
                                <w:iCs/>
                                <w:sz w:val="28"/>
                                <w:szCs w:val="28"/>
                              </w:rPr>
                            </m:ctrlPr>
                          </m:dPr>
                          <m:e>
                            <m:f>
                              <m:fPr>
                                <m:type m:val="lin"/>
                                <m:ctrlPr>
                                  <w:rPr>
                                    <w:rFonts w:ascii="Cambria Math" w:hAnsi="Cambria Math" w:cstheme="minorBidi"/>
                                    <w:i/>
                                    <w:iCs/>
                                    <w:sz w:val="28"/>
                                    <w:szCs w:val="28"/>
                                  </w:rPr>
                                </m:ctrlPr>
                              </m:fPr>
                              <m:num>
                                <m:r>
                                  <w:rPr>
                                    <w:rFonts w:ascii="Cambria Math" w:hAnsi="Cambria Math" w:cstheme="minorBidi"/>
                                    <w:sz w:val="28"/>
                                    <w:szCs w:val="28"/>
                                  </w:rPr>
                                  <m:rPr/>
                                  <m:t>(КО+0,1)</m:t>
                                </m:r>
                              </m:num>
                              <m:den>
                                <m:r>
                                  <w:rPr>
                                    <w:rFonts w:ascii="Cambria Math" w:hAnsi="Cambria Math" w:cstheme="minorBidi"/>
                                    <w:sz w:val="28"/>
                                    <w:szCs w:val="28"/>
                                  </w:rPr>
                                  <m:rPr/>
                                  <m:t>(V+0,1)</m:t>
                                </m:r>
                              </m:den>
                            </m:f>
                          </m:e>
                        </m:d>
                        <m:r>
                          <w:rPr>
                            <w:rFonts w:ascii="Cambria Math" w:hAnsi="Cambria Math" w:cstheme="minorBidi"/>
                            <w:sz w:val="28"/>
                            <w:szCs w:val="28"/>
                          </w:rPr>
                          <m:rPr/>
                          <m:t>+2,14</m:t>
                        </m:r>
                      </m:e>
                    </m:d>
                  </m:e>
                  <m:sup>
                    <m:r>
                      <w:rPr>
                        <w:rFonts w:ascii="Cambria Math" w:hAnsi="Cambria Math" w:cstheme="minorBidi"/>
                        <w:sz w:val="28"/>
                        <w:szCs w:val="28"/>
                      </w:rPr>
                      <m:rPr/>
                      <m:t>3</m:t>
                    </m:r>
                  </m:sup>
                </m:sSup>
                <m:r>
                  <w:rPr>
                    <w:rFonts w:ascii="Cambria Math" w:hAnsi="Cambria Math" w:cstheme="minorBidi"/>
                    <w:sz w:val="28"/>
                    <w:szCs w:val="28"/>
                  </w:rPr>
                  <m:rPr/>
                  <m:t>-10</m:t>
                </m:r>
              </m:sup>
            </m:sSup>
          </m:sup>
        </m:sSup>
      </m:oMath>
      <w:r>
        <w:rPr>
          <w:sz w:val="28"/>
          <w:szCs w:val="28"/>
        </w:rPr>
      </w:r>
      <w:r>
        <w:rPr>
          <w:sz w:val="28"/>
          <w:szCs w:val="28"/>
        </w:rPr>
      </w:r>
    </w:p>
    <w:p>
      <w:pPr>
        <w:pStyle w:val="1352"/>
      </w:pPr>
      <w:r/>
      <w:r/>
    </w:p>
  </w:footnote>
  <w:footnote w:id="4">
    <w:p>
      <w:pPr>
        <w:pStyle w:val="1362"/>
        <w:spacing w:before="0" w:beforeAutospacing="0" w:after="0" w:afterAutospacing="0"/>
        <w:rPr>
          <w:sz w:val="28"/>
          <w:szCs w:val="28"/>
        </w:rPr>
      </w:pPr>
      <w:r>
        <w:rPr>
          <w:rStyle w:val="1354"/>
        </w:rPr>
        <w:footnoteRef/>
      </w:r>
      <w:r>
        <w:t xml:space="preserve"> </w:t>
      </w:r>
      <m:oMath>
        <m:sSub>
          <m:sSubPr>
            <m:ctrlPr>
              <w:rPr>
                <w:rFonts w:ascii="Cambria Math" w:hAnsi="Cambria Math" w:cstheme="minorBidi"/>
                <w:b/>
                <w:bCs/>
                <w:i/>
                <w:iCs/>
                <w:sz w:val="28"/>
                <w:szCs w:val="28"/>
              </w:rPr>
            </m:ctrlPr>
          </m:sSubPr>
          <m:e>
            <m:r>
              <w:rPr>
                <w:rFonts w:ascii="Cambria Math" w:hAnsi="Cambria Math" w:cstheme="minorBidi"/>
                <w:sz w:val="28"/>
                <w:szCs w:val="28"/>
              </w:rPr>
              <m:rPr>
                <m:sty m:val="bi"/>
              </m:rPr>
              <m:t>К</m:t>
            </m:r>
          </m:e>
          <m:sub>
            <m:r>
              <w:rPr>
                <w:rFonts w:ascii="Cambria Math" w:hAnsi="Cambria Math" w:cstheme="minorBidi"/>
                <w:sz w:val="28"/>
                <w:szCs w:val="28"/>
              </w:rPr>
              <m:rPr>
                <m:sty m:val="bi"/>
              </m:rPr>
              <m:t>ФП</m:t>
            </m:r>
          </m:sub>
        </m:sSub>
        <m:r>
          <w:rPr>
            <w:rFonts w:ascii="Cambria Math" w:hAnsi="Cambria Math" w:cstheme="minorBidi"/>
            <w:sz w:val="28"/>
            <w:szCs w:val="28"/>
          </w:rPr>
          <m:rPr>
            <m:sty m:val="p"/>
          </m:rPr>
          <m:t>=</m:t>
        </m:r>
        <m:sSup>
          <m:sSupPr>
            <m:ctrlPr>
              <w:rPr>
                <w:rFonts w:ascii="Cambria Math" w:hAnsi="Cambria Math" w:cstheme="minorBidi"/>
                <w:i/>
                <w:iCs/>
                <w:sz w:val="28"/>
                <w:szCs w:val="28"/>
              </w:rPr>
            </m:ctrlPr>
          </m:sSupPr>
          <m:e>
            <m:r>
              <w:rPr>
                <w:rFonts w:ascii="Cambria Math" w:hAnsi="Cambria Math" w:cstheme="minorBidi"/>
                <w:sz w:val="28"/>
                <w:szCs w:val="28"/>
                <w:lang w:val="en-US"/>
              </w:rPr>
              <m:rPr/>
              <m:t>e</m:t>
            </m:r>
          </m:e>
          <m:sup>
            <m:sSup>
              <m:sSupPr>
                <m:ctrlPr>
                  <w:rPr>
                    <w:rFonts w:ascii="Cambria Math" w:hAnsi="Cambria Math" w:cstheme="minorBidi"/>
                    <w:i/>
                    <w:iCs/>
                    <w:sz w:val="28"/>
                    <w:szCs w:val="28"/>
                  </w:rPr>
                </m:ctrlPr>
              </m:sSupPr>
              <m:e>
                <m:r>
                  <w:rPr>
                    <w:rFonts w:ascii="Cambria Math" w:hAnsi="Cambria Math" w:cstheme="minorBidi"/>
                    <w:sz w:val="28"/>
                    <w:szCs w:val="28"/>
                  </w:rPr>
                  <m:rPr/>
                  <m:t>-0,01</m:t>
                </m:r>
              </m:e>
              <m:sup>
                <m:rad>
                  <m:radPr>
                    <m:degHide m:val="off"/>
                    <m:ctrlPr>
                      <w:rPr>
                        <w:rFonts w:ascii="Cambria Math" w:hAnsi="Cambria Math" w:cstheme="minorBidi"/>
                        <w:i/>
                        <w:iCs/>
                        <w:sz w:val="28"/>
                        <w:szCs w:val="28"/>
                      </w:rPr>
                    </m:ctrlPr>
                  </m:radPr>
                  <m:deg>
                    <m:r>
                      <w:rPr>
                        <w:rFonts w:ascii="Cambria Math" w:hAnsi="Cambria Math" w:cstheme="minorBidi"/>
                        <w:sz w:val="28"/>
                        <w:szCs w:val="28"/>
                      </w:rPr>
                      <m:rPr/>
                      <m:t>3</m:t>
                    </m:r>
                  </m:deg>
                  <m:e>
                    <m:func>
                      <m:funcPr>
                        <m:ctrlPr>
                          <w:rPr>
                            <w:rFonts w:ascii="Cambria Math" w:hAnsi="Cambria Math" w:cstheme="minorBidi"/>
                            <w:i/>
                            <w:iCs/>
                            <w:sz w:val="28"/>
                            <w:szCs w:val="28"/>
                            <w:lang w:val="en-US"/>
                          </w:rPr>
                        </m:ctrlPr>
                      </m:funcPr>
                      <m:fName>
                        <m:sSub>
                          <m:sSubPr>
                            <m:ctrlPr>
                              <w:rPr>
                                <w:rFonts w:ascii="Cambria Math" w:hAnsi="Cambria Math" w:cstheme="minorBidi"/>
                                <w:i/>
                                <w:iCs/>
                                <w:sz w:val="28"/>
                                <w:szCs w:val="28"/>
                                <w:lang w:val="en-US"/>
                              </w:rPr>
                            </m:ctrlPr>
                          </m:sSubPr>
                          <m:e>
                            <m:r>
                              <w:rPr>
                                <w:rFonts w:ascii="Cambria Math" w:hAnsi="Cambria Math" w:cstheme="minorBidi"/>
                                <w:sz w:val="28"/>
                                <w:szCs w:val="28"/>
                                <w:lang w:val="en-US"/>
                              </w:rPr>
                              <m:rPr/>
                              <m:t>log</m:t>
                            </m:r>
                          </m:e>
                          <m:sub>
                            <m:r>
                              <w:rPr>
                                <w:rFonts w:ascii="Cambria Math" w:hAnsi="Cambria Math" w:cstheme="minorBidi"/>
                                <w:sz w:val="28"/>
                                <w:szCs w:val="28"/>
                              </w:rPr>
                              <m:rPr/>
                              <m:t>(</m:t>
                            </m:r>
                            <m:sSub>
                              <m:sSubPr>
                                <m:ctrlPr>
                                  <w:rPr>
                                    <w:rFonts w:ascii="Cambria Math" w:hAnsi="Cambria Math" w:cstheme="minorBidi"/>
                                    <w:i/>
                                    <w:sz w:val="28"/>
                                    <w:szCs w:val="28"/>
                                  </w:rPr>
                                </m:ctrlPr>
                              </m:sSubPr>
                              <m:e>
                                <m:r>
                                  <w:rPr>
                                    <w:rFonts w:ascii="Cambria Math" w:hAnsi="Cambria Math" w:cstheme="minorBidi"/>
                                    <w:sz w:val="28"/>
                                    <w:szCs w:val="28"/>
                                  </w:rPr>
                                  <m:rPr/>
                                  <m:t>N</m:t>
                                </m:r>
                              </m:e>
                              <m:sub>
                                <m:r>
                                  <w:rPr>
                                    <w:rFonts w:ascii="Cambria Math" w:hAnsi="Cambria Math" w:cstheme="minorBidi"/>
                                    <w:sz w:val="28"/>
                                    <w:szCs w:val="28"/>
                                  </w:rPr>
                                  <m:rPr/>
                                  <m:t>i</m:t>
                                </m:r>
                              </m:sub>
                            </m:sSub>
                            <m:r>
                              <w:rPr>
                                <w:rFonts w:ascii="Cambria Math" w:hAnsi="Cambria Math" w:cstheme="minorBidi"/>
                                <w:sz w:val="28"/>
                                <w:szCs w:val="28"/>
                              </w:rPr>
                              <m:rPr/>
                              <m:t>/</m:t>
                            </m:r>
                            <m:sSub>
                              <m:sSubPr>
                                <m:ctrlPr>
                                  <w:rPr>
                                    <w:rFonts w:ascii="Cambria Math" w:hAnsi="Cambria Math" w:cstheme="minorBidi"/>
                                    <w:i/>
                                    <w:sz w:val="28"/>
                                    <w:szCs w:val="28"/>
                                  </w:rPr>
                                </m:ctrlPr>
                              </m:sSubPr>
                              <m:e>
                                <m:r>
                                  <w:rPr>
                                    <w:rFonts w:ascii="Cambria Math" w:hAnsi="Cambria Math" w:cstheme="minorBidi"/>
                                    <w:sz w:val="28"/>
                                    <w:szCs w:val="28"/>
                                  </w:rPr>
                                  <m:rPr/>
                                  <m:t>S</m:t>
                                </m:r>
                              </m:e>
                              <m:sub>
                                <m:r>
                                  <w:rPr>
                                    <w:rFonts w:ascii="Cambria Math" w:hAnsi="Cambria Math" w:cstheme="minorBidi"/>
                                    <w:sz w:val="28"/>
                                    <w:szCs w:val="28"/>
                                  </w:rPr>
                                  <m:rPr/>
                                  <m:t>y</m:t>
                                </m:r>
                              </m:sub>
                            </m:sSub>
                            <m:r>
                              <w:rPr>
                                <w:rFonts w:ascii="Cambria Math" w:hAnsi="Cambria Math" w:cstheme="minorBidi"/>
                                <w:sz w:val="28"/>
                                <w:szCs w:val="28"/>
                              </w:rPr>
                              <m:rPr/>
                              <m:t>+2)</m:t>
                            </m:r>
                          </m:sub>
                        </m:sSub>
                      </m:fName>
                      <m:e>
                        <m:r>
                          <w:rPr>
                            <w:rFonts w:ascii="Cambria Math" w:hAnsi="Cambria Math" w:cstheme="minorBidi"/>
                            <w:sz w:val="28"/>
                            <w:szCs w:val="28"/>
                          </w:rPr>
                          <m:rPr/>
                          <m:t>(</m:t>
                        </m:r>
                        <m:sSub>
                          <m:sSubPr>
                            <m:ctrlPr>
                              <w:rPr>
                                <w:rFonts w:ascii="Cambria Math" w:hAnsi="Cambria Math" w:cstheme="minorBidi"/>
                                <w:i/>
                                <w:sz w:val="28"/>
                                <w:szCs w:val="28"/>
                              </w:rPr>
                            </m:ctrlPr>
                          </m:sSubPr>
                          <m:e>
                            <m:r>
                              <w:rPr>
                                <w:rFonts w:ascii="Cambria Math" w:hAnsi="Cambria Math" w:cstheme="minorBidi"/>
                                <w:sz w:val="28"/>
                                <w:szCs w:val="28"/>
                                <w:lang w:val="en-US"/>
                              </w:rPr>
                              <m:rPr/>
                              <m:t>V</m:t>
                            </m:r>
                          </m:e>
                          <m:sub>
                            <m:r>
                              <w:rPr>
                                <w:rFonts w:ascii="Cambria Math" w:hAnsi="Cambria Math" w:cstheme="minorBidi"/>
                                <w:sz w:val="28"/>
                                <w:szCs w:val="28"/>
                              </w:rPr>
                              <m:rPr/>
                              <m:t>ср</m:t>
                            </m:r>
                          </m:sub>
                        </m:sSub>
                        <m:r>
                          <w:rPr>
                            <w:rFonts w:ascii="Cambria Math" w:hAnsi="Cambria Math" w:cstheme="minorBidi"/>
                            <w:sz w:val="28"/>
                            <w:szCs w:val="28"/>
                          </w:rPr>
                          <m:rPr/>
                          <m:t>+1)</m:t>
                        </m:r>
                      </m:e>
                    </m:func>
                    <m:r>
                      <w:rPr>
                        <w:rFonts w:ascii="Cambria Math" w:hAnsi="Cambria Math" w:cstheme="minorBidi"/>
                        <w:sz w:val="28"/>
                        <w:szCs w:val="28"/>
                      </w:rPr>
                      <m:rPr/>
                      <m:t> -1</m:t>
                    </m:r>
                  </m:e>
                </m:rad>
              </m:sup>
            </m:sSup>
          </m:sup>
        </m:sSup>
      </m:oMath>
      <w:r>
        <w:rPr>
          <w:sz w:val="28"/>
          <w:szCs w:val="28"/>
        </w:rPr>
      </w:r>
      <w:r>
        <w:rPr>
          <w:sz w:val="28"/>
          <w:szCs w:val="28"/>
        </w:rPr>
      </w:r>
    </w:p>
    <w:p>
      <w:pPr>
        <w:pStyle w:val="1352"/>
      </w:pPr>
      <w:r/>
      <w:r/>
    </w:p>
  </w:footnote>
  <w:footnote w:id="5">
    <w:p>
      <w:pPr>
        <w:pStyle w:val="1362"/>
        <w:spacing w:before="0" w:beforeAutospacing="0" w:after="0" w:afterAutospacing="0"/>
        <w:rPr>
          <w:sz w:val="28"/>
          <w:szCs w:val="28"/>
        </w:rPr>
      </w:pPr>
      <w:r>
        <w:rPr>
          <w:rStyle w:val="1354"/>
        </w:rPr>
        <w:footnoteRef/>
      </w:r>
      <w:r>
        <w:t xml:space="preserve"> </w:t>
      </w:r>
      <m:oMath>
        <m:sSub>
          <m:sSubPr>
            <m:ctrlPr>
              <w:rPr>
                <w:rFonts w:ascii="Cambria Math" w:hAnsi="Cambria Math" w:cstheme="minorBidi"/>
                <w:i/>
                <w:iCs/>
                <w:sz w:val="28"/>
                <w:szCs w:val="28"/>
              </w:rPr>
            </m:ctrlPr>
          </m:sSubPr>
          <m:e>
            <m:r>
              <w:rPr>
                <w:rFonts w:ascii="Cambria Math" w:hAnsi="Cambria Math" w:cstheme="minorBidi"/>
                <w:sz w:val="28"/>
                <w:szCs w:val="28"/>
              </w:rPr>
              <m:rPr/>
              <m:t>К</m:t>
            </m:r>
          </m:e>
          <m:sub>
            <m:r>
              <w:rPr>
                <w:rFonts w:ascii="Cambria Math" w:hAnsi="Cambria Math" w:cstheme="minorBidi"/>
                <w:sz w:val="28"/>
                <w:szCs w:val="28"/>
              </w:rPr>
              <m:rPr/>
              <m:t>ОС</m:t>
            </m:r>
          </m:sub>
        </m:sSub>
        <m:r>
          <w:rPr>
            <w:rFonts w:ascii="Cambria Math" w:hAnsi="Cambria Math" w:cstheme="minorBidi"/>
            <w:sz w:val="28"/>
            <w:szCs w:val="28"/>
          </w:rPr>
          <m:rPr>
            <m:sty m:val="p"/>
          </m:rPr>
          <m:t>=</m:t>
        </m:r>
        <m:rad>
          <m:radPr>
            <m:degHide m:val="on"/>
            <m:ctrlPr>
              <w:rPr>
                <w:rFonts w:ascii="Cambria Math" w:hAnsi="Cambria Math" w:cstheme="minorBidi"/>
                <w:sz w:val="28"/>
                <w:szCs w:val="28"/>
              </w:rPr>
            </m:ctrlPr>
          </m:radPr>
          <m:deg>
            <m:r>
              <w:rPr>
                <w:rFonts w:ascii="Cambria Math" w:hAnsi="Cambria Math" w:eastAsia="Cambria Math" w:cs="Cambria Math"/>
              </w:rPr>
              <m:rPr/>
              <m:t/>
            </m:r>
          </m:deg>
          <m:e>
            <m:sSup>
              <m:sSupPr>
                <m:ctrlPr>
                  <w:rPr>
                    <w:rFonts w:ascii="Cambria Math" w:hAnsi="Cambria Math" w:cstheme="minorBidi"/>
                    <w:i/>
                    <w:iCs/>
                    <w:sz w:val="28"/>
                    <w:szCs w:val="28"/>
                  </w:rPr>
                </m:ctrlPr>
              </m:sSupPr>
              <m:e>
                <m:r>
                  <w:rPr>
                    <w:rFonts w:ascii="Cambria Math" w:hAnsi="Cambria Math" w:cstheme="minorBidi"/>
                    <w:sz w:val="28"/>
                    <w:szCs w:val="28"/>
                    <w:lang w:val="en-US"/>
                  </w:rPr>
                  <m:rPr/>
                  <m:t>e</m:t>
                </m:r>
              </m:e>
              <m:sup>
                <m:sSup>
                  <m:sSupPr>
                    <m:ctrlPr>
                      <w:rPr>
                        <w:rFonts w:ascii="Cambria Math" w:hAnsi="Cambria Math" w:cstheme="minorBidi"/>
                        <w:i/>
                        <w:iCs/>
                        <w:sz w:val="28"/>
                        <w:szCs w:val="28"/>
                      </w:rPr>
                    </m:ctrlPr>
                  </m:sSupPr>
                  <m:e>
                    <m:r>
                      <w:rPr>
                        <w:rFonts w:ascii="Cambria Math" w:hAnsi="Cambria Math" w:cstheme="minorBidi"/>
                        <w:sz w:val="28"/>
                        <w:szCs w:val="28"/>
                      </w:rPr>
                      <m:rPr/>
                      <m:t>-0,01</m:t>
                    </m:r>
                  </m:e>
                  <m:sup>
                    <m:r>
                      <w:rPr>
                        <w:rFonts w:ascii="Cambria Math" w:hAnsi="Cambria Math" w:cstheme="minorBidi"/>
                        <w:sz w:val="28"/>
                        <w:szCs w:val="28"/>
                      </w:rPr>
                      <m:rPr/>
                      <m:t>0,7-2,2*</m:t>
                    </m:r>
                    <m:d>
                      <m:dPr>
                        <m:ctrlPr>
                          <w:rPr>
                            <w:rFonts w:ascii="Cambria Math" w:hAnsi="Cambria Math" w:cstheme="minorBidi"/>
                            <w:i/>
                            <w:iCs/>
                            <w:sz w:val="28"/>
                            <w:szCs w:val="28"/>
                          </w:rPr>
                        </m:ctrlPr>
                      </m:dPr>
                      <m:e>
                        <m:func>
                          <m:funcPr>
                            <m:ctrlPr>
                              <w:rPr>
                                <w:rFonts w:ascii="Cambria Math" w:hAnsi="Cambria Math" w:cstheme="minorBidi"/>
                                <w:i/>
                                <w:iCs/>
                                <w:sz w:val="28"/>
                                <w:szCs w:val="28"/>
                                <w:lang w:val="en-US"/>
                              </w:rPr>
                            </m:ctrlPr>
                          </m:funcPr>
                          <m:fName>
                            <m:sSub>
                              <m:sSubPr>
                                <m:ctrlPr>
                                  <w:rPr>
                                    <w:rFonts w:ascii="Cambria Math" w:hAnsi="Cambria Math" w:cstheme="minorBidi"/>
                                    <w:i/>
                                    <w:iCs/>
                                    <w:sz w:val="28"/>
                                    <w:szCs w:val="28"/>
                                    <w:lang w:val="en-US"/>
                                  </w:rPr>
                                </m:ctrlPr>
                              </m:sSubPr>
                              <m:e>
                                <m:r>
                                  <w:rPr>
                                    <w:rFonts w:ascii="Cambria Math" w:hAnsi="Cambria Math" w:cstheme="minorBidi"/>
                                    <w:sz w:val="28"/>
                                    <w:szCs w:val="28"/>
                                    <w:lang w:val="en-US"/>
                                  </w:rPr>
                                  <m:rPr/>
                                  <m:t>log</m:t>
                                </m:r>
                              </m:e>
                              <m:sub>
                                <m:d>
                                  <m:dPr>
                                    <m:ctrlPr>
                                      <w:rPr>
                                        <w:rFonts w:ascii="Cambria Math" w:hAnsi="Cambria Math" w:cstheme="minorBidi"/>
                                        <w:i/>
                                        <w:iCs/>
                                        <w:sz w:val="28"/>
                                        <w:szCs w:val="28"/>
                                      </w:rPr>
                                    </m:ctrlPr>
                                  </m:dPr>
                                  <m:e>
                                    <m:r>
                                      <w:rPr>
                                        <w:rFonts w:ascii="Cambria Math" w:hAnsi="Cambria Math" w:cstheme="minorBidi"/>
                                        <w:sz w:val="28"/>
                                        <w:szCs w:val="28"/>
                                      </w:rPr>
                                      <m:rPr/>
                                      <m:t>ОС+2</m:t>
                                    </m:r>
                                  </m:e>
                                </m:d>
                              </m:sub>
                            </m:sSub>
                          </m:fName>
                          <m:e>
                            <m:d>
                              <m:dPr>
                                <m:ctrlPr>
                                  <w:rPr>
                                    <w:rFonts w:ascii="Cambria Math" w:hAnsi="Cambria Math" w:cstheme="minorBidi"/>
                                    <w:i/>
                                    <w:iCs/>
                                    <w:sz w:val="28"/>
                                    <w:szCs w:val="28"/>
                                  </w:rPr>
                                </m:ctrlPr>
                              </m:dPr>
                              <m:e>
                                <m:sSub>
                                  <m:sSubPr>
                                    <m:ctrlPr>
                                      <w:rPr>
                                        <w:rFonts w:ascii="Cambria Math" w:hAnsi="Cambria Math" w:cstheme="minorBidi"/>
                                        <w:i/>
                                        <w:iCs/>
                                        <w:sz w:val="28"/>
                                        <w:szCs w:val="28"/>
                                        <w:lang w:val="en-US"/>
                                      </w:rPr>
                                    </m:ctrlPr>
                                  </m:sSubPr>
                                  <m:e>
                                    <m:r>
                                      <w:rPr>
                                        <w:rFonts w:ascii="Cambria Math" w:hAnsi="Cambria Math" w:cstheme="minorBidi"/>
                                        <w:sz w:val="28"/>
                                        <w:szCs w:val="28"/>
                                        <w:lang w:val="en-US"/>
                                      </w:rPr>
                                      <m:rPr/>
                                      <m:t>V</m:t>
                                    </m:r>
                                  </m:e>
                                  <m:sub>
                                    <m:r>
                                      <w:rPr>
                                        <w:rFonts w:ascii="Cambria Math" w:hAnsi="Cambria Math" w:cstheme="minorBidi"/>
                                        <w:sz w:val="28"/>
                                        <w:szCs w:val="28"/>
                                      </w:rPr>
                                      <m:rPr/>
                                      <m:t>ср</m:t>
                                    </m:r>
                                  </m:sub>
                                </m:sSub>
                                <m:r>
                                  <w:rPr>
                                    <w:rFonts w:ascii="Cambria Math" w:hAnsi="Cambria Math" w:cstheme="minorBidi"/>
                                    <w:sz w:val="28"/>
                                    <w:szCs w:val="28"/>
                                  </w:rPr>
                                  <m:rPr/>
                                  <m:t>+1</m:t>
                                </m:r>
                              </m:e>
                            </m:d>
                          </m:e>
                        </m:func>
                        <m:r>
                          <w:rPr>
                            <w:rFonts w:ascii="Cambria Math" w:hAnsi="Cambria Math" w:cstheme="minorBidi"/>
                            <w:sz w:val="28"/>
                            <w:szCs w:val="28"/>
                          </w:rPr>
                          <m:rPr/>
                          <m:t>-1</m:t>
                        </m:r>
                      </m:e>
                    </m:d>
                  </m:sup>
                </m:sSup>
              </m:sup>
            </m:sSup>
            <m:r>
              <w:rPr>
                <w:rFonts w:ascii="Cambria Math" w:hAnsi="Cambria Math" w:cstheme="minorBidi"/>
                <w:sz w:val="28"/>
                <w:szCs w:val="28"/>
              </w:rPr>
              <m:rPr/>
              <m:t>*</m:t>
            </m:r>
            <m:sSup>
              <m:sSupPr>
                <m:ctrlPr>
                  <w:rPr>
                    <w:rFonts w:ascii="Cambria Math" w:hAnsi="Cambria Math" w:cstheme="minorBidi"/>
                    <w:i/>
                    <w:iCs/>
                    <w:sz w:val="28"/>
                    <w:szCs w:val="28"/>
                  </w:rPr>
                </m:ctrlPr>
              </m:sSupPr>
              <m:e>
                <m:r>
                  <w:rPr>
                    <w:rFonts w:ascii="Cambria Math" w:hAnsi="Cambria Math" w:cstheme="minorBidi"/>
                    <w:sz w:val="28"/>
                    <w:szCs w:val="28"/>
                    <w:lang w:val="en-US"/>
                  </w:rPr>
                  <m:rPr/>
                  <m:t>e</m:t>
                </m:r>
              </m:e>
              <m:sup>
                <m:sSup>
                  <m:sSupPr>
                    <m:ctrlPr>
                      <w:rPr>
                        <w:rFonts w:ascii="Cambria Math" w:hAnsi="Cambria Math" w:cstheme="minorBidi"/>
                        <w:i/>
                        <w:iCs/>
                        <w:sz w:val="28"/>
                        <w:szCs w:val="28"/>
                      </w:rPr>
                    </m:ctrlPr>
                  </m:sSupPr>
                  <m:e>
                    <m:r>
                      <w:rPr>
                        <w:rFonts w:ascii="Cambria Math" w:hAnsi="Cambria Math" w:cstheme="minorBidi"/>
                        <w:sz w:val="28"/>
                        <w:szCs w:val="28"/>
                      </w:rPr>
                      <m:rPr/>
                      <m:t>-0,1</m:t>
                    </m:r>
                  </m:e>
                  <m:sup>
                    <m:rad>
                      <m:radPr>
                        <m:degHide m:val="off"/>
                        <m:ctrlPr>
                          <w:rPr>
                            <w:rFonts w:ascii="Cambria Math" w:hAnsi="Cambria Math" w:cstheme="minorBidi"/>
                            <w:i/>
                            <w:iCs/>
                            <w:sz w:val="28"/>
                            <w:szCs w:val="28"/>
                          </w:rPr>
                        </m:ctrlPr>
                      </m:radPr>
                      <m:deg>
                        <m:r>
                          <w:rPr>
                            <w:rFonts w:ascii="Cambria Math" w:hAnsi="Cambria Math" w:cstheme="minorBidi"/>
                            <w:sz w:val="28"/>
                            <w:szCs w:val="28"/>
                          </w:rPr>
                          <m:rPr/>
                          <m:t>3</m:t>
                        </m:r>
                      </m:deg>
                      <m:e>
                        <m:r>
                          <w:rPr>
                            <w:rFonts w:ascii="Cambria Math" w:hAnsi="Cambria Math" w:cstheme="minorBidi"/>
                            <w:sz w:val="28"/>
                            <w:szCs w:val="28"/>
                          </w:rPr>
                          <m:rPr/>
                          <m:t>2*</m:t>
                        </m:r>
                        <m:d>
                          <m:dPr>
                            <m:ctrlPr>
                              <w:rPr>
                                <w:rFonts w:ascii="Cambria Math" w:hAnsi="Cambria Math" w:cstheme="minorBidi"/>
                                <w:i/>
                                <w:iCs/>
                                <w:sz w:val="28"/>
                                <w:szCs w:val="28"/>
                              </w:rPr>
                            </m:ctrlPr>
                          </m:dPr>
                          <m:e>
                            <m:func>
                              <m:funcPr>
                                <m:ctrlPr>
                                  <w:rPr>
                                    <w:rFonts w:ascii="Cambria Math" w:hAnsi="Cambria Math" w:cstheme="minorBidi"/>
                                    <w:i/>
                                    <w:iCs/>
                                    <w:sz w:val="28"/>
                                    <w:szCs w:val="28"/>
                                    <w:lang w:val="en-US"/>
                                  </w:rPr>
                                </m:ctrlPr>
                              </m:funcPr>
                              <m:fName>
                                <m:sSub>
                                  <m:sSubPr>
                                    <m:ctrlPr>
                                      <w:rPr>
                                        <w:rFonts w:ascii="Cambria Math" w:hAnsi="Cambria Math" w:cstheme="minorBidi"/>
                                        <w:i/>
                                        <w:iCs/>
                                        <w:sz w:val="28"/>
                                        <w:szCs w:val="28"/>
                                        <w:lang w:val="en-US"/>
                                      </w:rPr>
                                    </m:ctrlPr>
                                  </m:sSubPr>
                                  <m:e>
                                    <m:r>
                                      <w:rPr>
                                        <w:rFonts w:ascii="Cambria Math" w:hAnsi="Cambria Math" w:cstheme="minorBidi"/>
                                        <w:sz w:val="28"/>
                                        <w:szCs w:val="28"/>
                                        <w:lang w:val="en-US"/>
                                      </w:rPr>
                                      <m:rPr/>
                                      <m:t>log</m:t>
                                    </m:r>
                                  </m:e>
                                  <m:sub>
                                    <m:sSup>
                                      <m:sSupPr>
                                        <m:ctrlPr>
                                          <w:rPr>
                                            <w:rFonts w:ascii="Cambria Math" w:hAnsi="Cambria Math" w:cstheme="minorBidi"/>
                                            <w:i/>
                                            <w:iCs/>
                                            <w:sz w:val="28"/>
                                            <w:szCs w:val="28"/>
                                            <w:lang w:val="en-US"/>
                                          </w:rPr>
                                        </m:ctrlPr>
                                      </m:sSupPr>
                                      <m:e>
                                        <m:r>
                                          <w:rPr>
                                            <w:rFonts w:ascii="Cambria Math" w:hAnsi="Cambria Math" w:cstheme="minorBidi"/>
                                            <w:sz w:val="28"/>
                                            <w:szCs w:val="28"/>
                                          </w:rPr>
                                          <m:rPr/>
                                          <m:t>10</m:t>
                                        </m:r>
                                      </m:e>
                                      <m:sup>
                                        <m:r>
                                          <w:rPr>
                                            <w:rFonts w:ascii="Cambria Math" w:hAnsi="Cambria Math" w:cstheme="minorBidi"/>
                                            <w:sz w:val="28"/>
                                            <w:szCs w:val="28"/>
                                          </w:rPr>
                                          <m:rPr/>
                                          <m:t>6</m:t>
                                        </m:r>
                                      </m:sup>
                                    </m:sSup>
                                  </m:sub>
                                </m:sSub>
                              </m:fName>
                              <m:e>
                                <m:r>
                                  <w:rPr>
                                    <w:rFonts w:ascii="Cambria Math" w:hAnsi="Cambria Math" w:cstheme="minorBidi"/>
                                    <w:sz w:val="28"/>
                                    <w:szCs w:val="28"/>
                                  </w:rPr>
                                  <m:rPr/>
                                  <m:t>(ОС+1)</m:t>
                                </m:r>
                              </m:e>
                            </m:func>
                            <m:r>
                              <w:rPr>
                                <w:rFonts w:ascii="Cambria Math" w:hAnsi="Cambria Math" w:cstheme="minorBidi"/>
                                <w:sz w:val="28"/>
                                <w:szCs w:val="28"/>
                              </w:rPr>
                              <m:rPr/>
                              <m:t>-1</m:t>
                            </m:r>
                          </m:e>
                        </m:d>
                      </m:e>
                    </m:rad>
                  </m:sup>
                </m:sSup>
              </m:sup>
            </m:sSup>
          </m:e>
        </m:rad>
      </m:oMath>
      <w:r>
        <w:rPr>
          <w:sz w:val="28"/>
          <w:szCs w:val="28"/>
        </w:rPr>
      </w:r>
      <w:r>
        <w:rPr>
          <w:sz w:val="28"/>
          <w:szCs w:val="28"/>
        </w:rPr>
      </w:r>
    </w:p>
    <w:p>
      <w:pPr>
        <w:pStyle w:val="1352"/>
      </w:pPr>
      <w:r/>
      <w:r/>
    </w:p>
  </w:footnote>
  <w:footnote w:id="6">
    <w:p>
      <w:pPr>
        <w:jc w:val="both"/>
        <w:spacing w:after="0" w:line="240" w:lineRule="auto"/>
        <w:rPr>
          <w:rFonts w:ascii="Times New Roman" w:hAnsi="Times New Roman"/>
          <w:sz w:val="16"/>
          <w:szCs w:val="16"/>
        </w:rPr>
      </w:pPr>
      <w:r>
        <w:rPr>
          <w:rStyle w:val="1354"/>
        </w:rPr>
        <w:footnoteRef/>
      </w:r>
      <w:r>
        <w:t xml:space="preserve">    </w:t>
      </w:r>
      <w:r>
        <w:rPr>
          <w:rFonts w:ascii="Times New Roman" w:hAnsi="Times New Roman"/>
          <w:sz w:val="16"/>
          <w:szCs w:val="16"/>
        </w:rPr>
        <w:t xml:space="preserve">Документы для определения показателя «</w:t>
      </w:r>
      <w:r>
        <w:rPr>
          <w:rFonts w:ascii="Times New Roman" w:hAnsi="Times New Roman"/>
          <w:sz w:val="16"/>
          <w:szCs w:val="16"/>
        </w:rPr>
        <w:t xml:space="preserve">V» представляются за три последних отчетных календарных года, предшествующие дате опубликования Извещения, документы для определения остальных показателей, представляются за последний отчетный календарный года, предшествующий дате опубликования Извещения. </w:t>
      </w:r>
      <w:r>
        <w:rPr>
          <w:rFonts w:ascii="Times New Roman" w:hAnsi="Times New Roman"/>
          <w:sz w:val="16"/>
          <w:szCs w:val="16"/>
        </w:rPr>
      </w:r>
      <w:r>
        <w:rPr>
          <w:rFonts w:ascii="Times New Roman" w:hAnsi="Times New Roman"/>
          <w:sz w:val="16"/>
          <w:szCs w:val="16"/>
        </w:rPr>
      </w:r>
    </w:p>
    <w:p>
      <w:pPr>
        <w:ind w:firstLine="284"/>
        <w:jc w:val="both"/>
        <w:spacing w:after="0" w:line="240" w:lineRule="auto"/>
        <w:rPr>
          <w:rFonts w:ascii="Times New Roman" w:hAnsi="Times New Roman"/>
          <w:sz w:val="16"/>
          <w:szCs w:val="16"/>
        </w:rPr>
      </w:pPr>
      <w:r>
        <w:rPr>
          <w:rFonts w:ascii="Times New Roman" w:hAnsi="Times New Roman"/>
          <w:sz w:val="16"/>
          <w:szCs w:val="16"/>
        </w:rPr>
        <w:t xml:space="preserve">Сведения из бухгалтерского баланса и отчета о финансовых результатах вносятся Участником в соответствующие поля электронной формы заявк</w:t>
      </w:r>
      <w:r>
        <w:rPr>
          <w:rFonts w:ascii="Times New Roman" w:hAnsi="Times New Roman"/>
          <w:sz w:val="16"/>
          <w:szCs w:val="16"/>
        </w:rPr>
        <w:t xml:space="preserve">и на ЭП. Значения должны строго соответствовать данным бухгалтерской отчетности, содержащимся в государственном информационном ресурсе бухгалтерской (финансовой) отчетности (оператором которого является ФНС России). В случае выявления расхождений между зна</w:t>
      </w:r>
      <w:bookmarkStart w:id="0" w:name="undefined"/>
      <w:r/>
      <w:bookmarkEnd w:id="0"/>
      <w:r>
        <w:rPr>
          <w:rFonts w:ascii="Times New Roman" w:hAnsi="Times New Roman"/>
          <w:sz w:val="16"/>
          <w:szCs w:val="16"/>
        </w:rPr>
        <w:t xml:space="preserve">чениями, указанными в Заявке Участника, и сведениями, размещенными на официальном сайте ФНС России, Участник обязан одновременно с подачей Заявки предоставить копии документов, подтверждающих направление исправлен</w:t>
      </w:r>
      <w:r>
        <w:rPr>
          <w:rFonts w:ascii="Times New Roman" w:hAnsi="Times New Roman"/>
          <w:sz w:val="16"/>
          <w:szCs w:val="16"/>
        </w:rPr>
        <w:t xml:space="preserve">ной бухгалтерской (финансовой) отчетности в налоговый орган (квитанция о приеме электронного документа, опись вложения и почтовая квитанция при подаче на бумажном носителе), содержащих отметку налогового органа о получении либо подтверждение отправки. При </w:t>
      </w:r>
      <w:r>
        <w:rPr>
          <w:rFonts w:ascii="Times New Roman" w:hAnsi="Times New Roman"/>
          <w:sz w:val="16"/>
          <w:szCs w:val="16"/>
        </w:rPr>
        <w:t xml:space="preserve">непредоставлении</w:t>
      </w:r>
      <w:r>
        <w:rPr>
          <w:rFonts w:ascii="Times New Roman" w:hAnsi="Times New Roman"/>
          <w:sz w:val="16"/>
          <w:szCs w:val="16"/>
        </w:rPr>
        <w:t xml:space="preserve"> указанных обосновывающих документов сведения, содержащие расхождения, к оценке не принимаются. В этом случае Участнику Закупки присваивается 0 (ноль) баллов по подкритерию оценки, расчет по которому производится с использованием данных сведений.</w:t>
      </w:r>
      <w:r>
        <w:rPr>
          <w:rFonts w:ascii="Times New Roman" w:hAnsi="Times New Roman"/>
          <w:sz w:val="16"/>
          <w:szCs w:val="16"/>
        </w:rPr>
      </w:r>
      <w:r>
        <w:rPr>
          <w:rFonts w:ascii="Times New Roman" w:hAnsi="Times New Roman"/>
          <w:sz w:val="16"/>
          <w:szCs w:val="16"/>
        </w:rPr>
      </w:r>
    </w:p>
    <w:p>
      <w:pPr>
        <w:ind w:firstLine="284"/>
        <w:jc w:val="both"/>
        <w:spacing w:after="0" w:line="240" w:lineRule="auto"/>
        <w:rPr>
          <w:rFonts w:ascii="Times New Roman" w:hAnsi="Times New Roman" w:eastAsia="Times New Roman"/>
          <w:sz w:val="16"/>
          <w:szCs w:val="16"/>
          <w:lang w:eastAsia="ru-RU"/>
        </w:rPr>
      </w:pPr>
      <w:r>
        <w:rPr>
          <w:rFonts w:ascii="Times New Roman" w:hAnsi="Times New Roman" w:eastAsia="Times New Roman"/>
          <w:sz w:val="16"/>
          <w:szCs w:val="16"/>
          <w:lang w:eastAsia="ru-RU"/>
        </w:rPr>
        <w:t xml:space="preserve">В случае если Участник создан в течение трех лет, предшествующих дате опубликования Извещения, в связи с чем у него объективно отсутствует бухгалтерская (финансовая) отчетность за все требуемые периоды, обяз</w:t>
      </w:r>
      <w:r>
        <w:rPr>
          <w:rFonts w:ascii="Times New Roman" w:hAnsi="Times New Roman" w:eastAsia="Times New Roman"/>
          <w:sz w:val="16"/>
          <w:szCs w:val="16"/>
          <w:lang w:eastAsia="ru-RU"/>
        </w:rPr>
        <w:t xml:space="preserve">анность по предоставлению документов и сведений за отсутствующие периоды на данного Участника не распространяется. При этом такому Участнику начисляется балл по подкритерию оценки в соответствии с документами и сведениями за фактически имеющиеся периоды.  </w:t>
      </w:r>
      <w:r>
        <w:rPr>
          <w:rFonts w:ascii="Times New Roman" w:hAnsi="Times New Roman" w:eastAsia="Times New Roman"/>
          <w:sz w:val="16"/>
          <w:szCs w:val="16"/>
          <w:lang w:eastAsia="ru-RU"/>
        </w:rPr>
      </w:r>
      <w:r>
        <w:rPr>
          <w:rFonts w:ascii="Times New Roman" w:hAnsi="Times New Roman" w:eastAsia="Times New Roman"/>
          <w:sz w:val="16"/>
          <w:szCs w:val="16"/>
          <w:lang w:eastAsia="ru-RU"/>
        </w:rPr>
      </w:r>
    </w:p>
    <w:p>
      <w:pPr>
        <w:pStyle w:val="1352"/>
      </w:pPr>
      <w:r/>
      <w:r/>
      <w:r/>
    </w:p>
  </w:footnote>
  <w:footnote w:id="7">
    <w:p>
      <w:pPr>
        <w:pStyle w:val="1352"/>
        <w:rPr>
          <w:rFonts w:ascii="Times New Roman" w:hAnsi="Times New Roman"/>
          <w:sz w:val="16"/>
          <w:szCs w:val="16"/>
        </w:rPr>
      </w:pPr>
      <w:r>
        <w:rPr>
          <w:rStyle w:val="1354"/>
          <w:rFonts w:ascii="Times New Roman" w:hAnsi="Times New Roman"/>
          <w:sz w:val="16"/>
          <w:szCs w:val="16"/>
        </w:rPr>
        <w:footnoteRef/>
      </w:r>
      <w:r>
        <w:rPr>
          <w:rFonts w:ascii="Times New Roman" w:hAnsi="Times New Roman"/>
          <w:sz w:val="16"/>
          <w:szCs w:val="16"/>
        </w:rPr>
        <w:t xml:space="preserve"> Согласно письму Минфина России от 16.04.2018 № 02-06-10/25658.</w:t>
      </w:r>
      <w:r>
        <w:rPr>
          <w:rFonts w:ascii="Times New Roman" w:hAnsi="Times New Roman"/>
          <w:sz w:val="16"/>
          <w:szCs w:val="16"/>
        </w:rPr>
      </w:r>
      <w:r>
        <w:rPr>
          <w:rFonts w:ascii="Times New Roman" w:hAnsi="Times New Roman"/>
          <w:sz w:val="16"/>
          <w:szCs w:val="16"/>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45"/>
      <w:jc w:val="right"/>
      <w:rPr>
        <w:rFonts w:ascii="Times New Roman" w:hAnsi="Times New Roman"/>
        <w:bCs/>
        <w:i/>
        <w:sz w:val="20"/>
        <w:szCs w:val="20"/>
      </w:rPr>
    </w:pPr>
    <w:r>
      <w:rPr>
        <w:rFonts w:ascii="Times New Roman" w:hAnsi="Times New Roman"/>
        <w:i/>
        <w:sz w:val="20"/>
        <w:szCs w:val="20"/>
      </w:rPr>
      <w:t xml:space="preserve">Приложение 3 </w:t>
    </w:r>
    <w:r>
      <w:rPr>
        <w:rFonts w:ascii="Times New Roman" w:hAnsi="Times New Roman"/>
        <w:bCs/>
        <w:i/>
        <w:sz w:val="20"/>
        <w:szCs w:val="20"/>
      </w:rPr>
    </w:r>
    <w:r>
      <w:rPr>
        <w:rFonts w:ascii="Times New Roman" w:hAnsi="Times New Roman"/>
        <w:bCs/>
        <w:i/>
        <w:sz w:val="20"/>
        <w:szCs w:val="20"/>
      </w:rPr>
    </w:r>
  </w:p>
  <w:p>
    <w:pPr>
      <w:pStyle w:val="1345"/>
      <w:jc w:val="right"/>
    </w:pPr>
    <w:r>
      <w:rPr>
        <w:rFonts w:ascii="Times New Roman" w:hAnsi="Times New Roman"/>
        <w:i/>
        <w:sz w:val="20"/>
        <w:szCs w:val="20"/>
      </w:rPr>
      <w:t xml:space="preserve">к Документации</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987" w:hanging="42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bullet"/>
      <w:isLgl w:val="false"/>
      <w:suff w:val="tab"/>
      <w:lvlText w:val=""/>
      <w:lvlJc w:val="left"/>
      <w:pPr>
        <w:ind w:left="720" w:hanging="360"/>
      </w:pPr>
      <w:rPr>
        <w:rFonts w:hint="default" w:ascii="Symbol" w:hAnsi="Symbol" w:eastAsia="Calibri"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1."/>
      <w:lvlJc w:val="left"/>
      <w:pPr>
        <w:ind w:left="1495"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3"/>
      <w:numFmt w:val="decimal"/>
      <w:isLgl w:val="false"/>
      <w:suff w:val="tab"/>
      <w:lvlText w:val="%1."/>
      <w:lvlJc w:val="left"/>
      <w:pPr>
        <w:ind w:left="720" w:hanging="360"/>
      </w:pPr>
      <w:rPr>
        <w:rFonts w:hint="default" w:ascii="Times New Roman"/>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ind w:left="502" w:hanging="360"/>
      </w:pPr>
      <w:rPr>
        <w:rFonts w:hint="default"/>
        <w:sz w:val="24"/>
      </w:rPr>
    </w:lvl>
    <w:lvl w:ilvl="1">
      <w:start w:val="1"/>
      <w:numFmt w:val="lowerLetter"/>
      <w:isLgl w:val="false"/>
      <w:suff w:val="tab"/>
      <w:lvlText w:val="%2."/>
      <w:lvlJc w:val="left"/>
      <w:pPr>
        <w:ind w:left="1222" w:hanging="360"/>
      </w:pPr>
    </w:lvl>
    <w:lvl w:ilvl="2">
      <w:start w:val="1"/>
      <w:numFmt w:val="lowerRoman"/>
      <w:isLgl w:val="false"/>
      <w:suff w:val="tab"/>
      <w:lvlText w:val="%3."/>
      <w:lvlJc w:val="right"/>
      <w:pPr>
        <w:ind w:left="1942" w:hanging="180"/>
      </w:pPr>
    </w:lvl>
    <w:lvl w:ilvl="3">
      <w:start w:val="1"/>
      <w:numFmt w:val="decimal"/>
      <w:isLgl w:val="false"/>
      <w:suff w:val="tab"/>
      <w:lvlText w:val="%4."/>
      <w:lvlJc w:val="left"/>
      <w:pPr>
        <w:ind w:left="2662" w:hanging="360"/>
      </w:pPr>
    </w:lvl>
    <w:lvl w:ilvl="4">
      <w:start w:val="1"/>
      <w:numFmt w:val="lowerLetter"/>
      <w:isLgl w:val="false"/>
      <w:suff w:val="tab"/>
      <w:lvlText w:val="%5."/>
      <w:lvlJc w:val="left"/>
      <w:pPr>
        <w:ind w:left="3382" w:hanging="360"/>
      </w:pPr>
    </w:lvl>
    <w:lvl w:ilvl="5">
      <w:start w:val="1"/>
      <w:numFmt w:val="lowerRoman"/>
      <w:isLgl w:val="false"/>
      <w:suff w:val="tab"/>
      <w:lvlText w:val="%6."/>
      <w:lvlJc w:val="right"/>
      <w:pPr>
        <w:ind w:left="4102" w:hanging="180"/>
      </w:pPr>
    </w:lvl>
    <w:lvl w:ilvl="6">
      <w:start w:val="1"/>
      <w:numFmt w:val="decimal"/>
      <w:isLgl w:val="false"/>
      <w:suff w:val="tab"/>
      <w:lvlText w:val="%7."/>
      <w:lvlJc w:val="left"/>
      <w:pPr>
        <w:ind w:left="4822" w:hanging="360"/>
      </w:pPr>
    </w:lvl>
    <w:lvl w:ilvl="7">
      <w:start w:val="1"/>
      <w:numFmt w:val="lowerLetter"/>
      <w:isLgl w:val="false"/>
      <w:suff w:val="tab"/>
      <w:lvlText w:val="%8."/>
      <w:lvlJc w:val="left"/>
      <w:pPr>
        <w:ind w:left="5542" w:hanging="360"/>
      </w:pPr>
    </w:lvl>
    <w:lvl w:ilvl="8">
      <w:start w:val="1"/>
      <w:numFmt w:val="lowerRoman"/>
      <w:isLgl w:val="false"/>
      <w:suff w:val="tab"/>
      <w:lvlText w:val="%9."/>
      <w:lvlJc w:val="right"/>
      <w:pPr>
        <w:ind w:left="6262" w:hanging="180"/>
      </w:pPr>
    </w:lvl>
  </w:abstractNum>
  <w:abstractNum w:abstractNumId="7">
    <w:multiLevelType w:val="hybridMultilevel"/>
    <w:lvl w:ilvl="0">
      <w:start w:val="1"/>
      <w:numFmt w:val="bullet"/>
      <w:isLgl w:val="false"/>
      <w:suff w:val="tab"/>
      <w:lvlText w:val=""/>
      <w:lvlJc w:val="left"/>
      <w:pPr>
        <w:ind w:left="720" w:hanging="360"/>
      </w:pPr>
      <w:rPr>
        <w:rFonts w:hint="default" w:ascii="Symbol" w:hAnsi="Symbol" w:eastAsia="Calibri"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decimal"/>
      <w:isLgl w:val="false"/>
      <w:suff w:val="tab"/>
      <w:lvlText w:val="%1."/>
      <w:lvlJc w:val="left"/>
      <w:pPr>
        <w:ind w:left="987" w:hanging="42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num w:numId="1">
    <w:abstractNumId w:val="7"/>
  </w:num>
  <w:num w:numId="2">
    <w:abstractNumId w:val="2"/>
  </w:num>
  <w:num w:numId="3">
    <w:abstractNumId w:val="4"/>
  </w:num>
  <w:num w:numId="4">
    <w:abstractNumId w:val="0"/>
  </w:num>
  <w:num w:numId="5">
    <w:abstractNumId w:val="5"/>
  </w:num>
  <w:num w:numId="6">
    <w:abstractNumId w:val="3"/>
  </w:num>
  <w:num w:numId="7">
    <w:abstractNumId w:val="6"/>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154">
    <w:name w:val="Heading 1 Char"/>
    <w:basedOn w:val="1177"/>
    <w:link w:val="1168"/>
    <w:uiPriority w:val="9"/>
    <w:rPr>
      <w:rFonts w:ascii="Arial" w:hAnsi="Arial" w:eastAsia="Arial" w:cs="Arial"/>
      <w:sz w:val="40"/>
      <w:szCs w:val="40"/>
    </w:rPr>
  </w:style>
  <w:style w:type="character" w:styleId="1155">
    <w:name w:val="Heading 2 Char"/>
    <w:basedOn w:val="1177"/>
    <w:link w:val="1169"/>
    <w:uiPriority w:val="9"/>
    <w:rPr>
      <w:rFonts w:ascii="Arial" w:hAnsi="Arial" w:eastAsia="Arial" w:cs="Arial"/>
      <w:sz w:val="34"/>
    </w:rPr>
  </w:style>
  <w:style w:type="character" w:styleId="1156">
    <w:name w:val="Heading 3 Char"/>
    <w:basedOn w:val="1177"/>
    <w:link w:val="1170"/>
    <w:uiPriority w:val="9"/>
    <w:rPr>
      <w:rFonts w:ascii="Arial" w:hAnsi="Arial" w:eastAsia="Arial" w:cs="Arial"/>
      <w:sz w:val="30"/>
      <w:szCs w:val="30"/>
    </w:rPr>
  </w:style>
  <w:style w:type="character" w:styleId="1157">
    <w:name w:val="Heading 4 Char"/>
    <w:basedOn w:val="1177"/>
    <w:link w:val="1171"/>
    <w:uiPriority w:val="9"/>
    <w:rPr>
      <w:rFonts w:ascii="Arial" w:hAnsi="Arial" w:eastAsia="Arial" w:cs="Arial"/>
      <w:b/>
      <w:bCs/>
      <w:sz w:val="26"/>
      <w:szCs w:val="26"/>
    </w:rPr>
  </w:style>
  <w:style w:type="character" w:styleId="1158">
    <w:name w:val="Heading 5 Char"/>
    <w:basedOn w:val="1177"/>
    <w:link w:val="1172"/>
    <w:uiPriority w:val="9"/>
    <w:rPr>
      <w:rFonts w:ascii="Arial" w:hAnsi="Arial" w:eastAsia="Arial" w:cs="Arial"/>
      <w:b/>
      <w:bCs/>
      <w:sz w:val="24"/>
      <w:szCs w:val="24"/>
    </w:rPr>
  </w:style>
  <w:style w:type="character" w:styleId="1159">
    <w:name w:val="Heading 6 Char"/>
    <w:basedOn w:val="1177"/>
    <w:link w:val="1173"/>
    <w:uiPriority w:val="9"/>
    <w:rPr>
      <w:rFonts w:ascii="Arial" w:hAnsi="Arial" w:eastAsia="Arial" w:cs="Arial"/>
      <w:b/>
      <w:bCs/>
      <w:sz w:val="22"/>
      <w:szCs w:val="22"/>
    </w:rPr>
  </w:style>
  <w:style w:type="character" w:styleId="1160">
    <w:name w:val="Heading 7 Char"/>
    <w:basedOn w:val="1177"/>
    <w:link w:val="1174"/>
    <w:uiPriority w:val="9"/>
    <w:rPr>
      <w:rFonts w:ascii="Arial" w:hAnsi="Arial" w:eastAsia="Arial" w:cs="Arial"/>
      <w:b/>
      <w:bCs/>
      <w:i/>
      <w:iCs/>
      <w:sz w:val="22"/>
      <w:szCs w:val="22"/>
    </w:rPr>
  </w:style>
  <w:style w:type="character" w:styleId="1161">
    <w:name w:val="Heading 8 Char"/>
    <w:basedOn w:val="1177"/>
    <w:link w:val="1175"/>
    <w:uiPriority w:val="9"/>
    <w:rPr>
      <w:rFonts w:ascii="Arial" w:hAnsi="Arial" w:eastAsia="Arial" w:cs="Arial"/>
      <w:i/>
      <w:iCs/>
      <w:sz w:val="22"/>
      <w:szCs w:val="22"/>
    </w:rPr>
  </w:style>
  <w:style w:type="character" w:styleId="1162">
    <w:name w:val="Heading 9 Char"/>
    <w:basedOn w:val="1177"/>
    <w:link w:val="1176"/>
    <w:uiPriority w:val="9"/>
    <w:rPr>
      <w:rFonts w:ascii="Arial" w:hAnsi="Arial" w:eastAsia="Arial" w:cs="Arial"/>
      <w:i/>
      <w:iCs/>
      <w:sz w:val="21"/>
      <w:szCs w:val="21"/>
    </w:rPr>
  </w:style>
  <w:style w:type="character" w:styleId="1163">
    <w:name w:val="Title Char"/>
    <w:basedOn w:val="1177"/>
    <w:link w:val="1190"/>
    <w:uiPriority w:val="10"/>
    <w:rPr>
      <w:sz w:val="48"/>
      <w:szCs w:val="48"/>
    </w:rPr>
  </w:style>
  <w:style w:type="character" w:styleId="1164">
    <w:name w:val="Subtitle Char"/>
    <w:basedOn w:val="1177"/>
    <w:link w:val="1192"/>
    <w:uiPriority w:val="11"/>
    <w:rPr>
      <w:sz w:val="24"/>
      <w:szCs w:val="24"/>
    </w:rPr>
  </w:style>
  <w:style w:type="character" w:styleId="1165">
    <w:name w:val="Quote Char"/>
    <w:link w:val="1194"/>
    <w:uiPriority w:val="29"/>
    <w:rPr>
      <w:i/>
    </w:rPr>
  </w:style>
  <w:style w:type="character" w:styleId="1166">
    <w:name w:val="Intense Quote Char"/>
    <w:link w:val="1196"/>
    <w:uiPriority w:val="30"/>
    <w:rPr>
      <w:i/>
    </w:rPr>
  </w:style>
  <w:style w:type="paragraph" w:styleId="1167" w:default="1">
    <w:name w:val="Normal"/>
    <w:qFormat/>
    <w:pPr>
      <w:spacing w:after="200" w:line="276" w:lineRule="auto"/>
    </w:pPr>
    <w:rPr>
      <w:sz w:val="22"/>
      <w:szCs w:val="22"/>
      <w:lang w:eastAsia="en-US"/>
    </w:rPr>
  </w:style>
  <w:style w:type="paragraph" w:styleId="1168">
    <w:name w:val="Heading 1"/>
    <w:basedOn w:val="1167"/>
    <w:next w:val="1167"/>
    <w:link w:val="1180"/>
    <w:uiPriority w:val="9"/>
    <w:qFormat/>
    <w:pPr>
      <w:keepLines/>
      <w:keepNext/>
      <w:spacing w:before="480"/>
      <w:outlineLvl w:val="0"/>
    </w:pPr>
    <w:rPr>
      <w:rFonts w:ascii="Arial" w:hAnsi="Arial" w:eastAsia="Arial" w:cs="Arial"/>
      <w:sz w:val="40"/>
      <w:szCs w:val="40"/>
    </w:rPr>
  </w:style>
  <w:style w:type="paragraph" w:styleId="1169">
    <w:name w:val="Heading 2"/>
    <w:basedOn w:val="1167"/>
    <w:next w:val="1167"/>
    <w:link w:val="1181"/>
    <w:uiPriority w:val="9"/>
    <w:unhideWhenUsed/>
    <w:qFormat/>
    <w:pPr>
      <w:keepLines/>
      <w:keepNext/>
      <w:spacing w:before="360"/>
      <w:outlineLvl w:val="1"/>
    </w:pPr>
    <w:rPr>
      <w:rFonts w:ascii="Arial" w:hAnsi="Arial" w:eastAsia="Arial" w:cs="Arial"/>
      <w:sz w:val="34"/>
    </w:rPr>
  </w:style>
  <w:style w:type="paragraph" w:styleId="1170">
    <w:name w:val="Heading 3"/>
    <w:basedOn w:val="1167"/>
    <w:next w:val="1167"/>
    <w:link w:val="1182"/>
    <w:uiPriority w:val="9"/>
    <w:unhideWhenUsed/>
    <w:qFormat/>
    <w:pPr>
      <w:keepLines/>
      <w:keepNext/>
      <w:spacing w:before="320"/>
      <w:outlineLvl w:val="2"/>
    </w:pPr>
    <w:rPr>
      <w:rFonts w:ascii="Arial" w:hAnsi="Arial" w:eastAsia="Arial" w:cs="Arial"/>
      <w:sz w:val="30"/>
      <w:szCs w:val="30"/>
    </w:rPr>
  </w:style>
  <w:style w:type="paragraph" w:styleId="1171">
    <w:name w:val="Heading 4"/>
    <w:basedOn w:val="1167"/>
    <w:next w:val="1167"/>
    <w:link w:val="1183"/>
    <w:uiPriority w:val="9"/>
    <w:unhideWhenUsed/>
    <w:qFormat/>
    <w:pPr>
      <w:keepLines/>
      <w:keepNext/>
      <w:spacing w:before="320"/>
      <w:outlineLvl w:val="3"/>
    </w:pPr>
    <w:rPr>
      <w:rFonts w:ascii="Arial" w:hAnsi="Arial" w:eastAsia="Arial" w:cs="Arial"/>
      <w:b/>
      <w:bCs/>
      <w:sz w:val="26"/>
      <w:szCs w:val="26"/>
    </w:rPr>
  </w:style>
  <w:style w:type="paragraph" w:styleId="1172">
    <w:name w:val="Heading 5"/>
    <w:basedOn w:val="1167"/>
    <w:next w:val="1167"/>
    <w:link w:val="1184"/>
    <w:uiPriority w:val="9"/>
    <w:unhideWhenUsed/>
    <w:qFormat/>
    <w:pPr>
      <w:keepLines/>
      <w:keepNext/>
      <w:spacing w:before="320"/>
      <w:outlineLvl w:val="4"/>
    </w:pPr>
    <w:rPr>
      <w:rFonts w:ascii="Arial" w:hAnsi="Arial" w:eastAsia="Arial" w:cs="Arial"/>
      <w:b/>
      <w:bCs/>
      <w:sz w:val="24"/>
      <w:szCs w:val="24"/>
    </w:rPr>
  </w:style>
  <w:style w:type="paragraph" w:styleId="1173">
    <w:name w:val="Heading 6"/>
    <w:basedOn w:val="1167"/>
    <w:next w:val="1167"/>
    <w:link w:val="1185"/>
    <w:uiPriority w:val="9"/>
    <w:unhideWhenUsed/>
    <w:qFormat/>
    <w:pPr>
      <w:keepLines/>
      <w:keepNext/>
      <w:spacing w:before="320"/>
      <w:outlineLvl w:val="5"/>
    </w:pPr>
    <w:rPr>
      <w:rFonts w:ascii="Arial" w:hAnsi="Arial" w:eastAsia="Arial" w:cs="Arial"/>
      <w:b/>
      <w:bCs/>
    </w:rPr>
  </w:style>
  <w:style w:type="paragraph" w:styleId="1174">
    <w:name w:val="Heading 7"/>
    <w:basedOn w:val="1167"/>
    <w:next w:val="1167"/>
    <w:link w:val="1186"/>
    <w:uiPriority w:val="9"/>
    <w:unhideWhenUsed/>
    <w:qFormat/>
    <w:pPr>
      <w:keepLines/>
      <w:keepNext/>
      <w:spacing w:before="320"/>
      <w:outlineLvl w:val="6"/>
    </w:pPr>
    <w:rPr>
      <w:rFonts w:ascii="Arial" w:hAnsi="Arial" w:eastAsia="Arial" w:cs="Arial"/>
      <w:b/>
      <w:bCs/>
      <w:i/>
      <w:iCs/>
    </w:rPr>
  </w:style>
  <w:style w:type="paragraph" w:styleId="1175">
    <w:name w:val="Heading 8"/>
    <w:basedOn w:val="1167"/>
    <w:next w:val="1167"/>
    <w:link w:val="1187"/>
    <w:uiPriority w:val="9"/>
    <w:unhideWhenUsed/>
    <w:qFormat/>
    <w:pPr>
      <w:keepLines/>
      <w:keepNext/>
      <w:spacing w:before="320"/>
      <w:outlineLvl w:val="7"/>
    </w:pPr>
    <w:rPr>
      <w:rFonts w:ascii="Arial" w:hAnsi="Arial" w:eastAsia="Arial" w:cs="Arial"/>
      <w:i/>
      <w:iCs/>
    </w:rPr>
  </w:style>
  <w:style w:type="paragraph" w:styleId="1176">
    <w:name w:val="Heading 9"/>
    <w:basedOn w:val="1167"/>
    <w:next w:val="1167"/>
    <w:link w:val="1188"/>
    <w:uiPriority w:val="9"/>
    <w:unhideWhenUsed/>
    <w:qFormat/>
    <w:pPr>
      <w:keepLines/>
      <w:keepNext/>
      <w:spacing w:before="320"/>
      <w:outlineLvl w:val="8"/>
    </w:pPr>
    <w:rPr>
      <w:rFonts w:ascii="Arial" w:hAnsi="Arial" w:eastAsia="Arial" w:cs="Arial"/>
      <w:i/>
      <w:iCs/>
      <w:sz w:val="21"/>
      <w:szCs w:val="21"/>
    </w:rPr>
  </w:style>
  <w:style w:type="character" w:styleId="1177" w:default="1">
    <w:name w:val="Default Paragraph Font"/>
    <w:uiPriority w:val="1"/>
    <w:semiHidden/>
    <w:unhideWhenUsed/>
  </w:style>
  <w:style w:type="table" w:styleId="1178" w:default="1">
    <w:name w:val="Normal Table"/>
    <w:uiPriority w:val="99"/>
    <w:semiHidden/>
    <w:unhideWhenUsed/>
    <w:tblPr>
      <w:tblInd w:w="0" w:type="dxa"/>
      <w:tblCellMar>
        <w:left w:w="108" w:type="dxa"/>
        <w:top w:w="0" w:type="dxa"/>
        <w:right w:w="108" w:type="dxa"/>
        <w:bottom w:w="0" w:type="dxa"/>
      </w:tblCellMar>
    </w:tblPr>
  </w:style>
  <w:style w:type="numbering" w:styleId="1179" w:default="1">
    <w:name w:val="No List"/>
    <w:uiPriority w:val="99"/>
    <w:semiHidden/>
    <w:unhideWhenUsed/>
  </w:style>
  <w:style w:type="character" w:styleId="1180" w:customStyle="1">
    <w:name w:val="Заголовок 1 Знак"/>
    <w:basedOn w:val="1177"/>
    <w:link w:val="1168"/>
    <w:uiPriority w:val="9"/>
    <w:rPr>
      <w:rFonts w:ascii="Arial" w:hAnsi="Arial" w:eastAsia="Arial" w:cs="Arial"/>
      <w:sz w:val="40"/>
      <w:szCs w:val="40"/>
    </w:rPr>
  </w:style>
  <w:style w:type="character" w:styleId="1181" w:customStyle="1">
    <w:name w:val="Заголовок 2 Знак"/>
    <w:basedOn w:val="1177"/>
    <w:link w:val="1169"/>
    <w:uiPriority w:val="9"/>
    <w:rPr>
      <w:rFonts w:ascii="Arial" w:hAnsi="Arial" w:eastAsia="Arial" w:cs="Arial"/>
      <w:sz w:val="34"/>
    </w:rPr>
  </w:style>
  <w:style w:type="character" w:styleId="1182" w:customStyle="1">
    <w:name w:val="Заголовок 3 Знак"/>
    <w:basedOn w:val="1177"/>
    <w:link w:val="1170"/>
    <w:uiPriority w:val="9"/>
    <w:rPr>
      <w:rFonts w:ascii="Arial" w:hAnsi="Arial" w:eastAsia="Arial" w:cs="Arial"/>
      <w:sz w:val="30"/>
      <w:szCs w:val="30"/>
    </w:rPr>
  </w:style>
  <w:style w:type="character" w:styleId="1183" w:customStyle="1">
    <w:name w:val="Заголовок 4 Знак"/>
    <w:basedOn w:val="1177"/>
    <w:link w:val="1171"/>
    <w:uiPriority w:val="9"/>
    <w:rPr>
      <w:rFonts w:ascii="Arial" w:hAnsi="Arial" w:eastAsia="Arial" w:cs="Arial"/>
      <w:b/>
      <w:bCs/>
      <w:sz w:val="26"/>
      <w:szCs w:val="26"/>
    </w:rPr>
  </w:style>
  <w:style w:type="character" w:styleId="1184" w:customStyle="1">
    <w:name w:val="Заголовок 5 Знак"/>
    <w:basedOn w:val="1177"/>
    <w:link w:val="1172"/>
    <w:uiPriority w:val="9"/>
    <w:rPr>
      <w:rFonts w:ascii="Arial" w:hAnsi="Arial" w:eastAsia="Arial" w:cs="Arial"/>
      <w:b/>
      <w:bCs/>
      <w:sz w:val="24"/>
      <w:szCs w:val="24"/>
    </w:rPr>
  </w:style>
  <w:style w:type="character" w:styleId="1185" w:customStyle="1">
    <w:name w:val="Заголовок 6 Знак"/>
    <w:basedOn w:val="1177"/>
    <w:link w:val="1173"/>
    <w:uiPriority w:val="9"/>
    <w:rPr>
      <w:rFonts w:ascii="Arial" w:hAnsi="Arial" w:eastAsia="Arial" w:cs="Arial"/>
      <w:b/>
      <w:bCs/>
      <w:sz w:val="22"/>
      <w:szCs w:val="22"/>
    </w:rPr>
  </w:style>
  <w:style w:type="character" w:styleId="1186" w:customStyle="1">
    <w:name w:val="Заголовок 7 Знак"/>
    <w:basedOn w:val="1177"/>
    <w:link w:val="1174"/>
    <w:uiPriority w:val="9"/>
    <w:rPr>
      <w:rFonts w:ascii="Arial" w:hAnsi="Arial" w:eastAsia="Arial" w:cs="Arial"/>
      <w:b/>
      <w:bCs/>
      <w:i/>
      <w:iCs/>
      <w:sz w:val="22"/>
      <w:szCs w:val="22"/>
    </w:rPr>
  </w:style>
  <w:style w:type="character" w:styleId="1187" w:customStyle="1">
    <w:name w:val="Заголовок 8 Знак"/>
    <w:basedOn w:val="1177"/>
    <w:link w:val="1175"/>
    <w:uiPriority w:val="9"/>
    <w:rPr>
      <w:rFonts w:ascii="Arial" w:hAnsi="Arial" w:eastAsia="Arial" w:cs="Arial"/>
      <w:i/>
      <w:iCs/>
      <w:sz w:val="22"/>
      <w:szCs w:val="22"/>
    </w:rPr>
  </w:style>
  <w:style w:type="character" w:styleId="1188" w:customStyle="1">
    <w:name w:val="Заголовок 9 Знак"/>
    <w:basedOn w:val="1177"/>
    <w:link w:val="1176"/>
    <w:uiPriority w:val="9"/>
    <w:rPr>
      <w:rFonts w:ascii="Arial" w:hAnsi="Arial" w:eastAsia="Arial" w:cs="Arial"/>
      <w:i/>
      <w:iCs/>
      <w:sz w:val="21"/>
      <w:szCs w:val="21"/>
    </w:rPr>
  </w:style>
  <w:style w:type="paragraph" w:styleId="1189">
    <w:name w:val="No Spacing"/>
    <w:uiPriority w:val="1"/>
    <w:qFormat/>
  </w:style>
  <w:style w:type="paragraph" w:styleId="1190">
    <w:name w:val="Title"/>
    <w:basedOn w:val="1167"/>
    <w:next w:val="1167"/>
    <w:link w:val="1191"/>
    <w:uiPriority w:val="10"/>
    <w:qFormat/>
    <w:pPr>
      <w:contextualSpacing/>
      <w:spacing w:before="300"/>
    </w:pPr>
    <w:rPr>
      <w:sz w:val="48"/>
      <w:szCs w:val="48"/>
    </w:rPr>
  </w:style>
  <w:style w:type="character" w:styleId="1191" w:customStyle="1">
    <w:name w:val="Название Знак"/>
    <w:basedOn w:val="1177"/>
    <w:link w:val="1190"/>
    <w:uiPriority w:val="10"/>
    <w:rPr>
      <w:sz w:val="48"/>
      <w:szCs w:val="48"/>
    </w:rPr>
  </w:style>
  <w:style w:type="paragraph" w:styleId="1192">
    <w:name w:val="Subtitle"/>
    <w:basedOn w:val="1167"/>
    <w:next w:val="1167"/>
    <w:link w:val="1193"/>
    <w:uiPriority w:val="11"/>
    <w:qFormat/>
    <w:pPr>
      <w:spacing w:before="200"/>
    </w:pPr>
    <w:rPr>
      <w:sz w:val="24"/>
      <w:szCs w:val="24"/>
    </w:rPr>
  </w:style>
  <w:style w:type="character" w:styleId="1193" w:customStyle="1">
    <w:name w:val="Подзаголовок Знак"/>
    <w:basedOn w:val="1177"/>
    <w:link w:val="1192"/>
    <w:uiPriority w:val="11"/>
    <w:rPr>
      <w:sz w:val="24"/>
      <w:szCs w:val="24"/>
    </w:rPr>
  </w:style>
  <w:style w:type="paragraph" w:styleId="1194">
    <w:name w:val="Quote"/>
    <w:basedOn w:val="1167"/>
    <w:next w:val="1167"/>
    <w:link w:val="1195"/>
    <w:uiPriority w:val="29"/>
    <w:qFormat/>
    <w:pPr>
      <w:ind w:left="720" w:right="720"/>
    </w:pPr>
    <w:rPr>
      <w:i/>
    </w:rPr>
  </w:style>
  <w:style w:type="character" w:styleId="1195" w:customStyle="1">
    <w:name w:val="Цитата 2 Знак"/>
    <w:link w:val="1194"/>
    <w:uiPriority w:val="29"/>
    <w:rPr>
      <w:i/>
    </w:rPr>
  </w:style>
  <w:style w:type="paragraph" w:styleId="1196">
    <w:name w:val="Intense Quote"/>
    <w:basedOn w:val="1167"/>
    <w:next w:val="1167"/>
    <w:link w:val="1197"/>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197" w:customStyle="1">
    <w:name w:val="Выделенная цитата Знак"/>
    <w:link w:val="1196"/>
    <w:uiPriority w:val="30"/>
    <w:rPr>
      <w:i/>
    </w:rPr>
  </w:style>
  <w:style w:type="character" w:styleId="1198" w:customStyle="1">
    <w:name w:val="Header Char"/>
    <w:basedOn w:val="1177"/>
    <w:uiPriority w:val="99"/>
  </w:style>
  <w:style w:type="character" w:styleId="1199" w:customStyle="1">
    <w:name w:val="Footer Char"/>
    <w:basedOn w:val="1177"/>
    <w:uiPriority w:val="99"/>
  </w:style>
  <w:style w:type="paragraph" w:styleId="1200">
    <w:name w:val="Caption"/>
    <w:basedOn w:val="1167"/>
    <w:next w:val="1167"/>
    <w:link w:val="1201"/>
    <w:uiPriority w:val="35"/>
    <w:semiHidden/>
    <w:unhideWhenUsed/>
    <w:qFormat/>
    <w:rPr>
      <w:b/>
      <w:bCs/>
      <w:color w:val="4f81bd" w:themeColor="accent1"/>
      <w:sz w:val="18"/>
      <w:szCs w:val="18"/>
    </w:rPr>
  </w:style>
  <w:style w:type="character" w:styleId="1201" w:customStyle="1">
    <w:name w:val="Caption Char"/>
    <w:uiPriority w:val="99"/>
  </w:style>
  <w:style w:type="table" w:styleId="1202" w:customStyle="1">
    <w:name w:val="Table Grid Light"/>
    <w:basedOn w:val="1178"/>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203">
    <w:name w:val="Plain Table 1"/>
    <w:basedOn w:val="1178"/>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204">
    <w:name w:val="Plain Table 2"/>
    <w:basedOn w:val="1178"/>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205">
    <w:name w:val="Plain Table 3"/>
    <w:basedOn w:val="1178"/>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206">
    <w:name w:val="Plain Table 4"/>
    <w:basedOn w:val="1178"/>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207">
    <w:name w:val="Plain Table 5"/>
    <w:basedOn w:val="1178"/>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208">
    <w:name w:val="Grid Table 1 Light"/>
    <w:basedOn w:val="1178"/>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209" w:customStyle="1">
    <w:name w:val="Grid Table 1 Light - Accent 1"/>
    <w:basedOn w:val="1178"/>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1210" w:customStyle="1">
    <w:name w:val="Grid Table 1 Light - Accent 2"/>
    <w:basedOn w:val="1178"/>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1211" w:customStyle="1">
    <w:name w:val="Grid Table 1 Light - Accent 3"/>
    <w:basedOn w:val="1178"/>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1212" w:customStyle="1">
    <w:name w:val="Grid Table 1 Light - Accent 4"/>
    <w:basedOn w:val="1178"/>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1213" w:customStyle="1">
    <w:name w:val="Grid Table 1 Light - Accent 5"/>
    <w:basedOn w:val="1178"/>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1214" w:customStyle="1">
    <w:name w:val="Grid Table 1 Light - Accent 6"/>
    <w:basedOn w:val="1178"/>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1215">
    <w:name w:val="Grid Table 2"/>
    <w:basedOn w:val="1178"/>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216" w:customStyle="1">
    <w:name w:val="Grid Table 2 - Accent 1"/>
    <w:basedOn w:val="1178"/>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1217" w:customStyle="1">
    <w:name w:val="Grid Table 2 - Accent 2"/>
    <w:basedOn w:val="1178"/>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1218" w:customStyle="1">
    <w:name w:val="Grid Table 2 - Accent 3"/>
    <w:basedOn w:val="1178"/>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1219" w:customStyle="1">
    <w:name w:val="Grid Table 2 - Accent 4"/>
    <w:basedOn w:val="1178"/>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1220" w:customStyle="1">
    <w:name w:val="Grid Table 2 - Accent 5"/>
    <w:basedOn w:val="1178"/>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1221" w:customStyle="1">
    <w:name w:val="Grid Table 2 - Accent 6"/>
    <w:basedOn w:val="1178"/>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1222">
    <w:name w:val="Grid Table 3"/>
    <w:basedOn w:val="1178"/>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3" w:customStyle="1">
    <w:name w:val="Grid Table 3 - Accent 1"/>
    <w:basedOn w:val="1178"/>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4" w:customStyle="1">
    <w:name w:val="Grid Table 3 - Accent 2"/>
    <w:basedOn w:val="1178"/>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5" w:customStyle="1">
    <w:name w:val="Grid Table 3 - Accent 3"/>
    <w:basedOn w:val="1178"/>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6" w:customStyle="1">
    <w:name w:val="Grid Table 3 - Accent 4"/>
    <w:basedOn w:val="1178"/>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7" w:customStyle="1">
    <w:name w:val="Grid Table 3 - Accent 5"/>
    <w:basedOn w:val="1178"/>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8" w:customStyle="1">
    <w:name w:val="Grid Table 3 - Accent 6"/>
    <w:basedOn w:val="1178"/>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9">
    <w:name w:val="Grid Table 4"/>
    <w:basedOn w:val="1178"/>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230" w:customStyle="1">
    <w:name w:val="Grid Table 4 - Accent 1"/>
    <w:basedOn w:val="1178"/>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1231" w:customStyle="1">
    <w:name w:val="Grid Table 4 - Accent 2"/>
    <w:basedOn w:val="1178"/>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1232" w:customStyle="1">
    <w:name w:val="Grid Table 4 - Accent 3"/>
    <w:basedOn w:val="1178"/>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1233" w:customStyle="1">
    <w:name w:val="Grid Table 4 - Accent 4"/>
    <w:basedOn w:val="1178"/>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1234" w:customStyle="1">
    <w:name w:val="Grid Table 4 - Accent 5"/>
    <w:basedOn w:val="1178"/>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1235" w:customStyle="1">
    <w:name w:val="Grid Table 4 - Accent 6"/>
    <w:basedOn w:val="1178"/>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1236">
    <w:name w:val="Grid Table 5 Dark"/>
    <w:basedOn w:val="117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1237" w:customStyle="1">
    <w:name w:val="Grid Table 5 Dark- Accent 1"/>
    <w:basedOn w:val="117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1238" w:customStyle="1">
    <w:name w:val="Grid Table 5 Dark - Accent 2"/>
    <w:basedOn w:val="117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1239" w:customStyle="1">
    <w:name w:val="Grid Table 5 Dark - Accent 3"/>
    <w:basedOn w:val="117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1240" w:customStyle="1">
    <w:name w:val="Grid Table 5 Dark- Accent 4"/>
    <w:basedOn w:val="117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1241" w:customStyle="1">
    <w:name w:val="Grid Table 5 Dark - Accent 5"/>
    <w:basedOn w:val="117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1242" w:customStyle="1">
    <w:name w:val="Grid Table 5 Dark - Accent 6"/>
    <w:basedOn w:val="117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1243">
    <w:name w:val="Grid Table 6 Colorful"/>
    <w:basedOn w:val="1178"/>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244" w:customStyle="1">
    <w:name w:val="Grid Table 6 Colorful - Accent 1"/>
    <w:basedOn w:val="1178"/>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1245" w:customStyle="1">
    <w:name w:val="Grid Table 6 Colorful - Accent 2"/>
    <w:basedOn w:val="1178"/>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1246" w:customStyle="1">
    <w:name w:val="Grid Table 6 Colorful - Accent 3"/>
    <w:basedOn w:val="1178"/>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1247" w:customStyle="1">
    <w:name w:val="Grid Table 6 Colorful - Accent 4"/>
    <w:basedOn w:val="1178"/>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1248" w:customStyle="1">
    <w:name w:val="Grid Table 6 Colorful - Accent 5"/>
    <w:basedOn w:val="1178"/>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249" w:customStyle="1">
    <w:name w:val="Grid Table 6 Colorful - Accent 6"/>
    <w:basedOn w:val="1178"/>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250">
    <w:name w:val="Grid Table 7 Colorful"/>
    <w:basedOn w:val="1178"/>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251" w:customStyle="1">
    <w:name w:val="Grid Table 7 Colorful - Accent 1"/>
    <w:basedOn w:val="1178"/>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1252" w:customStyle="1">
    <w:name w:val="Grid Table 7 Colorful - Accent 2"/>
    <w:basedOn w:val="1178"/>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253" w:customStyle="1">
    <w:name w:val="Grid Table 7 Colorful - Accent 3"/>
    <w:basedOn w:val="1178"/>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1254" w:customStyle="1">
    <w:name w:val="Grid Table 7 Colorful - Accent 4"/>
    <w:basedOn w:val="1178"/>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255" w:customStyle="1">
    <w:name w:val="Grid Table 7 Colorful - Accent 5"/>
    <w:basedOn w:val="1178"/>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1256" w:customStyle="1">
    <w:name w:val="Grid Table 7 Colorful - Accent 6"/>
    <w:basedOn w:val="1178"/>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1257">
    <w:name w:val="List Table 1 Light"/>
    <w:basedOn w:val="1178"/>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258" w:customStyle="1">
    <w:name w:val="List Table 1 Light - Accent 1"/>
    <w:basedOn w:val="1178"/>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1259" w:customStyle="1">
    <w:name w:val="List Table 1 Light - Accent 2"/>
    <w:basedOn w:val="1178"/>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1260" w:customStyle="1">
    <w:name w:val="List Table 1 Light - Accent 3"/>
    <w:basedOn w:val="1178"/>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1261" w:customStyle="1">
    <w:name w:val="List Table 1 Light - Accent 4"/>
    <w:basedOn w:val="1178"/>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1262" w:customStyle="1">
    <w:name w:val="List Table 1 Light - Accent 5"/>
    <w:basedOn w:val="1178"/>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263" w:customStyle="1">
    <w:name w:val="List Table 1 Light - Accent 6"/>
    <w:basedOn w:val="1178"/>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264">
    <w:name w:val="List Table 2"/>
    <w:basedOn w:val="1178"/>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265" w:customStyle="1">
    <w:name w:val="List Table 2 - Accent 1"/>
    <w:basedOn w:val="1178"/>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1266" w:customStyle="1">
    <w:name w:val="List Table 2 - Accent 2"/>
    <w:basedOn w:val="1178"/>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1267" w:customStyle="1">
    <w:name w:val="List Table 2 - Accent 3"/>
    <w:basedOn w:val="1178"/>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1268" w:customStyle="1">
    <w:name w:val="List Table 2 - Accent 4"/>
    <w:basedOn w:val="1178"/>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1269" w:customStyle="1">
    <w:name w:val="List Table 2 - Accent 5"/>
    <w:basedOn w:val="1178"/>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1270" w:customStyle="1">
    <w:name w:val="List Table 2 - Accent 6"/>
    <w:basedOn w:val="1178"/>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1271">
    <w:name w:val="List Table 3"/>
    <w:basedOn w:val="1178"/>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272" w:customStyle="1">
    <w:name w:val="List Table 3 - Accent 1"/>
    <w:basedOn w:val="1178"/>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273" w:customStyle="1">
    <w:name w:val="List Table 3 - Accent 2"/>
    <w:basedOn w:val="1178"/>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1274" w:customStyle="1">
    <w:name w:val="List Table 3 - Accent 3"/>
    <w:basedOn w:val="1178"/>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1275" w:customStyle="1">
    <w:name w:val="List Table 3 - Accent 4"/>
    <w:basedOn w:val="1178"/>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1276" w:customStyle="1">
    <w:name w:val="List Table 3 - Accent 5"/>
    <w:basedOn w:val="1178"/>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1277" w:customStyle="1">
    <w:name w:val="List Table 3 - Accent 6"/>
    <w:basedOn w:val="1178"/>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1278">
    <w:name w:val="List Table 4"/>
    <w:basedOn w:val="1178"/>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279" w:customStyle="1">
    <w:name w:val="List Table 4 - Accent 1"/>
    <w:basedOn w:val="1178"/>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280" w:customStyle="1">
    <w:name w:val="List Table 4 - Accent 2"/>
    <w:basedOn w:val="1178"/>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1281" w:customStyle="1">
    <w:name w:val="List Table 4 - Accent 3"/>
    <w:basedOn w:val="1178"/>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1282" w:customStyle="1">
    <w:name w:val="List Table 4 - Accent 4"/>
    <w:basedOn w:val="1178"/>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1283" w:customStyle="1">
    <w:name w:val="List Table 4 - Accent 5"/>
    <w:basedOn w:val="1178"/>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1284" w:customStyle="1">
    <w:name w:val="List Table 4 - Accent 6"/>
    <w:basedOn w:val="1178"/>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1285">
    <w:name w:val="List Table 5 Dark"/>
    <w:basedOn w:val="1178"/>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286" w:customStyle="1">
    <w:name w:val="List Table 5 Dark - Accent 1"/>
    <w:basedOn w:val="1178"/>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1287" w:customStyle="1">
    <w:name w:val="List Table 5 Dark - Accent 2"/>
    <w:basedOn w:val="1178"/>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1288" w:customStyle="1">
    <w:name w:val="List Table 5 Dark - Accent 3"/>
    <w:basedOn w:val="1178"/>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1289" w:customStyle="1">
    <w:name w:val="List Table 5 Dark - Accent 4"/>
    <w:basedOn w:val="1178"/>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1290" w:customStyle="1">
    <w:name w:val="List Table 5 Dark - Accent 5"/>
    <w:basedOn w:val="1178"/>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1291" w:customStyle="1">
    <w:name w:val="List Table 5 Dark - Accent 6"/>
    <w:basedOn w:val="1178"/>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1292">
    <w:name w:val="List Table 6 Colorful"/>
    <w:basedOn w:val="1178"/>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293" w:customStyle="1">
    <w:name w:val="List Table 6 Colorful - Accent 1"/>
    <w:basedOn w:val="1178"/>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294" w:customStyle="1">
    <w:name w:val="List Table 6 Colorful - Accent 2"/>
    <w:basedOn w:val="1178"/>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295" w:customStyle="1">
    <w:name w:val="List Table 6 Colorful - Accent 3"/>
    <w:basedOn w:val="1178"/>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296" w:customStyle="1">
    <w:name w:val="List Table 6 Colorful - Accent 4"/>
    <w:basedOn w:val="1178"/>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297" w:customStyle="1">
    <w:name w:val="List Table 6 Colorful - Accent 5"/>
    <w:basedOn w:val="1178"/>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298" w:customStyle="1">
    <w:name w:val="List Table 6 Colorful - Accent 6"/>
    <w:basedOn w:val="1178"/>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299">
    <w:name w:val="List Table 7 Colorful"/>
    <w:basedOn w:val="1178"/>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300" w:customStyle="1">
    <w:name w:val="List Table 7 Colorful - Accent 1"/>
    <w:basedOn w:val="1178"/>
    <w:uiPriority w:val="99"/>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301" w:customStyle="1">
    <w:name w:val="List Table 7 Colorful - Accent 2"/>
    <w:basedOn w:val="1178"/>
    <w:uiPriority w:val="99"/>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302" w:customStyle="1">
    <w:name w:val="List Table 7 Colorful - Accent 3"/>
    <w:basedOn w:val="1178"/>
    <w:uiPriority w:val="99"/>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1303" w:customStyle="1">
    <w:name w:val="List Table 7 Colorful - Accent 4"/>
    <w:basedOn w:val="1178"/>
    <w:uiPriority w:val="99"/>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304" w:customStyle="1">
    <w:name w:val="List Table 7 Colorful - Accent 5"/>
    <w:basedOn w:val="1178"/>
    <w:uiPriority w:val="99"/>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1305" w:customStyle="1">
    <w:name w:val="List Table 7 Colorful - Accent 6"/>
    <w:basedOn w:val="1178"/>
    <w:uiPriority w:val="99"/>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1306" w:customStyle="1">
    <w:name w:val="Lined - Accent"/>
    <w:basedOn w:val="117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307" w:customStyle="1">
    <w:name w:val="Lined - Accent 1"/>
    <w:basedOn w:val="117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308" w:customStyle="1">
    <w:name w:val="Lined - Accent 2"/>
    <w:basedOn w:val="117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309" w:customStyle="1">
    <w:name w:val="Lined - Accent 3"/>
    <w:basedOn w:val="117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310" w:customStyle="1">
    <w:name w:val="Lined - Accent 4"/>
    <w:basedOn w:val="117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311" w:customStyle="1">
    <w:name w:val="Lined - Accent 5"/>
    <w:basedOn w:val="117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312" w:customStyle="1">
    <w:name w:val="Lined - Accent 6"/>
    <w:basedOn w:val="117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313" w:customStyle="1">
    <w:name w:val="Bordered &amp; Lined - Accent"/>
    <w:basedOn w:val="1178"/>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314" w:customStyle="1">
    <w:name w:val="Bordered &amp; Lined - Accent 1"/>
    <w:basedOn w:val="1178"/>
    <w:uiPriority w:val="99"/>
    <w:rPr>
      <w:color w:val="40404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315" w:customStyle="1">
    <w:name w:val="Bordered &amp; Lined - Accent 2"/>
    <w:basedOn w:val="1178"/>
    <w:uiPriority w:val="99"/>
    <w:rPr>
      <w:color w:val="40404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316" w:customStyle="1">
    <w:name w:val="Bordered &amp; Lined - Accent 3"/>
    <w:basedOn w:val="1178"/>
    <w:uiPriority w:val="99"/>
    <w:rPr>
      <w:color w:val="40404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317" w:customStyle="1">
    <w:name w:val="Bordered &amp; Lined - Accent 4"/>
    <w:basedOn w:val="1178"/>
    <w:uiPriority w:val="99"/>
    <w:rPr>
      <w:color w:val="40404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318" w:customStyle="1">
    <w:name w:val="Bordered &amp; Lined - Accent 5"/>
    <w:basedOn w:val="1178"/>
    <w:uiPriority w:val="99"/>
    <w:rPr>
      <w:color w:val="40404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319" w:customStyle="1">
    <w:name w:val="Bordered &amp; Lined - Accent 6"/>
    <w:basedOn w:val="1178"/>
    <w:uiPriority w:val="99"/>
    <w:rPr>
      <w:color w:val="40404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320" w:customStyle="1">
    <w:name w:val="Bordered"/>
    <w:basedOn w:val="1178"/>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321" w:customStyle="1">
    <w:name w:val="Bordered - Accent 1"/>
    <w:basedOn w:val="1178"/>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322" w:customStyle="1">
    <w:name w:val="Bordered - Accent 2"/>
    <w:basedOn w:val="1178"/>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323" w:customStyle="1">
    <w:name w:val="Bordered - Accent 3"/>
    <w:basedOn w:val="1178"/>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324" w:customStyle="1">
    <w:name w:val="Bordered - Accent 4"/>
    <w:basedOn w:val="1178"/>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325" w:customStyle="1">
    <w:name w:val="Bordered - Accent 5"/>
    <w:basedOn w:val="1178"/>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326" w:customStyle="1">
    <w:name w:val="Bordered - Accent 6"/>
    <w:basedOn w:val="1178"/>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327" w:customStyle="1">
    <w:name w:val="Footnote Text Char"/>
    <w:uiPriority w:val="99"/>
    <w:rPr>
      <w:sz w:val="18"/>
    </w:rPr>
  </w:style>
  <w:style w:type="character" w:styleId="1328" w:customStyle="1">
    <w:name w:val="Endnote Text Char"/>
    <w:uiPriority w:val="99"/>
    <w:rPr>
      <w:sz w:val="20"/>
    </w:rPr>
  </w:style>
  <w:style w:type="paragraph" w:styleId="1329">
    <w:name w:val="toc 1"/>
    <w:basedOn w:val="1167"/>
    <w:next w:val="1167"/>
    <w:uiPriority w:val="39"/>
    <w:unhideWhenUsed/>
    <w:pPr>
      <w:spacing w:after="57"/>
    </w:pPr>
  </w:style>
  <w:style w:type="paragraph" w:styleId="1330">
    <w:name w:val="toc 2"/>
    <w:basedOn w:val="1167"/>
    <w:next w:val="1167"/>
    <w:uiPriority w:val="39"/>
    <w:unhideWhenUsed/>
    <w:pPr>
      <w:ind w:left="283"/>
      <w:spacing w:after="57"/>
    </w:pPr>
  </w:style>
  <w:style w:type="paragraph" w:styleId="1331">
    <w:name w:val="toc 3"/>
    <w:basedOn w:val="1167"/>
    <w:next w:val="1167"/>
    <w:uiPriority w:val="39"/>
    <w:unhideWhenUsed/>
    <w:pPr>
      <w:ind w:left="567"/>
      <w:spacing w:after="57"/>
    </w:pPr>
  </w:style>
  <w:style w:type="paragraph" w:styleId="1332">
    <w:name w:val="toc 4"/>
    <w:basedOn w:val="1167"/>
    <w:next w:val="1167"/>
    <w:uiPriority w:val="39"/>
    <w:unhideWhenUsed/>
    <w:pPr>
      <w:ind w:left="850"/>
      <w:spacing w:after="57"/>
    </w:pPr>
  </w:style>
  <w:style w:type="paragraph" w:styleId="1333">
    <w:name w:val="toc 5"/>
    <w:basedOn w:val="1167"/>
    <w:next w:val="1167"/>
    <w:uiPriority w:val="39"/>
    <w:unhideWhenUsed/>
    <w:pPr>
      <w:ind w:left="1134"/>
      <w:spacing w:after="57"/>
    </w:pPr>
  </w:style>
  <w:style w:type="paragraph" w:styleId="1334">
    <w:name w:val="toc 6"/>
    <w:basedOn w:val="1167"/>
    <w:next w:val="1167"/>
    <w:uiPriority w:val="39"/>
    <w:unhideWhenUsed/>
    <w:pPr>
      <w:ind w:left="1417"/>
      <w:spacing w:after="57"/>
    </w:pPr>
  </w:style>
  <w:style w:type="paragraph" w:styleId="1335">
    <w:name w:val="toc 7"/>
    <w:basedOn w:val="1167"/>
    <w:next w:val="1167"/>
    <w:uiPriority w:val="39"/>
    <w:unhideWhenUsed/>
    <w:pPr>
      <w:ind w:left="1701"/>
      <w:spacing w:after="57"/>
    </w:pPr>
  </w:style>
  <w:style w:type="paragraph" w:styleId="1336">
    <w:name w:val="toc 8"/>
    <w:basedOn w:val="1167"/>
    <w:next w:val="1167"/>
    <w:uiPriority w:val="39"/>
    <w:unhideWhenUsed/>
    <w:pPr>
      <w:ind w:left="1984"/>
      <w:spacing w:after="57"/>
    </w:pPr>
  </w:style>
  <w:style w:type="paragraph" w:styleId="1337">
    <w:name w:val="toc 9"/>
    <w:basedOn w:val="1167"/>
    <w:next w:val="1167"/>
    <w:uiPriority w:val="39"/>
    <w:unhideWhenUsed/>
    <w:pPr>
      <w:ind w:left="2268"/>
      <w:spacing w:after="57"/>
    </w:pPr>
  </w:style>
  <w:style w:type="paragraph" w:styleId="1338">
    <w:name w:val="TOC Heading"/>
    <w:uiPriority w:val="39"/>
    <w:unhideWhenUsed/>
  </w:style>
  <w:style w:type="paragraph" w:styleId="1339">
    <w:name w:val="table of figures"/>
    <w:basedOn w:val="1167"/>
    <w:next w:val="1167"/>
    <w:uiPriority w:val="99"/>
    <w:unhideWhenUsed/>
    <w:pPr>
      <w:spacing w:after="0"/>
    </w:pPr>
  </w:style>
  <w:style w:type="table" w:styleId="1340">
    <w:name w:val="Table Grid"/>
    <w:basedOn w:val="1178"/>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41">
    <w:name w:val="Balloon Text"/>
    <w:basedOn w:val="1167"/>
    <w:link w:val="1342"/>
    <w:pPr>
      <w:spacing w:after="0" w:line="240" w:lineRule="auto"/>
    </w:pPr>
    <w:rPr>
      <w:rFonts w:ascii="Tahoma" w:hAnsi="Tahoma" w:cs="Tahoma"/>
      <w:sz w:val="16"/>
      <w:szCs w:val="16"/>
    </w:rPr>
  </w:style>
  <w:style w:type="character" w:styleId="1342" w:customStyle="1">
    <w:name w:val="Текст выноски Знак"/>
    <w:link w:val="1341"/>
    <w:rPr>
      <w:rFonts w:ascii="Tahoma" w:hAnsi="Tahoma" w:cs="Tahoma"/>
      <w:sz w:val="16"/>
      <w:szCs w:val="16"/>
    </w:rPr>
  </w:style>
  <w:style w:type="paragraph" w:styleId="1343">
    <w:name w:val="List Paragraph"/>
    <w:basedOn w:val="1167"/>
    <w:qFormat/>
    <w:pPr>
      <w:contextualSpacing/>
      <w:ind w:left="720"/>
    </w:pPr>
  </w:style>
  <w:style w:type="character" w:styleId="1344">
    <w:name w:val="Placeholder Text"/>
    <w:rPr>
      <w:color w:val="808080"/>
    </w:rPr>
  </w:style>
  <w:style w:type="paragraph" w:styleId="1345">
    <w:name w:val="Header"/>
    <w:basedOn w:val="1167"/>
    <w:link w:val="1346"/>
    <w:pPr>
      <w:spacing w:after="0" w:line="240" w:lineRule="auto"/>
      <w:tabs>
        <w:tab w:val="center" w:pos="4677" w:leader="none"/>
        <w:tab w:val="right" w:pos="9355" w:leader="none"/>
      </w:tabs>
    </w:pPr>
  </w:style>
  <w:style w:type="character" w:styleId="1346" w:customStyle="1">
    <w:name w:val="Верхний колонтитул Знак"/>
    <w:basedOn w:val="1177"/>
    <w:link w:val="1345"/>
  </w:style>
  <w:style w:type="paragraph" w:styleId="1347">
    <w:name w:val="Footer"/>
    <w:basedOn w:val="1167"/>
    <w:link w:val="1348"/>
    <w:pPr>
      <w:spacing w:after="0" w:line="240" w:lineRule="auto"/>
      <w:tabs>
        <w:tab w:val="center" w:pos="4677" w:leader="none"/>
        <w:tab w:val="right" w:pos="9355" w:leader="none"/>
      </w:tabs>
    </w:pPr>
  </w:style>
  <w:style w:type="character" w:styleId="1348" w:customStyle="1">
    <w:name w:val="Нижний колонтитул Знак"/>
    <w:basedOn w:val="1177"/>
    <w:link w:val="1347"/>
  </w:style>
  <w:style w:type="paragraph" w:styleId="1349">
    <w:name w:val="endnote text"/>
    <w:basedOn w:val="1167"/>
    <w:link w:val="1350"/>
    <w:pPr>
      <w:spacing w:after="0" w:line="240" w:lineRule="auto"/>
    </w:pPr>
    <w:rPr>
      <w:sz w:val="20"/>
      <w:szCs w:val="20"/>
    </w:rPr>
  </w:style>
  <w:style w:type="character" w:styleId="1350" w:customStyle="1">
    <w:name w:val="Текст концевой сноски Знак"/>
    <w:link w:val="1349"/>
    <w:rPr>
      <w:sz w:val="20"/>
      <w:szCs w:val="20"/>
    </w:rPr>
  </w:style>
  <w:style w:type="character" w:styleId="1351">
    <w:name w:val="endnote reference"/>
    <w:rPr>
      <w:vertAlign w:val="superscript"/>
    </w:rPr>
  </w:style>
  <w:style w:type="paragraph" w:styleId="1352">
    <w:name w:val="footnote text"/>
    <w:basedOn w:val="1167"/>
    <w:link w:val="1353"/>
    <w:pPr>
      <w:spacing w:after="0" w:line="240" w:lineRule="auto"/>
    </w:pPr>
    <w:rPr>
      <w:sz w:val="20"/>
      <w:szCs w:val="20"/>
    </w:rPr>
  </w:style>
  <w:style w:type="character" w:styleId="1353" w:customStyle="1">
    <w:name w:val="Текст сноски Знак"/>
    <w:link w:val="1352"/>
    <w:rPr>
      <w:sz w:val="20"/>
      <w:szCs w:val="20"/>
    </w:rPr>
  </w:style>
  <w:style w:type="character" w:styleId="1354">
    <w:name w:val="footnote reference"/>
    <w:rPr>
      <w:vertAlign w:val="superscript"/>
    </w:rPr>
  </w:style>
  <w:style w:type="character" w:styleId="1355">
    <w:name w:val="annotation reference"/>
    <w:rPr>
      <w:sz w:val="16"/>
      <w:szCs w:val="16"/>
    </w:rPr>
  </w:style>
  <w:style w:type="paragraph" w:styleId="1356">
    <w:name w:val="annotation text"/>
    <w:basedOn w:val="1167"/>
    <w:link w:val="1357"/>
    <w:pPr>
      <w:spacing w:line="240" w:lineRule="auto"/>
    </w:pPr>
    <w:rPr>
      <w:sz w:val="20"/>
      <w:szCs w:val="20"/>
    </w:rPr>
  </w:style>
  <w:style w:type="character" w:styleId="1357" w:customStyle="1">
    <w:name w:val="Текст примечания Знак"/>
    <w:link w:val="1356"/>
    <w:rPr>
      <w:sz w:val="20"/>
      <w:szCs w:val="20"/>
    </w:rPr>
  </w:style>
  <w:style w:type="paragraph" w:styleId="1358">
    <w:name w:val="annotation subject"/>
    <w:basedOn w:val="1356"/>
    <w:next w:val="1356"/>
    <w:link w:val="1359"/>
    <w:rPr>
      <w:b/>
      <w:bCs/>
    </w:rPr>
  </w:style>
  <w:style w:type="character" w:styleId="1359" w:customStyle="1">
    <w:name w:val="Тема примечания Знак"/>
    <w:link w:val="1358"/>
    <w:rPr>
      <w:b/>
      <w:bCs/>
      <w:sz w:val="20"/>
      <w:szCs w:val="20"/>
    </w:rPr>
  </w:style>
  <w:style w:type="paragraph" w:styleId="1360">
    <w:name w:val="Revision"/>
    <w:hidden/>
    <w:rPr>
      <w:sz w:val="22"/>
      <w:szCs w:val="22"/>
      <w:lang w:eastAsia="en-US"/>
    </w:rPr>
  </w:style>
  <w:style w:type="character" w:styleId="1361">
    <w:name w:val="Hyperlink"/>
    <w:rPr>
      <w:color w:val="0000ff"/>
      <w:u w:val="single"/>
    </w:rPr>
  </w:style>
  <w:style w:type="paragraph" w:styleId="1362" w:customStyle="1">
    <w:name w:val="Обычный (веб)1"/>
    <w:uiPriority w:val="99"/>
    <w:semiHidden/>
    <w:unhideWhenUsed/>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cs="Times New Roman" w:eastAsiaTheme="minorEastAsia"/>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table" w:styleId="1363" w:customStyle="1">
    <w:name w:val="Сетка таблицы11"/>
    <w:basedOn w:val="1257"/>
    <w:uiPriority w:val="59"/>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HAnsi" w:cstheme="minorBidi"/>
      <w:b w:val="0"/>
      <w:bCs w:val="0"/>
      <w:i w:val="0"/>
      <w:iCs w:val="0"/>
      <w:caps w:val="0"/>
      <w:smallCaps w:val="0"/>
      <w:strike w:val="0"/>
      <w:vanish w:val="0"/>
      <w:color w:val="auto"/>
      <w:spacing w:val="0"/>
      <w:position w:val="0"/>
      <w:sz w:val="22"/>
      <w:szCs w:val="22"/>
      <w:highlight w:val="none"/>
      <w:u w:val="none"/>
      <w:vertAlign w:val="baseline"/>
      <w:rtl w:val="0"/>
      <w:cs w:val="0"/>
      <w:lang w:val="ru-RU" w:eastAsia="en-US" w:bidi="ar-SA"/>
      <w14:ligatures w14:val="none"/>
    </w:rPr>
    <w:tblPr>
      <w:tblStyleRowBandSize w:val="1"/>
      <w:tblStyleColBandSize w:val="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https://login.consultant.ru/link/?req=doc&amp;base=LAW&amp;n=220743&amp;dst=1343" TargetMode="External"/><Relationship Id="rId12" Type="http://schemas.openxmlformats.org/officeDocument/2006/relationships/hyperlink" Target="https://login.consultant.ru/link/?req=doc&amp;base=LAW&amp;n=220743&amp;dst=1343"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Р7-Офис/2025.3.1.923</Application>
  <Company>Gazprom JSC</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Яновская Ирина Сергеевна</dc:creator>
  <cp:lastModifiedBy>NOVIELEV</cp:lastModifiedBy>
  <cp:revision>85</cp:revision>
  <dcterms:created xsi:type="dcterms:W3CDTF">2019-03-05T06:55:00Z</dcterms:created>
  <dcterms:modified xsi:type="dcterms:W3CDTF">2026-09-29T12:54:11Z</dcterms:modified>
</cp:coreProperties>
</file>