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eastAsia="Times New Roman" w:cs="Times New Roman"/>
          <w:b/>
        </w:rPr>
      </w:r>
    </w:p>
    <w:p>
      <w:pPr>
        <w:jc w:val="center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eastAsia="Times New Roman" w:cs="Times New Roman"/>
          <w:b/>
        </w:rPr>
      </w:r>
    </w:p>
    <w:p>
      <w:pPr>
        <w:jc w:val="center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eastAsia="Times New Roman" w:cs="Times New Roman"/>
          <w:b/>
        </w:rPr>
      </w:r>
    </w:p>
    <w:p>
      <w:pPr>
        <w:jc w:val="center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eastAsia="Times New Roman" w:cs="Times New Roman"/>
          <w:b/>
        </w:rPr>
      </w:r>
    </w:p>
    <w:p>
      <w:pPr>
        <w:jc w:val="center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eastAsia="Times New Roman" w:cs="Times New Roman"/>
          <w:b/>
        </w:rPr>
      </w:r>
    </w:p>
    <w:p>
      <w:pPr>
        <w:jc w:val="center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eastAsia="Times New Roman" w:cs="Times New Roman"/>
          <w:b/>
        </w:rPr>
      </w:r>
    </w:p>
    <w:p>
      <w:pPr>
        <w:jc w:val="center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eastAsia="Times New Roman" w:cs="Times New Roman"/>
          <w:b/>
        </w:rPr>
      </w:r>
    </w:p>
    <w:p>
      <w:pPr>
        <w:jc w:val="center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Техническое задание</w:t>
      </w:r>
      <w:r>
        <w:rPr>
          <w:rFonts w:ascii="Times New Roman" w:hAnsi="Times New Roman" w:eastAsia="Times New Roman" w:cs="Times New Roman"/>
          <w:b/>
        </w:rPr>
      </w:r>
    </w:p>
    <w:p>
      <w:pPr>
        <w:jc w:val="center"/>
        <w:spacing w:after="0" w:line="216" w:lineRule="auto"/>
        <w:rPr>
          <w:rFonts w:ascii="Times New Roman" w:hAnsi="Times New Roman" w:eastAsia="Arial Narrow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на оказание услуг по сопровождению Государственной информационной системы «Автоматизированная информационная система управления бюджетным процессом Удмуртской Республики»</w:t>
      </w:r>
      <w:r>
        <w:rPr>
          <w:rFonts w:ascii="Times New Roman" w:hAnsi="Times New Roman" w:eastAsia="Arial Narrow" w:cs="Times New Roman"/>
          <w:b/>
        </w:rPr>
      </w:r>
    </w:p>
    <w:p>
      <w:pPr>
        <w:jc w:val="center"/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Arial Narrow" w:cs="Times New Roman"/>
          <w:b/>
        </w:rPr>
        <w:t xml:space="preserve"> </w:t>
      </w:r>
      <w:r>
        <w:rPr>
          <w:rFonts w:ascii="Times New Roman" w:hAnsi="Times New Roman" w:eastAsia="Times New Roman" w:cs="Times New Roman"/>
          <w:b/>
        </w:rPr>
        <w:t xml:space="preserve">(далее - Услуги).</w:t>
      </w:r>
      <w:r>
        <w:rPr>
          <w:rFonts w:ascii="Times New Roman" w:hAnsi="Times New Roman" w:eastAsia="Times New Roman" w:cs="Times New Roman"/>
        </w:rPr>
      </w:r>
    </w:p>
    <w:p>
      <w:pPr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spacing w:after="0" w:line="216" w:lineRule="auto"/>
        <w:rPr>
          <w:rFonts w:ascii="Times New Roman" w:hAnsi="Times New Roman" w:eastAsia="Times New Roman" w:cs="Times New Roman"/>
          <w:lang w:val="en-US"/>
        </w:rPr>
      </w:pPr>
      <w:r>
        <w:rPr>
          <w:rFonts w:ascii="Times New Roman" w:hAnsi="Times New Roman" w:cs="Times New Roman"/>
        </w:rPr>
        <w:br w:type="page" w:clear="all"/>
      </w:r>
      <w:r>
        <w:rPr>
          <w:rFonts w:ascii="Times New Roman" w:hAnsi="Times New Roman" w:eastAsia="Times New Roman" w:cs="Times New Roman"/>
          <w:lang w:val="en-US"/>
        </w:rPr>
      </w:r>
    </w:p>
    <w:p>
      <w:pPr>
        <w:jc w:val="center"/>
        <w:spacing w:after="0" w:line="216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jc w:val="center"/>
        <w:spacing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Оглавление</w:t>
      </w:r>
      <w:r>
        <w:rPr>
          <w:rFonts w:ascii="Times New Roman" w:hAnsi="Times New Roman" w:cs="Times New Roman"/>
        </w:rPr>
      </w:r>
    </w:p>
    <w:sdt>
      <w:sdtPr>
        <w15:appearance w15:val="boundingBox"/>
        <w:id w:val="932625329"/>
        <w:docPartObj>
          <w:docPartGallery w:val="Table of Contents"/>
          <w:docPartUnique w:val="true"/>
        </w:docPartObj>
        <w:rPr>
          <w:rFonts w:ascii="Times New Roman" w:hAnsi="Times New Roman" w:cs="Times New Roman"/>
          <w:color w:val="000000"/>
        </w:rPr>
      </w:sdtPr>
      <w:sdtContent>
        <w:p>
          <w:pPr>
            <w:pStyle w:val="975"/>
            <w:tabs>
              <w:tab w:val="left" w:pos="567" w:leader="none"/>
              <w:tab w:val="right" w:pos="9629" w:leader="dot"/>
            </w:tabs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Style w:val="964"/>
              <w:rFonts w:ascii="Times New Roman" w:hAnsi="Times New Roman" w:cs="Times New Roman"/>
              <w:sz w:val="20"/>
              <w:szCs w:val="20"/>
              <w:lang w:eastAsia="ru-RU"/>
            </w:rPr>
            <w:instrText xml:space="preserve"> TOC \z \o "1-3" \u \h</w:instrText>
          </w:r>
          <w:r>
            <w:rPr>
              <w:rStyle w:val="964"/>
              <w:lang w:eastAsia="ru-RU"/>
            </w:rPr>
            <w:fldChar w:fldCharType="separate"/>
          </w:r>
          <w:hyperlink w:tooltip="#_Toc239843880" w:anchor="_Toc239843880" w:history="1">
            <w:r>
              <w:rPr>
                <w:rStyle w:val="928"/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 w:cs="Times New Roman" w:eastAsiaTheme="minorEastAsia"/>
                <w:color w:val="auto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928"/>
                <w:rFonts w:ascii="Times New Roman" w:hAnsi="Times New Roman"/>
                <w:iCs/>
              </w:rPr>
              <w:t xml:space="preserve">Общие сведения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_Toc239843880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029"/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pPr>
          <w:r/>
          <w:hyperlink w:tooltip="#_Toc239843881" w:anchor="_Toc239843881" w:history="1">
            <w:r>
              <w:rPr>
                <w:rStyle w:val="928"/>
                <w:rFonts w:ascii="Times New Roman" w:hAnsi="Times New Roman"/>
              </w:rPr>
              <w:t xml:space="preserve">1.1 Наименование услуг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_Toc239843881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029"/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pPr>
          <w:r/>
          <w:hyperlink w:tooltip="#_Toc239843882" w:anchor="_Toc239843882" w:history="1">
            <w:r>
              <w:rPr>
                <w:rStyle w:val="928"/>
                <w:rFonts w:ascii="Times New Roman" w:hAnsi="Times New Roman"/>
              </w:rPr>
              <w:t xml:space="preserve">1.2 Место оказания услуг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_Toc239843882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029"/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pPr>
          <w:r/>
          <w:hyperlink w:tooltip="#_Toc239843883" w:anchor="_Toc239843883" w:history="1">
            <w:r>
              <w:rPr>
                <w:rStyle w:val="928"/>
                <w:rFonts w:ascii="Times New Roman" w:hAnsi="Times New Roman"/>
                <w:i/>
                <w:iCs/>
              </w:rPr>
              <w:t xml:space="preserve">1.3 Срок оказания услуг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_Toc239843883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975"/>
            <w:tabs>
              <w:tab w:val="left" w:pos="567" w:leader="none"/>
              <w:tab w:val="right" w:pos="9629" w:leader="dot"/>
            </w:tabs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pPr>
          <w:r/>
          <w:hyperlink w:tooltip="#_Toc239843884" w:anchor="_Toc239843884" w:history="1">
            <w:r>
              <w:rPr>
                <w:rStyle w:val="928"/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 w:cs="Times New Roman" w:eastAsiaTheme="minorEastAsia"/>
                <w:color w:val="auto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928"/>
                <w:rFonts w:ascii="Times New Roman" w:hAnsi="Times New Roman"/>
                <w:iCs/>
              </w:rPr>
              <w:t xml:space="preserve">Сведения о ГИС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_Toc239843884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029"/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pPr>
          <w:r/>
          <w:hyperlink w:tooltip="#_Toc239843885" w:anchor="_Toc239843885" w:history="1">
            <w:r>
              <w:rPr>
                <w:rStyle w:val="928"/>
                <w:rFonts w:ascii="Times New Roman" w:hAnsi="Times New Roman"/>
              </w:rPr>
              <w:t xml:space="preserve">2.1 Подсистема «Кассовое исполнение консолидированного бюджета Удмуртской Республики»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_Toc239843885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029"/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pPr>
          <w:r/>
          <w:hyperlink w:tooltip="#_Toc239843886" w:anchor="_Toc239843886" w:history="1">
            <w:r>
              <w:rPr>
                <w:rStyle w:val="928"/>
                <w:rFonts w:ascii="Times New Roman" w:hAnsi="Times New Roman"/>
              </w:rPr>
              <w:t xml:space="preserve">2.2 Подсистема «Формирование консолидированной бюджетной отчетности Удмуртской Республики»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_Toc239843886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029"/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pPr>
          <w:r/>
          <w:hyperlink w:tooltip="#_Toc239843887" w:anchor="_Toc239843887" w:history="1">
            <w:r>
              <w:rPr>
                <w:rStyle w:val="928"/>
                <w:rFonts w:ascii="Times New Roman" w:hAnsi="Times New Roman"/>
              </w:rPr>
              <w:t xml:space="preserve">2.3 Подсистема «Проектирование бюджета Удмуртской Республики». Состав программного обеспечения.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_Toc239843887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029"/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pPr>
          <w:r/>
          <w:hyperlink w:tooltip="#_Toc239843888" w:anchor="_Toc239843888" w:history="1">
            <w:r>
              <w:rPr>
                <w:rStyle w:val="928"/>
                <w:rFonts w:ascii="Times New Roman" w:hAnsi="Times New Roman"/>
              </w:rPr>
              <w:t xml:space="preserve">2.4 Подсистема «Управление в сфере закупок для государственных нужд Удмуртской Республики».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_Toc239843888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23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029"/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pPr>
          <w:r/>
          <w:hyperlink w:tooltip="#_Toc239843889" w:anchor="_Toc239843889" w:history="1">
            <w:r>
              <w:rPr>
                <w:rStyle w:val="928"/>
                <w:rFonts w:ascii="Times New Roman" w:hAnsi="Times New Roman"/>
              </w:rPr>
              <w:t xml:space="preserve">2.5 Подсистема «Взаимодействие с порталом Электронный бюджет» по приказу 243н («243н»)»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_Toc239843889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30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029"/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pPr>
          <w:r/>
          <w:hyperlink w:tooltip="#_Toc239843890" w:anchor="_Toc239843890" w:history="1">
            <w:r>
              <w:rPr>
                <w:rStyle w:val="928"/>
                <w:rFonts w:ascii="Times New Roman" w:hAnsi="Times New Roman"/>
              </w:rPr>
              <w:t xml:space="preserve">2.6 Подсистема «Автоматизация контрольно-ревизионной деятельности органов государственного (муниципального) финансового контроля»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_Toc239843890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31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975"/>
            <w:tabs>
              <w:tab w:val="left" w:pos="567" w:leader="none"/>
              <w:tab w:val="right" w:pos="9629" w:leader="dot"/>
            </w:tabs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pPr>
          <w:r/>
          <w:hyperlink w:tooltip="#_Toc239843891" w:anchor="_Toc239843891" w:history="1">
            <w:r>
              <w:rPr>
                <w:rStyle w:val="928"/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 w:cs="Times New Roman" w:eastAsiaTheme="minorEastAsia"/>
                <w:color w:val="auto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928"/>
                <w:rFonts w:ascii="Times New Roman" w:hAnsi="Times New Roman"/>
                <w:iCs/>
              </w:rPr>
              <w:t xml:space="preserve">Требования к составу и объему услуг по сопровождению Системы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_Toc239843891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34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029"/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pPr>
          <w:r/>
          <w:hyperlink w:tooltip="#_Toc239843892" w:anchor="_Toc239843892" w:history="1">
            <w:r>
              <w:rPr>
                <w:rStyle w:val="928"/>
                <w:rFonts w:ascii="Times New Roman" w:hAnsi="Times New Roman"/>
              </w:rPr>
              <w:t xml:space="preserve">3.1 Требования к составу и объему услуг по сопровождению Системы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_Toc239843892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34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029"/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pPr>
          <w:r/>
          <w:hyperlink w:tooltip="#_Toc239843893" w:anchor="_Toc239843893" w:history="1">
            <w:r>
              <w:rPr>
                <w:rStyle w:val="928"/>
                <w:rFonts w:ascii="Times New Roman" w:hAnsi="Times New Roman"/>
              </w:rPr>
              <w:t xml:space="preserve">3.2 Дополнительные требования к услугам сопровождения Подсистемы. «Управление в сфере закупок для государственных нужд Удмуртской Республики»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_Toc239843893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36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029"/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pPr>
          <w:r/>
          <w:hyperlink w:tooltip="#_Toc239843894" w:anchor="_Toc239843894" w:history="1">
            <w:r>
              <w:rPr>
                <w:rStyle w:val="928"/>
                <w:rFonts w:ascii="Times New Roman" w:hAnsi="Times New Roman"/>
              </w:rPr>
              <w:t xml:space="preserve">3.3 Требования к объему передаваемых прав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_Toc239843894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36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029"/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pPr>
          <w:r/>
          <w:hyperlink w:tooltip="#_Toc239843895" w:anchor="_Toc239843895" w:history="1">
            <w:r>
              <w:rPr>
                <w:rStyle w:val="928"/>
                <w:rFonts w:ascii="Times New Roman" w:hAnsi="Times New Roman"/>
                <w:i/>
                <w:spacing w:val="-4"/>
              </w:rPr>
              <w:t xml:space="preserve">3.4 Требования к выполнению организационных и технических мер по информационной безопасности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_Toc239843895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36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975"/>
            <w:tabs>
              <w:tab w:val="left" w:pos="567" w:leader="none"/>
              <w:tab w:val="right" w:pos="9629" w:leader="dot"/>
            </w:tabs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pPr>
          <w:r/>
          <w:hyperlink w:tooltip="#_Toc239843896" w:anchor="_Toc239843896" w:history="1">
            <w:r>
              <w:rPr>
                <w:rStyle w:val="928"/>
                <w:rFonts w:ascii="Times New Roman" w:hAnsi="Times New Roman"/>
                <w:iCs/>
              </w:rPr>
              <w:t xml:space="preserve">4.</w:t>
            </w:r>
            <w:r>
              <w:rPr>
                <w:rFonts w:ascii="Times New Roman" w:hAnsi="Times New Roman" w:cs="Times New Roman" w:eastAsiaTheme="minorEastAsia"/>
                <w:color w:val="auto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928"/>
                <w:rFonts w:ascii="Times New Roman" w:hAnsi="Times New Roman"/>
                <w:iCs/>
              </w:rPr>
              <w:t xml:space="preserve">Требования к документированию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_Toc239843896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37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975"/>
            <w:tabs>
              <w:tab w:val="left" w:pos="567" w:leader="none"/>
              <w:tab w:val="right" w:pos="9629" w:leader="dot"/>
            </w:tabs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pPr>
          <w:r/>
          <w:hyperlink w:tooltip="#_Toc239843897" w:anchor="_Toc239843897" w:history="1">
            <w:r>
              <w:rPr>
                <w:rStyle w:val="928"/>
                <w:rFonts w:ascii="Times New Roman" w:hAnsi="Times New Roman"/>
                <w:spacing w:val="-4"/>
                <w:lang w:eastAsia="en-US"/>
              </w:rPr>
              <w:t xml:space="preserve">5.</w:t>
            </w:r>
            <w:r>
              <w:rPr>
                <w:rFonts w:ascii="Times New Roman" w:hAnsi="Times New Roman" w:cs="Times New Roman" w:eastAsiaTheme="minorEastAsia"/>
                <w:color w:val="auto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928"/>
                <w:rFonts w:ascii="Times New Roman" w:hAnsi="Times New Roman"/>
                <w:spacing w:val="-4"/>
                <w:lang w:eastAsia="en-US"/>
              </w:rPr>
              <w:t xml:space="preserve">Лицензионные условия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_Toc239843897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 xml:space="preserve">37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color w:val="auto"/>
              <w:sz w:val="24"/>
              <w:szCs w:val="24"/>
              <w:lang w:eastAsia="ru-RU"/>
              <w14:ligatures w14:val="standardContextual"/>
            </w:rPr>
          </w:r>
        </w:p>
        <w:p>
          <w:pPr>
            <w:pStyle w:val="1029"/>
            <w:jc w:val="both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</w:rPr>
          </w:r>
        </w:p>
      </w:sdtContent>
    </w:sdt>
    <w:p>
      <w:pPr>
        <w:ind w:left="142"/>
        <w:jc w:val="both"/>
        <w:spacing w:after="0" w:line="216" w:lineRule="auto"/>
        <w:rPr>
          <w:rFonts w:ascii="Times New Roman" w:hAnsi="Times New Roman" w:eastAsia="Times New Roman" w:cs="Times New Roman"/>
          <w:b/>
          <w:color w:val="000000"/>
        </w:rPr>
      </w:pPr>
      <w:r>
        <w:rPr>
          <w:rFonts w:ascii="Times New Roman" w:hAnsi="Times New Roman" w:cs="Times New Roman"/>
        </w:rPr>
        <w:br w:type="page" w:clear="all"/>
      </w:r>
      <w:r>
        <w:rPr>
          <w:rFonts w:ascii="Times New Roman" w:hAnsi="Times New Roman" w:eastAsia="Times New Roman" w:cs="Times New Roman"/>
          <w:b/>
          <w:color w:val="000000"/>
        </w:rPr>
      </w:r>
    </w:p>
    <w:p>
      <w:pPr>
        <w:spacing w:after="0" w:line="216" w:lineRule="auto"/>
        <w:rPr>
          <w:rFonts w:ascii="Times New Roman" w:hAnsi="Times New Roman" w:eastAsia="Times New Roman" w:cs="Times New Roman"/>
          <w:b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</w:r>
      <w:r>
        <w:rPr>
          <w:rFonts w:ascii="Times New Roman" w:hAnsi="Times New Roman" w:eastAsia="Times New Roman" w:cs="Times New Roman"/>
          <w:b/>
          <w:color w:val="000000"/>
        </w:rPr>
      </w:r>
    </w:p>
    <w:p>
      <w:pPr>
        <w:pStyle w:val="761"/>
        <w:ind w:firstLine="709"/>
        <w:spacing w:before="0"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Принятые сокращения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В тексте настоящего технического задания используются сокращения, указанные ниже: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797"/>
        <w:gridCol w:w="6950"/>
      </w:tblGrid>
      <w:tr>
        <w:tblPrEx/>
        <w:trPr/>
        <w:tc>
          <w:tcPr>
            <w:shd w:val="clear" w:color="auto" w:fill="e6e6e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Термин/Определение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shd w:val="clear" w:color="auto" w:fill="e6e6e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Определение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 xml:space="preserve">BPMN (Business Process Management Notation)</w:t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Система условных обозначений (</w:t>
            </w:r>
            <w:hyperlink r:id="rId12" w:tooltip="https://ru.wikipedia.org/wiki/Нотация" w:history="1">
              <w:r>
                <w:rPr>
                  <w:rStyle w:val="928"/>
                  <w:rFonts w:ascii="Times New Roman" w:hAnsi="Times New Roman"/>
                  <w:bCs/>
                </w:rPr>
                <w:t xml:space="preserve">нотация</w:t>
              </w:r>
            </w:hyperlink>
            <w:r>
              <w:rPr>
                <w:rFonts w:ascii="Times New Roman" w:hAnsi="Times New Roman" w:cs="Times New Roman"/>
                <w:bCs/>
              </w:rPr>
              <w:t xml:space="preserve">) и их описания в XML для </w:t>
            </w:r>
            <w:hyperlink r:id="rId13" w:tooltip="https://ru.wikipedia.org/w/index.php?title=Моделирование_бизнес-процессов&amp;action=edit&amp;redlink=1" w:history="1">
              <w:r>
                <w:rPr>
                  <w:rStyle w:val="928"/>
                  <w:rFonts w:ascii="Times New Roman" w:hAnsi="Times New Roman"/>
                  <w:bCs/>
                </w:rPr>
                <w:t xml:space="preserve">моделирования бизнес-процессов</w:t>
              </w:r>
            </w:hyperlink>
            <w:r/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АРМ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Автоматизированное рабочее место (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программно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–технический комплекс автоматизированной системы, предназначенный для автоматизации деятельности определенного вида). 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Архитектура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Организационная структура системы, в которой идентифицированы компоненты, их интерфейсы и концепция взаимодействия между ними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АУ «ЦЦТ УР»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Автономное учреждение «Центр цифровых технологий Удмуртской Республики»</w:t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ГИС, Система, </w:t>
            </w:r>
            <w:r>
              <w:rPr>
                <w:rFonts w:ascii="Times New Roman" w:hAnsi="Times New Roman" w:cs="Times New Roman"/>
              </w:rPr>
              <w:t xml:space="preserve">ГИС АИС УБПУР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Государственная информационная система «Автоматизированная информационная система управления бюджетным процессом Удмуртской Республики»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ГОСТ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Государственный стандарт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ГРБС, ПБС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Главные распорядители бюджетных средств/ получатели бюджетных средств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ЕГРЮЛ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Единый государственный реестр юридических лиц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ЕНП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Единый налоговый платеж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Неучастники</w:t>
            </w:r>
            <w:r>
              <w:rPr>
                <w:rFonts w:ascii="Times New Roman" w:hAnsi="Times New Roman" w:eastAsia="Times New Roman" w:cs="Times New Roman"/>
              </w:rPr>
              <w:t xml:space="preserve"> бюджетного процесса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Получатели средств из бюджета Удмуртской Республики</w:t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НМЦК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Начальная максимальная цена контракта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Операционная система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Arial Unicode MS" w:cs="Times New Roman"/>
              </w:rPr>
            </w:pPr>
            <w:r>
              <w:rPr>
                <w:rFonts w:ascii="Times New Roman" w:hAnsi="Times New Roman" w:eastAsia="Arial Unicode MS" w:cs="Times New Roman"/>
              </w:rPr>
              <w:t xml:space="preserve">Ошибка</w:t>
            </w:r>
            <w:r>
              <w:rPr>
                <w:rFonts w:ascii="Times New Roman" w:hAnsi="Times New Roman" w:eastAsia="Arial Unicode MS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Нарушение нормальной работы отдельной функции Системы, т.е. несоответствие фактически полученного результата выполнения функции тому, который должен получиться согласно назначению функции и технической документации на систему.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ПК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Программный комплекс</w:t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Заказчика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Пользователи ГИС, данные пользователи определены для каждой подсистемы в разделе 2 данного ТЗ, в пункте 6 табличной части описания каждой подсистемы.</w:t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Рабочий час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 час в пределах рабочего времени Рабочего дня Заказчика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РНП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Реестр недобросовестных поставщиков (подрядчиков, исполнителей)</w:t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РРПО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Единый реестр российских программ для электронных вычислительных машин и баз данных (Реестр российского программного обеспечения) https://reestr.digital.gov.ru/</w:t>
            </w:r>
            <w:r>
              <w:rPr>
                <w:rFonts w:ascii="Times New Roman" w:hAnsi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СМЭВ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Система межведомственного электронного взаимодействия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СНП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Реестр субъектов малого и среднего предпринимательства</w:t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blPrEx/>
        <w:trPr>
          <w:trHeight w:val="3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СУБД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Система управления базами данных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ТЗ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Настоящее Техническое задание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ТОФК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color w:val="040c28"/>
              </w:rPr>
            </w:pPr>
            <w:r>
              <w:rPr>
                <w:rFonts w:ascii="Times New Roman" w:hAnsi="Times New Roman" w:cs="Times New Roman"/>
                <w:color w:val="040c28"/>
              </w:rPr>
              <w:t xml:space="preserve">Территориальные органы Федерального казначейства</w:t>
            </w:r>
            <w:r>
              <w:rPr>
                <w:rFonts w:ascii="Times New Roman" w:hAnsi="Times New Roman" w:cs="Times New Roman"/>
                <w:color w:val="040c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Уполномоченный представитель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Государственное казенное учреждение Удмуртской Республики «Региональный центр закупок Удмуртской Республики»</w:t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УР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Удмуртская Республика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Участники бюджетного процесса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Получатели бюджетных средств Удмуртской Республики</w:t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Учреждения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spacing w:val="-4"/>
              </w:rPr>
            </w:pPr>
            <w:r>
              <w:rPr>
                <w:rFonts w:ascii="Times New Roman" w:hAnsi="Times New Roman" w:eastAsia="Times New Roman" w:cs="Times New Roman"/>
                <w:spacing w:val="-4"/>
              </w:rPr>
              <w:t xml:space="preserve">Исполнительные органы государственной власти и государственные учреждения Удмуртской республики</w:t>
            </w:r>
            <w:r>
              <w:rPr>
                <w:rFonts w:ascii="Times New Roman" w:hAnsi="Times New Roman" w:eastAsia="Times New Roman" w:cs="Times New Roman"/>
                <w:spacing w:val="-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ФНС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Федеральная налоговая служба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ФСТЭК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Федеральная служба по техническому и экспортному контролю Российской Федерации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ЦОД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Центр обработки данных Удмуртской Республики, представляющий собой связанную систему ИТ-инфраструктуры и инженерной инфраструктуры, оборудование и части которых размещены в помещении Заказчика, подключенном к внешним инженерным и телекоммуникационным сетям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ЭВМ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Электронно-вычислительная машина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97" w:type="dxa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ЭП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Электронная подпись</w:t>
            </w:r>
            <w:r>
              <w:rPr>
                <w:rFonts w:ascii="Times New Roman" w:hAnsi="Times New Roman" w:cs="Times New Roman"/>
                <w:bCs/>
              </w:rPr>
            </w:r>
          </w:p>
        </w:tc>
      </w:tr>
    </w:tbl>
    <w:p>
      <w:pPr>
        <w:spacing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56"/>
        <w:numPr>
          <w:ilvl w:val="0"/>
          <w:numId w:val="15"/>
        </w:numPr>
        <w:ind w:left="0" w:firstLine="709"/>
        <w:jc w:val="center"/>
        <w:rPr>
          <w:rFonts w:ascii="Times New Roman" w:hAnsi="Times New Roman" w:cs="Times New Roman"/>
        </w:rPr>
      </w:pPr>
      <w:r/>
      <w:bookmarkStart w:id="0" w:name="_30j0zll"/>
      <w:r/>
      <w:bookmarkStart w:id="1" w:name="_Toc239843880"/>
      <w:r/>
      <w:bookmarkEnd w:id="0"/>
      <w:r>
        <w:rPr>
          <w:rFonts w:ascii="Times New Roman" w:hAnsi="Times New Roman" w:cs="Times New Roman"/>
          <w:iCs/>
          <w:sz w:val="22"/>
          <w:szCs w:val="22"/>
        </w:rPr>
        <w:t xml:space="preserve">Общие сведения</w:t>
      </w:r>
      <w:bookmarkEnd w:id="1"/>
      <w:r/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  <w:lang w:eastAsia="en-US"/>
        </w:rPr>
      </w:pPr>
      <w:r/>
      <w:bookmarkStart w:id="2" w:name="_Hlk86660819"/>
      <w:r>
        <w:rPr>
          <w:rFonts w:ascii="Times New Roman" w:hAnsi="Times New Roman" w:cs="Times New Roman"/>
        </w:rPr>
        <w:t xml:space="preserve">В настоящие время в Удмуртской Республике эксплуатируется Государственная информационная система «Автоматизированная информационная система управления бюджетным процессом Удмуртской Республики»</w:t>
      </w:r>
      <w:bookmarkEnd w:id="2"/>
      <w:r>
        <w:rPr>
          <w:rFonts w:ascii="Times New Roman" w:hAnsi="Times New Roman" w:cs="Times New Roman"/>
        </w:rPr>
        <w:t xml:space="preserve">, включающая в себя следующие подсистемы:</w:t>
      </w:r>
      <w:r>
        <w:rPr>
          <w:rFonts w:ascii="Times New Roman" w:hAnsi="Times New Roman" w:cs="Times New Roman"/>
          <w:lang w:eastAsia="en-US"/>
        </w:rPr>
      </w:r>
    </w:p>
    <w:p>
      <w:pPr>
        <w:pStyle w:val="1002"/>
        <w:ind w:left="705"/>
        <w:jc w:val="both"/>
        <w:spacing w:line="216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- подсистема «Кассовое исполнение консолидированного бюджета Удмуртской Республики»; </w:t>
      </w:r>
      <w:r>
        <w:rPr>
          <w:rFonts w:ascii="Times New Roman" w:hAnsi="Times New Roman" w:cs="Times New Roman"/>
          <w:lang w:eastAsia="en-US"/>
        </w:rPr>
      </w:r>
    </w:p>
    <w:p>
      <w:pPr>
        <w:pStyle w:val="1002"/>
        <w:ind w:left="705"/>
        <w:jc w:val="both"/>
        <w:spacing w:line="216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- подсистема «Формирование консолидированной бюджетной отчетности Удмуртской Республики»;</w:t>
      </w:r>
      <w:r>
        <w:rPr>
          <w:rFonts w:ascii="Times New Roman" w:hAnsi="Times New Roman" w:cs="Times New Roman"/>
          <w:lang w:eastAsia="en-US"/>
        </w:rPr>
      </w:r>
    </w:p>
    <w:p>
      <w:pPr>
        <w:pStyle w:val="1002"/>
        <w:ind w:left="705"/>
        <w:jc w:val="both"/>
        <w:spacing w:line="216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- подсистема «Проектирование бюджета Удмуртской Республики»;</w:t>
      </w:r>
      <w:r>
        <w:rPr>
          <w:rFonts w:ascii="Times New Roman" w:hAnsi="Times New Roman" w:cs="Times New Roman"/>
          <w:lang w:eastAsia="en-US"/>
        </w:rPr>
      </w:r>
    </w:p>
    <w:p>
      <w:pPr>
        <w:pStyle w:val="1002"/>
        <w:ind w:left="705"/>
        <w:jc w:val="both"/>
        <w:spacing w:line="216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- подсистема «Управление в сфере закупок для государственных нужд Удмуртской Республики»;</w:t>
      </w:r>
      <w:r>
        <w:rPr>
          <w:rFonts w:ascii="Times New Roman" w:hAnsi="Times New Roman" w:cs="Times New Roman"/>
          <w:lang w:eastAsia="en-US"/>
        </w:rPr>
      </w:r>
    </w:p>
    <w:p>
      <w:pPr>
        <w:pStyle w:val="1002"/>
        <w:ind w:left="705"/>
        <w:jc w:val="both"/>
        <w:spacing w:line="216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- подсистема «Взаимодействие с порталом Электронный бюджет»;</w:t>
      </w:r>
      <w:r>
        <w:rPr>
          <w:rFonts w:ascii="Times New Roman" w:hAnsi="Times New Roman" w:cs="Times New Roman"/>
          <w:lang w:eastAsia="en-US"/>
        </w:rPr>
      </w:r>
    </w:p>
    <w:p>
      <w:pPr>
        <w:pStyle w:val="1002"/>
        <w:ind w:left="705"/>
        <w:spacing w:line="216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lang w:eastAsia="en-US"/>
        </w:rPr>
        <w:t xml:space="preserve">- подсистема «Автоматизация контрольно-ревизионной деятельности органов государственного (муниципального) финансового контроля».</w:t>
      </w:r>
      <w:r>
        <w:rPr>
          <w:rFonts w:ascii="Times New Roman" w:hAnsi="Times New Roman" w:cs="Times New Roman"/>
          <w:color w:val="000000"/>
        </w:rPr>
      </w:r>
    </w:p>
    <w:p>
      <w:pPr>
        <w:pStyle w:val="757"/>
        <w:numPr>
          <w:ilvl w:val="0"/>
          <w:numId w:val="0"/>
        </w:numPr>
        <w:ind w:firstLine="567"/>
        <w:tabs>
          <w:tab w:val="left" w:pos="0" w:leader="none"/>
        </w:tabs>
        <w:rPr>
          <w:rFonts w:ascii="Times New Roman" w:hAnsi="Times New Roman" w:cs="Times New Roman"/>
          <w:color w:val="000000" w:themeColor="text1"/>
        </w:rPr>
      </w:pPr>
      <w:r/>
      <w:bookmarkStart w:id="3" w:name="_Toc239843881"/>
      <w:r>
        <w:rPr>
          <w:rFonts w:ascii="Times New Roman" w:hAnsi="Times New Roman" w:cs="Times New Roman"/>
          <w:iCs w:val="0"/>
          <w:color w:val="000000" w:themeColor="text1"/>
          <w:sz w:val="22"/>
          <w:szCs w:val="22"/>
        </w:rPr>
        <w:t xml:space="preserve">1.1 Наименование услуг</w:t>
      </w:r>
      <w:bookmarkEnd w:id="3"/>
      <w:r/>
      <w:r>
        <w:rPr>
          <w:rFonts w:ascii="Times New Roman" w:hAnsi="Times New Roman" w:cs="Times New Roman"/>
          <w:color w:val="000000" w:themeColor="text1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Сопровождение Государственной информационной системы «Автоматизированная информационная система управления бюджетным процессом Удмуртской Республики».</w:t>
      </w:r>
      <w:r>
        <w:rPr>
          <w:rFonts w:ascii="Times New Roman" w:hAnsi="Times New Roman" w:cs="Times New Roman"/>
          <w:color w:val="000000"/>
        </w:rPr>
      </w:r>
    </w:p>
    <w:p>
      <w:pPr>
        <w:pStyle w:val="757"/>
        <w:numPr>
          <w:ilvl w:val="0"/>
          <w:numId w:val="0"/>
        </w:numPr>
        <w:ind w:firstLine="567"/>
        <w:tabs>
          <w:tab w:val="left" w:pos="0" w:leader="none"/>
        </w:tabs>
        <w:rPr>
          <w:rFonts w:ascii="Times New Roman" w:hAnsi="Times New Roman" w:cs="Times New Roman"/>
          <w:iCs w:val="0"/>
          <w:color w:val="000000"/>
          <w:sz w:val="22"/>
          <w:szCs w:val="22"/>
        </w:rPr>
      </w:pPr>
      <w:r/>
      <w:bookmarkStart w:id="4" w:name="_Toc239843882"/>
      <w:r>
        <w:rPr>
          <w:rFonts w:ascii="Times New Roman" w:hAnsi="Times New Roman" w:cs="Times New Roman"/>
          <w:iCs w:val="0"/>
          <w:color w:val="000000"/>
          <w:sz w:val="22"/>
          <w:szCs w:val="22"/>
        </w:rPr>
        <w:t xml:space="preserve">1.2 Место оказания услуг</w:t>
      </w:r>
      <w:bookmarkEnd w:id="4"/>
      <w:r/>
      <w:r>
        <w:rPr>
          <w:rFonts w:ascii="Times New Roman" w:hAnsi="Times New Roman" w:cs="Times New Roman"/>
          <w:iCs w:val="0"/>
          <w:color w:val="000000"/>
          <w:sz w:val="22"/>
          <w:szCs w:val="2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</w:rPr>
        <w:t xml:space="preserve">1.2.1. Исполнитель оказывает услуги:</w:t>
      </w:r>
      <w:r>
        <w:rPr>
          <w:rFonts w:ascii="Times New Roman" w:hAnsi="Times New Roman" w:cs="Times New Roman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- по месту нахождения Исполнителя (удаленно средствами информационных технологий и телекоммуникаций с соблюдением требований по информационной безопасности);</w:t>
      </w:r>
      <w:r>
        <w:rPr>
          <w:rFonts w:ascii="Times New Roman" w:hAnsi="Times New Roman" w:cs="Times New Roman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- по месту нахождения Заказчика: 426069, Удмуртская Республика, г. Ижевск, ул.7-я Подлесная, 24;</w:t>
      </w:r>
      <w:r>
        <w:rPr>
          <w:rFonts w:ascii="Times New Roman" w:hAnsi="Times New Roman" w:cs="Times New Roman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- по месту нахождения Уполномоченного представителя: 426008, Удмуртская Республика, г. Ижевск, ул. Красная, д. 144;</w:t>
      </w:r>
      <w:r>
        <w:rPr>
          <w:rFonts w:ascii="Times New Roman" w:hAnsi="Times New Roman" w:cs="Times New Roman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lang w:eastAsia="en-US"/>
        </w:rPr>
        <w:t xml:space="preserve">- по месту нахождения Министерства финансов Удмуртской Республики: 426007, Удмуртская Республика, г. Ижевск, ул. Пушкинская, д.214.</w:t>
      </w:r>
      <w:r>
        <w:rPr>
          <w:rFonts w:ascii="Times New Roman" w:hAnsi="Times New Roman" w:cs="Times New Roman"/>
          <w:color w:val="000000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1.2.2. </w:t>
      </w:r>
      <w:r>
        <w:rPr>
          <w:rFonts w:ascii="Times New Roman" w:hAnsi="Times New Roman" w:cs="Times New Roman"/>
        </w:rPr>
        <w:t xml:space="preserve">Доступ к серверам и рабочим станциям специалистов на период выполнения работ обеспечивается Заказчиком по адресам, указанным в п. 1.2.1 настоящего Технического задания, а также посредством удаленного доступа.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Удаленный доступ предоставляется путем направления официального письма с запросом удал</w:t>
      </w:r>
      <w:r>
        <w:rPr>
          <w:rFonts w:ascii="Times New Roman" w:hAnsi="Times New Roman" w:cs="Times New Roman"/>
        </w:rPr>
        <w:t xml:space="preserve">енного доступа в адрес Заказчика. Подключаемое рабочее место должно быть оснащено сертифицированными средствами защиты информации от несанкционированного доступа и средствами криптографической защиты информации, сертифицированными ФСТЭК и (или) ФСБ России.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ind w:firstLine="709"/>
        <w:jc w:val="both"/>
        <w:spacing w:after="0" w:line="216" w:lineRule="auto"/>
        <w:rPr>
          <w:rFonts w:ascii="Times New Roman" w:hAnsi="Times New Roman" w:cs="Times New Roman"/>
          <w:b/>
          <w:bCs/>
          <w:i/>
          <w:iCs/>
        </w:rPr>
        <w:outlineLvl w:val="1"/>
      </w:pPr>
      <w:r/>
      <w:bookmarkStart w:id="5" w:name="_Toc239843883"/>
      <w:r>
        <w:rPr>
          <w:rFonts w:ascii="Times New Roman" w:hAnsi="Times New Roman" w:cs="Times New Roman"/>
          <w:b/>
          <w:bCs/>
          <w:i/>
          <w:iCs/>
        </w:rPr>
        <w:t xml:space="preserve">1.3 Срок оказания услуг</w:t>
      </w:r>
      <w:bookmarkEnd w:id="5"/>
      <w:r/>
      <w:r>
        <w:rPr>
          <w:rFonts w:ascii="Times New Roman" w:hAnsi="Times New Roman" w:cs="Times New Roman"/>
          <w:b/>
          <w:bCs/>
          <w:i/>
          <w:iCs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Оказание услуг по сопровождению Государственной информационной системы «Автоматизированная информационная система управления бюджетным процессом Удмуртской Республики»: с 01.0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.202</w:t>
      </w:r>
      <w:r>
        <w:rPr>
          <w:rFonts w:ascii="Times New Roman" w:hAnsi="Times New Roman" w:cs="Times New Roman"/>
        </w:rPr>
        <w:t xml:space="preserve">7</w:t>
      </w:r>
      <w:r>
        <w:rPr>
          <w:rFonts w:ascii="Times New Roman" w:hAnsi="Times New Roman" w:cs="Times New Roman"/>
        </w:rPr>
        <w:t xml:space="preserve"> по 3</w:t>
      </w:r>
      <w:r>
        <w:rPr>
          <w:rFonts w:ascii="Times New Roman" w:hAnsi="Times New Roman" w:cs="Times New Roman"/>
        </w:rPr>
        <w:t xml:space="preserve">0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  <w:t xml:space="preserve">06</w:t>
      </w:r>
      <w:r>
        <w:rPr>
          <w:rFonts w:ascii="Times New Roman" w:hAnsi="Times New Roman" w:cs="Times New Roman"/>
        </w:rPr>
        <w:t xml:space="preserve">.202</w:t>
      </w:r>
      <w:r>
        <w:rPr>
          <w:rFonts w:ascii="Times New Roman" w:hAnsi="Times New Roman" w:cs="Times New Roman"/>
        </w:rPr>
        <w:t xml:space="preserve">7</w:t>
      </w:r>
      <w:r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Предоставление неисключительных (пользовательских) прав в течение 10 (десяти) рабочих дней с даты заключения Договора. Срок действия неисключительных прав: </w:t>
      </w:r>
      <w:r>
        <w:rPr>
          <w:rFonts w:ascii="Times New Roman" w:hAnsi="Times New Roman" w:cs="Times New Roman"/>
        </w:rPr>
        <w:t xml:space="preserve">с 01.01.2027 по 30.06.2027 г.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</w:r>
      <w:r>
        <w:rPr>
          <w:rFonts w:ascii="Times New Roman" w:hAnsi="Times New Roman" w:cs="Times New Roman"/>
          <w:iCs/>
        </w:rPr>
      </w:r>
    </w:p>
    <w:p>
      <w:pPr>
        <w:pStyle w:val="756"/>
        <w:numPr>
          <w:ilvl w:val="0"/>
          <w:numId w:val="15"/>
        </w:numPr>
        <w:ind w:left="0" w:firstLine="709"/>
        <w:jc w:val="center"/>
        <w:rPr>
          <w:rFonts w:ascii="Times New Roman" w:hAnsi="Times New Roman" w:cs="Times New Roman"/>
        </w:rPr>
      </w:pPr>
      <w:r/>
      <w:bookmarkStart w:id="6" w:name="_Toc239843884"/>
      <w:r>
        <w:rPr>
          <w:rFonts w:ascii="Times New Roman" w:hAnsi="Times New Roman" w:cs="Times New Roman"/>
          <w:iCs/>
          <w:sz w:val="22"/>
          <w:szCs w:val="22"/>
        </w:rPr>
        <w:t xml:space="preserve">Сведения о ГИС</w:t>
      </w:r>
      <w:bookmarkEnd w:id="6"/>
      <w:r/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</w:rPr>
        <w:t xml:space="preserve">Государственная ин</w:t>
      </w:r>
      <w:r>
        <w:rPr>
          <w:rFonts w:ascii="Times New Roman" w:hAnsi="Times New Roman" w:cs="Times New Roman"/>
        </w:rPr>
        <w:t xml:space="preserve">формационная система «Автоматизированная информационная система управления бюджетным процессом Удмуртской Республики» предназначена для планирования расходов, прогнозирования доходов, регулирования межбюджетных отношений, формирования, ведения и оценки эфф</w:t>
      </w:r>
      <w:r>
        <w:rPr>
          <w:rFonts w:ascii="Times New Roman" w:hAnsi="Times New Roman" w:cs="Times New Roman"/>
        </w:rPr>
        <w:t xml:space="preserve">ективности государственных (муниципальных) программ, государственных (муниципальных) заданий и планов финансово – хозяйственной деятельности и составления и исполнения доходов и расходов бюджетов Удмуртской Республики, включает в себя следующие подсистемы:</w:t>
      </w:r>
      <w:r>
        <w:rPr>
          <w:rFonts w:ascii="Times New Roman" w:hAnsi="Times New Roman" w:cs="Times New Roman"/>
          <w:lang w:eastAsia="en-US"/>
        </w:rPr>
      </w:r>
    </w:p>
    <w:p>
      <w:pPr>
        <w:pStyle w:val="1002"/>
        <w:numPr>
          <w:ilvl w:val="0"/>
          <w:numId w:val="9"/>
        </w:numPr>
        <w:ind w:left="0" w:firstLine="0"/>
        <w:jc w:val="both"/>
        <w:spacing w:line="216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подсистема «Кассовое исполнение консолидированного бюджета Удмуртской Республики»; </w:t>
      </w:r>
      <w:r>
        <w:rPr>
          <w:rFonts w:ascii="Times New Roman" w:hAnsi="Times New Roman" w:cs="Times New Roman"/>
          <w:lang w:eastAsia="en-US"/>
        </w:rPr>
      </w:r>
    </w:p>
    <w:p>
      <w:pPr>
        <w:pStyle w:val="1002"/>
        <w:numPr>
          <w:ilvl w:val="0"/>
          <w:numId w:val="9"/>
        </w:numPr>
        <w:ind w:left="0" w:firstLine="0"/>
        <w:jc w:val="both"/>
        <w:spacing w:line="216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подсистема «Формирование консолидированной бюджетной отчетности Удмуртской Республики»;</w:t>
      </w:r>
      <w:r>
        <w:rPr>
          <w:rFonts w:ascii="Times New Roman" w:hAnsi="Times New Roman" w:cs="Times New Roman"/>
          <w:lang w:eastAsia="en-US"/>
        </w:rPr>
      </w:r>
    </w:p>
    <w:p>
      <w:pPr>
        <w:pStyle w:val="1002"/>
        <w:numPr>
          <w:ilvl w:val="0"/>
          <w:numId w:val="9"/>
        </w:numPr>
        <w:ind w:left="0" w:firstLine="0"/>
        <w:jc w:val="both"/>
        <w:spacing w:line="216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подсистема «Проектирование бюджета Удмуртской Республики»;</w:t>
      </w:r>
      <w:r>
        <w:rPr>
          <w:rFonts w:ascii="Times New Roman" w:hAnsi="Times New Roman" w:cs="Times New Roman"/>
          <w:lang w:eastAsia="en-US"/>
        </w:rPr>
      </w:r>
    </w:p>
    <w:p>
      <w:pPr>
        <w:pStyle w:val="1002"/>
        <w:numPr>
          <w:ilvl w:val="0"/>
          <w:numId w:val="9"/>
        </w:numPr>
        <w:ind w:left="0" w:firstLine="0"/>
        <w:jc w:val="both"/>
        <w:spacing w:line="216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подсистема «Управление в сфере закупок для государственных нужд Удмуртской Республики»;</w:t>
      </w:r>
      <w:r>
        <w:rPr>
          <w:rFonts w:ascii="Times New Roman" w:hAnsi="Times New Roman" w:cs="Times New Roman"/>
          <w:lang w:eastAsia="en-US"/>
        </w:rPr>
      </w:r>
    </w:p>
    <w:p>
      <w:pPr>
        <w:pStyle w:val="1002"/>
        <w:numPr>
          <w:ilvl w:val="0"/>
          <w:numId w:val="9"/>
        </w:numPr>
        <w:ind w:left="0" w:firstLine="0"/>
        <w:jc w:val="both"/>
        <w:spacing w:line="216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подсистема «Взаимодействие с порталом Электронный бюджет»;</w:t>
      </w:r>
      <w:r>
        <w:rPr>
          <w:rFonts w:ascii="Times New Roman" w:hAnsi="Times New Roman" w:cs="Times New Roman"/>
          <w:lang w:eastAsia="en-US"/>
        </w:rPr>
      </w:r>
    </w:p>
    <w:p>
      <w:pPr>
        <w:pStyle w:val="1002"/>
        <w:numPr>
          <w:ilvl w:val="0"/>
          <w:numId w:val="9"/>
        </w:numPr>
        <w:ind w:left="0" w:firstLine="0"/>
        <w:jc w:val="both"/>
        <w:spacing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en-US"/>
        </w:rPr>
        <w:t xml:space="preserve">подсистема «Автоматизация контрольно-ревизионной деятельности органов государственного (муниципального) финансового контроля»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iCs/>
        </w:rPr>
        <w:t xml:space="preserve">ГИС развернута на оборудовании, предоставленном Заказчиком под управлением серверных операционных систем </w:t>
      </w:r>
      <w:r>
        <w:rPr>
          <w:rFonts w:ascii="Times New Roman" w:hAnsi="Times New Roman" w:eastAsia="Times New Roman" w:cs="Times New Roman"/>
          <w:iCs/>
        </w:rPr>
        <w:t xml:space="preserve">Astra Linux </w:t>
      </w:r>
      <w:r>
        <w:rPr>
          <w:rFonts w:ascii="Times New Roman" w:hAnsi="Times New Roman" w:eastAsia="Times New Roman" w:cs="Times New Roman"/>
          <w:iCs/>
          <w:lang w:val="en-US"/>
        </w:rPr>
        <w:t xml:space="preserve">Special</w:t>
      </w:r>
      <w:r>
        <w:rPr>
          <w:rFonts w:ascii="Times New Roman" w:hAnsi="Times New Roman" w:eastAsia="Times New Roman" w:cs="Times New Roman"/>
          <w:iCs/>
        </w:rPr>
        <w:t xml:space="preserve"> </w:t>
      </w:r>
      <w:r>
        <w:rPr>
          <w:rFonts w:ascii="Times New Roman" w:hAnsi="Times New Roman" w:eastAsia="Times New Roman" w:cs="Times New Roman"/>
          <w:iCs/>
          <w:lang w:val="en-US"/>
        </w:rPr>
        <w:t xml:space="preserve">Edition</w:t>
      </w:r>
      <w:r>
        <w:rPr>
          <w:rFonts w:ascii="Times New Roman" w:hAnsi="Times New Roman" w:eastAsia="Times New Roman" w:cs="Times New Roman"/>
          <w:iCs/>
        </w:rPr>
        <w:t xml:space="preserve"> 1.7 и систем управления базами данных </w:t>
      </w:r>
      <w:r>
        <w:rPr>
          <w:rFonts w:ascii="Times New Roman" w:hAnsi="Times New Roman" w:eastAsia="Times New Roman" w:cs="Times New Roman"/>
          <w:iCs/>
        </w:rPr>
        <w:t xml:space="preserve">PostgreSQL</w:t>
      </w:r>
      <w:r>
        <w:rPr>
          <w:rFonts w:ascii="Times New Roman" w:hAnsi="Times New Roman" w:eastAsia="Times New Roman" w:cs="Times New Roman"/>
          <w:bCs/>
          <w:iCs/>
        </w:rPr>
        <w:t xml:space="preserve">, если иное не указано в описание среды эксплуатации конкретной подсистемы или модуля. Клиентское рабочее место функционирует под управлением операционной системы ОС Linux; РЕД ОС (применяется у пользователей ГИС в настоящее время).</w:t>
      </w:r>
      <w:r>
        <w:rPr>
          <w:rFonts w:ascii="Times New Roman" w:hAnsi="Times New Roman" w:cs="Times New Roman"/>
        </w:rPr>
      </w:r>
    </w:p>
    <w:p>
      <w:pPr>
        <w:pStyle w:val="757"/>
        <w:numPr>
          <w:ilvl w:val="0"/>
          <w:numId w:val="0"/>
        </w:numPr>
        <w:ind w:firstLine="709"/>
        <w:tabs>
          <w:tab w:val="left" w:pos="0" w:leader="none"/>
        </w:tabs>
        <w:rPr>
          <w:rFonts w:ascii="Times New Roman" w:hAnsi="Times New Roman" w:cs="Times New Roman"/>
        </w:rPr>
      </w:pPr>
      <w:r/>
      <w:bookmarkStart w:id="7" w:name="_Toc239843885"/>
      <w:r>
        <w:rPr>
          <w:rFonts w:ascii="Times New Roman" w:hAnsi="Times New Roman" w:cs="Times New Roman"/>
          <w:iCs w:val="0"/>
          <w:color w:val="000000"/>
          <w:sz w:val="22"/>
          <w:szCs w:val="22"/>
        </w:rPr>
        <w:t xml:space="preserve">2.1 Подсистема «Кассовое исполнение консолидированного бюджета Удмуртской Республики»</w:t>
      </w:r>
      <w:bookmarkEnd w:id="7"/>
      <w:r>
        <w:rPr>
          <w:rFonts w:ascii="Times New Roman" w:hAnsi="Times New Roman" w:cs="Times New Roman"/>
          <w:iCs w:val="0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1 – Программный комплекс «</w:t>
      </w:r>
      <w:r>
        <w:rPr>
          <w:rFonts w:ascii="Times New Roman" w:hAnsi="Times New Roman" w:eastAsia="Times New Roman" w:cs="Times New Roman"/>
          <w:b/>
        </w:rPr>
        <w:t xml:space="preserve">КС Бюджет</w:t>
      </w:r>
      <w:r>
        <w:rPr>
          <w:rFonts w:ascii="Times New Roman" w:hAnsi="Times New Roman" w:eastAsia="Times New Roman" w:cs="Times New Roman"/>
          <w:b/>
        </w:rPr>
        <w:t xml:space="preserve">», регистрационный номер в реестре Российского программного обеспечения (далее – РРПО) №8242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75"/>
        <w:gridCol w:w="2258"/>
        <w:gridCol w:w="7268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58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6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комплекс «</w:t>
            </w:r>
            <w:r>
              <w:rPr>
                <w:rFonts w:ascii="Times New Roman" w:hAnsi="Times New Roman" w:eastAsia="Times New Roman" w:cs="Times New Roman"/>
              </w:rPr>
              <w:t xml:space="preserve">КС Бюджет</w:t>
            </w:r>
            <w:r>
              <w:rPr>
                <w:rFonts w:ascii="Times New Roman" w:hAnsi="Times New Roman" w:eastAsia="Times New Roman" w:cs="Times New Roman"/>
              </w:rPr>
              <w:t xml:space="preserve">», версия не ниже 2</w:t>
            </w: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  <w:t xml:space="preserve">.2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6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6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Автоматизация кассового исполнения консолидированного бюджета Удмуртской Республики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68" w:type="dxa"/>
            <w:vAlign w:val="center"/>
            <w:textDirection w:val="lrTb"/>
            <w:noWrap w:val="false"/>
          </w:tcPr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Составление и ведение сводной бюджетной росписи бюджета Удмуртской Республики, бюджетных росписей главных распорядителей средств бюджета Удмуртской Республики, бюджетов муниципальных образований в Удмуртской Республике;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утверждение и доведение лимитов бюджетных обязательств бюджета Удмуртской Республики, бюджетов муниципальных образований в Удмуртской Республике;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работа с выпиской по лицевым счетам, открытым в финансовых органах, получение ежедневной информации о движениях по лицевому счету;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ведение кассового плана бюджета Удмуртской Республики и бюджетов муниципальных образований;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учет поступлений в бюджет Удмуртской Республики и бюджеты муниципальных образований;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осуществление кассовых расходов бюджета Удмуртской Республики, бюджетов муниципальных образований в Удмуртской Республике, государственных и муниципальных учреждений (казенных, бюджетных, автономных);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кассовое обслуживание лицевых счетов в территориальном органе федерального казначейства в Удмуртской Республике;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учет наличных денежных средств, обеспечение наличными денежными средствами с использованием банковских карт;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учет бюджетных обязательств получателей средств бюджета Удмуртской Республики и муниципальных образований;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учет источников финансирования дефицитов бюджетов, ведение государственной и муниципальных долговых книг;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настройка </w:t>
            </w:r>
            <w:r>
              <w:rPr>
                <w:rFonts w:ascii="Times New Roman" w:hAnsi="Times New Roman" w:cs="Times New Roman"/>
                <w:lang w:eastAsia="en-US"/>
              </w:rPr>
              <w:t xml:space="preserve">внутридокументных</w:t>
            </w:r>
            <w:r>
              <w:rPr>
                <w:rFonts w:ascii="Times New Roman" w:hAnsi="Times New Roman" w:cs="Times New Roman"/>
                <w:lang w:eastAsia="en-US"/>
              </w:rPr>
              <w:t xml:space="preserve"> и </w:t>
            </w:r>
            <w:r>
              <w:rPr>
                <w:rFonts w:ascii="Times New Roman" w:hAnsi="Times New Roman" w:cs="Times New Roman"/>
                <w:lang w:eastAsia="en-US"/>
              </w:rPr>
              <w:t xml:space="preserve">междокументных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контролей, контролей заполнения обязательных полей, контролей различных логических правил;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использование механизма электронной подписи документов и юридически значимого документооборота;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создания и хранения электронных образов оправдательных бумажных документов к документам, хранящимся в системе;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электронное взаимодействие между участниками бюджетного процесса посредством информационно-телекоммуникационной сети «Интернет»;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распределенное управление учетными записями, группами пользователей, правами пользователей;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удаленной работы в режиме «офлайн» в условиях временного отсутствия связи;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аналитических отчетов в различных разрезах, возможность экспорта отчетов в формате MS Excel.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6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68" w:type="dxa"/>
            <w:vAlign w:val="center"/>
            <w:textDirection w:val="lrTb"/>
            <w:noWrap w:val="false"/>
          </w:tcPr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все Участники и </w:t>
            </w:r>
            <w:r>
              <w:rPr>
                <w:rFonts w:ascii="Times New Roman" w:hAnsi="Times New Roman" w:cs="Times New Roman"/>
                <w:lang w:eastAsia="en-US"/>
              </w:rPr>
              <w:t xml:space="preserve">Неучастники</w:t>
            </w:r>
            <w:r>
              <w:rPr>
                <w:rFonts w:ascii="Times New Roman" w:hAnsi="Times New Roman" w:cs="Times New Roman"/>
                <w:lang w:eastAsia="en-US"/>
              </w:rPr>
              <w:t xml:space="preserve"> бюджетного процесса Удмуртской Республики;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все Участники и </w:t>
            </w:r>
            <w:r>
              <w:rPr>
                <w:rFonts w:ascii="Times New Roman" w:hAnsi="Times New Roman" w:cs="Times New Roman"/>
                <w:lang w:eastAsia="en-US"/>
              </w:rPr>
              <w:t xml:space="preserve">Неучастники</w:t>
            </w:r>
            <w:r>
              <w:rPr>
                <w:rFonts w:ascii="Times New Roman" w:hAnsi="Times New Roman" w:cs="Times New Roman"/>
                <w:lang w:eastAsia="en-US"/>
              </w:rPr>
              <w:t xml:space="preserve"> бюджетного процесса бюджетов муниципальных образований в Удмуртской Республике;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Министерство финансов Удмуртской Республики, финансовые органы муниципальных образований в Удмуртской Республике.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Общее количество пользователей – не менее 5000.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>
      <w:pPr>
        <w:jc w:val="both"/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2 – Программный комплекс «Госзаказ-КС», модуль ПК «</w:t>
      </w:r>
      <w:r>
        <w:rPr>
          <w:rFonts w:ascii="Times New Roman" w:hAnsi="Times New Roman" w:eastAsia="Times New Roman" w:cs="Times New Roman"/>
          <w:b/>
        </w:rPr>
        <w:t xml:space="preserve">КС Бюджет</w:t>
      </w:r>
      <w:r>
        <w:rPr>
          <w:rFonts w:ascii="Times New Roman" w:hAnsi="Times New Roman" w:eastAsia="Times New Roman" w:cs="Times New Roman"/>
          <w:b/>
        </w:rPr>
        <w:t xml:space="preserve">», регистрационный номер №8242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13"/>
        <w:gridCol w:w="2358"/>
        <w:gridCol w:w="723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модуль программного комплекса </w:t>
            </w:r>
            <w:r>
              <w:rPr>
                <w:rFonts w:ascii="Times New Roman" w:hAnsi="Times New Roman" w:eastAsia="Times New Roman" w:cs="Times New Roman"/>
              </w:rPr>
              <w:t xml:space="preserve">«КС Бюджет»</w:t>
            </w:r>
            <w:r>
              <w:rPr>
                <w:rFonts w:ascii="Times New Roman" w:hAnsi="Times New Roman" w:eastAsia="Times New Roman" w:cs="Times New Roman"/>
              </w:rPr>
              <w:t xml:space="preserve">, версия не ниже 2</w:t>
            </w: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  <w:t xml:space="preserve">.2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Подсистема программного комплекса </w:t>
            </w:r>
            <w:r>
              <w:rPr>
                <w:rFonts w:ascii="Times New Roman" w:hAnsi="Times New Roman" w:eastAsia="Times New Roman" w:cs="Times New Roman"/>
              </w:rPr>
              <w:t xml:space="preserve">«КС Бюджет»</w:t>
            </w:r>
            <w:r>
              <w:rPr>
                <w:rFonts w:ascii="Times New Roman" w:hAnsi="Times New Roman" w:eastAsia="Times New Roman" w:cs="Times New Roman"/>
              </w:rPr>
              <w:t xml:space="preserve"> для учета принятых бюджетных обязательств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Учет (создание, редактирование, контроль, передача) бюджетных обязательств получателей средств бюджета Удмуртской Республики и получателей средств бюджетов муниципальных образований в Удмуртской Республике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Все главные распорядители и получатели средств бюджета Удмуртской Республики и бюджетов муниципальных образований в Удмуртской Республике, количество – не менее 2600 пользователей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>
      <w:pPr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3 – Программный комплекс «Администратор-Д», регистрационный номер в РРПО №275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13"/>
        <w:gridCol w:w="2358"/>
        <w:gridCol w:w="7230"/>
      </w:tblGrid>
      <w:tr>
        <w:tblPrEx/>
        <w:trPr>
          <w:trHeight w:val="5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модуль программного комплекса </w:t>
            </w:r>
            <w:r>
              <w:rPr>
                <w:rFonts w:ascii="Times New Roman" w:hAnsi="Times New Roman" w:eastAsia="Times New Roman" w:cs="Times New Roman"/>
              </w:rPr>
              <w:t xml:space="preserve">«КС Бюджет»</w:t>
            </w:r>
            <w:r>
              <w:rPr>
                <w:rFonts w:ascii="Times New Roman" w:hAnsi="Times New Roman" w:eastAsia="Times New Roman" w:cs="Times New Roman"/>
              </w:rPr>
              <w:t xml:space="preserve">, версия 2</w:t>
            </w: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  <w:t xml:space="preserve">01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Автоматизация процесса администрирования поступлений в бюджет Удмуртской Республики и бюджеты муниципальных образований в Удмуртской Республике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Составление прогнозных показателей по администрируемым платежам;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загрузка информации из территориального органа Федерального казначейства России о поступлениях в бюджет Удмуртской Республики и бюджеты муниципальных образований в Удмуртской Республике; 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обработка поступлений по администрируемым кодам бюджетной классификации;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оформление и передача в территориальный орган Федерального казначейства России документов на уточнение вида и принадлежности платежа;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оформление и передача в территориальный орган Федерального казначейства России документов на возврат плательщику излишне уплаченных сумм;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оперативной и аналитической отчетности по администрируемым платежам в любом разрезе и за произвольный период.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Министерство финансов Удмуртской Республики, количество пользователей – не менее 50;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финансовые органы муниципальных образований в Удмуртской Республике – не менее 30.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</w:tbl>
    <w:p>
      <w:pPr>
        <w:jc w:val="both"/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4 – Подсистема «КС Администратор доходов. Административная практика», модуль ПК «Администратор-Д», регистрационный номер в РРПО №275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194" w:type="dxa"/>
        <w:tblLayout w:type="fixed"/>
        <w:tblLook w:val="0000" w:firstRow="0" w:lastRow="0" w:firstColumn="0" w:lastColumn="0" w:noHBand="0" w:noVBand="0"/>
      </w:tblPr>
      <w:tblGrid>
        <w:gridCol w:w="605"/>
        <w:gridCol w:w="2366"/>
        <w:gridCol w:w="722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66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6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3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6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3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Автоматизация учета дел об административных правонарушениях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6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3" w:type="dxa"/>
            <w:vAlign w:val="center"/>
            <w:textDirection w:val="lrTb"/>
            <w:noWrap w:val="false"/>
          </w:tcPr>
          <w:p>
            <w:pPr>
              <w:pStyle w:val="1002"/>
              <w:ind w:left="0"/>
              <w:jc w:val="both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Регистрация дел об административных правонарушениях (АП).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документов по делу об АП: протокола по делу об АП, постановления о назначении наказания, постановления о прекращении производства по делу об АП; определения по делу об АП, предписания об устранении нарушения, жалобы по делу об АП.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Регистрация документов проверки, в том числе распоряжения на проведение проверки, акта проверки.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Автоматическое формирование сумм принудительного взыскания.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Отражение сумм принудительного взыскания в бюджетном учете.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отчетности по делам об АП.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6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3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6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3" w:type="dxa"/>
            <w:vAlign w:val="center"/>
            <w:textDirection w:val="lrTb"/>
            <w:noWrap w:val="false"/>
          </w:tcPr>
          <w:p>
            <w:pPr>
              <w:pStyle w:val="1002"/>
              <w:ind w:left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Администраторы доходов УР (не более 1000 лицензий)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</w:tbl>
    <w:p>
      <w:pPr>
        <w:pStyle w:val="1030"/>
        <w:ind w:firstLine="0"/>
        <w:spacing w:line="240" w:lineRule="auto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0"/>
        <w:ind w:firstLine="0"/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Таблица 5 - Программный комплекс «Система комплексной интеграции продуктов «</w:t>
      </w:r>
      <w:r>
        <w:rPr>
          <w:b/>
          <w:bCs/>
          <w:sz w:val="22"/>
          <w:szCs w:val="22"/>
        </w:rPr>
        <w:t xml:space="preserve">Кейсистемс</w:t>
      </w:r>
      <w:r>
        <w:rPr>
          <w:b/>
          <w:bCs/>
          <w:sz w:val="22"/>
          <w:szCs w:val="22"/>
        </w:rPr>
        <w:t xml:space="preserve">» с решениями 1С» (интеграция с ПК «Администратор-Д»), регистрационный номер в РРПО №6917</w:t>
      </w:r>
      <w:r>
        <w:rPr>
          <w:b/>
          <w:bCs/>
          <w:sz w:val="22"/>
          <w:szCs w:val="22"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13"/>
        <w:gridCol w:w="2358"/>
        <w:gridCol w:w="723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Бесшовный обмен данными с информационно-аналитической системой для учета и администрирования поступлений в бюджетную систему и отражения в 1С: БГУ необходимых документов по учету доходов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pStyle w:val="1002"/>
              <w:ind w:left="61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Соблюдение сроков по отражению хозяйственных операций в бухгалтерском учете.</w:t>
            </w:r>
            <w:r>
              <w:rPr>
                <w:rFonts w:ascii="Times New Roman" w:hAnsi="Times New Roman" w:cs="Times New Roman"/>
              </w:rPr>
              <w:br w:type="textWrapping" w:clear="all"/>
              <w:t xml:space="preserve">Оперативный обмен информацией между подразделениями субъекта.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Администраторы доходов УР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jc w:val="both"/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6– Программный комплекс «РСУ ГМП», регистрационный номер в РРПО №880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13"/>
        <w:gridCol w:w="2358"/>
        <w:gridCol w:w="723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модуль программного комплекса </w:t>
            </w:r>
            <w:r>
              <w:rPr>
                <w:rFonts w:ascii="Times New Roman" w:hAnsi="Times New Roman" w:eastAsia="Times New Roman" w:cs="Times New Roman"/>
              </w:rPr>
              <w:t xml:space="preserve">«КС Бюджет»</w:t>
            </w:r>
            <w:r>
              <w:rPr>
                <w:rFonts w:ascii="Times New Roman" w:hAnsi="Times New Roman" w:eastAsia="Times New Roman" w:cs="Times New Roman"/>
              </w:rPr>
              <w:t xml:space="preserve">, версия 1.1.202</w:t>
            </w:r>
            <w:r>
              <w:rPr>
                <w:rFonts w:ascii="Times New Roman" w:hAnsi="Times New Roman" w:eastAsia="Times New Roman" w:cs="Times New Roman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Централизованная автоматизация процесса учета начислений и оплат за оказание государственных и му</w:t>
            </w:r>
            <w:r>
              <w:rPr>
                <w:rFonts w:ascii="Times New Roman" w:hAnsi="Times New Roman" w:eastAsia="Times New Roman" w:cs="Times New Roman"/>
              </w:rPr>
              <w:t xml:space="preserve">ниципальных услуг, интеграции с Государственной информационной системой о государственных и муниципальных платежах (ГИС ГМП) в соответствии с Федеральным законом от 27.07.2010 г. №210-ФЗ «Об организации предоставления государственных и муниципальных услуг»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pStyle w:val="1002"/>
              <w:ind w:left="3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интеграция с Государственной информационной системой о государственных и муниципальных платежах (ГИС ГМП), в части получения/передачи следующей информации в/из ГИС ГМП: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13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передача информации о создании начислений;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13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передача информации об аннулировании начислений;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13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передача информации о корректировке начисления;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13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получение информации о факте поступления платежа по идентификатору плательщика;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13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получение информации о факте поступления платежа по идентификатору начисления;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13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получение информации о факте поступления за период;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организация единого информационного пространства для администраторов доходов и организаций, оказывающих услуги, с выходом с СМЭВ;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реализация особенностей учета конкретного администратора поступлений;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взаимодействие с транспортной системой ТОФК;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импорт информации о начисленных суммах из программных продуктов, используемых по основному направлению деятельности органа власти;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учет авансовых платежей и оказанных государственных услуг;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учет документов по делам об административных правонарушениях;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аналитической отчетности по доходам и платежам.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Министерство финансов Удмуртской Республики, количество пользователей не менее 50;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финансовые органы муниципальных образований в Удмуртской Республике, количество пользователей – не менее 30;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администраторы доходов бюджета Удмуртской Республики и бюджетов муниципальных образовании в Удмуртской Республики, количество пользователей – не менее 650.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</w:tbl>
    <w:p>
      <w:pPr>
        <w:jc w:val="both"/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7 – Программный комплекс «Сведения о ЮЛ», регистрационный номер в РРПО №811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13"/>
        <w:gridCol w:w="2358"/>
        <w:gridCol w:w="723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модуль программного комплекса </w:t>
            </w:r>
            <w:r>
              <w:rPr>
                <w:rFonts w:ascii="Times New Roman" w:hAnsi="Times New Roman" w:eastAsia="Times New Roman" w:cs="Times New Roman"/>
              </w:rPr>
              <w:t xml:space="preserve">«КС Бюджет»</w:t>
            </w:r>
            <w:r>
              <w:rPr>
                <w:rFonts w:ascii="Times New Roman" w:hAnsi="Times New Roman" w:eastAsia="Times New Roman" w:cs="Times New Roman"/>
              </w:rPr>
              <w:t xml:space="preserve">, версия не ниже 2</w:t>
            </w: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  <w:t xml:space="preserve">.2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Автоматизация процессов взаимодействия с государственной интегрированной информационной системой «Электронный бюджет» в рамках формирования и ведения Сводного реестра участников и </w:t>
            </w:r>
            <w:r>
              <w:rPr>
                <w:rFonts w:ascii="Times New Roman" w:hAnsi="Times New Roman" w:eastAsia="Times New Roman" w:cs="Times New Roman"/>
              </w:rPr>
              <w:t xml:space="preserve">неучастников</w:t>
            </w:r>
            <w:r>
              <w:rPr>
                <w:rFonts w:ascii="Times New Roman" w:hAnsi="Times New Roman" w:eastAsia="Times New Roman" w:cs="Times New Roman"/>
              </w:rPr>
              <w:t xml:space="preserve"> бюджетного процесса Российско</w:t>
            </w:r>
            <w:r>
              <w:rPr>
                <w:rFonts w:ascii="Times New Roman" w:hAnsi="Times New Roman" w:eastAsia="Times New Roman" w:cs="Times New Roman"/>
              </w:rPr>
              <w:t xml:space="preserve">й Федерации, получение данных из ЕГРЮЛ обо всех юридических лицах, зарегистрированных на территории Российской Федерации, внесение изменений в учредительные документы юридических лиц или об их ликвидации, без взаимодействия с Федеральной налоговой службой.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pStyle w:val="1002"/>
              <w:ind w:left="0" w:firstLine="3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получение данных из ЕГРЮЛ ФНС и ведение собственного справочника ЕГРЮЛ;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 w:firstLine="3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обновление данных справочников полученными сведениями;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 w:firstLine="3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автоматическое заполнение справочника «Корреспонденты (все)» данными юридического лица по его ИНН;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 w:firstLine="3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заявок на включение (изменение) организаций в Сводный реестр на основании полученных данных по юридическим лицам;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 w:firstLine="3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структурированного файла установленного образца для экспорта сформированных заявок на включение (изменение) организаций в Сводный реестр ГИИС «Электронный бюджет»;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 w:firstLine="3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импорт записей Сводного реестра ГИИС «Электронный бюджет» из открытых данных (при наличии технической возможности);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 w:firstLine="3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автоматическое заполнение справочной информации модуля полученными импортируемыми данными. Автоматическое заполнение реквизита «Код по СР» по всем участникам бюджетного процесса.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Министерство финансов Удмуртской Республики, количество пользователей – не менее 50;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финансовые органы муниципальных образований в Удмуртской Республике количество пользователей – не менее 30.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</w:tbl>
    <w:p>
      <w:pPr>
        <w:jc w:val="both"/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8 – Программный комплекс «Перечень и реестры источников доходов бюджетов», регистрационный номер в РРПО №3753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13"/>
        <w:gridCol w:w="2358"/>
        <w:gridCol w:w="723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модуль программного комплекса </w:t>
            </w:r>
            <w:r>
              <w:rPr>
                <w:rFonts w:ascii="Times New Roman" w:hAnsi="Times New Roman" w:eastAsia="Times New Roman" w:cs="Times New Roman"/>
              </w:rPr>
              <w:t xml:space="preserve">«КС Бюджет»</w:t>
            </w:r>
            <w:r>
              <w:rPr>
                <w:rFonts w:ascii="Times New Roman" w:hAnsi="Times New Roman" w:eastAsia="Times New Roman" w:cs="Times New Roman"/>
              </w:rPr>
              <w:t xml:space="preserve">, версия не ниже 2</w:t>
            </w: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  <w:t xml:space="preserve">.2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Автоматиз</w:t>
            </w:r>
            <w:r>
              <w:rPr>
                <w:rFonts w:ascii="Times New Roman" w:hAnsi="Times New Roman" w:eastAsia="Times New Roman" w:cs="Times New Roman"/>
              </w:rPr>
              <w:t xml:space="preserve">ация процессов формирования и ведения в электронной форме перечня и реестра источников доходов бюджета Удмуртской Республики в ГИС, с последующей возможностью передачи информации в Государственную интегрированную информационную систему «Электронный бюджет»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Формирование информации и ведение перечня и реестра источников доходов бюджет Удмуртской Республики в электронной форме, включая: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3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источников доходов бюджетов с информацией по показателям доходов бюджетов каждого из источников на определенную дату. Возможность ввода и контроля данных по каждому этапу составления, утверждения и исполнения бюджета;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3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группировки источников доходов бюджета в ГИС в соответствии с заданными настройками группы;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3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передача накопленной информации по источникам доходов в систему «Электронный бюджет» с использованием универсального модуля взаимодействия (при наличии технической возможности);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3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автоматическая загрузка справочников системы «Электронный бюджет» (при наличии технической возможности);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3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автоматическое создание источников доходов на основании данных справочника БК (доходы);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3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автоматическое заполнение информации источников доходов по нормативам распределений и бюджетам в соответствии с данными справочника «Нормативы распределений»;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3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автоматическое заполнение по каждому источнику дохода суммовых показателей реестра источников доходов, таких как показатели кассовых поступлений, оценка исполнения</w:t>
            </w:r>
            <w:r>
              <w:rPr>
                <w:rFonts w:ascii="Times New Roman" w:hAnsi="Times New Roman" w:cs="Times New Roman"/>
                <w:lang w:eastAsia="en-US"/>
              </w:rPr>
              <w:t xml:space="preserve"> текущего года, показатели прогноза доходов на будущий бюджетный период, показатели планового прогноза доходов в соответствии с законом о бюджете, уточненные показатели прогноза бюджета. Данные берутся из соответствующих документов программного комплекса «</w:t>
            </w:r>
            <w:r>
              <w:rPr>
                <w:rFonts w:ascii="Times New Roman" w:hAnsi="Times New Roman" w:cs="Times New Roman"/>
                <w:lang w:eastAsia="en-US"/>
              </w:rPr>
              <w:t xml:space="preserve">КС Бюджет</w:t>
            </w:r>
            <w:r>
              <w:rPr>
                <w:rFonts w:ascii="Times New Roman" w:hAnsi="Times New Roman" w:cs="Times New Roman"/>
                <w:lang w:eastAsia="en-US"/>
              </w:rPr>
              <w:t xml:space="preserve">». В случае отсутствия данных в документах, показатели могут быть внесены вручную по каждому источнику доходов;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3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гибкой настройки расчёта суммовых показателей реестра источников доходов с использованием переменных центра контроля;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3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вывод печатной формы реестра источников доходов бюджета. Печатная форма реестра может быть отредактирована пользователем по своему усмотрению либо настроена в рамках сопровождения разработчиком по необходимости.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pStyle w:val="1002"/>
              <w:ind w:left="3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Министерство финансов Удмуртской Республики, количество пользователей – не менее 50;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3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главные администраторы доходов бюджетов – не менее 600.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</w:tbl>
    <w:p>
      <w:pPr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Style w:val="1030"/>
        <w:ind w:firstLine="0"/>
        <w:spacing w:line="216" w:lineRule="auto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0"/>
        <w:ind w:firstLine="0"/>
        <w:spacing w:line="216" w:lineRule="auto"/>
        <w:rPr>
          <w:b/>
        </w:rPr>
      </w:pPr>
      <w:r>
        <w:rPr>
          <w:b/>
          <w:sz w:val="22"/>
          <w:szCs w:val="22"/>
        </w:rPr>
        <w:t xml:space="preserve">Таблица 9  – </w:t>
      </w:r>
      <w:r>
        <w:rPr>
          <w:b/>
          <w:iCs/>
          <w:sz w:val="22"/>
          <w:szCs w:val="22"/>
          <w:lang w:eastAsia="ar-SA"/>
        </w:rPr>
        <w:t xml:space="preserve">Подсистема «</w:t>
      </w:r>
      <w:r>
        <w:rPr>
          <w:b/>
          <w:iCs/>
          <w:sz w:val="22"/>
          <w:szCs w:val="22"/>
          <w:lang w:eastAsia="ar-SA"/>
        </w:rPr>
        <w:t xml:space="preserve">КС Бизнес-процессы</w:t>
      </w:r>
      <w:r>
        <w:rPr>
          <w:b/>
          <w:iCs/>
          <w:sz w:val="22"/>
          <w:szCs w:val="22"/>
          <w:lang w:eastAsia="ar-SA"/>
        </w:rPr>
        <w:t xml:space="preserve">», модуль ПК </w:t>
      </w:r>
      <w:r>
        <w:rPr>
          <w:b/>
          <w:iCs/>
          <w:sz w:val="22"/>
          <w:szCs w:val="22"/>
          <w:lang w:eastAsia="ar-SA"/>
        </w:rPr>
        <w:t xml:space="preserve">«КС Бюджет»</w:t>
      </w:r>
      <w:r>
        <w:rPr>
          <w:b/>
          <w:sz w:val="22"/>
          <w:szCs w:val="22"/>
        </w:rPr>
        <w:t xml:space="preserve">, регистрационный номер в РРПО №</w:t>
      </w:r>
      <w:r>
        <w:rPr>
          <w:b/>
          <w:sz w:val="22"/>
          <w:szCs w:val="22"/>
        </w:rPr>
        <w:t xml:space="preserve">21146</w:t>
      </w:r>
      <w:r>
        <w:rPr>
          <w:b/>
        </w:rPr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675"/>
        <w:gridCol w:w="1985"/>
        <w:gridCol w:w="751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</w:p>
        </w:tc>
      </w:tr>
      <w:tr>
        <w:tblPrEx/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Программный модуль программного комплекса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«КС Бюджет»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, версия не ниже 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.2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  <w:tr>
        <w:tblPrEx/>
        <w:trPr>
          <w:trHeight w:val="5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16" w:lineRule="auto"/>
              <w:widowControl w:val="off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Расширение функциональных возможностей ГИС в части автоматизации процессов исполнения бюджета для обеспечения эффективного взаимодействия между пользователями ГИС.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</w:p>
          <w:p>
            <w:pPr>
              <w:spacing w:after="0" w:line="216" w:lineRule="auto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</w:p>
        </w:tc>
      </w:tr>
      <w:tr>
        <w:tblPrEx/>
        <w:trPr>
          <w:trHeight w:val="11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"/>
              </w:numPr>
              <w:contextualSpacing/>
              <w:ind w:left="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Моделирование бизнес-процессов: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Создание и управление бизнес-процессами (маршрутами) документов в виде диаграмм: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Установка сроков этапов обработки документов исполнителями;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Разграничение полномочий между исполнителями;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Возможность динамического определения исполнителя этапа обработки;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Подключение дополнительных действий, контролей, правил при переходе между этапами обработки документов при исполнении бизнес-процесса;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Настройка оповещения исполнителей этапов обработки и ответственных;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Настройка автоматического старта бизнес-процесса по событию;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Создание собственных правил перехода, действий и контролей этапов обработки;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Выгрузка и загрузка моделей бизнес-процессов из других систем в нотации BPMN 2.0;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Создание бизнес-процесса из модели;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Выгрузка и загрузка бизнес-процессов.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numPr>
                <w:ilvl w:val="0"/>
                <w:numId w:val="4"/>
              </w:numPr>
              <w:contextualSpacing/>
              <w:ind w:left="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Исполнение бизнес-процессов: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Протоколирование движения документа;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Возможность применения ЭП;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Отображение текущего этапа обработки документа на диаграмме бизнес-процесса;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Сохранение всей истории обработки документа;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Оповещение исполнителей при движении документа с использованием встроенного почтового клиента или корпоративной почты Заказчика;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Возможность отладки бизнес-процесса перед его запуском в промышленную эксплуатацию;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Возможность корректировки бизнес-процесса, находящегося в промышленной эксплуатации;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Возможность переназначения исполнителей этапов обработки в активном бизнес-процессе;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Возможность «включения\отключения» замещения исполнителя;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Возможность переопределения текущего этапа обработки в активном бизнес-процессе;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Оповещение исполнителей о просроченных этапах обработки;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Оповещение кураторов бизнес-процессов о просроченных исполнителями этапах обработки;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Пакетный запуск бизнес-процесса;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contextualSpacing/>
              <w:ind w:left="36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- Возможность добавления в панель инструментов документов, кнопок быстрого доступа к действиям на этапах обработки документов.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numPr>
                <w:ilvl w:val="0"/>
                <w:numId w:val="4"/>
              </w:numPr>
              <w:contextualSpacing/>
              <w:ind w:left="0"/>
              <w:jc w:val="both"/>
              <w:spacing w:after="0" w:line="216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Мониторинг бизнес-процессов, формирование аналитической отчетности и оценку деятельности подразделений, конкретных исполнителей.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  <w:tr>
        <w:tblPrEx/>
        <w:trPr>
          <w:trHeight w:val="11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АУ «</w:t>
            </w:r>
            <w:r>
              <w:rPr>
                <w:rFonts w:ascii="Times New Roman" w:hAnsi="Times New Roman" w:eastAsia="Times New Roman" w:cs="Times New Roman"/>
              </w:rPr>
              <w:t xml:space="preserve">ЦЦТ УР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», 426069, Удмуртская Республика, г. Ижевск, ул.7-я Подлесная, 24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1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все Участники и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Неучастники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бюджетного процесса Удмуртской Республики,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все Участники и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Неучастники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бюджетного процесса бюджетов муниципальных образований в Удмуртской Республике,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Министерство финансов Удмуртской Республики, финансовые органы муниципальных образований в Удмуртской Республике</w:t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Общее количество пользователей – не менее 5000.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</w:tbl>
    <w:p>
      <w:pPr>
        <w:jc w:val="both"/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10 – Программный комплекс «Плательщики и уплаченные доходы», регистрационный номер в РРПО №746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613"/>
        <w:gridCol w:w="2047"/>
        <w:gridCol w:w="751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Подсистема «Плательщики и уплаченные доходы», версия не ниже 2</w:t>
            </w: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  <w:t xml:space="preserve">.2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Для автоматизации процессов приема и обработки сведений о поступивших платежах, являющихся источниками формирования доходов бюджетов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</w:rPr>
              <w:t xml:space="preserve">Требования к блоку учета сведений о поступивших платежах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pStyle w:val="1031"/>
              <w:ind w:firstLine="0"/>
              <w:spacing w:line="216" w:lineRule="auto"/>
              <w:tabs>
                <w:tab w:val="left" w:pos="709" w:leader="none"/>
              </w:tabs>
              <w:rPr>
                <w:rFonts w:ascii="Times New Roman" w:hAnsi="Times New Roman" w:cs="Times New Roman"/>
                <w:color w:val="00000a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2"/>
                <w:szCs w:val="22"/>
                <w:lang w:eastAsia="en-US"/>
              </w:rPr>
              <w:t xml:space="preserve">Раздел должен обеспечивать автоматизацию следующих задач:</w:t>
            </w:r>
            <w:r>
              <w:rPr>
                <w:rFonts w:ascii="Times New Roman" w:hAnsi="Times New Roman" w:cs="Times New Roman"/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487" w:hanging="142"/>
              <w:spacing w:line="216" w:lineRule="auto"/>
              <w:tabs>
                <w:tab w:val="left" w:pos="345" w:leader="none"/>
                <w:tab w:val="clear" w:pos="900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прием структурированного файла сведен</w:t>
            </w:r>
            <w:r>
              <w:rPr>
                <w:color w:val="00000a"/>
                <w:sz w:val="22"/>
                <w:szCs w:val="22"/>
                <w:lang w:eastAsia="en-US"/>
              </w:rPr>
              <w:t xml:space="preserve">ий о плательщиках и уплаченных ими налоговых и неналоговых доходах в соответствии с требованиями к форматам обмена, используемым при информационном взаимодействии между территориальными органами Федерального казначейства и участниками бюджетного процесса, </w:t>
            </w:r>
            <w:r>
              <w:rPr>
                <w:color w:val="00000a"/>
                <w:sz w:val="22"/>
                <w:szCs w:val="22"/>
                <w:lang w:eastAsia="en-US"/>
              </w:rPr>
              <w:t xml:space="preserve">неучастниками</w:t>
            </w:r>
            <w:r>
              <w:rPr>
                <w:color w:val="00000a"/>
                <w:sz w:val="22"/>
                <w:szCs w:val="22"/>
                <w:lang w:eastAsia="en-US"/>
              </w:rPr>
              <w:t xml:space="preserve"> бюджетного процесса, бюджетными учреждениями, автономными учреждениями;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487" w:hanging="142"/>
              <w:spacing w:line="216" w:lineRule="auto"/>
              <w:tabs>
                <w:tab w:val="left" w:pos="345" w:leader="none"/>
                <w:tab w:val="clear" w:pos="900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создание запросов в соответствии со структурой, представленной в виде сведений «Предоставление сведений о распределении ЕНП»;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487" w:hanging="142"/>
              <w:spacing w:line="216" w:lineRule="auto"/>
              <w:tabs>
                <w:tab w:val="left" w:pos="345" w:leader="none"/>
                <w:tab w:val="clear" w:pos="900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получению и обработке структурированных файлов вида сведений «Предоставление сведений о распределении ЕНП»;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487" w:hanging="142"/>
              <w:spacing w:line="216" w:lineRule="auto"/>
              <w:tabs>
                <w:tab w:val="left" w:pos="345" w:leader="none"/>
                <w:tab w:val="clear" w:pos="900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взаимодействие с сервисом обмена с использованием тестовых и продуктивных сценариев для подключения к виду сведений «Предоставление сведений о распределении ЕНП» посредством СМЭВ;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487" w:hanging="142"/>
              <w:spacing w:line="216" w:lineRule="auto"/>
              <w:tabs>
                <w:tab w:val="left" w:pos="345" w:leader="none"/>
                <w:tab w:val="clear" w:pos="900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использование уникального идентификатора участника взаимодействия «УРН участника – отправителя запроса»;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487" w:hanging="142"/>
              <w:spacing w:line="216" w:lineRule="auto"/>
              <w:tabs>
                <w:tab w:val="left" w:pos="345" w:leader="none"/>
                <w:tab w:val="clear" w:pos="900" w:leader="none"/>
              </w:tabs>
              <w:rPr>
                <w:i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контроль синхронизации справочников.</w:t>
            </w:r>
            <w:r>
              <w:rPr>
                <w:i/>
              </w:rPr>
            </w:r>
          </w:p>
          <w:p>
            <w:pPr>
              <w:contextualSpacing/>
              <w:ind w:left="840" w:hanging="806"/>
              <w:jc w:val="both"/>
              <w:spacing w:after="0" w:line="216" w:lineRule="auto"/>
              <w:tabs>
                <w:tab w:val="left" w:pos="709" w:leader="none"/>
                <w:tab w:val="left" w:pos="1276" w:leader="none"/>
              </w:tabs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</w:rPr>
              <w:t xml:space="preserve">Требования к блоку нормативной справочной информации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pStyle w:val="1031"/>
              <w:ind w:firstLine="0"/>
              <w:spacing w:line="216" w:lineRule="auto"/>
              <w:tabs>
                <w:tab w:val="left" w:pos="709" w:leader="none"/>
              </w:tabs>
              <w:rPr>
                <w:rFonts w:ascii="Times New Roman" w:hAnsi="Times New Roman" w:eastAsia="Times New Roman" w:cs="Times New Roman"/>
                <w:color w:val="00000a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2"/>
                <w:szCs w:val="22"/>
                <w:lang w:eastAsia="en-US"/>
              </w:rPr>
              <w:t xml:space="preserve">Должно быть организовано управление всей нормативно-справочной информацией, используемой в ав</w:t>
            </w:r>
            <w:r>
              <w:rPr>
                <w:rFonts w:ascii="Times New Roman" w:hAnsi="Times New Roman" w:eastAsia="Times New Roman" w:cs="Times New Roman"/>
                <w:color w:val="00000a"/>
                <w:sz w:val="22"/>
                <w:szCs w:val="22"/>
                <w:lang w:eastAsia="en-US"/>
              </w:rPr>
              <w:t xml:space="preserve">томатизированной системе, на основании распределения прав доступа к функциям и данным автоматизированной системы. Блок должен обеспечить создание, редактирование и удаление элементов справочника. Значение справочника должно состоять из кода и наименования.</w:t>
            </w:r>
            <w:r>
              <w:rPr>
                <w:rFonts w:ascii="Times New Roman" w:hAnsi="Times New Roman" w:eastAsia="Times New Roman" w:cs="Times New Roman"/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1"/>
              <w:ind w:firstLine="0"/>
              <w:spacing w:line="216" w:lineRule="auto"/>
              <w:tabs>
                <w:tab w:val="left" w:pos="709" w:leader="none"/>
              </w:tabs>
              <w:rPr>
                <w:rFonts w:ascii="Times New Roman" w:hAnsi="Times New Roman" w:cs="Times New Roman"/>
                <w:color w:val="00000a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2"/>
                <w:szCs w:val="22"/>
                <w:lang w:eastAsia="en-US"/>
              </w:rPr>
              <w:t xml:space="preserve">Блок должен содержать следующие справочники:</w:t>
            </w:r>
            <w:r>
              <w:rPr>
                <w:rFonts w:ascii="Times New Roman" w:hAnsi="Times New Roman" w:cs="Times New Roman"/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720" w:hanging="375"/>
              <w:spacing w:line="216" w:lineRule="auto"/>
              <w:tabs>
                <w:tab w:val="left" w:pos="720" w:leader="none"/>
                <w:tab w:val="clear" w:pos="900" w:leader="none"/>
                <w:tab w:val="left" w:pos="1418" w:leader="none"/>
                <w:tab w:val="left" w:pos="3904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БК (доходы);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720" w:hanging="375"/>
              <w:spacing w:line="216" w:lineRule="auto"/>
              <w:tabs>
                <w:tab w:val="left" w:pos="720" w:leader="none"/>
                <w:tab w:val="clear" w:pos="900" w:leader="none"/>
                <w:tab w:val="left" w:pos="1418" w:leader="none"/>
                <w:tab w:val="left" w:pos="3904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БК (источники);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720" w:hanging="375"/>
              <w:spacing w:line="216" w:lineRule="auto"/>
              <w:tabs>
                <w:tab w:val="left" w:pos="720" w:leader="none"/>
                <w:tab w:val="clear" w:pos="900" w:leader="none"/>
                <w:tab w:val="left" w:pos="1418" w:leader="none"/>
                <w:tab w:val="left" w:pos="3904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ведомства;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720" w:hanging="375"/>
              <w:spacing w:line="216" w:lineRule="auto"/>
              <w:tabs>
                <w:tab w:val="left" w:pos="720" w:leader="none"/>
                <w:tab w:val="clear" w:pos="900" w:leader="none"/>
                <w:tab w:val="left" w:pos="1418" w:leader="none"/>
                <w:tab w:val="left" w:pos="3904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источники финансирования;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720" w:hanging="375"/>
              <w:spacing w:line="216" w:lineRule="auto"/>
              <w:tabs>
                <w:tab w:val="left" w:pos="720" w:leader="none"/>
                <w:tab w:val="clear" w:pos="900" w:leader="none"/>
                <w:tab w:val="left" w:pos="1418" w:leader="none"/>
                <w:tab w:val="left" w:pos="3904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виды доходов;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720" w:hanging="375"/>
              <w:spacing w:line="216" w:lineRule="auto"/>
              <w:tabs>
                <w:tab w:val="left" w:pos="720" w:leader="none"/>
                <w:tab w:val="clear" w:pos="900" w:leader="none"/>
                <w:tab w:val="left" w:pos="1418" w:leader="none"/>
                <w:tab w:val="left" w:pos="3904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КОСГУ;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720" w:hanging="375"/>
              <w:spacing w:line="216" w:lineRule="auto"/>
              <w:tabs>
                <w:tab w:val="left" w:pos="720" w:leader="none"/>
                <w:tab w:val="clear" w:pos="900" w:leader="none"/>
                <w:tab w:val="left" w:pos="1418" w:leader="none"/>
                <w:tab w:val="left" w:pos="3904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подвиды доходов;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720" w:hanging="375"/>
              <w:spacing w:line="216" w:lineRule="auto"/>
              <w:tabs>
                <w:tab w:val="left" w:pos="720" w:leader="none"/>
                <w:tab w:val="clear" w:pos="900" w:leader="none"/>
                <w:tab w:val="left" w:pos="1418" w:leader="none"/>
                <w:tab w:val="left" w:pos="3904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администраторы;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720" w:hanging="375"/>
              <w:spacing w:line="216" w:lineRule="auto"/>
              <w:tabs>
                <w:tab w:val="left" w:pos="720" w:leader="none"/>
                <w:tab w:val="clear" w:pos="900" w:leader="none"/>
                <w:tab w:val="left" w:pos="1418" w:leader="none"/>
                <w:tab w:val="left" w:pos="3904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бюджеты и фонды;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720" w:hanging="375"/>
              <w:spacing w:line="216" w:lineRule="auto"/>
              <w:tabs>
                <w:tab w:val="left" w:pos="720" w:leader="none"/>
                <w:tab w:val="clear" w:pos="900" w:leader="none"/>
                <w:tab w:val="left" w:pos="1418" w:leader="none"/>
                <w:tab w:val="left" w:pos="3904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нормативы распределений;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720" w:hanging="375"/>
              <w:spacing w:line="216" w:lineRule="auto"/>
              <w:tabs>
                <w:tab w:val="left" w:pos="720" w:leader="none"/>
                <w:tab w:val="clear" w:pos="900" w:leader="none"/>
                <w:tab w:val="left" w:pos="1418" w:leader="none"/>
                <w:tab w:val="left" w:pos="3904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ОКТМО;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720" w:hanging="375"/>
              <w:spacing w:line="216" w:lineRule="auto"/>
              <w:tabs>
                <w:tab w:val="left" w:pos="720" w:leader="none"/>
                <w:tab w:val="clear" w:pos="900" w:leader="none"/>
                <w:tab w:val="left" w:pos="1418" w:leader="none"/>
                <w:tab w:val="left" w:pos="3904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плательщики;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720" w:hanging="375"/>
              <w:spacing w:line="216" w:lineRule="auto"/>
              <w:tabs>
                <w:tab w:val="left" w:pos="720" w:leader="none"/>
                <w:tab w:val="clear" w:pos="900" w:leader="none"/>
                <w:tab w:val="left" w:pos="1418" w:leader="none"/>
                <w:tab w:val="left" w:pos="3904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коды налогоплательщика;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720" w:hanging="375"/>
              <w:spacing w:line="216" w:lineRule="auto"/>
              <w:tabs>
                <w:tab w:val="left" w:pos="720" w:leader="none"/>
                <w:tab w:val="clear" w:pos="900" w:leader="none"/>
                <w:tab w:val="left" w:pos="1418" w:leader="none"/>
                <w:tab w:val="left" w:pos="3904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ОКВЭД;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720" w:hanging="375"/>
              <w:spacing w:line="216" w:lineRule="auto"/>
              <w:tabs>
                <w:tab w:val="left" w:pos="720" w:leader="none"/>
                <w:tab w:val="clear" w:pos="900" w:leader="none"/>
                <w:tab w:val="left" w:pos="1418" w:leader="none"/>
                <w:tab w:val="left" w:pos="3904" w:leader="none"/>
              </w:tabs>
              <w:rPr>
                <w:i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статус налогоплательщика.</w:t>
            </w:r>
            <w:r>
              <w:rPr>
                <w:i/>
                <w:sz w:val="22"/>
                <w:szCs w:val="22"/>
                <w:lang w:eastAsia="en-US"/>
              </w:rPr>
            </w:r>
          </w:p>
          <w:p>
            <w:pPr>
              <w:pStyle w:val="1002"/>
              <w:ind w:left="1200" w:hanging="1200"/>
              <w:jc w:val="both"/>
              <w:spacing w:line="216" w:lineRule="auto"/>
              <w:tabs>
                <w:tab w:val="left" w:pos="709" w:leader="none"/>
                <w:tab w:val="left" w:pos="1276" w:leader="none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i/>
                <w:lang w:eastAsia="en-US"/>
              </w:rPr>
              <w:t xml:space="preserve">Требования к блоку формирования аналитической отчетности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31"/>
              <w:ind w:firstLine="0"/>
              <w:spacing w:line="216" w:lineRule="auto"/>
              <w:tabs>
                <w:tab w:val="left" w:pos="709" w:leader="none"/>
              </w:tabs>
              <w:rPr>
                <w:rFonts w:ascii="Times New Roman" w:hAnsi="Times New Roman" w:cs="Times New Roman"/>
                <w:color w:val="00000a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a"/>
                <w:sz w:val="22"/>
                <w:szCs w:val="22"/>
                <w:lang w:eastAsia="en-US"/>
              </w:rPr>
              <w:t xml:space="preserve">Блок должен обеспечивать:</w:t>
            </w:r>
            <w:r>
              <w:rPr>
                <w:rFonts w:ascii="Times New Roman" w:hAnsi="Times New Roman" w:cs="Times New Roman"/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487" w:hanging="142"/>
              <w:spacing w:line="216" w:lineRule="auto"/>
              <w:tabs>
                <w:tab w:val="left" w:pos="345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формированию формы «Сведения о поступивших от юридических лиц платежах» (Форма по КФД 0531480).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487" w:hanging="142"/>
              <w:spacing w:line="216" w:lineRule="auto"/>
              <w:tabs>
                <w:tab w:val="left" w:pos="345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анализ данных о поступлении доходов (с учетом нормативов распределения налоговых и неналоговых доходов по уровням бюджетов);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487" w:hanging="142"/>
              <w:spacing w:line="216" w:lineRule="auto"/>
              <w:tabs>
                <w:tab w:val="left" w:pos="345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формирование отчетов с возможностью фильтрации выборки данных по КБК, ОКТМО, ОКВЭД, администраторам поступлений в бюджет, наименованиям документов и по крупным плательщикам;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487" w:hanging="142"/>
              <w:spacing w:line="216" w:lineRule="auto"/>
              <w:tabs>
                <w:tab w:val="left" w:pos="345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формирование аналитической отчетности за период по плательщикам, КБК (с учетом </w:t>
            </w:r>
            <w:r>
              <w:rPr>
                <w:color w:val="00000a"/>
                <w:sz w:val="22"/>
                <w:szCs w:val="22"/>
                <w:lang w:eastAsia="en-US"/>
              </w:rPr>
              <w:t xml:space="preserve">подитогов</w:t>
            </w:r>
            <w:r>
              <w:rPr>
                <w:color w:val="00000a"/>
                <w:sz w:val="22"/>
                <w:szCs w:val="22"/>
                <w:lang w:eastAsia="en-US"/>
              </w:rPr>
              <w:t xml:space="preserve">), ОКТМО (с учетом </w:t>
            </w:r>
            <w:r>
              <w:rPr>
                <w:color w:val="00000a"/>
                <w:sz w:val="22"/>
                <w:szCs w:val="22"/>
                <w:lang w:eastAsia="en-US"/>
              </w:rPr>
              <w:t xml:space="preserve">подитогов</w:t>
            </w:r>
            <w:r>
              <w:rPr>
                <w:color w:val="00000a"/>
                <w:sz w:val="22"/>
                <w:szCs w:val="22"/>
                <w:lang w:eastAsia="en-US"/>
              </w:rPr>
              <w:t xml:space="preserve">), ОКВЭД, администраторам поступлений в бюджет, наименованиям документов, по бюджетам бюджетной системы РФ;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487" w:hanging="142"/>
              <w:spacing w:line="216" w:lineRule="auto"/>
              <w:tabs>
                <w:tab w:val="left" w:pos="345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формирование аналитической отчетности по дням, месяцам или кварталам (формирование аналитической отчетности за аналогичный период предыдущего года);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487" w:hanging="142"/>
              <w:spacing w:line="216" w:lineRule="auto"/>
              <w:tabs>
                <w:tab w:val="left" w:pos="345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возможность использования в аналитике иерархических отборов по видам доходов, ОКТМО и бюджетов бюджетной системы РФ;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487" w:hanging="142"/>
              <w:spacing w:line="216" w:lineRule="auto"/>
              <w:tabs>
                <w:tab w:val="left" w:pos="345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настройка нужной формы отчета в рамках сопровождения;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487" w:hanging="142"/>
              <w:spacing w:line="216" w:lineRule="auto"/>
              <w:tabs>
                <w:tab w:val="left" w:pos="345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настройка нужной формы отчета или модификация существующей отчетности пользователем ПК;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487" w:hanging="142"/>
              <w:spacing w:line="216" w:lineRule="auto"/>
              <w:tabs>
                <w:tab w:val="left" w:pos="345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формированию сводных отчетов по совокупности принятой от всех поставщиков информации;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  <w:p>
            <w:pPr>
              <w:pStyle w:val="1032"/>
              <w:numPr>
                <w:ilvl w:val="0"/>
                <w:numId w:val="0"/>
              </w:numPr>
              <w:contextualSpacing/>
              <w:ind w:left="487" w:hanging="142"/>
              <w:spacing w:line="216" w:lineRule="auto"/>
              <w:tabs>
                <w:tab w:val="left" w:pos="345" w:leader="none"/>
              </w:tabs>
              <w:rPr>
                <w:color w:val="00000a"/>
                <w:sz w:val="22"/>
                <w:szCs w:val="22"/>
                <w:lang w:eastAsia="en-US"/>
              </w:rPr>
            </w:pPr>
            <w:r>
              <w:rPr>
                <w:color w:val="00000a"/>
                <w:sz w:val="22"/>
                <w:szCs w:val="22"/>
                <w:lang w:eastAsia="en-US"/>
              </w:rPr>
              <w:t xml:space="preserve">- вывод полученных результатов в электронные файлы формата офисных программ и </w:t>
            </w:r>
            <w:r>
              <w:rPr>
                <w:color w:val="00000a"/>
                <w:sz w:val="22"/>
                <w:szCs w:val="22"/>
                <w:lang w:eastAsia="en-US"/>
              </w:rPr>
              <w:t xml:space="preserve">html</w:t>
            </w:r>
            <w:r>
              <w:rPr>
                <w:color w:val="00000a"/>
                <w:sz w:val="22"/>
                <w:szCs w:val="22"/>
                <w:lang w:eastAsia="en-US"/>
              </w:rPr>
              <w:t xml:space="preserve">, </w:t>
            </w:r>
            <w:r>
              <w:rPr>
                <w:color w:val="00000a"/>
                <w:sz w:val="22"/>
                <w:szCs w:val="22"/>
                <w:lang w:eastAsia="en-US"/>
              </w:rPr>
              <w:t xml:space="preserve">pdf</w:t>
            </w:r>
            <w:r>
              <w:rPr>
                <w:color w:val="00000a"/>
                <w:sz w:val="22"/>
                <w:szCs w:val="22"/>
                <w:lang w:eastAsia="en-US"/>
              </w:rPr>
              <w:t xml:space="preserve">.</w:t>
            </w:r>
            <w:r>
              <w:rPr>
                <w:color w:val="00000a"/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все Участники и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Неучастники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бюджетного процесса Удмуртской Республики,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все Участники и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Неучастники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бюджетного процесса бюджетов муниципальных образований в Удмуртской Республике,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Министерство финансов Удмуртской Республики, финансовые органы муниципальных образований в Удмуртской Республике</w:t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Общее количество пользователей –</w:t>
            </w:r>
            <w:r>
              <w:rPr>
                <w:rFonts w:ascii="Times New Roman" w:hAnsi="Times New Roman" w:cs="Times New Roman"/>
                <w:lang w:eastAsia="en-US"/>
              </w:rPr>
              <w:t xml:space="preserve">не менее 99;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757"/>
        <w:numPr>
          <w:ilvl w:val="0"/>
          <w:numId w:val="0"/>
        </w:numPr>
        <w:ind w:firstLine="709"/>
        <w:tabs>
          <w:tab w:val="left" w:pos="0" w:leader="none"/>
        </w:tabs>
        <w:rPr>
          <w:rFonts w:ascii="Times New Roman" w:hAnsi="Times New Roman" w:cs="Times New Roman"/>
        </w:rPr>
      </w:pPr>
      <w:r/>
      <w:bookmarkStart w:id="8" w:name="_Toc239843886"/>
      <w:r>
        <w:rPr>
          <w:rFonts w:ascii="Times New Roman" w:hAnsi="Times New Roman" w:cs="Times New Roman"/>
          <w:iCs w:val="0"/>
          <w:color w:val="000000"/>
          <w:sz w:val="22"/>
          <w:szCs w:val="22"/>
        </w:rPr>
        <w:t xml:space="preserve">2.2 Подсистема «Формирование консолидированной бюджетной отчетности Удмуртской Республики»</w:t>
      </w:r>
      <w:bookmarkEnd w:id="8"/>
      <w:r/>
      <w:r>
        <w:rPr>
          <w:rFonts w:ascii="Times New Roman" w:hAnsi="Times New Roman" w:cs="Times New Roman"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11 – Программный комплекс «Свод-СМАРТ», регистрационный номер в РРПО №617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13"/>
        <w:gridCol w:w="2047"/>
        <w:gridCol w:w="754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комплекс «Свод-СМАРТ», версия не ниже </w:t>
            </w:r>
            <w:r>
              <w:rPr>
                <w:rFonts w:ascii="Times New Roman" w:hAnsi="Times New Roman" w:eastAsia="Times New Roman" w:cs="Times New Roman"/>
              </w:rPr>
              <w:t xml:space="preserve">24.2</w:t>
            </w:r>
            <w:r>
              <w:rPr>
                <w:rFonts w:ascii="Times New Roman" w:hAnsi="Times New Roman" w:eastAsia="Times New Roman" w:cs="Times New Roman"/>
              </w:rPr>
              <w:t xml:space="preserve"> на базе СУБД </w:t>
            </w:r>
            <w:r>
              <w:rPr>
                <w:rFonts w:ascii="Times New Roman" w:hAnsi="Times New Roman" w:eastAsia="Times New Roman" w:cs="Times New Roman"/>
              </w:rPr>
              <w:t xml:space="preserve">PostgreSQL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Формирование консолидированной бюджетной отчетности Удмуртской Республики, в том числе бухгалтерской и статистической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pStyle w:val="1002"/>
              <w:ind w:left="61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бюджетной, бухгалтерской, статистической отчетности в соответствии с законодательством Российской Федерации, для передачи в вышестоящие органы;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61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настройка внутри - и меж-документных контролей в формируемых отчетах;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61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ведение иерархического дерева подчиненности организация, формирование сводной отчетности в соответствии с подчиненностью;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61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создание отчетов произвольной формы по потребности пользователей;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61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использование механизма электронной подписи для подтверждения подлинности документов;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61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удаленный доступ пользователей через информационно-телекоммуникационную сеть «Интернет».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Министерство финансов Удмуртской Республики;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финансовые органы муниципальных образований в Удмуртской Республике, количество – не менее 30;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Участники и </w:t>
            </w:r>
            <w:r>
              <w:rPr>
                <w:rFonts w:ascii="Times New Roman" w:hAnsi="Times New Roman" w:cs="Times New Roman"/>
                <w:lang w:eastAsia="en-US"/>
              </w:rPr>
              <w:t xml:space="preserve">Неучастники</w:t>
            </w:r>
            <w:r>
              <w:rPr>
                <w:rFonts w:ascii="Times New Roman" w:hAnsi="Times New Roman" w:cs="Times New Roman"/>
                <w:lang w:eastAsia="en-US"/>
              </w:rPr>
              <w:t xml:space="preserve"> бюджетного процесса Удмуртской Республики, Участники и </w:t>
            </w:r>
            <w:r>
              <w:rPr>
                <w:rFonts w:ascii="Times New Roman" w:hAnsi="Times New Roman" w:cs="Times New Roman"/>
                <w:lang w:eastAsia="en-US"/>
              </w:rPr>
              <w:t xml:space="preserve">Неучастники</w:t>
            </w:r>
            <w:r>
              <w:rPr>
                <w:rFonts w:ascii="Times New Roman" w:hAnsi="Times New Roman" w:cs="Times New Roman"/>
                <w:lang w:eastAsia="en-US"/>
              </w:rPr>
              <w:t xml:space="preserve"> бюджетного процесса бюджетов муниципальных образований в Удмуртской Республике, количество – не менее 2600 учреждений.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</w:tbl>
    <w:p>
      <w:pPr>
        <w:pStyle w:val="757"/>
        <w:numPr>
          <w:ilvl w:val="0"/>
          <w:numId w:val="0"/>
        </w:numPr>
        <w:ind w:firstLine="709"/>
        <w:tabs>
          <w:tab w:val="left" w:pos="0" w:leader="none"/>
        </w:tabs>
        <w:rPr>
          <w:rFonts w:ascii="Times New Roman" w:hAnsi="Times New Roman" w:cs="Times New Roman"/>
        </w:rPr>
      </w:pPr>
      <w:r/>
      <w:bookmarkStart w:id="9" w:name="_Toc239843887"/>
      <w:r>
        <w:rPr>
          <w:rFonts w:ascii="Times New Roman" w:hAnsi="Times New Roman" w:cs="Times New Roman"/>
          <w:iCs w:val="0"/>
          <w:color w:val="000000"/>
          <w:sz w:val="22"/>
          <w:szCs w:val="22"/>
        </w:rPr>
        <w:t xml:space="preserve">2.3 Подсистема «Проектирование бюджета Удмуртской Республики». Состав программного обеспечения.</w:t>
      </w:r>
      <w:bookmarkEnd w:id="9"/>
      <w:r/>
      <w:r>
        <w:rPr>
          <w:rFonts w:ascii="Times New Roman" w:hAnsi="Times New Roman" w:cs="Times New Roman"/>
        </w:rPr>
      </w:r>
    </w:p>
    <w:p>
      <w:pPr>
        <w:jc w:val="both"/>
        <w:spacing w:after="0" w:line="216" w:lineRule="auto"/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/>
        </w:rPr>
        <w:t xml:space="preserve">Таблица 12 – Программный </w:t>
      </w:r>
      <w:r>
        <w:rPr>
          <w:rFonts w:ascii="Times New Roman" w:hAnsi="Times New Roman" w:eastAsia="Times New Roman" w:cs="Times New Roman"/>
          <w:b/>
          <w:shd w:val="clear" w:color="auto" w:fill="ffffff"/>
        </w:rPr>
        <w:t xml:space="preserve">комплекс «Про</w:t>
      </w:r>
      <w:r>
        <w:rPr>
          <w:rFonts w:ascii="Times New Roman" w:hAnsi="Times New Roman" w:eastAsia="Times New Roman" w:cs="Times New Roman"/>
          <w:b/>
        </w:rPr>
        <w:t xml:space="preserve">ект-СМА</w:t>
      </w:r>
      <w:r>
        <w:rPr>
          <w:rFonts w:ascii="Times New Roman" w:hAnsi="Times New Roman" w:eastAsia="Times New Roman" w:cs="Times New Roman"/>
          <w:b/>
          <w:shd w:val="clear" w:color="auto" w:fill="ffffff"/>
        </w:rPr>
        <w:t xml:space="preserve">РТ</w:t>
      </w:r>
      <w:r>
        <w:rPr>
          <w:rFonts w:ascii="Times New Roman" w:hAnsi="Times New Roman" w:eastAsia="Times New Roman" w:cs="Times New Roman"/>
          <w:b/>
        </w:rPr>
        <w:t xml:space="preserve"> Про», регистрационный номер в РРПО №2452</w:t>
      </w:r>
      <w:r>
        <w:rPr>
          <w:rFonts w:ascii="Times New Roman" w:hAnsi="Times New Roman" w:cs="Times New Roman"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13"/>
        <w:gridCol w:w="2047"/>
        <w:gridCol w:w="754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комплекс «Проект-СМАРТ Про», версия не ниже 23.11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Программная платформа для подсистем проектирования бюджета, включая пла</w:t>
            </w:r>
            <w:r>
              <w:rPr>
                <w:rFonts w:ascii="Times New Roman" w:hAnsi="Times New Roman" w:eastAsia="Times New Roman" w:cs="Times New Roman"/>
              </w:rPr>
              <w:t xml:space="preserve">нирование расходов, прогнозирование доходов, регулирование межбюджетных отношений, формирование, ведение и оценка эффективности государственных (муниципальных) программ, государственных (муниципальных) заданий и планов финансово-хозяйственной деятельности.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Приведение импортируемых данных к единым стандартам, структурирование и обобщение с требуемым уровнем детализации для последующего анализа, включая: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61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импорт из оперативных баз данных, внешних источников (файлы XML, MS Excel, структурированные текстовые файлы);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61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обмен структурированной информацией с внешними источниками;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61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накопление данных за неограниченный промежуток времени. Все показатели, сохраненные в хранилище, связаны с определенным периодом времени;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61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поддержка хронологии изменений классификаторов и возможных типов преобразований элементов классификаторов: отсутствие связей, связь «один ко многим», «многие к одному», «многие ко многим» полное соответствие;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61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указания коэффициента приведения анализируемых данных к определенному моменту времени в прямом и обратном направлении;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61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редактор формул для гибкого формирования алгоритмов расчета, имеющий следующие возможности: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10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Применение логических, математических, статистических, временных функций.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10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Применение фильтров по классификаторам и времени, ограничивающих область действия формул.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10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Создание сложных формул, состоящих из нескольких промежуточных формул, ограниченных фильтрами (пример, индексация показателя по определенным значениям элементов классификатора);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работа с неограниченным количеством источников данных одновременно, при этом источники данных могут иметь разные временные показатели;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источники данных могут использовать неограниченное количество классификаторов и показателей, пользователь сам выбирает существующие в системе или вводит показатели самостоятельно;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создание и ручной ввод данных в источники, включая возможность провести эти операции удаленно с использованием технологий SMART кэширования или WEB-интерфейса;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разграничение прав доступа по пользователям и группам к классификаторам, источникам данных, алгоритмам расчета, проектам;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разграничение прав доступа на формирование и просмотр кубов;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разграничение прав доступа на режимы комплекса;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получение отчетов в виде табличных и графических диаграмм. Формирование требуемых форм отчетности с применением сводной таблицы без применения сложных генераторов построения отчетов и</w:t>
            </w:r>
            <w:r>
              <w:rPr>
                <w:rFonts w:ascii="Times New Roman" w:hAnsi="Times New Roman" w:cs="Times New Roman"/>
                <w:lang w:eastAsia="en-US"/>
              </w:rPr>
              <w:t xml:space="preserve"> процесса создания шаблона отчета. Полное сохранение информации о форматировании, схемах отчета. При создании отчетов в качестве источников могут выступать все показатели и классификаторы, используемые в источниках данных или рассчитанные с помощью формул;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построение системы на платформе 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PostgresSQL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создание, хранение и обработка нескольких вариантов проектов;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работа нескольких специалистов с одним проектом;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размещение сводных таблиц и диаграмм на публичных ресурсах;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интеграция с программным комплексом </w:t>
            </w:r>
            <w:r>
              <w:rPr>
                <w:rFonts w:ascii="Times New Roman" w:hAnsi="Times New Roman" w:cs="Times New Roman"/>
                <w:lang w:eastAsia="en-US"/>
              </w:rPr>
              <w:t xml:space="preserve">«КС Бюджет»</w:t>
            </w:r>
            <w:r>
              <w:rPr>
                <w:rFonts w:ascii="Times New Roman" w:hAnsi="Times New Roman" w:cs="Times New Roman"/>
                <w:lang w:eastAsia="en-US"/>
              </w:rPr>
              <w:t xml:space="preserve"> и его подсистемами: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5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Синхронизация справочной информации (возможность экспорта/импорта справочников, возможность хранения эталонов справочников);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5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Загрузка любых показателей, существующих в программном комплексе </w:t>
            </w:r>
            <w:r>
              <w:rPr>
                <w:rFonts w:ascii="Times New Roman" w:hAnsi="Times New Roman" w:cs="Times New Roman"/>
              </w:rPr>
              <w:t xml:space="preserve">«КС Бюджет»</w:t>
            </w:r>
            <w:r>
              <w:rPr>
                <w:rFonts w:ascii="Times New Roman" w:hAnsi="Times New Roman" w:cs="Times New Roman"/>
              </w:rPr>
              <w:t xml:space="preserve">, напрямую из базы данных, без применения файлового обмена;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5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Формирование необходимых документов и их выгрузка в базу данных ПК </w:t>
            </w:r>
            <w:r>
              <w:rPr>
                <w:rFonts w:ascii="Times New Roman" w:hAnsi="Times New Roman" w:cs="Times New Roman"/>
              </w:rPr>
              <w:t xml:space="preserve">«КС Бюджет»</w:t>
            </w:r>
            <w:r>
              <w:rPr>
                <w:rFonts w:ascii="Times New Roman" w:hAnsi="Times New Roman" w:cs="Times New Roman"/>
              </w:rPr>
              <w:t xml:space="preserve">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345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интеграция с программным комплексом «Свод-СМАРТ»: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14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Синхронизация справочной информации (возможность экспорта/импорта справочников, возможность хранения эталонов справочников);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14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Загрузка любых показателей, существующих в программный комплекс «Свод-Смарт», напрямую из базы данных, без применения файлового обмена.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Наличие конструктора элементов системы, который позволяет создавать и редактировать произвольные документы без участия разработчика: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2"/>
              </w:numPr>
              <w:ind w:left="0" w:hanging="36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настройка формы отображения документов визуальными средствами платформы;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2"/>
              </w:numPr>
              <w:ind w:left="0" w:hanging="36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создание многоуровневой структуры справочников;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2"/>
              </w:numPr>
              <w:ind w:left="0" w:hanging="36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конструктор списка элементов справочников с возможностью фильтрации в соответствии с условиями, определяемыми пользователем;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2"/>
              </w:numPr>
              <w:ind w:left="0" w:hanging="36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возможность создания нескольких форм редактирования справочников и документов, настраиваемых на группу пользователей;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2"/>
              </w:numPr>
              <w:ind w:left="0" w:hanging="36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гибкая система настройки центра контроля источника данных на основе произвольных запросов к базе данных, настроенных в генераторе отчетов;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2"/>
              </w:numPr>
              <w:ind w:left="0" w:hanging="36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удобный и понятный пользователю единый построитель выражений, выполняющий функции гибкого вычисления значений атрибутов справочников, полей документов, расчетных показателей работающий для всех представленных в платформе типов данных.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Наличие механизма пакетного редактирования справочников, позволяющего: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7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окно списка элементов справочника из редактора электронных таблиц  вставлять область данных с произвольным набором атрибутов;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7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выполнять пакетное редактирование отмеченного пользователем списка элементов справочника;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7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производить пакетную установку общего значения для одного или нескольких атрибутов справочника во весь список элементов или отмеченные элементы.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Наличие гибкого конструктора запросов к источникам данных или к документам, позволяющих строить оперативную отчетность с использованием иерархии справочников.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применения электронной подписи, аналитических признаков для управления статусами документов.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Наличие механизма управления бизнес-про</w:t>
            </w:r>
            <w:r>
              <w:rPr>
                <w:rFonts w:ascii="Times New Roman" w:hAnsi="Times New Roman" w:cs="Times New Roman"/>
                <w:lang w:eastAsia="en-US"/>
              </w:rPr>
              <w:t xml:space="preserve">цессами для моделирования схем прохождения документов программного комплекса по различным этапам, выполняющего функции управления процессами формирования бюджета, мониторинга и протоколирования действий над объектами с указанием ответственных исполнителей.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ведения системного журнала отдельно по источникам данных и по макетам справочников.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Возможности экспорта/импорта: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12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прием/выгрузка файлов, размещенных на локальных машинах пользователей через </w:t>
            </w:r>
            <w:r>
              <w:rPr>
                <w:rFonts w:ascii="Times New Roman" w:hAnsi="Times New Roman" w:cs="Times New Roman"/>
              </w:rPr>
              <w:t xml:space="preserve">web</w:t>
            </w:r>
            <w:r>
              <w:rPr>
                <w:rFonts w:ascii="Times New Roman" w:hAnsi="Times New Roman" w:cs="Times New Roman"/>
              </w:rPr>
              <w:t xml:space="preserve">-сервисы;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12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настраиваемые контроли при приеме файлов, позволяющие пользователю выбирать вариант действия при возникновении ошибки: прервать импорт, пропустить и продолжить, отредактировать некорректный элемент.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Наличие репозитория объектов комплекса.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Наличие режимов администрирования пользователей и базы данных непосредственно из клиентского приложения, без необходимости применения утилиты «SQL-администратор» и иных дополнительных подсистем.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Наличие настроенного автоматизированного рабочего места пользователя по формированию кассового плана.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В АРМ пользователя должна быть построена интуитивно понятная структура доступа к формам ввода данных и выходным формам, сгруппированная по годам и режимам работы системы;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Наличие нормативно-справочной информации в составе справочников: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«Ведомства»;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«Подразделы»;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«Целевые статьи»;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«Виды расходов»;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«КОСГУ»;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«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СубКОСГУ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»: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«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Доп.класс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»;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«Корреспонденты»;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«Виды финансового обеспечения»;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«Виды деятельности»;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«Паспорт МО»;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«Муниципальные образования».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«Ввод данных МО»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Формирование документа «Кассовый план МО» в форме с интуитивно понятным интерфейсом с отражением итоговых значений по каждому показателю.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Осуществление расчетов на основании справочников, используемых в кассовом плане.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Согласование документа «Кассовый план». 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Формирование отчета «Кассовый план МО» с использованием данных из документа «Ввод данных МО», который содержит в себе информацию в разбивке по показателям: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1)  об исполнении бюджета за прошлый год;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2)  об исполнении бюджета за аналогичный заданный период предыдущего года;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3)  об уточненном плане бюджета;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4)  сумма принятых обязательств за заданный период текущего года;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5)  об исполнении бюджета за заданный период текущего года;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6)  об оценке исполнения бюджета в помесячной разбивке;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7) о минимальном недостатке финансовых средств по году;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</w:r>
          </w:p>
          <w:p>
            <w:pPr>
              <w:pStyle w:val="1002"/>
              <w:jc w:val="both"/>
              <w:spacing w:line="216" w:lineRule="auto"/>
              <w:rPr>
                <w:rFonts w:ascii="Times New Roman" w:hAnsi="Times New Roman" w:cs="Times New Roman"/>
                <w:color w:val="ee000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8) примечания.</w:t>
            </w:r>
            <w:r>
              <w:rPr>
                <w:rFonts w:ascii="Times New Roman" w:hAnsi="Times New Roman" w:cs="Times New Roman"/>
                <w:color w:val="ee000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Министерство финансов Удмуртской Республики;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главные распорядители и получатели средств бюджета Удмуртской Республики, количество – не менее 2600 учреждений.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</w:tbl>
    <w:p>
      <w:pPr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13 – Программный комплекс «План-СМАРТ», регистрационный номер в РРПО №1068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13"/>
        <w:gridCol w:w="2047"/>
        <w:gridCol w:w="754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комплекс «Проект-СМАРТ Про», версия не ниже 23.11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Автоматизация процесса формирования расходной части бюджета Удмуртской Республики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формирование расчетов на основании справочников или документов;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автоматический расчет планируемых показателей по заданному источнику данных и разрезу информации;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формирование документов по выбранной методике;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формирование расчетов на основе данных Планов финансово-хозяйственной деятельности подведомственных учреждений;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разграничение доступа пользователей к методикам и сформированным вариантам документов;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возможность автоматического получения приложений к Закону о бюджете;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автоматическая замена значений в документах при изменении в системе используемых данных;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автоматизация сбора, анализа и согласования бюджетных заявок от ГРБС и ПБС;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согласование бюджетных заявок ГРБС путем изменения статуса документов;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возможность прикрепления к бюджетным заявкам оправдательных документов произвольной формы;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использование механизма электронной подписи для проверки подлинности документов.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Министерство финансов Удмуртской Республики;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37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главные распорядители и получатели средств бюджета Удмуртской Республики. Количество – не менее 600 организаций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;</w:t>
            </w:r>
            <w:r>
              <w:rPr>
                <w:rFonts w:ascii="Times New Roman" w:hAnsi="Times New Roman" w:cs="Times New Roman"/>
                <w:lang w:val="en-US"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Управление финансов Администрации города Ижевска,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Финансовые органы 9 муниципальных образований Удмуртской Республики 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14 - Программный комплекс «ПФХД-СМАРТ», регистрационный номер в РРПО № 971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13"/>
        <w:gridCol w:w="2047"/>
        <w:gridCol w:w="754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комплекс «Проект-СМАРТ Про», версия не ниже 23.11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составления плана финансово-хозяйственной деятельности автономных и бюджетных учреждений УР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 настроенного автоматизированного рабочего места пользователя по формированию планов финансово-хозяйственной деятельности (далее – ПФХД);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автоматизированном рабочем месте (далее – АРМ) пользователя должна быть построена интуитивно понятная структура доступа к формам ввода данных и выходным формам, сгруппированная по годам и режимам работы системы;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наличие нормативно-справочной информации;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формирование документа ПФХД в форме с интуитивно понятным интерфейсом с отражением итоговых значений по каждому разделу ПФХД;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возможность прикрепления ОБАС к документу ПФХД с реализацией контроля сумм по разделам поступлений, выплат, источников и остатков;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возможность формирования и утверждения в системе для учреждений, имеющих обособленное(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ые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) подразделение(я), ПФХД головного учреждения и ОБАС для каждого обособленного подразделения;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формирование выходной формы ПФХД;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согласование документа ПФХД;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возможность формирования уточненного ПФХД с ведением истории изменений;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возможность использования данных ПФХД для формирования государственного задания, а также формирование поступлений в ПФХД от субсидии на выполнение государственного задания на основе государственного задания;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интеграция </w:t>
            </w:r>
            <w:r>
              <w:rPr>
                <w:rFonts w:ascii="Times New Roman" w:hAnsi="Times New Roman" w:cs="Times New Roman"/>
                <w:lang w:eastAsia="en-US"/>
              </w:rPr>
              <w:t xml:space="preserve">с программным комплексом </w:t>
            </w:r>
            <w:r>
              <w:rPr>
                <w:rFonts w:ascii="Times New Roman" w:hAnsi="Times New Roman" w:cs="Times New Roman"/>
                <w:lang w:eastAsia="en-US"/>
              </w:rPr>
              <w:t xml:space="preserve">«КС Бюджет»</w:t>
            </w:r>
            <w:r>
              <w:rPr>
                <w:rFonts w:ascii="Times New Roman" w:hAnsi="Times New Roman" w:cs="Times New Roman"/>
                <w:lang w:eastAsia="en-US"/>
              </w:rPr>
              <w:t xml:space="preserve"> (правообладатель – общество с ограниченной ответственностью «КЕЙСИСТЕМС», Россия; зарегистрирован в Едином реестре российских программ для электронных вычислительных машин и баз данных 20.05.2016, рег. № 864) и его подсистемами;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возможность выгрузки ПФХД в структурированном виде для размещения на едином портале бюджетной системы Российской Федерации (</w:t>
            </w:r>
            <w:hyperlink r:id="rId14" w:tooltip="http://www.bus.gov.ru/" w:history="1">
              <w:r>
                <w:rPr>
                  <w:rStyle w:val="928"/>
                  <w:rFonts w:ascii="Times New Roman" w:hAnsi="Times New Roman"/>
                </w:rPr>
                <w:t xml:space="preserve">www.bu</w:t>
              </w:r>
              <w:r>
                <w:rPr>
                  <w:rStyle w:val="928"/>
                  <w:rFonts w:ascii="Times New Roman" w:hAnsi="Times New Roman"/>
                  <w:lang w:val="en-US"/>
                </w:rPr>
                <w:t xml:space="preserve">s</w:t>
              </w:r>
              <w:r>
                <w:rPr>
                  <w:rStyle w:val="928"/>
                  <w:rFonts w:ascii="Times New Roman" w:hAnsi="Times New Roman"/>
                </w:rPr>
                <w:t xml:space="preserve">.gov.ru</w:t>
              </w:r>
            </w:hyperlink>
            <w:r>
              <w:rPr>
                <w:rFonts w:ascii="Times New Roman" w:hAnsi="Times New Roman" w:cs="Times New Roman"/>
              </w:rPr>
              <w:t xml:space="preserve">)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Министерство финансов Удмуртской Республики;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Государственные учреждения Удмуртской Республики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Управление финансов Администрации города Ижевска,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Финансовые органы: 9 муниципальных образований Удмуртской Республики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</w:tc>
      </w:tr>
    </w:tbl>
    <w:p>
      <w:pPr>
        <w:jc w:val="both"/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15 – Программный комплекс «РМО-СМАРТ», регистрационный номер в РРПО №969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13"/>
        <w:gridCol w:w="2047"/>
        <w:gridCol w:w="754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комплекс «Проект-СМАРТ Про», версия не ниже 23.11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Автоматизации процесса формирования и расчетов межбюджетных трансфертов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создание и своевременное обновление справочников, сбор и систематизация любых данных, участвующих в процессе регулирования межбюджетных отношений;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автоматизация моделей по распределению республиканских фондов финансовой поддержки муниципальных образований и других межбюджетных трансфертов;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расчет дотаций из фондов финансовой поддержки муниципальных образований (в том числе: субсидий из местных бюджетов в бюджет субъекта), а также их распределение в очередном финансовом году и плановом периоде между муниципальными образованиями; 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расчет дотаций на поддержку мер по обеспечению сбалансированности местных бюджетов;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расчет субвенций муниципальным образованиям из фонда компенсаций на выполнение делегированных полномочий на выравнивание уровня бюджетной обеспеченности;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расчет дополнительных отчислений от налогов;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настройка системы под используемые методики расчета объемов дотаций на выравнивание бюджетной обеспеченности;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изменения методики расчета пользователями системы самостоятельно без привлечения сил разработчика;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хранение и интеграция расчетов межбюджетных т</w:t>
            </w:r>
            <w:r>
              <w:rPr>
                <w:rFonts w:ascii="Times New Roman" w:hAnsi="Times New Roman" w:cs="Times New Roman"/>
                <w:lang w:eastAsia="en-US"/>
              </w:rPr>
              <w:t xml:space="preserve">рансфертов, выполненных главными распорядителями средств республиканского бюджета, занесение их в сводные формы распределений всех видов межбюджетных трансфертов в разрезе муниципальных образований в соответствии с приложениями к закону о бюджете субъекта;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консолидация информации по планируемым межбюджетным трансфертам;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многовариантные расчеты межбюджетных трансфертов с выбором оптимальной методики расчета.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Министерство финансов Удмуртской Республики, количество пользователей – не менее 20;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главные распорядители средств бюджета Удмуртской Республики – не менее 50 организаций.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</w:tbl>
    <w:p>
      <w:pPr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16 – Программный комплекс «</w:t>
      </w:r>
      <w:r>
        <w:rPr>
          <w:rFonts w:ascii="Times New Roman" w:hAnsi="Times New Roman" w:eastAsia="Times New Roman" w:cs="Times New Roman"/>
          <w:b/>
        </w:rPr>
        <w:t xml:space="preserve">Госзадание</w:t>
      </w:r>
      <w:r>
        <w:rPr>
          <w:rFonts w:ascii="Times New Roman" w:hAnsi="Times New Roman" w:eastAsia="Times New Roman" w:cs="Times New Roman"/>
          <w:b/>
        </w:rPr>
        <w:t xml:space="preserve">-СМАРТ», регистрационный номер в РРПО №973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11"/>
        <w:gridCol w:w="2044"/>
        <w:gridCol w:w="754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комплекс «Проект-СМАРТ Про», версия не ниже 23.11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Автоматизация процесса формирования государственных заданий для оказаний государственных услуг (выполнения работ) государственными учреждениями Удмуртской Республики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ведение реестра государственных услуг;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главными распорядителями бюджетных средств государственных заданий и передача их на согласование в финансовый орган;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проверка соответствия государственных заданий реестру расходных обязательств;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доведение государственных заданий до поставщиков услуг;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внесение изменений в государственные задания при внесении изменений в нормативные правовые акты, на основании которых было сформировано государственное задание;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использования данных о государственном задании при составлении проекта бюджета для планирования бюджетных ассигнований на выполнение государственных услуг;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расчет затрат на оказание услуг, составление обоснований бюджетных ассигнований;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составление отчета об исполнении государственного задания;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оценка выполнения государственного задания с использованием следующих критериев: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11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Полнота и эффективность использования средств бюджета на выполнение государственного задания.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11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потребителей государственных услуг или количество государственных услуг.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11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Качество оказания государственных услуг (количественные характеристики качественных показателей). 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многомерный анализ данных государственных заданий;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работы с применением электронной подписи для придания юридической значимости электронному документообороту;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публикация реестра государственных услуг и другой необходимой информации в информационно-телекоммуникационной сети «Интернет», на официальном сайте органа исполнительной власти с автоматическим обновлением при изменении данных;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интеграция с другими подсистемами автоматизированной системы управления бюджетным процессом Удмуртской Республики; 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удаленного </w:t>
            </w:r>
            <w:r>
              <w:rPr>
                <w:rFonts w:ascii="Times New Roman" w:hAnsi="Times New Roman" w:cs="Times New Roman"/>
              </w:rPr>
              <w:t xml:space="preserve">подключения к ПК</w:t>
            </w:r>
            <w:r>
              <w:rPr>
                <w:rFonts w:ascii="Times New Roman" w:hAnsi="Times New Roman" w:cs="Times New Roman"/>
                <w:lang w:eastAsia="en-US"/>
              </w:rPr>
              <w:t xml:space="preserve"> через информационно-телекоммуникационную сеть «Интернет».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Министерство финансов Удмуртской Республики;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главные распорядители и получатели средств бюджета Удмуртской Республики. Количество – не менее 600 организаций.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</w:tbl>
    <w:p>
      <w:pPr>
        <w:jc w:val="both"/>
        <w:spacing w:after="0" w:line="216" w:lineRule="auto"/>
        <w:rPr>
          <w:rFonts w:ascii="Times New Roman" w:hAnsi="Times New Roman" w:eastAsia="Times New Roman" w:cs="Times New Roman"/>
          <w:lang w:val="en-US"/>
        </w:rPr>
      </w:pPr>
      <w:r>
        <w:rPr>
          <w:rFonts w:ascii="Times New Roman" w:hAnsi="Times New Roman" w:eastAsia="Times New Roman" w:cs="Times New Roman"/>
          <w:lang w:val="en-US"/>
        </w:rPr>
      </w:r>
      <w:r>
        <w:rPr>
          <w:rFonts w:ascii="Times New Roman" w:hAnsi="Times New Roman" w:eastAsia="Times New Roman" w:cs="Times New Roman"/>
          <w:lang w:val="en-US"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17 – Программный комплекс «АИП-СМАРТ», регистрационный номер в РРПО №6291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13"/>
        <w:gridCol w:w="2047"/>
        <w:gridCol w:w="754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комплекс «Проект-СМАРТ Про», версия не ниже 23.11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Автоматизация процессов формирования и реализации адресной инвестиционной программы Удмуртской Республики;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адресной инвестиционной программы (далее - АИП) и вносимые в нее уточнения;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паспорта объекта с заполнением следующих разделов:</w:t>
            </w:r>
            <w:r>
              <w:rPr>
                <w:rFonts w:ascii="Times New Roman" w:hAnsi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Наименование объекта капитального строительства и объекта недвижимого имущества.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Местонахождение объекта.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Сведения о проектной документации (наименование проектной организации, год разработки).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Кем, когда утверждена проектная документация.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Кем, когда выдано положительное заключение государственной экспертизы (реквизиты документа).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Год начала строительства (реконструкции).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Год окончания строительства (реконструкции).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Проектная мощность объекта в соответствующих единицах.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 w:firstLine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Характеристика объекта (площадь территории, площадь здания, состав зданий, техническое оснащение).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 w:firstLine="0"/>
              <w:jc w:val="both"/>
              <w:spacing w:after="0" w:line="216" w:lineRule="auto"/>
              <w:widowControl w:val="off"/>
              <w:tabs>
                <w:tab w:val="left" w:pos="175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Наименование программы (федеральной, республиканской), в рамках которой предусматривается финансирование строительства (реконструкции) объект.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 w:firstLine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Наименование заказчика.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 w:firstLine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Наименование главного распорядителя бюджетных средств.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 w:firstLine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Сведения о заключенном государственном контракте.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 w:firstLine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Сметная стоимость объекта капитального строительства.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 w:firstLine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Сметная стоимость в ценах на период начала строительства (реконструкции) объекта.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 w:firstLine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Остаток сметной стоимости на начало календарного года.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 w:firstLine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Общий (предельный) объем предоставляемых бюджетных инвестиций или субсидий в ценах соответствующих лет с разбивкой по годам реализации инвестиционного проекта.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 w:firstLine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Объем фактически выполненных работ по годам строительства, в том числе сверхлимитные работы.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 w:firstLine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Оплата выполненных работ по годам строительства, в том числе за счет средств федерального и республиканского бюджетов в отношении 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объектов государственной собственности; и за счет средств республиканского, федерального и местного бюджетов в отношении объектов муниципальной собственности.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 w:firstLine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Кредиторская задолженность на 1 января каждого финансового года в разрезе объектов, в том числе санкционированная и сверхлимитная.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 w:firstLine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Объем незавершенного строительства на 1 января каждого финансового года.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 w:firstLine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Остаток сметной стоимости от фактически выполненного объема работ.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3"/>
              </w:numPr>
              <w:ind w:left="0" w:firstLine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Объем требуемых финансовых средств, необходимых для окончания строительства исходя из сметной стоимости объекта и выделенных бюджетных средств.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ведение учета выполненных работ и финансирования выполненных работ раздельно по каждому объекту;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ведение накопительной ведомости выполненных работ и финансирования выполненных работ раздельно по каждому объекту по технологической структуре капитальных вложений;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ежеквартального отчета об исполнении адресной инвестиционной программы;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ведение реестра объектов капитальных вложений, содержащего разделы:</w:t>
            </w:r>
            <w:r>
              <w:rPr>
                <w:rFonts w:ascii="Times New Roman" w:hAnsi="Times New Roman" w:cs="Times New Roman"/>
                <w:bCs/>
              </w:rPr>
            </w:r>
          </w:p>
          <w:p>
            <w:pPr>
              <w:numPr>
                <w:ilvl w:val="0"/>
                <w:numId w:val="6"/>
              </w:numPr>
              <w:ind w:left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I Раздел, содержащий сведения об объектах, относящихся к государственной собственности Удмуртской Республики, включенных в РАИП.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6"/>
              </w:numPr>
              <w:ind w:left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II Раздел, содержащий сведения об объектах, относящихся к муниципальной собственности, на софинансирование которых предоставляется субсидия из республиканского бюджета местным бюджетам.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 каждому объекту обеспечивается учет следующих параметров: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20"/>
              </w:numPr>
              <w:ind w:left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Наименование объекта.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20"/>
              </w:numPr>
              <w:ind w:left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Сроки строительства.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20"/>
              </w:numPr>
              <w:ind w:left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Мощность проекта (с указанием единиц измерения).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20"/>
              </w:numPr>
              <w:ind w:left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Стоимость по утвержденной проектно-сметной. документации.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20"/>
              </w:numPr>
              <w:ind w:left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Освоено (введено) на 1 января текущего финансового года.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20"/>
              </w:numPr>
              <w:ind w:left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Подлежит освоению (вводу) до конца строительства.</w:t>
            </w:r>
            <w:r>
              <w:rPr>
                <w:rFonts w:ascii="Times New Roman" w:hAnsi="Times New Roman" w:eastAsia="Times New Roman" w:cs="Times New Roman"/>
                <w:bCs/>
              </w:rPr>
            </w:r>
          </w:p>
          <w:p>
            <w:pPr>
              <w:numPr>
                <w:ilvl w:val="0"/>
                <w:numId w:val="20"/>
              </w:numPr>
              <w:ind w:left="0"/>
              <w:jc w:val="both"/>
              <w:spacing w:after="0" w:line="216" w:lineRule="auto"/>
              <w:widowControl w:val="off"/>
              <w:tabs>
                <w:tab w:val="left" w:pos="0" w:leader="none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Предусмотрено на текущий финансовый год за счет всех источников.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аналитического отчета о ходе реализации АИП и предоставления субсидий местным бюджетам на софинансирование объектов муниципальной собственности;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сводный отчет о ходе реализации АИП и предоставления субсидий местным бюджетам на софинансирование объектов муниципальной собственности.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работы с применением электронной подписи для придания юридической значимости электронному документообороту; 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удаленного п</w:t>
            </w:r>
            <w:r>
              <w:rPr>
                <w:rFonts w:ascii="Times New Roman" w:hAnsi="Times New Roman" w:cs="Times New Roman"/>
              </w:rPr>
              <w:t xml:space="preserve">одключения к ПК </w:t>
            </w:r>
            <w:r>
              <w:rPr>
                <w:rFonts w:ascii="Times New Roman" w:hAnsi="Times New Roman" w:cs="Times New Roman"/>
                <w:lang w:eastAsia="en-US"/>
              </w:rPr>
              <w:t xml:space="preserve">через информационно-телекоммуникационную сеть «Интернет».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главные распорядители средств бюджета Удмуртской Республики, не менее 50 организаций.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</w:tbl>
    <w:p>
      <w:pPr>
        <w:pStyle w:val="1030"/>
        <w:ind w:firstLine="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1030"/>
        <w:ind w:firstLine="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Таблица 18 – Программный комплекс «Региональный перечень-СМАРТ», регистрационный номер в РРПО №4538</w:t>
      </w:r>
      <w:r>
        <w:rPr>
          <w:b/>
          <w:sz w:val="22"/>
          <w:szCs w:val="22"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13"/>
        <w:gridCol w:w="2047"/>
        <w:gridCol w:w="754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комплекс «Проект-СМАРТ Про», версия не ниже 23.11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Предназначен для автоматизации процесса формирования региональных перечней государственных и муниципальных услуг и работ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pStyle w:val="1030"/>
              <w:ind w:firstLine="175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Наличие настроенного автоматизированного рабочего места пользователя по формированию регионального перечня государственных и муниципальных услуг.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1030"/>
              <w:ind w:firstLine="175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Наличие нормативно-справочной информации в составе справочников: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1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«Ведомства»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1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«Корреспонденты»;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1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«Виды деятельности»;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1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«Перечень базовых услуг (работ)»;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1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«Категории потребителей»;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1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«Показатели качества»;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1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«Показатели объема и содержания работ»;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1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«Виды НПА»</w:t>
            </w:r>
            <w:r>
              <w:rPr>
                <w:bCs/>
                <w:sz w:val="22"/>
                <w:szCs w:val="22"/>
                <w:lang w:val="en-US" w:eastAsia="ru-RU"/>
              </w:rPr>
              <w:t xml:space="preserve">;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1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«Нормативные правовые акты»;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1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«Общероссийский классификатор видов экономической деятельности» (ОКВЭД);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1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«Общероссийский классификатор продукции» (ОКПД);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1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«Общероссийский классификатор единиц измерения» (ОКЕИ);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1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«Характеристики содержаний и условий (форм) оказания государственных (муниципальных) услуг (выполнения работ)»;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1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«Виды публично-правовых образований»;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1"/>
              </w:numPr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«Типы учреждений».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1030"/>
              <w:ind w:firstLine="175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Утверждение перечня видов деятельности для формирования регионального перечня услуг и работ.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1030"/>
              <w:ind w:firstLine="175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Формирование заявки на включение услуги/работы в региональный перечень. Заявка содержит следующую информацию: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ind w:left="720" w:firstLine="0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- Дата документа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ind w:left="720" w:firstLine="0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- Реестровый номер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ind w:left="720" w:firstLine="0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- Период действия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ind w:left="720" w:firstLine="0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- Актуальность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ind w:left="720" w:firstLine="0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- Наименование статуса заявки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ind w:left="720" w:firstLine="0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- Владелец статуса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ind w:left="720" w:firstLine="0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- Комментарий к статусу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ind w:left="720" w:firstLine="0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- Ведомство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ind w:left="720" w:firstLine="0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- Код и наименование услуги (работы)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ind w:left="720" w:firstLine="0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- Публично-правовое образование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ind w:left="720" w:firstLine="0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- Содержание и условия оказания услуги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ind w:left="720" w:firstLine="0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- Привязка к кодам ОКВЭД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ind w:left="720" w:firstLine="0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- Привязка к кодам ОКДП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ind w:left="720" w:firstLine="0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- Типы учреждений, оказывающих услугу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ind w:left="720" w:firstLine="0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- Категории потребителей услуги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ind w:left="720" w:firstLine="0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- Показатели объема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ind w:left="720" w:firstLine="0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- Показатели качества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ind w:left="720" w:firstLine="0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- Нормативно-правовые основания для оказания услуги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1030"/>
              <w:ind w:left="720" w:firstLine="0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- Формирование уникального номера для каждой реестровой записи перечня.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1030"/>
              <w:ind w:left="720" w:firstLine="0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- Согласование заявки в соответствии с настроенными маршрутами бизнес-процесса по формированию регионального перечня.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1030"/>
              <w:ind w:firstLine="175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Бизнес-процесс согласования заявки состоит из следующих этапов: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2"/>
              </w:numPr>
              <w:ind w:left="0" w:firstLine="535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Создание проекта заявки. На этом этапе документ отравляется по маршруту, определяется владелец заявки.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2"/>
              </w:numPr>
              <w:ind w:left="0" w:firstLine="535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Согласование заявки. Специалист финансового органа проверяет правильность заполнения заявки. В случае согласования заявка отправляется руководителю на утверждение. В противном случае заявка отправляется на доработку владельцу.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2"/>
              </w:numPr>
              <w:ind w:left="0" w:firstLine="535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Повторное согласование. Повторное согласование заявки специалистом финансового органа после доработки заявки. Заявка также может быть согласована или отправлена на доработку.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2"/>
              </w:numPr>
              <w:ind w:left="0" w:firstLine="535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Аннулирование несогласованной заявки. В случае, если владелец заявки посчитает её доработку нецелесообразной, он может её аннулировать. В таком случае бизнес-процесс считается завершенным.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2"/>
              </w:numPr>
              <w:ind w:left="0" w:firstLine="535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Утверждение согласованной заявки. Утверждение заявки руководителем финансового органа и отправка на подписание электронной подписью.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2"/>
              </w:numPr>
              <w:ind w:left="34" w:firstLine="501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Подписание электронной подписью заявки.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2"/>
              </w:numPr>
              <w:ind w:left="34" w:firstLine="501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Утрата силы заявки. Данный этап наступает в случае прекращения действия данного реестрового номера. Бизнес-процесс считается завершенным.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2"/>
              </w:numPr>
              <w:ind w:left="34" w:firstLine="501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На каждом этапе бизнес-процесса определены ответственные сотрудники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2"/>
              </w:numPr>
              <w:ind w:left="34" w:firstLine="501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возможность отображения в графическом виде местонахождения заявки на маршруте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2"/>
              </w:numPr>
              <w:ind w:left="34" w:firstLine="501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Сохранение история прохождения заявки по маршруту бизнес-процесса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2"/>
              </w:numPr>
              <w:ind w:left="34" w:firstLine="501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Возможность клонирования заявки.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2"/>
              </w:numPr>
              <w:ind w:left="34" w:firstLine="501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Возможность пакетного обновления значений атрибутов заявки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2"/>
              </w:numPr>
              <w:ind w:left="34" w:firstLine="501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Возможность пакетной замены значений атрибутов заявки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1030"/>
              <w:ind w:firstLine="175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Возможность формирования регионального перечня с разбивкой по видам деятельности.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1030"/>
              <w:ind w:firstLine="175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Бизнес-процесс согласования регионального перечня состоят из следующих этапов: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3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Отправка перечня на исполнение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3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Привязка учреждений к каждой реестровой записи услуги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3"/>
              </w:numPr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Подписание регионального перечня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3"/>
              </w:numPr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Возможность изменения регионального перечня. 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3"/>
              </w:numPr>
              <w:ind w:left="34" w:firstLine="501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Возможность использования утвержденного регионального перечня услуг совместно с базовым перечнем при формировании государственных и муниципальных заданий.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1030"/>
              <w:ind w:firstLine="175"/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Настроенные формы отчетов: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4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Характеристика реестрового номера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4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Перечень реестровых номеров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4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Реестровые номера в разрезе учреждений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4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Региональный перечень реестровых номеров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4"/>
              </w:numPr>
              <w:spacing w:line="240" w:lineRule="auto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Общероссийский перечень реестровых номеров</w:t>
            </w:r>
            <w:r>
              <w:rPr>
                <w:bCs/>
                <w:sz w:val="22"/>
                <w:szCs w:val="22"/>
                <w:lang w:eastAsia="ru-RU"/>
              </w:rPr>
            </w:r>
          </w:p>
          <w:p>
            <w:pPr>
              <w:pStyle w:val="1030"/>
              <w:numPr>
                <w:ilvl w:val="0"/>
                <w:numId w:val="24"/>
              </w:numPr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Свод</w:t>
            </w:r>
            <w:r>
              <w:rPr>
                <w:sz w:val="22"/>
                <w:szCs w:val="22"/>
                <w:lang w:eastAsia="ru-RU"/>
              </w:rPr>
              <w:t xml:space="preserve"> перечней: общероссийский и региональный</w:t>
            </w: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1030"/>
              <w:ind w:firstLine="175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Возможность выгрузки регионального перечня в структурированном виде для размещения на едином портале бюджетной системы Российской Федерации (www.budget.gov.ru)</w:t>
            </w:r>
            <w:r>
              <w:rPr>
                <w:sz w:val="22"/>
                <w:szCs w:val="22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25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Министерство финансов Удмуртской Республики, количество пользователей – не менее 20;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25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главные распорядители средств бюджета Удмуртской Республики – не менее 50 организаций.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</w:tbl>
    <w:p>
      <w:pPr>
        <w:pStyle w:val="1030"/>
        <w:ind w:firstLine="0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1030"/>
        <w:ind w:firstLine="0"/>
        <w:spacing w:line="240" w:lineRule="auto"/>
        <w:rPr>
          <w:b/>
        </w:rPr>
      </w:pPr>
      <w:r>
        <w:rPr>
          <w:b/>
          <w:sz w:val="22"/>
          <w:szCs w:val="22"/>
        </w:rPr>
        <w:t xml:space="preserve">Таблица 19 - Программный комплекс «</w:t>
      </w:r>
      <w:r>
        <w:rPr>
          <w:b/>
          <w:sz w:val="22"/>
          <w:szCs w:val="22"/>
        </w:rPr>
        <w:t xml:space="preserve">РРО-СМАРТ</w:t>
      </w:r>
      <w:r>
        <w:rPr>
          <w:b/>
          <w:sz w:val="22"/>
          <w:szCs w:val="22"/>
        </w:rPr>
        <w:t xml:space="preserve">», модуль ПК «</w:t>
      </w:r>
      <w:r>
        <w:rPr>
          <w:b/>
        </w:rPr>
        <w:t xml:space="preserve">Проект-СМАРТ Про</w:t>
      </w:r>
      <w:r>
        <w:rPr>
          <w:b/>
          <w:sz w:val="22"/>
          <w:szCs w:val="22"/>
        </w:rPr>
        <w:t xml:space="preserve">» регистрационный номер в РРПО №1190</w:t>
      </w:r>
      <w:r>
        <w:rPr>
          <w:b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13"/>
        <w:gridCol w:w="2358"/>
        <w:gridCol w:w="723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pStyle w:val="1030"/>
              <w:ind w:firstLine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1</w:t>
            </w:r>
            <w:r>
              <w:rPr>
                <w:sz w:val="22"/>
                <w:szCs w:val="22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pStyle w:val="1030"/>
              <w:ind w:firstLine="0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Платформа</w:t>
            </w:r>
            <w:r>
              <w:rPr>
                <w:sz w:val="22"/>
                <w:szCs w:val="22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модуль программного комплекса «Проект-СМАРТ Про», версия не ниже 23.11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pStyle w:val="1030"/>
              <w:ind w:firstLine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2</w:t>
            </w:r>
            <w:r>
              <w:rPr>
                <w:sz w:val="22"/>
                <w:szCs w:val="22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pStyle w:val="1030"/>
              <w:ind w:firstLine="0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Разработчик, правообладатель</w:t>
            </w:r>
            <w:r>
              <w:rPr>
                <w:sz w:val="22"/>
                <w:szCs w:val="22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pStyle w:val="1030"/>
              <w:ind w:firstLine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3</w:t>
            </w:r>
            <w:r>
              <w:rPr>
                <w:sz w:val="22"/>
                <w:szCs w:val="22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pStyle w:val="1030"/>
              <w:ind w:firstLine="0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Функциональное предназначение</w:t>
            </w:r>
            <w:r>
              <w:rPr>
                <w:sz w:val="22"/>
                <w:szCs w:val="22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Автоматизация процесса формирования реестра расходных обязательств Удмуртской Республики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pStyle w:val="1030"/>
              <w:ind w:firstLine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4</w:t>
            </w:r>
            <w:r>
              <w:rPr>
                <w:sz w:val="22"/>
                <w:szCs w:val="22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pStyle w:val="1030"/>
              <w:ind w:firstLine="0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Основные возможности и характеристики</w:t>
            </w:r>
            <w:r>
              <w:rPr>
                <w:sz w:val="22"/>
                <w:szCs w:val="22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Наличие настроенного автоматизированного рабочего места пользователя по формированию реестра расходных обязательств (далее – РРО).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0"/>
                <w:numId w:val="35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В АРМ пользователя должна быть построена интуитивно понятная структура доступа к формам ввода данных и выходным формам, сгруппированная по годам и режимам работы.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0"/>
                <w:numId w:val="35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Наличие нормативно-справочной информации в составе справочников: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5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«Ведомства»;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5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«Подразделы»;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5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«Целевые статьи»;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5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«Виды расходов»;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5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«КОСГУ»;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5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«Корреспонденты»;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5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«Расходные обязательства»;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5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«Вопросы местного значения»;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5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«Нормативные правовые акты».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0"/>
                <w:numId w:val="35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Формирование и ведение перечня нормативных правовых актов.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0"/>
                <w:numId w:val="35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Формирование и ведение перечня расходных обязательств субъекта.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0"/>
                <w:numId w:val="35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Формирование и ведение перечня расходных обязательств, вопросов местного значения, полномочия, права муниципальных образований.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0"/>
                <w:numId w:val="35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Формирование реестра расходных обязательств и передача его на согласование.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0"/>
                <w:numId w:val="35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Возможность использования для формирования РРО первоначальных данных из бюджетной росписи и подсистемы планирования расходов.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0"/>
                <w:numId w:val="35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Возможность формирования уточненного РРО с ведением истории изменений.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0"/>
                <w:numId w:val="35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Возможность выгрузки сформированного реестра расходных обязательств в формате электронного обмена документами, установленного Министерством финансов РФ.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pStyle w:val="1030"/>
              <w:ind w:firstLine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5</w:t>
            </w:r>
            <w:r>
              <w:rPr>
                <w:sz w:val="22"/>
                <w:szCs w:val="22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pStyle w:val="1030"/>
              <w:ind w:firstLine="0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Место установки серверной части, баз данных</w:t>
            </w:r>
            <w:r>
              <w:rPr>
                <w:sz w:val="22"/>
                <w:szCs w:val="22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pStyle w:val="1030"/>
              <w:ind w:firstLine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6</w:t>
            </w:r>
            <w:r>
              <w:rPr>
                <w:sz w:val="22"/>
                <w:szCs w:val="22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8" w:type="dxa"/>
            <w:vAlign w:val="center"/>
            <w:textDirection w:val="lrTb"/>
            <w:noWrap w:val="false"/>
          </w:tcPr>
          <w:p>
            <w:pPr>
              <w:pStyle w:val="1030"/>
              <w:ind w:firstLine="0"/>
              <w:spacing w:line="240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Пользователи</w:t>
            </w:r>
            <w:r>
              <w:rPr>
                <w:sz w:val="22"/>
                <w:szCs w:val="22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Министерство финансов Удмуртской Республики, количество пользователей – не менее 5;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Участники бюджетного процесса Удмуртской Республики, Участники бюджетного процесса муниципальных образований в Удмуртской Республике – не менее 1000 пользователей.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eastAsia="Times New Roman" w:cs="Times New Roman"/>
          <w:b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20 – Программный комплекс «Реестр соглашений», </w:t>
      </w:r>
      <w:r>
        <w:rPr>
          <w:rFonts w:ascii="Times New Roman" w:hAnsi="Times New Roman" w:eastAsia="Times New Roman" w:cs="Times New Roman"/>
          <w:b/>
        </w:rPr>
        <w:t xml:space="preserve">модуль ПК «Проект-СМАРТ Про» </w:t>
      </w:r>
      <w:r>
        <w:rPr>
          <w:rFonts w:ascii="Times New Roman" w:hAnsi="Times New Roman" w:eastAsia="Times New Roman" w:cs="Times New Roman"/>
          <w:b/>
        </w:rPr>
        <w:t xml:space="preserve">регистрационный номер в РРПО 24942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613"/>
        <w:gridCol w:w="2047"/>
        <w:gridCol w:w="751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модуль программного комплекса «Проект-СМАРТ Про», версия не ниже 23.11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bCs/>
                <w:iCs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</w:rPr>
              <w:t xml:space="preserve">Учет Реестра соглашений, формирование и доведение уведомлений о предоставлении субсидий, субвенций, иных межбюджетных трансфертов, имеющих целевое назначение бюджетам муниципальных образований в Удмуртской Республике</w:t>
            </w:r>
            <w:r>
              <w:rPr>
                <w:rFonts w:ascii="Times New Roman" w:hAnsi="Times New Roman" w:eastAsia="Times New Roman" w:cs="Times New Roman"/>
                <w:bCs/>
                <w:i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Автоматизация процессов заключения и ведения соглашений различных категорий.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0"/>
                <w:numId w:val="36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Формирование и ведение соглашений различных типов с учетом наличия следующих функций: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6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регистрация и учет первичных соглашений различных типов;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6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режим ввода суммовых показателей по долям в разрезе кодов субсидий, бюджетной и дополнительной аналитической классификации;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6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возможность прикрепления к соглашениям файлов произвольного формата;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6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возможность обеспечения юридически значимого документооборота с применением ЭП различного уровня;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6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механизм создания бизнес-процессов учета и согласования соглашений;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6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формирование регламентных и аналитических печатных форм;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6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наличие режима регистрации и учета изменений в соглашениях, регистрация изменений в журнале событий;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6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возможность формирования бюджетных (денежных) обязательств на основании информации о соглашениях;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6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возможность ведения планируемых показателей результативности соглашения;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6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возможность ведения списка получателей субсидий;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6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формирование форм соглашения, с использованием значений полей из документов Реестра соглашений;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6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наличие справочников для ведения необходимых реквизитов соглашений, в зависимости от типовой формы соглашения;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6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разработка приложений с расшифровкой субсидий;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6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разработка возможности получения графиков перечислений в разрезе мероприятий;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6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наличие возможности учета фактических показателей результативности мероприятий;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numPr>
                <w:ilvl w:val="1"/>
                <w:numId w:val="36"/>
              </w:numPr>
              <w:ind w:left="0" w:firstLine="0"/>
              <w:jc w:val="both"/>
              <w:spacing w:after="0" w:line="216" w:lineRule="auto"/>
              <w:shd w:val="clear" w:color="auto" w:fill="ffffff"/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  <w:t xml:space="preserve">осуществление контроля корректности данных на всех этапах формирования реестра соглашений в соответствии с настраиваемыми параметрами Центра контроля.</w:t>
            </w:r>
            <w:r>
              <w:rPr>
                <w:rFonts w:ascii="Times New Roman" w:hAnsi="Times New Roman" w:eastAsia="Times New Roman" w:cs="Times New Roman"/>
                <w:color w:val="222222"/>
                <w:lang w:eastAsia="ru-RU"/>
              </w:rPr>
            </w:r>
          </w:p>
          <w:p>
            <w:pPr>
              <w:pStyle w:val="1002"/>
              <w:ind w:left="61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13" w:type="dxa"/>
            <w:vAlign w:val="center"/>
            <w:textDirection w:val="lrTb"/>
            <w:noWrap w:val="false"/>
          </w:tcPr>
          <w:p>
            <w:pPr>
              <w:pStyle w:val="1002"/>
              <w:ind w:left="61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Министерство финансов Удмуртской Республики, количество пользователей – не менее 50;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61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финансовые органы муниципальных образований в Удмуртской Республике – не менее 30;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61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главные распорядители средств бюджета Удмуртской Республики – не менее 30;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ind w:left="61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получатели средств бюджета Удмуртской Республики – не менее 250.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</w:tbl>
    <w:p>
      <w:pPr>
        <w:pStyle w:val="757"/>
        <w:numPr>
          <w:ilvl w:val="0"/>
          <w:numId w:val="0"/>
        </w:numPr>
        <w:ind w:firstLine="709"/>
        <w:tabs>
          <w:tab w:val="left" w:pos="0" w:leader="none"/>
        </w:tabs>
        <w:rPr>
          <w:rFonts w:ascii="Times New Roman" w:hAnsi="Times New Roman" w:cs="Times New Roman"/>
        </w:rPr>
      </w:pPr>
      <w:r/>
      <w:bookmarkStart w:id="10" w:name="_Toc239843888"/>
      <w:r>
        <w:rPr>
          <w:rFonts w:ascii="Times New Roman" w:hAnsi="Times New Roman" w:cs="Times New Roman"/>
          <w:iCs w:val="0"/>
          <w:color w:val="000000"/>
          <w:sz w:val="22"/>
          <w:szCs w:val="22"/>
        </w:rPr>
        <w:t xml:space="preserve">2.4 Подсистема «Управление в сфере закупок для государственных нужд Удмуртской Республики».</w:t>
      </w:r>
      <w:bookmarkEnd w:id="10"/>
      <w:r/>
      <w:r>
        <w:rPr>
          <w:rFonts w:ascii="Times New Roman" w:hAnsi="Times New Roman" w:cs="Times New Roman"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21 – Программный комплекс </w:t>
      </w:r>
      <w:r>
        <w:rPr>
          <w:rFonts w:ascii="Times New Roman" w:hAnsi="Times New Roman" w:eastAsia="Times New Roman" w:cs="Times New Roman"/>
          <w:b/>
        </w:rPr>
        <w:t xml:space="preserve">«КС Торги»</w:t>
      </w:r>
      <w:r>
        <w:rPr>
          <w:rFonts w:ascii="Times New Roman" w:hAnsi="Times New Roman" w:eastAsia="Times New Roman" w:cs="Times New Roman"/>
          <w:b/>
        </w:rPr>
        <w:t xml:space="preserve">, регистрационный номер в РРПО №878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13"/>
        <w:gridCol w:w="2047"/>
        <w:gridCol w:w="754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комплекс </w:t>
            </w:r>
            <w:r>
              <w:rPr>
                <w:rFonts w:ascii="Times New Roman" w:hAnsi="Times New Roman" w:eastAsia="Times New Roman" w:cs="Times New Roman"/>
              </w:rPr>
              <w:t xml:space="preserve">«КС Торги»</w:t>
            </w:r>
            <w:r>
              <w:rPr>
                <w:rFonts w:ascii="Times New Roman" w:hAnsi="Times New Roman" w:eastAsia="Times New Roman" w:cs="Times New Roman"/>
              </w:rPr>
              <w:t xml:space="preserve">, не ниже версии 2</w:t>
            </w: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Автоматизация процесса управления в сфере закупок товаров, работ, услуг для обеспечения нужд У</w:t>
            </w:r>
            <w:r>
              <w:rPr>
                <w:rFonts w:ascii="Times New Roman" w:hAnsi="Times New Roman" w:eastAsia="Times New Roman" w:cs="Times New Roman"/>
              </w:rPr>
              <w:t xml:space="preserve">дмуртской Республики и нужд муниципальных образований в Удмуртской Республике в соответствии с Федеральным законом №44-ФЗ от 05.04.2013 года «О контрактной системе в сфере закупок товаров, работ, услуг для обеспечения государственных и муниципальных нужд»;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Автоматизация закупок для обеспечения нужд отдельных видов юридических лиц в рамках закупок по Федеральному закону №223-ФЗ от 18.07.2011 года «О закупках товаров, работ, услуг отдельными видами юридических лиц»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государственными и муницип</w:t>
            </w:r>
            <w:r>
              <w:rPr>
                <w:rFonts w:ascii="Times New Roman" w:hAnsi="Times New Roman" w:cs="Times New Roman"/>
                <w:lang w:eastAsia="en-US"/>
              </w:rPr>
              <w:t xml:space="preserve">альными заказчиками, государственными учреждениями и унитарными предприятиями, муниципальными учреждениями и унитарными предприятиями (далее - заказчики) проектов заявок на закупку для направления информации для инициирования разработки документов закупки;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контроль проектов заявок на закупку на соответствие законодательству Российской Федерации;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контроль проектов заявок на закупку на соответствие актам нормирования Удмуртской Республики;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фо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рмирование проектов заявок на закупку, используемых как шаблон, создаваемый сотрудниками органа (учреждения), уполномоченными на осуществление функций по определению поставщика (подрядчика, исполнителя) (далее – уполномоченное учреждение) либо заказчиками;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создание и ведение сводного документа нормирования, формируемого с использованием Федерального каталога товаров, работ, услуг, Регионального каталога товаров, работ, услуг в соответствии с Федеральным законом № 44-ФЗ, в структурированной форме;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возможность указания в сводном документе нормирования предельной цены товаров, работ, услуг по нормативному правовому акту, а также категории и (или) группы должностей работников;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создание и ведение ведомственного документа нормирования, формируемого с использованием Регионального каталога товаров, работ, услуг, в структурированной форме;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возможность указания в ведомственном документе нормирования альтернативных позиций Регионального каталога товаров, работ, услуг;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возможность указания в ведомственном документе нормирования предельной цены товаров, работ, услуг по нормативному правовому акту, предельного количества, а также категории и (или) группы должностей работников;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контроль за заполнением всех позиций ведомственного документа нормирования в соответствии со сводным документом нормирования;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возможность формирования ГРБС документа нормирования для конкретных подведомственных учреждений;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возможность генерации печатной формы ведомственного документа нормирования в форматах MS Excel, MS Word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заказчиками планов-графиков закупок (как с использованием предварительно сформированных проектов заявок на закупку, так и без них) на срок, предусмотренный законодательством о контрактной системе; 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контроль планов-графиков закупок на обеспеченность бюджетными ассигнованиями и лимитами бюджетных обязательств; 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согласование планов-графиков закупок с главными распорядителями бюджетных средств; 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сводных планов-графиков закупок по главному распорядителю бюджетных средств, по бюджетам муниципальных образований в Удмуртской Республике, по бюджету Удмуртской Республики в целом; 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внесение изменений в планы-графики закупок;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заказчиками заявок на закупки на основе утвержденного плана-графика закупок (как с использованием предварительно сформированных проектов заявок на закупку, так и без них);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widowControl w:val="off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автозап</w:t>
            </w:r>
            <w:r>
              <w:rPr>
                <w:rFonts w:ascii="Times New Roman" w:hAnsi="Times New Roman" w:cs="Times New Roman"/>
                <w:lang w:eastAsia="en-US"/>
              </w:rPr>
              <w:t xml:space="preserve">олнения реквизитов документов заявок на закупку (индивидуальных и сводных), проектов заявок на закупку, позиций планов-графиков закупок, контрактов, исполнений контрактов, представленных как в виде справочного значения, так и в виде произвольного значения;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расчет и формирование обоснования начальной (максимальной) цены контракта (далее – НМЦК);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обоснования НМЦК на основании реестровых записей исполненных контрактов с учетом сопоставимых условий</w:t>
            </w:r>
            <w:r>
              <w:rPr>
                <w:rFonts w:ascii="Times New Roman" w:hAnsi="Times New Roman" w:cs="Times New Roman"/>
              </w:rPr>
              <w:t xml:space="preserve"> в том числе возможность генерации печатной формы обоснования НМЦК в форматах MS Excel, MS Word;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возможность использования для расчета информации об исполненных контрактах в соответствии с территориальным признаком (ОКТМО);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возможность применения корректирующих коэффициентов, в том числе в соответствии с М</w:t>
            </w:r>
            <w:r>
              <w:rPr>
                <w:rFonts w:ascii="Times New Roman" w:hAnsi="Times New Roman" w:cs="Times New Roman"/>
              </w:rPr>
              <w:t xml:space="preserve">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России от 02.10.2013 № 567;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использования цен соответствующего сопоставимого периода при обосновании НМЦК сезонных товаров;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заполнения ценовой информации из коммерческих предложений и иных источников с последующим формированием обоснования НМЦК и генерацией печатной формы в форматах </w:t>
            </w:r>
            <w:r>
              <w:rPr>
                <w:rFonts w:ascii="Times New Roman" w:hAnsi="Times New Roman" w:cs="Times New Roman"/>
              </w:rPr>
              <w:t xml:space="preserve">MS Excel, MS Word</w:t>
            </w:r>
            <w:r>
              <w:rPr>
                <w:rFonts w:ascii="Times New Roman" w:hAnsi="Times New Roman" w:cs="Times New Roman"/>
                <w:lang w:eastAsia="en-US"/>
              </w:rPr>
              <w:t xml:space="preserve">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обоснования НМЦК с помощью сервиса обоснования начальной (максимальной) цены контракта при осуществлении закупок лекарственных препарато</w:t>
            </w:r>
            <w:r>
              <w:rPr>
                <w:rFonts w:ascii="Times New Roman" w:hAnsi="Times New Roman" w:cs="Times New Roman"/>
                <w:lang w:eastAsia="en-US"/>
              </w:rPr>
              <w:t xml:space="preserve">в для медицинского применения  в соответствии  с требованиями Приказа Минздрава России от 19.12.2019 № 1064н «Об утверждении Порядка определения начальной (максимальной) цены контракта, цены контракта, заключаемого с единственным поставщиком (подрядчиком, </w:t>
            </w:r>
            <w:r>
              <w:rPr>
                <w:rFonts w:ascii="Times New Roman" w:hAnsi="Times New Roman" w:cs="Times New Roman"/>
                <w:lang w:eastAsia="en-US"/>
              </w:rPr>
              <w:t xml:space="preserve">исполнителем), начальной цены единицы товара, работы, услуги при осуществлении закупок лекарственных препаратов для медицинского применения»;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/>
            <w:bookmarkStart w:id="11" w:name="_Hlk25753010"/>
            <w:r>
              <w:rPr>
                <w:rFonts w:ascii="Times New Roman" w:hAnsi="Times New Roman" w:cs="Times New Roman"/>
                <w:lang w:eastAsia="en-US"/>
              </w:rPr>
              <w:t xml:space="preserve">формирование заказчиками заявок на закупки с применением соответствующих справочников в зависимости от типа закупки</w:t>
            </w:r>
            <w:bookmarkEnd w:id="11"/>
            <w:r>
              <w:rPr>
                <w:rFonts w:ascii="Times New Roman" w:hAnsi="Times New Roman" w:cs="Times New Roman"/>
                <w:lang w:eastAsia="en-US"/>
              </w:rPr>
              <w:t xml:space="preserve">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согласование заявок на закупки с главными распорядителями бюджетных средств и уполномоченным учреждением;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консолидация заявок на закупки по принципу «одноименности» продукции, формирование сводных заявок для проведения совместных закупок;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из согласованных заявок на закупки карточек закупки и лотов закупки; 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отправка карточки закупки в уполномоченное учреждение;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контроль заявки на закупку на соответствие законодательству Российской Федерации;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контроль заявки на закупку на соответствие актам нормирования Удмуртской Республики. 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прикрепление к карточке закупки произвольного количества файлов документов;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автоматическое формирование извещений о проведении закупок, документаций, проектов контрактов (договоров) и др., в том числе по электронным закупкам;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учет деятельности комиссий, в том числе рассмотрение заявок участников, проверка в реестрах РНП, СМП, формирование протоколов с возможностью ранжирования в ручном режиме;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учет результатов проведения закупок;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/>
            <w:bookmarkStart w:id="12" w:name="_Hlk25753024"/>
            <w:r>
              <w:rPr>
                <w:rFonts w:ascii="Times New Roman" w:hAnsi="Times New Roman" w:cs="Times New Roman"/>
                <w:lang w:eastAsia="en-US"/>
              </w:rPr>
              <w:t xml:space="preserve">возможность формирования печатных форм документов в форматах Microsoft Word, Microsoft Excel</w:t>
            </w:r>
            <w:bookmarkEnd w:id="12"/>
            <w:r>
              <w:rPr>
                <w:rFonts w:ascii="Times New Roman" w:hAnsi="Times New Roman" w:cs="Times New Roman"/>
                <w:lang w:eastAsia="en-US"/>
              </w:rPr>
              <w:t xml:space="preserve">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формирование, учет и обработка сведений о заключении контракта (договора) (его изменении), исполнении (расторжении) в соответствии с законодательством Российской Федерации о ведении реестра контрактов;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формирование, учет и обработка сведений о приёмке товаров, работ, услуг (далее – ТРУ) в рамках электронного актирования;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использования усиленной квалифицированной электронной подписи (далее – электронная подпись) для подписания электронных форм документов, формируемых в программном обеспечении;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использования электронной подписи для подписания сведений по изменению состояний документов в программном обеспечении;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использования электронной подписи для подписания произвольных файлов, прикрепляемых к электронным формам документов;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использования электронной подписи для подписания документов, передаваемых на официальный сайт единой информационной системы в сфере закупок (далее – ЕИС);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проверка средствами программного обеспечения электронных подписей пользователей.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601"/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Возможность организации внутреннего электронного документооборота в уполномоченном учреждении, в том числе формирование приказов об утверждении состава комиссии и протоколов, а также возможность создания дополнительных маршрутов.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ind w:firstLine="601"/>
              <w:jc w:val="both"/>
              <w:spacing w:after="0"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Интеграция с программным комплексом «Проект-СМАРТ Про»: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автоматическая выгрузка информации о планируемых суммах расходов на закупку в Обоснования бюджетных ассигнований на закупку товаров, работ и услуг для обеспечения государственных нужд по формам 2.1 и 2.2, утве</w:t>
            </w:r>
            <w:r>
              <w:rPr>
                <w:rFonts w:ascii="Times New Roman" w:hAnsi="Times New Roman" w:cs="Times New Roman"/>
                <w:lang w:eastAsia="en-US"/>
              </w:rPr>
              <w:t xml:space="preserve">ржденным приказом Министерства финансов Удмуртской Республики от 28.07.2023 № 267 (с учетом распределения по КБК и видам товаров, работ, услуг по коду аналитического учета (КОСГУ), а также по коду дополнительного аналитического учета, которые определены в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Проектах заявок</w:t>
            </w:r>
            <w:r>
              <w:rPr>
                <w:rFonts w:ascii="Times New Roman" w:hAnsi="Times New Roman" w:cs="Times New Roman"/>
                <w:lang w:eastAsia="en-US"/>
              </w:rPr>
              <w:t xml:space="preserve">, с использованием дополнительно установленного в справочнике кода);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 w:hanging="425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автоматическая выгрузка информации о планируемых суммах расходов на закупку в Обоснования бюджетных ассигнований на предоставление субсидий государственным бюд</w:t>
            </w:r>
            <w:r>
              <w:rPr>
                <w:rFonts w:ascii="Times New Roman" w:hAnsi="Times New Roman" w:cs="Times New Roman"/>
                <w:lang w:eastAsia="en-US"/>
              </w:rPr>
              <w:t xml:space="preserve">жетным и автономным учреждениям Удмуртской Республики на оказание государственных услуг по форме 11, утвержденной приказом Министерства финансов Удмуртской Республики от 28.07.2023 № 267 (с учетом распределения по КБК и видам товаров, работ, услуг по коду </w:t>
            </w:r>
            <w:r>
              <w:rPr>
                <w:rFonts w:ascii="Times New Roman" w:hAnsi="Times New Roman" w:cs="Times New Roman"/>
                <w:lang w:eastAsia="en-US"/>
              </w:rPr>
              <w:t xml:space="preserve">аналитического учета (КОСГУ), а также по коду дополнительного аналитического учета, и источнику финансирования, которые определены в Проектах заявок на закупку);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 w:hanging="425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Синхронизация справочной информации (возможность импорта справочников, возможность хранения эталонов справочников);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ind w:left="0" w:firstLine="686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Интеграция с автоматизированной информационной системой исполнения бюджета: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автоматический контроль на наличие свободного остатка бюджетных ассигнований и лимитов бюджетных обязательств на этапе формировании закупки;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резервирование средств на этапе создания закупки;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снятие средств, сэкономленных в результате проведения закупок, с резервирования;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бюджетных обязательств на основе заключенных контрактов или договоров по закупкам малого объема, привязка первичных документов (расшифровки к договорам, платежные поручения), контроль исполнения;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принимаемых бюджетных обязательств по конкурентным процедурам;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автоматический контроль соотве</w:t>
            </w:r>
            <w:r>
              <w:rPr>
                <w:rFonts w:ascii="Times New Roman" w:hAnsi="Times New Roman" w:cs="Times New Roman"/>
                <w:lang w:eastAsia="en-US"/>
              </w:rPr>
              <w:t xml:space="preserve">тствия данных о фактически оплаченных суммах по расторгнутым контрактам, учитываемых через автоматизированную информационную систему исполнения бюджета, и данных о фактически оплаченных суммах, предоставляемых заказчиками для включения в реестр контрактов;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автоматический контроль на соответствие сумм контрактов в разрезе кодов бюджетной классификации и счетов бюджетополучателей и сумм кассового расхода;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денежных обязательств на основании сведений о приемке ТРУ в рамках электронного актирования.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Интеграция с ЕИС.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Автоматическая передача в ЕИС: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извещений и документации;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изменений, внесенных в извещение и документацию;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сведений о заключении, изменении, исполнении или расторжении контрактов (договоров) (при необходимости) на поставки товаров, выполнение работ, оказание услуг;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планов-графиков закупок;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изменений, вносимых в планы-графики закупок;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разъяснений конкурсной и аукционной документации.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606"/>
              <w:jc w:val="both"/>
              <w:spacing w:after="0"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Автоматическое получение из ЕИС: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извещений об отмене определения поставщика (подрядчика, исполнителя);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справочников и классификаторов;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библиотек и иных каталогов информации (в случае внесения соответствующих сведений в ЕИС);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протоколов и информации о заявках участников закупок; 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номеров реестровых записей и дат их присвоения;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сведений о заключении, изменении, исполнении, расторжении контрактов (договоров) (при необходимости).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606"/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Удаленный обмен электронными документами с ЕИС обеспечивается в</w:t>
            </w:r>
            <w:r>
              <w:rPr>
                <w:rFonts w:ascii="Times New Roman" w:hAnsi="Times New Roman" w:eastAsia="Times New Roman" w:cs="Times New Roman"/>
              </w:rPr>
              <w:t xml:space="preserve"> соответствии с утвержденными Федеральным Казначейством России требованиями к форматам и способам передачи информации в электронной форме по телекоммуникационным каналам связи между ЕИС и Внешними системами закупок для государственных и муниципальных нужд.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ind w:firstLine="606"/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Интеграция с электронными торговыми площадками в части автоматического получения запросов.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ind w:firstLine="606"/>
              <w:jc w:val="both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Возможность </w:t>
            </w:r>
            <w:r>
              <w:rPr>
                <w:rFonts w:ascii="Times New Roman" w:hAnsi="Times New Roman" w:eastAsia="Times New Roman" w:cs="Times New Roman"/>
              </w:rPr>
              <w:t xml:space="preserve">формирования отчётов с учётом требуемого периода, с последующим экспортом в форматах MS Excel, </w:t>
            </w:r>
            <w:r>
              <w:rPr>
                <w:rFonts w:ascii="Times New Roman" w:hAnsi="Times New Roman" w:eastAsia="Times New Roman" w:cs="Times New Roman"/>
              </w:rPr>
              <w:t xml:space="preserve">OpenOffice</w:t>
            </w:r>
            <w:r>
              <w:rPr>
                <w:rFonts w:ascii="Times New Roman" w:hAnsi="Times New Roman" w:eastAsia="Times New Roman" w:cs="Times New Roman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</w:rPr>
              <w:t xml:space="preserve">Html</w:t>
            </w:r>
            <w:r>
              <w:rPr>
                <w:rFonts w:ascii="Times New Roman" w:hAnsi="Times New Roman" w:eastAsia="Times New Roman" w:cs="Times New Roman"/>
              </w:rPr>
              <w:t xml:space="preserve">; возможность просмотра и анализа всех видов отчетности по закупкам всех заказчиков; возможность формирования отчетов в соответствии с правами доступа пользователей.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709"/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Подсистема имеет открытую и закрытую части, вход в которую осуществляется посредством электронных подписей и/или пароля и логина.</w:t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ind w:firstLine="747"/>
              <w:jc w:val="both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Открытая часть Подсистемы (далее – портал закупок) содержит общую информацию (новости, нормативные правовые документ</w:t>
            </w:r>
            <w:r>
              <w:rPr>
                <w:rFonts w:ascii="Times New Roman" w:hAnsi="Times New Roman" w:eastAsia="Times New Roman" w:cs="Times New Roman"/>
              </w:rPr>
              <w:t xml:space="preserve">ы, методические рекомендации и т.п.), а также информацию для пользователей Подсистемы (руководства и инструкции для пользователей), реестр закупок, реестр контрактов и изменений к ним, реестр планов-графиков закупок, обсуждение закупок, аналитика в режиме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онлайн.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747"/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color w:val="ff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Возможность работы с МЧД.</w:t>
            </w:r>
            <w:r>
              <w:rPr>
                <w:rFonts w:ascii="Times New Roman" w:hAnsi="Times New Roman" w:eastAsia="Times New Roman" w:cs="Times New Roman"/>
                <w:color w:val="ff000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финансовые органы – не менее 30 организации;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уполномоченное учреждение – не менее 1 организации;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контрольные органы в сфере закупок – не менее 2 организаций;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Участники и </w:t>
            </w:r>
            <w:r>
              <w:rPr>
                <w:rFonts w:ascii="Times New Roman" w:hAnsi="Times New Roman" w:cs="Times New Roman"/>
                <w:lang w:eastAsia="en-US"/>
              </w:rPr>
              <w:t xml:space="preserve">Неучастники</w:t>
            </w:r>
            <w:r>
              <w:rPr>
                <w:rFonts w:ascii="Times New Roman" w:hAnsi="Times New Roman" w:cs="Times New Roman"/>
                <w:lang w:eastAsia="en-US"/>
              </w:rPr>
              <w:t xml:space="preserve"> бюджетного процесса Удмуртской Республики, Участники и </w:t>
            </w:r>
            <w:r>
              <w:rPr>
                <w:rFonts w:ascii="Times New Roman" w:hAnsi="Times New Roman" w:cs="Times New Roman"/>
                <w:lang w:eastAsia="en-US"/>
              </w:rPr>
              <w:t xml:space="preserve">Неучастники</w:t>
            </w:r>
            <w:r>
              <w:rPr>
                <w:rFonts w:ascii="Times New Roman" w:hAnsi="Times New Roman" w:cs="Times New Roman"/>
                <w:lang w:eastAsia="en-US"/>
              </w:rPr>
              <w:t xml:space="preserve"> бюджетного процесса бюджетов муниципальных образований в Удмуртской Республике, количество – не менее 2600 учреждений;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уполномоченные организации, осуществляющие функции по выработке государственной политики в соответствующей сфере – не менее 1 организации.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</w:tbl>
    <w:p>
      <w:pPr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22 – Подсистема «</w:t>
      </w:r>
      <w:r>
        <w:rPr>
          <w:rFonts w:ascii="Times New Roman" w:hAnsi="Times New Roman" w:eastAsia="Times New Roman" w:cs="Times New Roman"/>
          <w:b/>
        </w:rPr>
        <w:t xml:space="preserve">КС Торги. Региональный каталог</w:t>
      </w:r>
      <w:r>
        <w:rPr>
          <w:rFonts w:ascii="Times New Roman" w:hAnsi="Times New Roman" w:eastAsia="Times New Roman" w:cs="Times New Roman"/>
          <w:b/>
        </w:rPr>
        <w:t xml:space="preserve">», модуль ПК </w:t>
      </w:r>
      <w:r>
        <w:rPr>
          <w:rFonts w:ascii="Times New Roman" w:hAnsi="Times New Roman" w:eastAsia="Times New Roman" w:cs="Times New Roman"/>
          <w:b/>
        </w:rPr>
        <w:t xml:space="preserve">«КС Торги»</w:t>
      </w:r>
      <w:r>
        <w:rPr>
          <w:rFonts w:ascii="Times New Roman" w:hAnsi="Times New Roman" w:eastAsia="Times New Roman" w:cs="Times New Roman"/>
          <w:b/>
        </w:rPr>
        <w:t xml:space="preserve">, регистрационный номер в РРПО №878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11"/>
        <w:gridCol w:w="2044"/>
        <w:gridCol w:w="754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комплекс </w:t>
            </w:r>
            <w:r>
              <w:rPr>
                <w:rFonts w:ascii="Times New Roman" w:hAnsi="Times New Roman" w:eastAsia="Times New Roman" w:cs="Times New Roman"/>
              </w:rPr>
              <w:t xml:space="preserve">«КС Торги»</w:t>
            </w:r>
            <w:r>
              <w:rPr>
                <w:rFonts w:ascii="Times New Roman" w:hAnsi="Times New Roman" w:eastAsia="Times New Roman" w:cs="Times New Roman"/>
              </w:rPr>
              <w:t xml:space="preserve">, не ниже версии </w:t>
            </w:r>
            <w:r>
              <w:rPr>
                <w:rFonts w:ascii="Times New Roman" w:hAnsi="Times New Roman" w:eastAsia="Times New Roman" w:cs="Times New Roman"/>
              </w:rPr>
              <w:t xml:space="preserve">22.01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Автоматизация процесса формирования регионального каталога товаров, работ, услуг для нужд Удмуртской Республики и муниципальных образований в Удмуртской Республике 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eastAsia="Arial Narrow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создание и ведение справочника «Каталог товаров, работ, услуг» (далее – Каталог), возможность объединения в группы по кодам;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установка типовых технических хара</w:t>
            </w:r>
            <w:r>
              <w:rPr>
                <w:rFonts w:ascii="Times New Roman" w:hAnsi="Times New Roman" w:cs="Times New Roman"/>
                <w:lang w:eastAsia="en-US"/>
              </w:rPr>
              <w:t xml:space="preserve">ктеристик товаров, работ, услуг произвольного формата и типовых единиц измерения для каждой позиции Каталога уполномоченными организациями, осуществляющими функции по выработке государственной политики в соответствующей сфере, и уполномоченным учреждением;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автоматическое формирование технических заданий, формы первой части заявки на участие в закупках с использованием сформированных типовых технических заданий, устанавливаемых в Каталоге;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редактирование типовых характеристик товаров, работ, услуг уполномоченными организациями, осуществляющими функции по выработке государственной политики в соответствующей сфере, и уполномоченным учреждением;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прикрепления нескольких проектов контрактов (договоров) для ка</w:t>
            </w:r>
            <w:r>
              <w:rPr>
                <w:rFonts w:ascii="Times New Roman" w:hAnsi="Times New Roman" w:cs="Times New Roman"/>
                <w:lang w:eastAsia="en-US"/>
              </w:rPr>
              <w:t xml:space="preserve">ждой группы товаров, работ, услуг из Каталога, формирование и редактирование проектов контрактов (договоров) уполномоченными организациями, осуществляющими функции по выработке государственной политики в соответствующей сфере, и уполномоченным учреждением;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дополнительного приложения к проекту контракта (договора) в зависимости от выбранных товаров, работ, услуг;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использование Каталога на всех стадиях проведения определения поставщиков (подрядчиков, исполнителей), начиная от планов-графиков закупок, заявок на закупку и т.д.;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заказчиками заявки для включения позиции в Каталог;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установка альтернативного ограничения для Пользователей выбора закупаемых позиций только с использованием Каталога или без его использования по определенным группам товаров, работ, услуг;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ведение «истории цен» по уже закупленным позициям Каталога, по заключенным контрактам (договорам);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обоснования НМЦК в соответствии с требованиями законодательства Российской Федерации и Удмуртской Республики;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печатной формы технического задания;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использование «истории цен» из Подсистемы при формировании Пользователями обоснования НМЦК;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средневзвешенной цены товаров, работ, услуг из Каталога;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автоматический контроль НМЦК на непревышение расчетной цены на основании «истории цен», с возможностью гибкой настройки допустимого размера превышения;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отчетов по ценам контрактов (договоров): информация по объявленным, заключенным, исполненным контрактам (договорам);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объединение планируемых закупок в совместные торги по одинаковым позициям товаров, работ, услуг из Каталога;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интеграция с Федеральным каталогом товаров, работ, услуг, формируемым в соответствии с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внесение обоснования необходимости использования дополнительной информации</w:t>
            </w:r>
            <w:r>
              <w:rPr>
                <w:rFonts w:ascii="Times New Roman" w:hAnsi="Times New Roman" w:cs="Times New Roman"/>
                <w:lang w:eastAsia="en-US"/>
              </w:rPr>
              <w:t xml:space="preserve"> (дополнительных потребительских свойств, в том числе функциональных, технических, качественных, эксплуатационных характеристик товара, работы, услуги) по каждой дополнительной характеристике, не предусмотренной Федеральным каталогом товаров, работ, услуг.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уполномоченное учреждение – не менее 1 организации;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Участники и </w:t>
            </w:r>
            <w:r>
              <w:rPr>
                <w:rFonts w:ascii="Times New Roman" w:hAnsi="Times New Roman" w:cs="Times New Roman"/>
                <w:lang w:eastAsia="en-US"/>
              </w:rPr>
              <w:t xml:space="preserve">Неучастники</w:t>
            </w:r>
            <w:r>
              <w:rPr>
                <w:rFonts w:ascii="Times New Roman" w:hAnsi="Times New Roman" w:cs="Times New Roman"/>
                <w:lang w:eastAsia="en-US"/>
              </w:rPr>
              <w:t xml:space="preserve"> бюджетного процесса Удмуртской Республики, Участники и </w:t>
            </w:r>
            <w:r>
              <w:rPr>
                <w:rFonts w:ascii="Times New Roman" w:hAnsi="Times New Roman" w:cs="Times New Roman"/>
                <w:lang w:eastAsia="en-US"/>
              </w:rPr>
              <w:t xml:space="preserve">Неучастники</w:t>
            </w:r>
            <w:r>
              <w:rPr>
                <w:rFonts w:ascii="Times New Roman" w:hAnsi="Times New Roman" w:cs="Times New Roman"/>
                <w:lang w:eastAsia="en-US"/>
              </w:rPr>
              <w:t xml:space="preserve"> бюджетного процесса бюджетов муниципальных образований в Удмуртской Республике, количество – не менее 2600 учреждений;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уполномоченные организации, осуществляющие функции по выработке государственной политики в соответствующей сфере – не менее 1 организации.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</w:tbl>
    <w:p>
      <w:pPr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23 – Подсистема «Малые закупки», модуль ПК </w:t>
      </w:r>
      <w:r>
        <w:rPr>
          <w:rFonts w:ascii="Times New Roman" w:hAnsi="Times New Roman" w:eastAsia="Times New Roman" w:cs="Times New Roman"/>
          <w:b/>
        </w:rPr>
        <w:t xml:space="preserve">«КС Торги»</w:t>
      </w:r>
      <w:r>
        <w:rPr>
          <w:rFonts w:ascii="Times New Roman" w:hAnsi="Times New Roman" w:eastAsia="Times New Roman" w:cs="Times New Roman"/>
          <w:b/>
        </w:rPr>
        <w:t xml:space="preserve">, регистрационный номер в РРПО №878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11"/>
        <w:gridCol w:w="1966"/>
        <w:gridCol w:w="762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66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4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6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комплекс </w:t>
            </w:r>
            <w:r>
              <w:rPr>
                <w:rFonts w:ascii="Times New Roman" w:hAnsi="Times New Roman" w:eastAsia="Times New Roman" w:cs="Times New Roman"/>
              </w:rPr>
              <w:t xml:space="preserve">«КС Торги»</w:t>
            </w:r>
            <w:r>
              <w:rPr>
                <w:rFonts w:ascii="Times New Roman" w:hAnsi="Times New Roman" w:eastAsia="Times New Roman" w:cs="Times New Roman"/>
              </w:rPr>
              <w:t xml:space="preserve">, не ниже версии </w:t>
            </w:r>
            <w:r>
              <w:rPr>
                <w:rFonts w:ascii="Times New Roman" w:hAnsi="Times New Roman" w:eastAsia="Times New Roman" w:cs="Times New Roman"/>
              </w:rPr>
              <w:t xml:space="preserve">22.01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6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6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Автоматизация процесса осуществления закупок товаров, работ, услуг у единственного поставщика (подрядчика, исполнителя) в соответствии с пунктами 4, 5 части 1 статьи 93 Федерального закона от 05.04.2013 № 44-ФЗ «О контрактной</w:t>
            </w:r>
            <w:r>
              <w:rPr>
                <w:rFonts w:ascii="Times New Roman" w:hAnsi="Times New Roman" w:eastAsia="Times New Roman" w:cs="Times New Roman"/>
              </w:rPr>
              <w:t xml:space="preserve"> системе в сфере закупок товаров, работ, услуг для обеспечения государственных и муниципальных нужд» и в соответствии с Федеральным законом от 18.07.2011 № 223-ФЗ «О закупках товаров, работ, услуг отдельными видами юридических лиц» (далее – малые закупки)»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6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4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автоматическое формирование заказчиками на основе плана-графика закупок (сформированного в Подсистеме) извещения о проведении малой закупки с возможностью прикрепления файлов и сохранения их в базе данных;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формирования извещения о проведении малой закупки с указанием цены за единицу с 6 знаками после запятой;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автоматическое размещение (публикация) извещения о проведении малой закупки;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автоматическое уведомление участников закупки по электронной почте о публикации извещения о проведении закупки по выбранным категориям;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отмена закупки (извещение об отмене с уведомлением участников закупки);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приём заявок участников закупки;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подача, изменение и отзыв заявок на участие в малой закупке;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открытие доступа заказчикам к заявкам участников закупки по окончании срока подачи заявок;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рассмотрение заявок участников закупки;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генерация протоколов средствами Модуля «Малые закупки»;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обеспечение автоматического формирования печатных форм протоколов без дополнительного ввода информации в экранные формы;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публикации протоколов по результатам проведения закупки;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заключение контракта (договора) по итогам проведения закупки;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формирования контракта (договора) с указанием цены за единицу с 6 знаками после запятой; 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интеграция сведений о заключении контракта (договора) в реестр малых закупок, сформированный в программном комплексе;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интеграция сведений о внесенных изменениях в контракт (договор) в реестр малых закупок, сформированных в программном комплексе;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контроль исполнения плана-графика закупок;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отчетности по закупкам;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заявки бюджетополучателя на основании проведенной закупки и интеграции в ПК </w:t>
            </w:r>
            <w:r>
              <w:rPr>
                <w:rFonts w:ascii="Times New Roman" w:hAnsi="Times New Roman" w:cs="Times New Roman"/>
                <w:lang w:eastAsia="en-US"/>
              </w:rPr>
              <w:t xml:space="preserve">«КС Бюджет»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поиска заказчиками товара, работы или услуги в списке товаров, работ и услуг, предоставляемых участниками закупки (далее - оферты);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выбор заказчиками наилучшего предложения из оферт, предоставляемых участниками закупки;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контракта (договора) с выбранным участником закупки;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согласование с главными распорядителями бюджетных средств сформированного контракта (договора) (только в случае выбора заявки с предложением о цене выше минимальной);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согласования и внесения изменений в реквизиты (учетные данные) поставщиков (подрядчиков, исполнителей), зарегистрированных в подсистеме «Малые закупки»;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внесения изменений в заключенные контракты в подсистеме «Малые закупки» (договоры);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вывода информации об ЭП для заключенных контрактов (выгрузка, заключенного контракта в Подсистеме «Малые закупки», в формате PDF с автоматическим добавлением информации об ЭП (в виде штампа), наложенной на документ;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интеграция с электронными торговыми площадками в соответствии с действующим законодательством в сфере закупок;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запросов ценовых предложений заказчиками;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интеграция с автоматизированной информационной системой исполнения бюджета: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резервирование средств на этапе создания извещения о проведении малой закупки;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снятие средств, сэкономленных в результате проведения закупок, с резервирования.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6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6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4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финансовые органы – не менее 30 организации;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Участники и </w:t>
            </w:r>
            <w:r>
              <w:rPr>
                <w:rFonts w:ascii="Times New Roman" w:hAnsi="Times New Roman" w:cs="Times New Roman"/>
                <w:lang w:eastAsia="en-US"/>
              </w:rPr>
              <w:t xml:space="preserve">Неучастники</w:t>
            </w:r>
            <w:r>
              <w:rPr>
                <w:rFonts w:ascii="Times New Roman" w:hAnsi="Times New Roman" w:cs="Times New Roman"/>
                <w:lang w:eastAsia="en-US"/>
              </w:rPr>
              <w:t xml:space="preserve"> бюджетного процесса Удмуртской Республики, Участники и </w:t>
            </w:r>
            <w:r>
              <w:rPr>
                <w:rFonts w:ascii="Times New Roman" w:hAnsi="Times New Roman" w:cs="Times New Roman"/>
                <w:lang w:eastAsia="en-US"/>
              </w:rPr>
              <w:t xml:space="preserve">Неучастники</w:t>
            </w:r>
            <w:r>
              <w:rPr>
                <w:rFonts w:ascii="Times New Roman" w:hAnsi="Times New Roman" w:cs="Times New Roman"/>
                <w:lang w:eastAsia="en-US"/>
              </w:rPr>
              <w:t xml:space="preserve"> бюджетного процесса бюджетов муниципальных образований в Удмуртской Республике, количество – не менее 2600 учреждений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уполномоченные организации, осуществляющие функции по выработке государственной политики в соответствующей сфере – не менее 1 организации;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уполномоченное учреждение – не менее 1 организации;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зарегистрированные в подсистеме «Малые закупки» поставщики (подрядчики, исполнители) – не менее 6 500 организаций и физических лиц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</w:tbl>
    <w:p>
      <w:pPr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24 – Подсистема «</w:t>
      </w:r>
      <w:r>
        <w:rPr>
          <w:rFonts w:ascii="Times New Roman" w:hAnsi="Times New Roman" w:eastAsia="Times New Roman" w:cs="Times New Roman"/>
          <w:b/>
        </w:rPr>
        <w:t xml:space="preserve">КС Торги. Закупки 223-ФЗ</w:t>
      </w:r>
      <w:r>
        <w:rPr>
          <w:rFonts w:ascii="Times New Roman" w:hAnsi="Times New Roman" w:eastAsia="Times New Roman" w:cs="Times New Roman"/>
          <w:b/>
        </w:rPr>
        <w:t xml:space="preserve">», модуль ПК </w:t>
      </w:r>
      <w:r>
        <w:rPr>
          <w:rFonts w:ascii="Times New Roman" w:hAnsi="Times New Roman" w:eastAsia="Times New Roman" w:cs="Times New Roman"/>
          <w:b/>
        </w:rPr>
        <w:t xml:space="preserve">«КС Торги»</w:t>
      </w:r>
      <w:r>
        <w:rPr>
          <w:rFonts w:ascii="Times New Roman" w:hAnsi="Times New Roman" w:eastAsia="Times New Roman" w:cs="Times New Roman"/>
          <w:b/>
        </w:rPr>
        <w:t xml:space="preserve">, регистрационный номер в РРПО №878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11"/>
        <w:gridCol w:w="2044"/>
        <w:gridCol w:w="754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комплекс </w:t>
            </w:r>
            <w:r>
              <w:rPr>
                <w:rFonts w:ascii="Times New Roman" w:hAnsi="Times New Roman" w:eastAsia="Times New Roman" w:cs="Times New Roman"/>
              </w:rPr>
              <w:t xml:space="preserve">«КС Торги»</w:t>
            </w:r>
            <w:r>
              <w:rPr>
                <w:rFonts w:ascii="Times New Roman" w:hAnsi="Times New Roman" w:eastAsia="Times New Roman" w:cs="Times New Roman"/>
              </w:rPr>
              <w:t xml:space="preserve">, версия </w:t>
            </w:r>
            <w:r>
              <w:rPr>
                <w:rFonts w:ascii="Times New Roman" w:hAnsi="Times New Roman" w:eastAsia="Times New Roman" w:cs="Times New Roman"/>
              </w:rPr>
              <w:t xml:space="preserve">22.01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Повышение эффективности закупок, осуществляемых отдельными видами юридических лиц, автоматизация процессов закупок в Удмуртской </w:t>
            </w:r>
            <w:r>
              <w:rPr>
                <w:rFonts w:ascii="Times New Roman" w:hAnsi="Times New Roman" w:eastAsia="Times New Roman" w:cs="Times New Roman"/>
              </w:rPr>
              <w:t xml:space="preserve">Республике по </w:t>
            </w:r>
            <w:r>
              <w:rPr>
                <w:rFonts w:ascii="Times New Roman" w:hAnsi="Times New Roman" w:eastAsia="Times New Roman" w:cs="Times New Roman"/>
                <w:bCs/>
              </w:rPr>
              <w:t xml:space="preserve">Федеральному закону от 18.07.2011 № 223-ФЗ «О закупках товаров, работ, услуг отдельными видами юридических лиц»,</w:t>
            </w:r>
            <w:r>
              <w:rPr>
                <w:rFonts w:ascii="Times New Roman" w:hAnsi="Times New Roman" w:eastAsia="Times New Roman" w:cs="Times New Roman"/>
              </w:rPr>
              <w:t xml:space="preserve"> ведение отчетности по закупкам 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и ведение </w:t>
            </w:r>
            <w:r>
              <w:rPr>
                <w:rFonts w:ascii="Times New Roman" w:hAnsi="Times New Roman" w:cs="Times New Roman"/>
                <w:lang w:eastAsia="en-US"/>
              </w:rPr>
              <w:t xml:space="preserve">реестра положений о закупках, в том числе формирование положений о закупках на основе типового положения, утвержденного уполномоченным исполнительным органом государственной власти Удмуртской Республики и уполномоченными органами муниципальных образований;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формирование, согласование планов закупок;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формирование, согласование документов о размещении закупок;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автоматизация процессов подготовки и осуществления закупок;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и учет договоров;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использования Регионального каталог товаров, работ, услуг при осуществлении закупок;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и интеграция в ЕИС отчетов, предусмотренных Федеральным законом от 18.07.2011 № 223-ФЗ «О закупках товаров, работ, услуг отдельными видами юридических лиц»;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интеграция между ЕИС и Подсистемой, иными подсистемами ГИС;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интеграция с электронными торговыми площадками в соответствии с действующим законодательством в сфере закупок;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управление доступом пользователей;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формирование аналитических отчетов;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автозаполнения реквизитов документов заявок на закупку (индивидуальных и сводных), позиций планов закупки, договоров, исполнений договоров, представленных как в виде справочного значения, так и в виде произвольного значения.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4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6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уполномоченное учреждение – не менее 1 организации;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Участники и </w:t>
            </w:r>
            <w:r>
              <w:rPr>
                <w:rFonts w:ascii="Times New Roman" w:hAnsi="Times New Roman" w:cs="Times New Roman"/>
                <w:lang w:eastAsia="en-US"/>
              </w:rPr>
              <w:t xml:space="preserve">Неучастники</w:t>
            </w:r>
            <w:r>
              <w:rPr>
                <w:rFonts w:ascii="Times New Roman" w:hAnsi="Times New Roman" w:cs="Times New Roman"/>
                <w:lang w:eastAsia="en-US"/>
              </w:rPr>
              <w:t xml:space="preserve"> бюджетного процесса Удмуртской Республики, Участники и </w:t>
            </w:r>
            <w:r>
              <w:rPr>
                <w:rFonts w:ascii="Times New Roman" w:hAnsi="Times New Roman" w:cs="Times New Roman"/>
                <w:lang w:eastAsia="en-US"/>
              </w:rPr>
              <w:t xml:space="preserve">Неучастники</w:t>
            </w:r>
            <w:r>
              <w:rPr>
                <w:rFonts w:ascii="Times New Roman" w:hAnsi="Times New Roman" w:cs="Times New Roman"/>
                <w:lang w:eastAsia="en-US"/>
              </w:rPr>
              <w:t xml:space="preserve"> бюджетного процесса бюджетов муниципальных образований в Удмуртской Республике, количество – не менее 2600 учреждений;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уполномоченные организации, осуществляющие функции по выработке государственной политики в соответствующей сфере – не менее 1 организации.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</w:tbl>
    <w:p>
      <w:pPr>
        <w:pStyle w:val="757"/>
        <w:numPr>
          <w:ilvl w:val="0"/>
          <w:numId w:val="0"/>
        </w:numPr>
        <w:ind w:firstLine="709"/>
        <w:tabs>
          <w:tab w:val="left" w:pos="0" w:leader="none"/>
        </w:tabs>
        <w:rPr>
          <w:rFonts w:ascii="Times New Roman" w:hAnsi="Times New Roman" w:cs="Times New Roman"/>
        </w:rPr>
      </w:pPr>
      <w:r/>
      <w:bookmarkStart w:id="13" w:name="_Toc239843889"/>
      <w:r>
        <w:rPr>
          <w:rFonts w:ascii="Times New Roman" w:hAnsi="Times New Roman" w:cs="Times New Roman"/>
          <w:iCs w:val="0"/>
          <w:color w:val="000000"/>
          <w:sz w:val="22"/>
          <w:szCs w:val="22"/>
        </w:rPr>
        <w:t xml:space="preserve">2.5 Подсистема «Взаимодействие с порталом Электронный бюджет» по приказу 243н («243н»)»</w:t>
      </w:r>
      <w:bookmarkEnd w:id="13"/>
      <w:r/>
      <w:r>
        <w:rPr>
          <w:rFonts w:ascii="Times New Roman" w:hAnsi="Times New Roman" w:cs="Times New Roman"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25 – Программный комплекс «Взаимодействие с порталом «Электронный бюджет» по приказу 243н («243н»)», регистрационный номер в РРПО №4704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75"/>
        <w:gridCol w:w="1985"/>
        <w:gridCol w:w="754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комплекс «Взаимодействие с порталом «Электронный бюджет» по приказу 243н («243н»)» на базе СУБД </w:t>
            </w:r>
            <w:r>
              <w:rPr>
                <w:rFonts w:ascii="Times New Roman" w:hAnsi="Times New Roman" w:eastAsia="Times New Roman" w:cs="Times New Roman"/>
              </w:rPr>
              <w:t xml:space="preserve">PostgreSQL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Сбор сведений и передача их на портал «Электронный бюджет», а также мониторинг текущего состояния приема и отправки с</w:t>
            </w:r>
            <w:r>
              <w:rPr>
                <w:rFonts w:ascii="Times New Roman" w:hAnsi="Times New Roman" w:eastAsia="Times New Roman" w:cs="Times New Roman"/>
              </w:rPr>
              <w:t xml:space="preserve">ведений. Программный комплекс разработан в соответствии с приказом Министерства финансов Российской Федерации от 28 декабря 2016 г. N 243н «О составе и порядке размещения и предоставления информации на едином портале бюджетной системы Российской Федерации»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прием сведений с Программных комплексов «Свод-СМАРТ», </w:t>
            </w:r>
            <w:r>
              <w:rPr>
                <w:rFonts w:ascii="Times New Roman" w:hAnsi="Times New Roman" w:cs="Times New Roman"/>
                <w:lang w:eastAsia="en-US"/>
              </w:rPr>
              <w:t xml:space="preserve">«КС Бюджет»</w:t>
            </w:r>
            <w:r>
              <w:rPr>
                <w:rFonts w:ascii="Times New Roman" w:hAnsi="Times New Roman" w:cs="Times New Roman"/>
                <w:lang w:eastAsia="en-US"/>
              </w:rPr>
              <w:t xml:space="preserve">, «Проект-СМАРТ Про» (разработчик ООО «</w:t>
            </w:r>
            <w:r>
              <w:rPr>
                <w:rFonts w:ascii="Times New Roman" w:hAnsi="Times New Roman" w:cs="Times New Roman"/>
                <w:lang w:eastAsia="en-US"/>
              </w:rPr>
              <w:t xml:space="preserve">Кейсистемс</w:t>
            </w:r>
            <w:r>
              <w:rPr>
                <w:rFonts w:ascii="Times New Roman" w:hAnsi="Times New Roman" w:cs="Times New Roman"/>
                <w:lang w:eastAsia="en-US"/>
              </w:rPr>
              <w:t xml:space="preserve">», г. Чебоксары);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ввод сведений, отсутствующих в указанных выше программных комплексах (в т. ч. с возможностью импорта из других источников сведений, которые могут иметься в Удмуртской Республике, из Microsoft Excel);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возможность предварительного контроля поступающей информации;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контроль на соответствие форматам предоставления информации на портал «Электронного бюджета»;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контроль сроков предоставления информации финансовыми органами муниципальных образований в Удмуртской Республике в Министерств финансов Удмуртской Республики;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предоставление возможности подписания сведений с помощью электронной подписи финансовых органов муниципальных образований в Удмуртской Республике, Министерства финансов Удмуртской Республики;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автоматизированная выгрузка сведений на портал «Электронного бюджета» Российской Федерации;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соответствие выгружаемой информации следующим нормативным документам: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17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Бюджетный кодекс РФ от 31 июля 1998 г. №145 - ФЗ, ст. 241.2;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17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Приказ Министерства финансов Российской Федерации от 27 декабря 2013 г. №141н «О создании и ведении единого портала бюджетной системы Российской Федерации»;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17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Приказ Министерства финансов Российской Федерации от 30 июня 2015 г. №192 «О вводе в эксплуатацию единого портала бюджетной системы Российской Федерации»;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17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Приказ Министерства финансов России от 28 декабря 2016 г. №243н «О составе и порядке размещения и предоставления информации на едином портале бюджетной системы российской Федерации»;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17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Приказ Министерства финансов </w:t>
            </w:r>
            <w:r>
              <w:rPr>
                <w:rFonts w:ascii="Times New Roman" w:hAnsi="Times New Roman" w:cs="Times New Roman"/>
                <w:lang w:eastAsia="en-US"/>
              </w:rPr>
              <w:t xml:space="preserve">России от 28 декабря 2018 г. №296н «О внесении изменений в приказ Министерства финансов Российской Федерации от 28 декабря 2016 г. N 243н «О составе и порядке размещения и предоставления информации на едином портале бюджетной системы Российской Федерации»;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17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Приказ Министерства финансов Российс</w:t>
            </w:r>
            <w:r>
              <w:rPr>
                <w:rFonts w:ascii="Times New Roman" w:hAnsi="Times New Roman" w:cs="Times New Roman"/>
                <w:lang w:eastAsia="en-US"/>
              </w:rPr>
              <w:t xml:space="preserve">кой Федерации от 05.10.2020 № 228н "О внесении изменений в приказ Министерства финансов Российской Федерации от 28 декабря 2016 г. № 243н «О составе и порядке размещения и предоставления информации на едином портале бюджетной системы Российской Федерации».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Министерство финансов Удмуртской Республики, количество пользователей – не менее 50;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финансовые органы муниципальных образований в Удмуртской Республике – не менее 30.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</w:tbl>
    <w:p>
      <w:pPr>
        <w:pStyle w:val="757"/>
        <w:numPr>
          <w:ilvl w:val="0"/>
          <w:numId w:val="0"/>
        </w:numPr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</w:rPr>
      </w:pPr>
      <w:r/>
      <w:bookmarkStart w:id="14" w:name="_Toc239843890"/>
      <w:r>
        <w:rPr>
          <w:rFonts w:ascii="Times New Roman" w:hAnsi="Times New Roman" w:cs="Times New Roman"/>
          <w:iCs w:val="0"/>
          <w:color w:val="000000"/>
          <w:sz w:val="22"/>
          <w:szCs w:val="22"/>
        </w:rPr>
        <w:t xml:space="preserve">2.6 Подсистема «Автоматизация контрольно-ревизионной деятельности органов государственного (муниципального) финансового контроля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»</w:t>
      </w:r>
      <w:bookmarkEnd w:id="14"/>
      <w:r/>
      <w:r>
        <w:rPr>
          <w:rFonts w:ascii="Times New Roman" w:hAnsi="Times New Roman" w:cs="Times New Roman"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26 – Программный комплекс «Финансовый контроль-СМАРТ», регистрационный номер в РРПО №616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75"/>
        <w:gridCol w:w="1985"/>
        <w:gridCol w:w="754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Программный комплекс «Финансовый контроль-СМАРТ», версия не ниже 24.1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Повышение эффективности деятельности Государственного контрольного комитета Удмуртской Республики по осуществлению внешнего государственного финансового контроля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Программный комплекс обеспечивает автоматизацию процесса планирования контрольной деятельности Заказчика.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План может составляться на любой период продолжительностью не менее одного квартала.  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Программный комплекс позволяет вести учет финансирования проверяемых организаций. 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Программный комплекс отображает реестр объектов контроля (анализа) с инс</w:t>
            </w: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трументами поиска и фильтрации. По каждому объекту контроля (анализа) должна отображаться информация, необходимая для принятия решения о включении объекта в План. На каждый объект, включаемый в План, должна заводиться карточка запланированного мероприятия.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Список карточек, запланированных КМ (или ЭАМ) представлен в интерфейсе в виде таблицы и в виде диаграммы </w:t>
            </w: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Ганта</w:t>
            </w: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В списке запланированных КМ (или ЭАМ), отображаются основные поля карточки запланированного КМ (или ЭАМ). Перечень отображаемых в списке полей настраиваемый.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Возможность ввода дополнительных реквизитов, запланированных КМ (или ЭАМ) с возможностью настройки отображения этих реквизитов в колонках списка, запланированных КМ (или ЭАМ).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Программный</w:t>
            </w: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 комплекс имеет возможность применения риск-ориентированного подхода при планировании контрольных и экспертно-аналитических мероприятий. В программном комплексе должен быть обеспечен отбор объектов контроля для включения в план на основании анализа рисков.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При отборе объектов отображается реестр объектов контроля с инструментами поис</w:t>
            </w: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ка и фильтрации. По каждому объекту контроля должна отражаться информация, позволяющая определить значение критерия «вероятность допущения нарушения» (далее – вероятность) и значение критерия «существенность последствий нарушения» (далее – существенность).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При определении значения критерия «вероятность» реализована возможность настройки дополнительных критериев отбора объектов контроля.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При определении значения критерия «существенность» реализована возможность настройки дополнительных критериев отбора объектов контроля.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Обеспечена возможность ввода в разрезе организаций данных по показателям, в соответствии с которыми определяются значения критериев «вероятность допущения нарушения» и «существенность последствий нарушения».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рограммный комплекс обеспечивает подготовку и формирование организационно-распорядительной документации по готовящемуся КМ (или ЭАМ), определение или уточнение основных параметров КМ (или ЭАМ), получение и изучение материалов по объекту контроля (анализа).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На каждое КМ (или ЭАМ) в ПО </w:t>
            </w: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заводится карточка КМ (или ЭАМ). При создании карточки мероприятия основные характеристики мероприятия переносятся из Плана (для плановых мероприятий), при этом между мероприятием из Плана и карточкой устанавливается связь. Программный комплекс предусматри</w:t>
            </w: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вает возможность уточнения и дополнения введенной на этапе планирования информации. В Программном комплексе реализована возможность ввода дополнительных реквизитов проверки с возможностью настройки отображения этих реквизитов в колонках списка мероприятий.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Программный комплекс обеспечивает автоматическое формирование проекта приказа на проведение КМ (или ЭАМ) на основании информации занесенной на этапе подготовки КМ (или ЭАМ).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Помимо приказа Программный комплекс позволяет сформировать следующие документы: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29"/>
              </w:num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программа;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29"/>
              </w:num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письмо-уведомление объекту контроля;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29"/>
              </w:num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письмо-запрос на предоставление документов, материалов или иной необходимой информации;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29"/>
              </w:num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акт контрольного обмера/осмотра;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29"/>
              </w:num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акт изъятия документов;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29"/>
              </w:num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акт опечатывания касс, помещений;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29"/>
              </w:num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акт по факту создания препятствий для проведения КМ. 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По каждой теме КМ (или ЭАМ) Программный комплекс предлагает перечень типовых вопросов для включения в план (программу) КМ (или ЭАМ). Темы КМ (и</w:t>
            </w: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ли ЭАМ) и перечни вопросов по ним реализованы в виде справочников с возможностью их пополнения в процессе работы. Для каждого из вопросов предусмотрена возможность заполнения содержания и перечня нормативно-правовых актов (НПА), регулирующих данный вопрос.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В ходе подготовки к КМ (или ЭАМ) для каждого вопроса может быть установлено ответственное должностное лицо из состава участников КМ (или ЭАМ).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Программный комплекс обеспечивает фиксацию фактов нарушений и оформление материалов по результатам КМ (или ЭАМ).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Для каждого факта нарушения в подсистеме фиксируются следующие поля.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Программный комплекс позволяет учитывать и хранить копии документов и иные материалы в электронном виде, подтверждающие выявленные нарушения законодательства Российской Федерации в установленной сфере деятельности.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Программный комплекс регистрирует и хранит возражения объекта контроля на Акт, в том числе материалы, подтверждающие обоснованность этих возражений.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Программный комплекс содержит набор </w:t>
            </w: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показателей для хранения и контроля отчетных значений КМ (или ЭАМ), рассчитываемых автоматически на основе формул по фактам нарушений и данным о реализации материалов КМ (или ЭАМ). Формулы расчета показателей разрабатываются на основе ключевых слов, которы</w:t>
            </w: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е соответствуют какому-либо значению (полю таблицы, вычисляемому полю). Минимизирован ручной ввод значений показателей. В дальнейшем имеется возможность автоматически консолидировать данные показателей по всем КМ (или ЭАМ) в отчетах, формируемых в Системе.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В Программном комплексе формируются следующие документы: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27"/>
              </w:numPr>
              <w:ind w:left="40" w:firstLine="0"/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представления и предписания по результатам КМ;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27"/>
              </w:numPr>
              <w:ind w:left="40" w:firstLine="0"/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информационные письма по результатам КМ (или ЭАМ);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27"/>
              </w:numPr>
              <w:ind w:left="40" w:firstLine="0"/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протоколы, определения, постановления и другие документы по административному делопроизводству, предусмотренные Кодексом Российской Федерации об административных правонарушениях;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27"/>
              </w:numPr>
              <w:ind w:left="40" w:firstLine="0"/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уведомления о применении бюджетных мер принуждения.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В Программном комплексе предусмотрен учет входящих/исходящих документов по реализации материалов: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30"/>
              </w:numPr>
              <w:ind w:left="40" w:firstLine="0"/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учет направления материалов о результатах КМ в правоохранительные органы и органы прокуратуры, суды и другие организации и рассмотрения исков, предъявленных в суды;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30"/>
              </w:numPr>
              <w:ind w:left="40" w:firstLine="0"/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учет результатов постановлений и решений органов государственной власти, судов (по оспариваемым вопросам);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30"/>
              </w:numPr>
              <w:ind w:left="40" w:firstLine="0"/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учет результатов рассмотрения дел об административных правонарушениях;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30"/>
              </w:numPr>
              <w:ind w:left="40" w:firstLine="0"/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учет возмещенных средств, дополнительно поступивших платежей, взысканных штрафов и предотвращенных потерь по контрольному мероприятию;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30"/>
              </w:numPr>
              <w:ind w:left="40" w:firstLine="0"/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учет добровольных мер;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30"/>
              </w:numPr>
              <w:ind w:left="40" w:firstLine="0"/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учет принятия мер дисциплинарного взыскания;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30"/>
              </w:numPr>
              <w:ind w:left="40" w:firstLine="0"/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учет уведомлений о применении бюджетных мер принуждения;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30"/>
              </w:numPr>
              <w:ind w:left="40" w:firstLine="0"/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учет исполнения предписаний и представлений;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30"/>
              </w:numPr>
              <w:ind w:left="40" w:firstLine="0"/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учет поступившей информации о нарушениях бюджетного законодательства, законодательства о контрактной системе в сфере закупок;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30"/>
              </w:numPr>
              <w:ind w:left="40" w:firstLine="0"/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учет результатов рассмотрения поступивших жалоб, обращений, заявлений.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Документы формируются автоматически по данным фактов нарушений (нарушений). Общая сумма документа рассчитывается как сумма включенных в него фактов. Для каждого формируемого документа предусмотрена возможность настройки отдельного шаблона. 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Программный комплекс обеспечивает подготовку и формирование отчетов по результатам контрольно-ревизионной работы.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Программный комплекс обеспечивает формирование сводной отчетности о проведении мероприятий. 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Реализована возможность для каждого отчета с помощью настраиваемых параметров задавать условия отбора, группировку и сортировку. Варианты значений параметров отбора сохраняются как для всех пользователей, так и индивидуально для каждого пользователя. 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Возможность создания новых форм отчетности с помощью генератора отчетов и менеджера шаблонов документов. Выводимые данные представлены в виде отчетов, сводных таблиц, диаграмм в форматах офисных пакетов MS Excel, </w:t>
            </w: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Нtml</w:t>
            </w: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 и Open Office, а также во внутреннем редакторе отчетов.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Программный комплекс предоставляет возможность формирования выходных документов по установленным шаблонам с использованием продуктов семейства Microsoft Office и </w:t>
            </w: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OpenOffice</w:t>
            </w: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, Р7-Офис для формирования выходных документов. 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Программный комплекс обеспечивает: 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28"/>
              </w:num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возможность прикрепления отсканированных документов (в любом общедоступном формате);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28"/>
              </w:num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хранение первичных копий в базе данных программа для ЭВМ, либо на сервере приложения (в структурированном формате);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numPr>
                <w:ilvl w:val="0"/>
                <w:numId w:val="28"/>
              </w:num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доступ к документам в любое время (выбор из списка документов).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Интеграция с внешними системами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1)  возможность приема данных планового и фактического финансирования в разрезе бюджетополучателей и бюджетной классификации из файлов структурированного формата;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  <w:t xml:space="preserve">2) возможность формирования справочника объектов контроля из файла структурированного формата.</w:t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  <w:p>
            <w:pPr>
              <w:ind w:hanging="360"/>
              <w:jc w:val="both"/>
              <w:spacing w:after="0" w:line="216" w:lineRule="auto"/>
              <w:rPr>
                <w:rFonts w:ascii="Times New Roman" w:hAnsi="Times New Roman" w:eastAsia="Times New Roman" w:cs="Times New Rom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Сотрудники Государственного контрольного комитета Удмуртской Республики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</w:tbl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eastAsia="Times New Roman" w:cs="Times New Roman"/>
          <w:b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Таблица 27 – Подсистема «Взаимодействие с ГИС ЕСГФК», модуль программы для ЭВМ «Финконтроль-СМАРТ», регистрационный номер в РРПО №616</w:t>
      </w:r>
      <w:r>
        <w:rPr>
          <w:rFonts w:ascii="Times New Roman" w:hAnsi="Times New Roman" w:eastAsia="Times New Roman" w:cs="Times New Roman"/>
          <w:b/>
        </w:rPr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675"/>
        <w:gridCol w:w="1985"/>
        <w:gridCol w:w="754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№</w:t>
            </w:r>
            <w:r>
              <w:rPr>
                <w:rFonts w:ascii="Times New Roman" w:hAnsi="Times New Roman" w:eastAsia="Arial Narrow" w:cs="Times New Roman"/>
                <w:b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Программный комплекс «Финансовый контроль-СМАРТ», версия не ниже 24.1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Разработчик, правообладатель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Правообладатель: ООО «</w:t>
            </w:r>
            <w:r>
              <w:rPr>
                <w:rFonts w:ascii="Times New Roman" w:hAnsi="Times New Roman" w:eastAsia="Times New Roman" w:cs="Times New Roman"/>
              </w:rPr>
              <w:t xml:space="preserve">Кейсистемс</w:t>
            </w:r>
            <w:r>
              <w:rPr>
                <w:rFonts w:ascii="Times New Roman" w:hAnsi="Times New Roman" w:eastAsia="Times New Roman" w:cs="Times New Roman"/>
              </w:rPr>
              <w:t xml:space="preserve">», г. Чебоксары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Функциональное предназначение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Автоматизация процесса выгрузки информации в ГИС ЕСГФК из программы для ЭВМ для автоматизации контрольно-ревизионной деятельности органов государственного (муниципального) финансового контроля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Основные возможности и характеристики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информаци</w:t>
            </w:r>
            <w:r>
              <w:rPr>
                <w:rFonts w:ascii="Times New Roman" w:hAnsi="Times New Roman" w:cs="Times New Roman"/>
              </w:rPr>
              <w:t xml:space="preserve">онного взаимодействия с ГИС ЕСГФК, реализованного в соответствии с требованиями совместного приказа Счетной палаты Российской Федерации и Министерства финансов Российской Федерации от 25.12.2015 № 128/214н ''Об утверждении Положения о государственной инфор</w:t>
            </w:r>
            <w:r>
              <w:rPr>
                <w:rFonts w:ascii="Times New Roman" w:hAnsi="Times New Roman" w:cs="Times New Roman"/>
              </w:rPr>
              <w:t xml:space="preserve">мационной системе ''Официальный сайт Российской Федерации в информационно-телекоммуникационной сети ''Интернет'' для размещения информации об осуществлении государственного (муниципального) финансового аудита (контроля) в сфере бюджетных правоотношений''.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02"/>
              <w:ind w:left="0"/>
              <w:jc w:val="both"/>
              <w:spacing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Направление в ГИС ЕСГФК сведений о запланированных мероприятиях, сведений о внеплановых мероприятиях и сведений о результатах мероприятий.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установки серверной части, баз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АУ «ЦЦТ УР», 426069, Удмуртская Республика, г. Ижевск, ул.7-я Подлесная, 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Пользователи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1" w:type="dxa"/>
            <w:vAlign w:val="center"/>
            <w:textDirection w:val="lrTb"/>
            <w:noWrap w:val="false"/>
          </w:tcPr>
          <w:p>
            <w:pPr>
              <w:pStyle w:val="1002"/>
              <w:numPr>
                <w:ilvl w:val="0"/>
                <w:numId w:val="8"/>
              </w:numPr>
              <w:ind w:left="0"/>
              <w:jc w:val="both"/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Сотрудники Государственного контрольного комитета Удмуртской Республики</w:t>
            </w:r>
            <w:r>
              <w:rPr>
                <w:rFonts w:ascii="Times New Roman" w:hAnsi="Times New Roman" w:cs="Times New Roman"/>
                <w:lang w:eastAsia="en-US"/>
              </w:rPr>
            </w:r>
          </w:p>
        </w:tc>
      </w:tr>
    </w:tbl>
    <w:p>
      <w:pPr>
        <w:pStyle w:val="756"/>
        <w:numPr>
          <w:ilvl w:val="0"/>
          <w:numId w:val="15"/>
        </w:numPr>
        <w:ind w:left="0" w:firstLine="709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/>
      <w:bookmarkStart w:id="15" w:name="_Toc239843891"/>
      <w:r>
        <w:rPr>
          <w:rFonts w:ascii="Times New Roman" w:hAnsi="Times New Roman" w:cs="Times New Roman"/>
          <w:iCs/>
          <w:sz w:val="22"/>
          <w:szCs w:val="22"/>
        </w:rPr>
        <w:t xml:space="preserve">Требования к составу и объему услуг по сопровождению Системы</w:t>
      </w:r>
      <w:bookmarkEnd w:id="15"/>
      <w:r/>
      <w:r>
        <w:rPr>
          <w:rFonts w:ascii="Times New Roman" w:hAnsi="Times New Roman" w:cs="Times New Roman"/>
          <w:color w:val="000000"/>
          <w:sz w:val="22"/>
          <w:szCs w:val="22"/>
        </w:rPr>
      </w:r>
    </w:p>
    <w:p>
      <w:pPr>
        <w:pStyle w:val="757"/>
        <w:numPr>
          <w:ilvl w:val="0"/>
          <w:numId w:val="0"/>
        </w:numPr>
        <w:ind w:firstLine="709"/>
        <w:jc w:val="both"/>
        <w:spacing w:before="0" w:after="0" w:line="216" w:lineRule="auto"/>
        <w:rPr>
          <w:rFonts w:ascii="Times New Roman" w:hAnsi="Times New Roman" w:cs="Times New Roman"/>
        </w:rPr>
      </w:pPr>
      <w:r/>
      <w:bookmarkStart w:id="16" w:name="_Toc239843892"/>
      <w:r>
        <w:rPr>
          <w:rFonts w:ascii="Times New Roman" w:hAnsi="Times New Roman" w:cs="Times New Roman"/>
          <w:iCs w:val="0"/>
          <w:color w:val="000000"/>
          <w:sz w:val="22"/>
          <w:szCs w:val="22"/>
        </w:rPr>
        <w:t xml:space="preserve">3.1 Требования к составу и объему услуг по сопровождению Системы</w:t>
      </w:r>
      <w:bookmarkEnd w:id="16"/>
      <w:r/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</w:rPr>
        <w:t xml:space="preserve">В рамках оказания услуг по сопровождению Системы Исполн</w:t>
      </w:r>
      <w:r>
        <w:rPr>
          <w:rFonts w:ascii="Times New Roman" w:hAnsi="Times New Roman" w:cs="Times New Roman"/>
        </w:rPr>
        <w:t xml:space="preserve">итель должен обеспечить непрерывное бесперебойное функционирование прикладной части программного обеспечения ГИС согласно настоящему Техническому заданию в режиме «24/7/365», установку новых версий Платформ ГИС, разработанных Исполнителем с даты заключения</w:t>
      </w:r>
      <w:r>
        <w:rPr>
          <w:rFonts w:ascii="Times New Roman" w:hAnsi="Times New Roman" w:cs="Times New Roman"/>
          <w:highlight w:val="white"/>
        </w:rPr>
        <w:t xml:space="preserve"> Договора, но не ранее 01.0</w:t>
      </w:r>
      <w:r>
        <w:rPr>
          <w:rFonts w:ascii="Times New Roman" w:hAnsi="Times New Roman" w:cs="Times New Roman"/>
          <w:highlight w:val="white"/>
        </w:rPr>
        <w:t xml:space="preserve">1</w:t>
      </w:r>
      <w:r>
        <w:rPr>
          <w:rFonts w:ascii="Times New Roman" w:hAnsi="Times New Roman" w:cs="Times New Roman"/>
          <w:highlight w:val="white"/>
        </w:rPr>
        <w:t xml:space="preserve">.202</w:t>
      </w:r>
      <w:r>
        <w:rPr>
          <w:rFonts w:ascii="Times New Roman" w:hAnsi="Times New Roman" w:cs="Times New Roman"/>
          <w:highlight w:val="white"/>
        </w:rPr>
        <w:t xml:space="preserve">7</w:t>
      </w:r>
      <w:r>
        <w:rPr>
          <w:rFonts w:ascii="Times New Roman" w:hAnsi="Times New Roman" w:cs="Times New Roman"/>
          <w:highlight w:val="white"/>
        </w:rPr>
        <w:t xml:space="preserve"> года по </w:t>
      </w:r>
      <w:r>
        <w:rPr>
          <w:rFonts w:ascii="Times New Roman" w:hAnsi="Times New Roman" w:cs="Times New Roman"/>
          <w:color w:val="000000"/>
          <w:highlight w:val="white"/>
        </w:rPr>
        <w:t xml:space="preserve">3</w:t>
      </w:r>
      <w:r>
        <w:rPr>
          <w:rFonts w:ascii="Times New Roman" w:hAnsi="Times New Roman" w:cs="Times New Roman"/>
          <w:color w:val="000000"/>
          <w:highlight w:val="white"/>
        </w:rPr>
        <w:t xml:space="preserve">0.06.</w:t>
      </w:r>
      <w:r>
        <w:rPr>
          <w:rFonts w:ascii="Times New Roman" w:hAnsi="Times New Roman" w:cs="Times New Roman"/>
          <w:color w:val="000000"/>
          <w:highlight w:val="white"/>
        </w:rPr>
        <w:t xml:space="preserve">202</w:t>
      </w:r>
      <w:r>
        <w:rPr>
          <w:rFonts w:ascii="Times New Roman" w:hAnsi="Times New Roman" w:cs="Times New Roman"/>
          <w:color w:val="000000"/>
          <w:highlight w:val="white"/>
        </w:rPr>
        <w:t xml:space="preserve">7</w:t>
      </w:r>
      <w:r>
        <w:rPr>
          <w:rFonts w:ascii="Times New Roman" w:hAnsi="Times New Roman" w:cs="Times New Roman"/>
          <w:color w:val="000000"/>
          <w:highlight w:val="white"/>
        </w:rPr>
        <w:t xml:space="preserve"> года.</w:t>
      </w:r>
      <w:r>
        <w:rPr>
          <w:rFonts w:ascii="Times New Roman" w:hAnsi="Times New Roman" w:cs="Times New Roman"/>
          <w:highlight w:val="white"/>
        </w:rPr>
      </w:r>
    </w:p>
    <w:p>
      <w:pPr>
        <w:contextualSpacing/>
        <w:ind w:firstLine="567"/>
        <w:jc w:val="both"/>
        <w:spacing w:after="0" w:line="216" w:lineRule="auto"/>
        <w:tabs>
          <w:tab w:val="left" w:pos="708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внесения изменений в ГИС путем установки новых вер</w:t>
      </w:r>
      <w:r>
        <w:rPr>
          <w:rFonts w:ascii="Times New Roman" w:hAnsi="Times New Roman" w:cs="Times New Roman"/>
        </w:rPr>
        <w:t xml:space="preserve">сий программного обеспечения Исполнитель обязан уведомить Заказчика (администраторов ГИС) о предстоящем обновлении, сути устанавливаемых обновлений, а также согласовать время проведения и недоступности ресурсов ГИС (в случае ее планируемого возникновения).</w:t>
      </w:r>
      <w:r>
        <w:rPr>
          <w:rFonts w:ascii="Times New Roman" w:hAnsi="Times New Roman" w:cs="Times New Roman"/>
        </w:rPr>
      </w:r>
    </w:p>
    <w:p>
      <w:pPr>
        <w:contextualSpacing/>
        <w:ind w:firstLine="567"/>
        <w:jc w:val="both"/>
        <w:spacing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Информирование пользователей Заказчика и Заказчика о мероприятиях по обновлению ГИС должно быть проведено Исполнителем не позднее, чем за 3 Рабочих дня до проведения соответствующих мероприятий.</w:t>
      </w:r>
      <w:r>
        <w:rPr>
          <w:rFonts w:ascii="Times New Roman" w:hAnsi="Times New Roman" w:cs="Times New Roman"/>
        </w:rPr>
      </w:r>
    </w:p>
    <w:p>
      <w:pPr>
        <w:contextualSpacing/>
        <w:ind w:firstLine="567"/>
        <w:jc w:val="both"/>
        <w:spacing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необходимости внесения изменения в систему в Рабочее время Заказчика, Исполнитель должен уведомлять Пользователей Заказчика и Заказчика не позднее чем за 6 Рабочих часов до начала внесения изменений в Систему.</w:t>
      </w:r>
      <w:r>
        <w:rPr>
          <w:rFonts w:ascii="Times New Roman" w:hAnsi="Times New Roman" w:cs="Times New Roman"/>
        </w:rPr>
      </w:r>
    </w:p>
    <w:p>
      <w:pPr>
        <w:contextualSpacing/>
        <w:ind w:firstLine="567"/>
        <w:jc w:val="both"/>
        <w:spacing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Настройка ГИС по требованию Заказчика для обеспечения совместимости с прикладными программными продуктами, используемыми Заказчиком для автоматизации бюджетного процесса </w:t>
      </w:r>
      <w:r>
        <w:rPr>
          <w:rFonts w:ascii="Times New Roman" w:hAnsi="Times New Roman" w:cs="Times New Roman"/>
        </w:rPr>
        <w:t xml:space="preserve">Удмуртской Республи</w:t>
      </w:r>
      <w:r>
        <w:rPr>
          <w:rFonts w:ascii="Times New Roman" w:hAnsi="Times New Roman" w:cs="Times New Roman"/>
        </w:rPr>
        <w:t xml:space="preserve">ки, осуществляется в срок не более 2 рабочих дней с момента письменного уведомления Исполнителя Заказчиком или с момента получения заявки через систему регистрации заявок Исполнителя (максимальное количество заявок по настройке – не более 100 раз в месяц).</w:t>
      </w:r>
      <w:r>
        <w:rPr>
          <w:rFonts w:ascii="Times New Roman" w:hAnsi="Times New Roman" w:cs="Times New Roman"/>
        </w:rPr>
      </w:r>
    </w:p>
    <w:p>
      <w:pPr>
        <w:contextualSpacing/>
        <w:ind w:firstLine="567"/>
        <w:jc w:val="both"/>
        <w:spacing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Устранение Ошибок ГИС, выявленных в процессе их эксплуатации, осуществляется в срок не более 5 Рабочих дней с момента письменного уведомления Исполнителя Заказчиком или с момента получения заявки через систему регистрации заявок Исполнителя.</w:t>
      </w:r>
      <w:r>
        <w:rPr>
          <w:rFonts w:ascii="Times New Roman" w:hAnsi="Times New Roman" w:cs="Times New Roman"/>
        </w:rPr>
      </w:r>
    </w:p>
    <w:p>
      <w:pPr>
        <w:pStyle w:val="1002"/>
        <w:ind w:left="0" w:firstLine="567"/>
        <w:jc w:val="both"/>
        <w:spacing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указанные сроки не входит время, за</w:t>
      </w:r>
      <w:r>
        <w:rPr>
          <w:rFonts w:ascii="Times New Roman" w:hAnsi="Times New Roman" w:cs="Times New Roman"/>
        </w:rPr>
        <w:t xml:space="preserve">траченное для получения от Заказчика информации, необходимой для проведения настройки или устранения Ошибки. Для каждой заявки, по настройке или Ошибке, допустимо индивидуальное согласование с Заказчиком срока реализации с учетом объема работ и приоритета.</w:t>
      </w:r>
      <w:r>
        <w:rPr>
          <w:rFonts w:ascii="Times New Roman" w:hAnsi="Times New Roman" w:cs="Times New Roman"/>
        </w:rPr>
      </w:r>
    </w:p>
    <w:p>
      <w:pPr>
        <w:pStyle w:val="1002"/>
        <w:ind w:left="0" w:firstLine="567"/>
        <w:jc w:val="both"/>
        <w:spacing w:line="216" w:lineRule="auto"/>
        <w:rPr>
          <w:rFonts w:ascii="Times New Roman" w:hAnsi="Times New Roman" w:eastAsia="Arial Narrow" w:cs="Times New Roman"/>
          <w:lang w:eastAsia="en-US"/>
        </w:rPr>
      </w:pPr>
      <w:r>
        <w:rPr>
          <w:rFonts w:ascii="Times New Roman" w:hAnsi="Times New Roman" w:cs="Times New Roman"/>
        </w:rPr>
        <w:t xml:space="preserve">Обеспечение локализации неисправности и вос</w:t>
      </w:r>
      <w:r>
        <w:rPr>
          <w:rFonts w:ascii="Times New Roman" w:hAnsi="Times New Roman" w:cs="Times New Roman"/>
        </w:rPr>
        <w:t xml:space="preserve">становления работоспособности ГИС осуществляется в течение не более 1 Рабочего дня с момента письменного уведомления Исполнителя Заказчиком или с момента получения заявки через систему регистрации заявок Исполнителя в случае таких Ошибок в работе ГИС, как:</w:t>
      </w:r>
      <w:r>
        <w:rPr>
          <w:rFonts w:ascii="Times New Roman" w:hAnsi="Times New Roman" w:eastAsia="Arial Narrow" w:cs="Times New Roman"/>
          <w:lang w:eastAsia="en-US"/>
        </w:rPr>
      </w:r>
    </w:p>
    <w:p>
      <w:pPr>
        <w:pStyle w:val="1002"/>
        <w:ind w:left="0" w:firstLine="567"/>
        <w:jc w:val="both"/>
        <w:spacing w:line="216" w:lineRule="auto"/>
        <w:rPr>
          <w:rFonts w:ascii="Times New Roman" w:hAnsi="Times New Roman" w:eastAsia="Arial Narrow" w:cs="Times New Roman"/>
          <w:lang w:eastAsia="en-US"/>
        </w:rPr>
      </w:pPr>
      <w:r>
        <w:rPr>
          <w:rFonts w:ascii="Times New Roman" w:hAnsi="Times New Roman" w:eastAsia="Arial Narrow" w:cs="Times New Roman"/>
          <w:lang w:eastAsia="en-US"/>
        </w:rPr>
        <w:t xml:space="preserve">- невозможность ввода/изменения документов;</w:t>
      </w:r>
      <w:r>
        <w:rPr>
          <w:rFonts w:ascii="Times New Roman" w:hAnsi="Times New Roman" w:eastAsia="Arial Narrow" w:cs="Times New Roman"/>
          <w:lang w:eastAsia="en-US"/>
        </w:rPr>
      </w:r>
    </w:p>
    <w:p>
      <w:pPr>
        <w:pStyle w:val="1002"/>
        <w:ind w:left="0" w:firstLine="567"/>
        <w:jc w:val="both"/>
        <w:spacing w:line="216" w:lineRule="auto"/>
        <w:rPr>
          <w:rFonts w:ascii="Times New Roman" w:hAnsi="Times New Roman" w:eastAsia="Arial Narrow" w:cs="Times New Roman"/>
          <w:lang w:eastAsia="en-US"/>
        </w:rPr>
      </w:pPr>
      <w:r>
        <w:rPr>
          <w:rFonts w:ascii="Times New Roman" w:hAnsi="Times New Roman" w:eastAsia="Arial Narrow" w:cs="Times New Roman"/>
          <w:lang w:eastAsia="en-US"/>
        </w:rPr>
        <w:t xml:space="preserve">- отказ в работе компонентов электронного документооборота;</w:t>
      </w:r>
      <w:r>
        <w:rPr>
          <w:rFonts w:ascii="Times New Roman" w:hAnsi="Times New Roman" w:eastAsia="Arial Narrow" w:cs="Times New Roman"/>
          <w:lang w:eastAsia="en-US"/>
        </w:rPr>
      </w:r>
    </w:p>
    <w:p>
      <w:pPr>
        <w:pStyle w:val="1002"/>
        <w:ind w:left="0" w:firstLine="567"/>
        <w:jc w:val="both"/>
        <w:spacing w:line="21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eastAsia="Arial Narrow" w:cs="Times New Roman"/>
          <w:lang w:eastAsia="en-US"/>
        </w:rPr>
        <w:t xml:space="preserve">- невозможность формирования оперативной отчетности.</w:t>
      </w:r>
      <w:r>
        <w:rPr>
          <w:rFonts w:ascii="Times New Roman" w:hAnsi="Times New Roman" w:cs="Times New Roman"/>
          <w:bCs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В случаях выявления отклонения в штатной работе ГИС, препятствующей выполнению основных функций Заказчика (критич</w:t>
      </w:r>
      <w:r>
        <w:rPr>
          <w:rFonts w:ascii="Times New Roman" w:hAnsi="Times New Roman" w:cs="Times New Roman"/>
          <w:bCs/>
        </w:rPr>
        <w:t xml:space="preserve">еского приоритета), Исполнителем предпринимаются все необходимые меры для устранения Ошибки в течение 2 (двух) Рабочих дней с момента выявления Ошибки или в течение согласованного срока (при условии предоставления Исполнителем временного варианта решения).</w:t>
      </w:r>
      <w:r>
        <w:rPr>
          <w:rFonts w:ascii="Times New Roman" w:hAnsi="Times New Roman" w:cs="Times New Roman"/>
        </w:rPr>
      </w:r>
    </w:p>
    <w:p>
      <w:pPr>
        <w:pStyle w:val="1002"/>
        <w:ind w:left="0" w:firstLine="567"/>
        <w:jc w:val="both"/>
        <w:spacing w:line="21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В указанный срок не входит время, затраченное для получения от Заказчика информации, необходимой для восстановления работоспособности ГИС.</w:t>
      </w:r>
      <w:r>
        <w:rPr>
          <w:rFonts w:ascii="Times New Roman" w:hAnsi="Times New Roman" w:cs="Times New Roman"/>
          <w:bCs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При невозможности удаленного решения Ошибки в установленный срок Исполнитель обеспечивает выезд компетентного специалиста для устранения Ошибки и восстановления штатной работы ГИС на территории Заказчика.</w:t>
      </w:r>
      <w:r>
        <w:rPr>
          <w:rFonts w:ascii="Times New Roman" w:hAnsi="Times New Roman" w:cs="Times New Roman"/>
          <w:bCs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При этом Исполнит</w:t>
      </w:r>
      <w:r>
        <w:rPr>
          <w:rFonts w:ascii="Times New Roman" w:hAnsi="Times New Roman" w:cs="Times New Roman"/>
          <w:bCs/>
        </w:rPr>
        <w:t xml:space="preserve">ель не несет ответственности за работоспособность ГИС в ситуации, когда возлагаемая нагрузка (увеличение участников процесса, увеличение объема документооборота) на программно-технический комплекс и ГИС не соответствует технической документации на систему.</w:t>
      </w:r>
      <w:r>
        <w:rPr>
          <w:rFonts w:ascii="Times New Roman" w:hAnsi="Times New Roman" w:cs="Times New Roman"/>
          <w:bCs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 xml:space="preserve">В случае пересмотра варианта использования ГИС или у</w:t>
      </w:r>
      <w:r>
        <w:rPr>
          <w:rFonts w:ascii="Times New Roman" w:hAnsi="Times New Roman" w:cs="Times New Roman"/>
          <w:bCs/>
        </w:rPr>
        <w:t xml:space="preserve">величения нагрузки в связи с увеличением количества участников процесса, увеличением объема документооборота, либо докупкой новых модулей – конфигурации и технические требования должны быть пересмотрены, дополнительно согласованы Исполнителем и Заказчиком.</w:t>
      </w:r>
      <w:r>
        <w:rPr>
          <w:rFonts w:ascii="Times New Roman" w:hAnsi="Times New Roman" w:cs="Times New Roman"/>
          <w:color w:val="000000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Консультирование Заказчика, в части </w:t>
      </w:r>
      <w:r>
        <w:rPr>
          <w:rFonts w:ascii="Times New Roman" w:hAnsi="Times New Roman" w:cs="Times New Roman"/>
        </w:rPr>
        <w:t xml:space="preserve">Подсистемы «Управление в сфере закупок для государственных нужд Удмуртской Республики» также специалистов уполномоченного учреждения и Министерства финансов Удмуртской Республики </w:t>
      </w:r>
      <w:r>
        <w:rPr>
          <w:rFonts w:ascii="Times New Roman" w:hAnsi="Times New Roman" w:cs="Times New Roman"/>
          <w:color w:val="000000"/>
        </w:rPr>
        <w:t xml:space="preserve">по вопросам эксплуатации ГИС через систему регистрации заявок Исполнителя, в срок не более 4 Рабочих часов с момента поступления заявки в систему регистрации Исполнителя.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Консультирование Заказчика, в части </w:t>
      </w:r>
      <w:r>
        <w:rPr>
          <w:rFonts w:ascii="Times New Roman" w:hAnsi="Times New Roman" w:cs="Times New Roman"/>
        </w:rPr>
        <w:t xml:space="preserve">Подсистемы «Управление в сфере закупок для государственных нужд Удмуртской Республики» также специалистов уполномоченного учреждения и Министерства финансов Удмуртской Республики </w:t>
      </w:r>
      <w:r>
        <w:rPr>
          <w:rFonts w:ascii="Times New Roman" w:hAnsi="Times New Roman" w:cs="Times New Roman"/>
          <w:color w:val="000000"/>
        </w:rPr>
        <w:t xml:space="preserve">по вопросам эксплуатации ГИС непосредственно к специалисту Исполнителя (на месте оказания услуг, по телефону, электронной почтой, интернет-мессенджерами) (в срок не более 1 Рабочего часа с момента уведомления Исполнителя Заказчиком).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 w:line="216" w:lineRule="auto"/>
        <w:tabs>
          <w:tab w:val="left" w:pos="993" w:leader="none"/>
          <w:tab w:val="left" w:pos="1134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Консультирование Заказчика по реализации автоматизированных функций ГИС в режиме «горячей линии» (в срок не более 1 Рабочего часа с момента поступления заявки в систему регистрации заявок Исполнителю), включает в себя:</w:t>
      </w:r>
      <w:r>
        <w:rPr>
          <w:rFonts w:ascii="Times New Roman" w:hAnsi="Times New Roman" w:cs="Times New Roman"/>
          <w:color w:val="000000"/>
        </w:rPr>
      </w:r>
    </w:p>
    <w:p>
      <w:pPr>
        <w:ind w:firstLine="567"/>
        <w:jc w:val="both"/>
        <w:spacing w:after="0" w:line="216" w:lineRule="auto"/>
        <w:tabs>
          <w:tab w:val="left" w:pos="993" w:leader="none"/>
          <w:tab w:val="left" w:pos="1134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Оказание консультирования пользователей Заказчика, по всем вопросам, связанным с функционированием ГИС, по телефону, электронной почте, интернет-мессенджерами</w:t>
      </w:r>
      <w:r>
        <w:rPr>
          <w:rFonts w:ascii="Times New Roman" w:hAnsi="Times New Roman" w:cs="Times New Roman"/>
          <w:color w:val="000000"/>
        </w:rPr>
        <w:t xml:space="preserve">, через автоматизированную систему обработки обращений, представленную Исполнителем.</w:t>
      </w:r>
      <w:r>
        <w:rPr>
          <w:rFonts w:ascii="Times New Roman" w:hAnsi="Times New Roman" w:cs="Times New Roman"/>
          <w:color w:val="000000"/>
        </w:rPr>
      </w:r>
    </w:p>
    <w:p>
      <w:pPr>
        <w:ind w:firstLine="567"/>
        <w:jc w:val="both"/>
        <w:spacing w:after="0" w:line="216" w:lineRule="auto"/>
        <w:tabs>
          <w:tab w:val="left" w:pos="993" w:leader="none"/>
          <w:tab w:val="left" w:pos="113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>
        <w:rPr>
          <w:rFonts w:ascii="Times New Roman" w:hAnsi="Times New Roman" w:cs="Times New Roman"/>
          <w:color w:val="000000"/>
          <w:lang w:eastAsia="en-US"/>
        </w:rPr>
        <w:t xml:space="preserve">Прием, регистрация и организация выполнения заявок Заказчика, Пользователей Заказчика по исправлению Ошибок в ГИС.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 w:line="216" w:lineRule="auto"/>
        <w:tabs>
          <w:tab w:val="left" w:pos="993" w:leader="none"/>
          <w:tab w:val="left" w:pos="1134" w:leader="none"/>
        </w:tabs>
        <w:rPr>
          <w:rFonts w:ascii="Times New Roman" w:hAnsi="Times New Roman" w:cs="Times New Roman"/>
          <w:color w:val="000000"/>
          <w:lang w:eastAsia="en-US"/>
        </w:rPr>
      </w:pPr>
      <w:r>
        <w:rPr>
          <w:rFonts w:ascii="Times New Roman" w:hAnsi="Times New Roman" w:cs="Times New Roman"/>
          <w:color w:val="000000"/>
          <w:lang w:eastAsia="en-US"/>
        </w:rPr>
        <w:t xml:space="preserve">- Информирование Заказчика, пользователей Заказчика о ходе исполнения заявок и сроках выхода новых версий ГИС, в которых будут учтены запросы пользователей Заказчика, оформленные ранее в виде заявок в системе регистрации Исполнителя.</w:t>
      </w:r>
      <w:r>
        <w:rPr>
          <w:rFonts w:ascii="Times New Roman" w:hAnsi="Times New Roman" w:cs="Times New Roman"/>
          <w:color w:val="000000"/>
          <w:lang w:eastAsia="en-US"/>
        </w:rPr>
      </w:r>
    </w:p>
    <w:p>
      <w:pPr>
        <w:ind w:firstLine="567"/>
        <w:jc w:val="both"/>
        <w:spacing w:after="0" w:line="216" w:lineRule="auto"/>
        <w:tabs>
          <w:tab w:val="left" w:pos="993" w:leader="none"/>
          <w:tab w:val="left" w:pos="1134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lang w:eastAsia="en-US"/>
        </w:rPr>
        <w:t xml:space="preserve">- Передача обновленной рабочей документации на ГИС Заказчику в срок не более 3 Рабочих дней с момента внедрения соответствующего обновленного функционала (посредством электронной почты, указанной Заказчиком).</w:t>
      </w:r>
      <w:r>
        <w:rPr>
          <w:rFonts w:ascii="Times New Roman" w:hAnsi="Times New Roman" w:cs="Times New Roman"/>
          <w:color w:val="000000"/>
        </w:rPr>
      </w:r>
    </w:p>
    <w:p>
      <w:pPr>
        <w:contextualSpacing/>
        <w:ind w:firstLine="567"/>
        <w:jc w:val="both"/>
        <w:spacing w:after="0" w:line="216" w:lineRule="auto"/>
        <w:tabs>
          <w:tab w:val="left" w:pos="708" w:leader="none"/>
        </w:tabs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Все виды консультирования, приведенные выше, оказываются Исполнителем ежедневно, в Рабочие дни, с понедельника по четверг с 8 часов 30 минут до 17 часов 30 минут, в пятницу с 8 часов 30 минут до 16 часов 30 минут (указано местное время Заказчика).</w:t>
      </w:r>
      <w:r>
        <w:rPr>
          <w:rFonts w:ascii="Times New Roman" w:hAnsi="Times New Roman" w:cs="Times New Roman"/>
          <w:bCs/>
          <w:color w:val="000000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В случаях выявления отклонения в штатной работе ГИС, препятствующей выполнению основных функций Заказчика (критического приоритета), Исполнителем предпринимаются все </w:t>
      </w:r>
      <w:r>
        <w:rPr>
          <w:rFonts w:ascii="Times New Roman" w:hAnsi="Times New Roman" w:cs="Times New Roman"/>
          <w:bCs/>
          <w:color w:val="000000"/>
        </w:rPr>
        <w:t xml:space="preserve">необходимые для устранения ошибки в течение 2 (двух) Рабочих дней с момента выявления ошибки или в течение согласованного срока (при условии предоставления Исполнителем временного варианта решения).</w:t>
      </w:r>
      <w:r>
        <w:rPr>
          <w:rFonts w:ascii="Times New Roman" w:hAnsi="Times New Roman" w:cs="Times New Roman"/>
          <w:bCs/>
          <w:color w:val="000000"/>
        </w:rPr>
      </w:r>
    </w:p>
    <w:p>
      <w:pPr>
        <w:ind w:firstLine="709"/>
        <w:jc w:val="both"/>
        <w:spacing w:after="0" w:line="216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При невозможности удаленного решения проблемы в установленный срок Исполнитель обеспечивает выезд компетентного специалиста для устранения ошибки и восстановления работоспособности ГИС на территории Заказчика.</w:t>
      </w:r>
      <w:r>
        <w:rPr>
          <w:rFonts w:ascii="Times New Roman" w:hAnsi="Times New Roman" w:cs="Times New Roman"/>
          <w:bCs/>
          <w:color w:val="000000"/>
        </w:rPr>
      </w:r>
    </w:p>
    <w:p>
      <w:pPr>
        <w:ind w:firstLine="720"/>
        <w:jc w:val="both"/>
        <w:spacing w:after="0" w:line="216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При этом Исполнитель не несет ответственности за работоспособность ГИС в ситуации, когда возлагаемая нагрузка на программно-технический комплекс и ГИС не соответствует технической документации на систему.</w:t>
      </w:r>
      <w:r>
        <w:rPr>
          <w:rFonts w:ascii="Times New Roman" w:hAnsi="Times New Roman" w:cs="Times New Roman"/>
          <w:bCs/>
          <w:color w:val="000000"/>
        </w:rPr>
      </w:r>
    </w:p>
    <w:p>
      <w:pPr>
        <w:ind w:firstLine="709"/>
        <w:jc w:val="both"/>
        <w:spacing w:after="0" w:line="216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В случае пересмотра варианта использования ГИС </w:t>
      </w:r>
      <w:r>
        <w:rPr>
          <w:rFonts w:ascii="Times New Roman" w:hAnsi="Times New Roman" w:cs="Times New Roman"/>
          <w:bCs/>
          <w:color w:val="000000"/>
        </w:rPr>
        <w:t xml:space="preserve">или штатного увеличения нагрузки в связи с увеличением количества участников процесса, увеличением объема документооборота, либо докупкой новых модулей – конфигурации и технические требования должны быть пересмотрены, согласованы Исполнителем и Заказчиком.</w:t>
      </w:r>
      <w:r>
        <w:rPr>
          <w:rFonts w:ascii="Times New Roman" w:hAnsi="Times New Roman" w:cs="Times New Roman"/>
          <w:color w:val="000000"/>
        </w:rPr>
      </w:r>
    </w:p>
    <w:p>
      <w:pPr>
        <w:pStyle w:val="757"/>
        <w:numPr>
          <w:ilvl w:val="0"/>
          <w:numId w:val="0"/>
        </w:numPr>
        <w:ind w:firstLine="709"/>
        <w:jc w:val="both"/>
        <w:spacing w:before="120" w:after="0" w:line="216" w:lineRule="auto"/>
        <w:rPr>
          <w:rFonts w:ascii="Times New Roman" w:hAnsi="Times New Roman" w:cs="Times New Roman"/>
        </w:rPr>
      </w:pPr>
      <w:r/>
      <w:bookmarkStart w:id="17" w:name="_Toc239843893"/>
      <w:r>
        <w:rPr>
          <w:rFonts w:ascii="Times New Roman" w:hAnsi="Times New Roman" w:cs="Times New Roman"/>
          <w:iCs w:val="0"/>
          <w:color w:val="000000"/>
          <w:sz w:val="22"/>
          <w:szCs w:val="22"/>
        </w:rPr>
        <w:t xml:space="preserve">3.2 Дополнительные требования к услугам сопровождения Подсистемы. «Управление в сфере закупок для государственных нужд Удмуртской Республики»</w:t>
      </w:r>
      <w:bookmarkEnd w:id="17"/>
      <w:r/>
      <w:r>
        <w:rPr>
          <w:rFonts w:ascii="Times New Roman" w:hAnsi="Times New Roman" w:cs="Times New Roman"/>
        </w:rPr>
      </w:r>
    </w:p>
    <w:p>
      <w:pPr>
        <w:contextualSpacing/>
        <w:ind w:firstLine="709"/>
        <w:jc w:val="both"/>
        <w:spacing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рамках сопровождения Подсистемы «Управление в сфере закупок для государственных нужд Удмуртской Республики» Исполнитель должен обеспечить:</w:t>
      </w:r>
      <w:r>
        <w:rPr>
          <w:rFonts w:ascii="Times New Roman" w:hAnsi="Times New Roman" w:cs="Times New Roman"/>
        </w:rPr>
      </w:r>
    </w:p>
    <w:p>
      <w:pPr>
        <w:contextualSpacing/>
        <w:ind w:firstLine="709"/>
        <w:jc w:val="both"/>
        <w:spacing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lang w:eastAsia="en-US"/>
        </w:rPr>
        <w:t xml:space="preserve">оказание услуг, предусмотренных пунктом 3.1 настоящего Технического задания, в том числе при подаче заявок специалистами уполномоченного органа, осуществляющего функции по выработке государственной политики в соответствующей сфере;</w:t>
      </w:r>
      <w:r>
        <w:rPr>
          <w:rFonts w:ascii="Times New Roman" w:hAnsi="Times New Roman" w:cs="Times New Roman"/>
        </w:rPr>
      </w:r>
    </w:p>
    <w:p>
      <w:pPr>
        <w:contextualSpacing/>
        <w:ind w:firstLine="709"/>
        <w:jc w:val="both"/>
        <w:spacing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en-US"/>
        </w:rPr>
        <w:t xml:space="preserve">- техническое сопровождение портала закупок </w:t>
      </w:r>
      <w:hyperlink r:id="rId15" w:tooltip="https://wt.udmr.ru/webtorgi/" w:history="1">
        <w:r>
          <w:rPr>
            <w:rStyle w:val="928"/>
            <w:rFonts w:ascii="Times New Roman" w:hAnsi="Times New Roman"/>
            <w:lang w:eastAsia="en-US"/>
          </w:rPr>
          <w:t xml:space="preserve">https://wt.udmr.ru/webtorgi/</w:t>
        </w:r>
      </w:hyperlink>
      <w:r>
        <w:rPr>
          <w:rFonts w:ascii="Times New Roman" w:hAnsi="Times New Roman" w:cs="Times New Roman"/>
          <w:lang w:eastAsia="en-US"/>
        </w:rPr>
        <w:t xml:space="preserve">;</w:t>
      </w:r>
      <w:r>
        <w:rPr>
          <w:rFonts w:ascii="Times New Roman" w:hAnsi="Times New Roman" w:cs="Times New Roman"/>
        </w:rPr>
      </w:r>
    </w:p>
    <w:p>
      <w:pPr>
        <w:contextualSpacing/>
        <w:ind w:firstLine="709"/>
        <w:jc w:val="both"/>
        <w:spacing w:after="0" w:line="216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- возможность использования Программного модуля «Региональный каталог товаров, работ, услуг» при проведении закупок в Подсистеме «223-ФЗ», модуля ПК </w:t>
      </w:r>
      <w:r>
        <w:rPr>
          <w:rFonts w:ascii="Times New Roman" w:hAnsi="Times New Roman" w:cs="Times New Roman"/>
          <w:lang w:eastAsia="en-US"/>
        </w:rPr>
        <w:t xml:space="preserve">«КС Торги»</w:t>
      </w:r>
      <w:r>
        <w:rPr>
          <w:rFonts w:ascii="Times New Roman" w:hAnsi="Times New Roman" w:cs="Times New Roman"/>
          <w:lang w:eastAsia="en-US"/>
        </w:rPr>
        <w:t xml:space="preserve">;</w:t>
      </w:r>
      <w:r>
        <w:rPr>
          <w:rFonts w:ascii="Times New Roman" w:hAnsi="Times New Roman" w:cs="Times New Roman"/>
          <w:lang w:eastAsia="en-US"/>
        </w:rPr>
      </w:r>
    </w:p>
    <w:p>
      <w:pPr>
        <w:contextualSpacing/>
        <w:ind w:firstLine="709"/>
        <w:jc w:val="both"/>
        <w:spacing w:after="0" w:line="216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- формирование на портале закупок статистической и аналитической информации по закупкам отдельных видов юридических лиц;</w:t>
      </w:r>
      <w:r>
        <w:rPr>
          <w:rFonts w:ascii="Times New Roman" w:hAnsi="Times New Roman" w:cs="Times New Roman"/>
          <w:lang w:eastAsia="en-US"/>
        </w:rPr>
      </w:r>
    </w:p>
    <w:p>
      <w:pPr>
        <w:contextualSpacing/>
        <w:ind w:firstLine="709"/>
        <w:jc w:val="both"/>
        <w:spacing w:after="0" w:line="216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lang w:eastAsia="en-US"/>
        </w:rPr>
        <w:t xml:space="preserve">- возможность автоматической генерации печатных форм документов с учетом форматов условий с использованием функций «И», «ИЛИ», позволяющих применить одновременно несколько условий для одного значения.</w:t>
      </w:r>
      <w:r>
        <w:rPr>
          <w:rFonts w:ascii="Times New Roman" w:hAnsi="Times New Roman" w:cs="Times New Roman"/>
          <w:color w:val="000000"/>
        </w:rPr>
      </w:r>
    </w:p>
    <w:p>
      <w:pPr>
        <w:pStyle w:val="757"/>
        <w:numPr>
          <w:ilvl w:val="0"/>
          <w:numId w:val="0"/>
        </w:numPr>
        <w:ind w:firstLine="709"/>
        <w:jc w:val="both"/>
        <w:spacing w:before="120" w:after="0" w:line="216" w:lineRule="auto"/>
        <w:rPr>
          <w:rFonts w:ascii="Times New Roman" w:hAnsi="Times New Roman" w:cs="Times New Roman"/>
          <w:color w:val="000000"/>
          <w:spacing w:val="-4"/>
        </w:rPr>
      </w:pPr>
      <w:r/>
      <w:bookmarkStart w:id="18" w:name="_Toc239843894"/>
      <w:r>
        <w:rPr>
          <w:rFonts w:ascii="Times New Roman" w:hAnsi="Times New Roman" w:cs="Times New Roman"/>
          <w:iCs w:val="0"/>
          <w:color w:val="000000"/>
          <w:sz w:val="22"/>
          <w:szCs w:val="22"/>
        </w:rPr>
        <w:t xml:space="preserve">3.3 Требования к объему передаваемых прав</w:t>
      </w:r>
      <w:bookmarkEnd w:id="18"/>
      <w:r/>
      <w:r>
        <w:rPr>
          <w:rFonts w:ascii="Times New Roman" w:hAnsi="Times New Roman" w:cs="Times New Roman"/>
          <w:color w:val="000000"/>
          <w:spacing w:val="-4"/>
        </w:rPr>
      </w:r>
    </w:p>
    <w:p>
      <w:pPr>
        <w:ind w:firstLine="709"/>
        <w:jc w:val="both"/>
        <w:spacing w:after="0" w:line="216" w:lineRule="auto"/>
        <w:rPr>
          <w:rFonts w:ascii="Times New Roman" w:hAnsi="Times New Roman" w:cs="Times New Roman"/>
          <w:color w:val="000000"/>
          <w:spacing w:val="-4"/>
        </w:rPr>
      </w:pPr>
      <w:r>
        <w:rPr>
          <w:rFonts w:ascii="Times New Roman" w:hAnsi="Times New Roman" w:cs="Times New Roman"/>
          <w:color w:val="000000"/>
          <w:spacing w:val="-4"/>
        </w:rPr>
        <w:t xml:space="preserve">Использование прав осуществляется на территории Удмуртской Республики и ограничивается территорией участников и пользователей в ГИС.</w:t>
      </w:r>
      <w:r>
        <w:rPr>
          <w:rFonts w:ascii="Times New Roman" w:hAnsi="Times New Roman" w:cs="Times New Roman"/>
          <w:color w:val="000000"/>
          <w:spacing w:val="-4"/>
        </w:rPr>
      </w:r>
    </w:p>
    <w:p>
      <w:pPr>
        <w:ind w:firstLine="709"/>
        <w:jc w:val="both"/>
        <w:spacing w:after="0" w:line="216" w:lineRule="auto"/>
        <w:rPr>
          <w:rFonts w:ascii="Times New Roman" w:hAnsi="Times New Roman" w:cs="Times New Roman"/>
          <w:color w:val="000000"/>
          <w:spacing w:val="-4"/>
        </w:rPr>
      </w:pPr>
      <w:r>
        <w:rPr>
          <w:rFonts w:ascii="Times New Roman" w:hAnsi="Times New Roman" w:cs="Times New Roman"/>
          <w:color w:val="000000"/>
          <w:spacing w:val="-4"/>
        </w:rPr>
        <w:t xml:space="preserve">Пользователям программ для ЭВМ запрещены любые действия в отношении, либо с программами для ЭВМ, за исключением явно согласованных, в частности:</w:t>
      </w:r>
      <w:r>
        <w:rPr>
          <w:rFonts w:ascii="Times New Roman" w:hAnsi="Times New Roman" w:cs="Times New Roman"/>
          <w:color w:val="000000"/>
          <w:spacing w:val="-4"/>
        </w:rPr>
      </w:r>
    </w:p>
    <w:p>
      <w:pPr>
        <w:ind w:firstLine="709"/>
        <w:jc w:val="both"/>
        <w:spacing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pacing w:val="-4"/>
        </w:rPr>
        <w:t xml:space="preserve">- </w:t>
      </w: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допускается воспроизводить программы для ЭВМ только в целях эксплуатации и только в соответствии с его функциональным назначением;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16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- допускается хранить программ для ЭВМ в памяти количества рабочих станций и устройств по количеству клиентских лицензий и лицензий на устройство;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ind w:firstLine="709"/>
        <w:jc w:val="both"/>
        <w:spacing w:after="0" w:line="216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- допускается запускать в работу;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ind w:firstLine="709"/>
        <w:jc w:val="both"/>
        <w:spacing w:after="0" w:line="216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- допускается получать обновления и работать с актуальными программами для ЭВМ;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ind w:firstLine="709"/>
        <w:jc w:val="both"/>
        <w:spacing w:after="0" w:line="216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- допускается для обеспечения функционирования программ для ЭВМ на своих технических средствах осуществлять его настройку исключительно при помощи команд настройки, содержащихся в программах для ЭВМ.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ind w:firstLine="709"/>
        <w:jc w:val="both"/>
        <w:spacing w:after="0" w:line="216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Применительно к программам для ЭВМ Заказчик обязан не допускать действий, нарушающих исключительное право правообладателя на программы для ЭВМ.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ind w:firstLine="709"/>
        <w:jc w:val="both"/>
        <w:keepNext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Оказание Исполнителем услуг в объеме, определенном настоящим Техническим заданием, должно выполняться таким образом, чтобы не были затронуты исключительные авторские права Правообладателей (Разработчиков) применяемого программного обеспечения. </w:t>
      </w:r>
      <w:r>
        <w:rPr>
          <w:rFonts w:ascii="Times New Roman" w:hAnsi="Times New Roman" w:cs="Times New Roman"/>
          <w:iCs/>
          <w:color w:val="000000"/>
        </w:rPr>
        <w:t xml:space="preserve">В случае отсутствия необходимых прав на программное обеспечение, применяемое или эксплуатируемое Заказчиком, Исполнитель обязан до начала оказания услуг заключить лицензионный договор с Правообладателем и представить Заказчику подтверждающие документы.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16" w:lineRule="auto"/>
        <w:rPr>
          <w:rFonts w:ascii="Times New Roman" w:hAnsi="Times New Roman" w:cs="Times New Roman"/>
          <w:color w:val="000000"/>
          <w:spacing w:val="-4"/>
        </w:rPr>
      </w:pPr>
      <w:r>
        <w:rPr>
          <w:rFonts w:ascii="Times New Roman" w:hAnsi="Times New Roman" w:cs="Times New Roman"/>
          <w:color w:val="000000"/>
          <w:spacing w:val="-4"/>
        </w:rPr>
      </w:r>
      <w:r>
        <w:rPr>
          <w:rFonts w:ascii="Times New Roman" w:hAnsi="Times New Roman" w:cs="Times New Roman"/>
          <w:color w:val="000000"/>
          <w:spacing w:val="-4"/>
        </w:rPr>
      </w:r>
    </w:p>
    <w:p>
      <w:pPr>
        <w:ind w:firstLine="709"/>
        <w:jc w:val="both"/>
        <w:spacing w:after="0" w:line="216" w:lineRule="auto"/>
        <w:rPr>
          <w:rFonts w:ascii="Times New Roman" w:hAnsi="Times New Roman" w:cs="Times New Roman"/>
          <w:b/>
          <w:i/>
          <w:color w:val="000000"/>
          <w:spacing w:val="-4"/>
        </w:rPr>
        <w:outlineLvl w:val="1"/>
      </w:pPr>
      <w:r/>
      <w:bookmarkStart w:id="19" w:name="_Toc239843895"/>
      <w:r>
        <w:rPr>
          <w:rFonts w:ascii="Times New Roman" w:hAnsi="Times New Roman" w:cs="Times New Roman"/>
          <w:b/>
          <w:i/>
          <w:color w:val="000000"/>
          <w:spacing w:val="-4"/>
        </w:rPr>
        <w:t xml:space="preserve">3.4 Требования к выполнению организационных и технических мер по информационной безопасности</w:t>
      </w:r>
      <w:bookmarkEnd w:id="19"/>
      <w:r/>
      <w:r>
        <w:rPr>
          <w:rFonts w:ascii="Times New Roman" w:hAnsi="Times New Roman" w:cs="Times New Roman"/>
          <w:b/>
          <w:i/>
          <w:color w:val="000000"/>
          <w:spacing w:val="-4"/>
        </w:rPr>
      </w:r>
    </w:p>
    <w:p>
      <w:pPr>
        <w:ind w:firstLine="709"/>
        <w:jc w:val="both"/>
        <w:keepNext/>
        <w:spacing w:after="0" w:line="240" w:lineRule="auto"/>
        <w:rPr>
          <w:rFonts w:ascii="Times New Roman" w:hAnsi="Times New Roman" w:eastAsia="Times New Roman" w:cs="Times New Roman"/>
          <w:color w:val="000000"/>
          <w:spacing w:val="-4"/>
        </w:rPr>
      </w:pPr>
      <w:r/>
      <w:bookmarkStart w:id="20" w:name="_Toc209766683"/>
      <w:r>
        <w:rPr>
          <w:rFonts w:ascii="Times New Roman" w:hAnsi="Times New Roman" w:eastAsia="Times New Roman" w:cs="Times New Roman"/>
          <w:color w:val="000000"/>
          <w:spacing w:val="-4"/>
        </w:rPr>
        <w:t xml:space="preserve">В рамках сопровождения ГИС Исполнитель обязуется не предпринимать действия, которые могут негативно сказаться на работоспособность ГИС, размещенной на информационно-телекоммуникационной инфраструктуре центра обработки данных Удмуртской Республики.</w:t>
      </w:r>
      <w:bookmarkEnd w:id="20"/>
      <w:r>
        <w:rPr>
          <w:rFonts w:ascii="Times New Roman" w:hAnsi="Times New Roman" w:eastAsia="Times New Roman" w:cs="Times New Roman"/>
          <w:color w:val="000000"/>
          <w:spacing w:val="-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</w:rPr>
      </w:r>
    </w:p>
    <w:p>
      <w:pPr>
        <w:ind w:firstLine="709"/>
        <w:jc w:val="both"/>
        <w:keepNext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pacing w:val="-4"/>
          <w:sz w:val="32"/>
          <w:szCs w:val="32"/>
        </w:rPr>
      </w:pPr>
      <w:r/>
      <w:bookmarkStart w:id="21" w:name="_Toc209766684"/>
      <w:r>
        <w:rPr>
          <w:rFonts w:ascii="Times New Roman" w:hAnsi="Times New Roman" w:eastAsia="Times New Roman" w:cs="Times New Roman"/>
          <w:color w:val="000000"/>
          <w:spacing w:val="-4"/>
        </w:rPr>
        <w:t xml:space="preserve">Выполнение организационных и технических мер по защите информации на каждом используемом рабочем месте должны содержать меры по идентификации и аутентификации пользователей, в том числе не являющихся работниками Исполнителя. </w:t>
      </w:r>
      <w:r>
        <w:rPr>
          <w:rFonts w:ascii="Times New Roman" w:hAnsi="Times New Roman" w:eastAsia="Abyssinica SIL" w:cs="Times New Roman"/>
          <w:color w:val="000000"/>
          <w:spacing w:val="-4"/>
        </w:rPr>
        <w:t xml:space="preserve">В случаях привлечения к работам соисполнителей прописывать в</w:t>
      </w:r>
      <w:r>
        <w:rPr>
          <w:rFonts w:ascii="Times New Roman" w:hAnsi="Times New Roman" w:eastAsia="Abyssinica SIL" w:cs="Times New Roman"/>
          <w:color w:val="000000"/>
          <w:spacing w:val="-4"/>
        </w:rPr>
        <w:t xml:space="preserve"> договорных отношениях требования по обеспечению безопасности системы, исключающие несанкционированный доступ в систему, повышение прав привилегированных пользователей, отключение средств антивирусной защиты, подбор пароля привилегированных пользователей. </w:t>
      </w:r>
      <w:r>
        <w:rPr>
          <w:rFonts w:ascii="Times New Roman" w:hAnsi="Times New Roman" w:eastAsia="Liberation Serif;Times New Roma" w:cs="Times New Roman"/>
          <w:color w:val="000000"/>
          <w:spacing w:val="-4"/>
        </w:rPr>
        <w:t xml:space="preserve">Не допускать использование </w:t>
      </w:r>
      <w:r>
        <w:rPr>
          <w:rFonts w:ascii="Times New Roman" w:hAnsi="Times New Roman" w:eastAsia="Liberation Serif;Times New Roma" w:cs="Times New Roman"/>
          <w:color w:val="000000"/>
          <w:spacing w:val="-4"/>
        </w:rPr>
        <w:t xml:space="preserve">третьими лицами автоматизированных рабочих мест, непосредственно взаимодействующих с АРМ Исполнителя без согласования с Заказчиком.</w:t>
      </w:r>
      <w:bookmarkEnd w:id="21"/>
      <w:r/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32"/>
          <w:szCs w:val="3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empora LGC Uni;Cambria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  <w:spacing w:val="-4"/>
        </w:rPr>
        <w:t xml:space="preserve">Исполнитель обязан принимать необходимые меры по реагированию и своевременному устранению недопустимых событий информационной безопасности (инцидентов информационной безопасности).</w:t>
      </w:r>
      <w:r>
        <w:rPr>
          <w:rFonts w:ascii="Times New Roman" w:hAnsi="Times New Roman" w:eastAsia="Tempora LGC Uni;Cambria" w:cs="Times New Roman"/>
          <w:color w:val="000000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empora LGC Uni;Cambria" w:cs="Times New Roman"/>
          <w:color w:val="000000"/>
        </w:rPr>
      </w:pPr>
      <w:r>
        <w:rPr>
          <w:rFonts w:ascii="Times New Roman" w:hAnsi="Times New Roman" w:eastAsia="Tempora LGC Uni;Cambria" w:cs="Times New Roman"/>
          <w:color w:val="000000"/>
        </w:rPr>
        <w:t xml:space="preserve">В рамках сопровождения системы запрещается:</w:t>
      </w:r>
      <w:r>
        <w:rPr>
          <w:rFonts w:ascii="Times New Roman" w:hAnsi="Times New Roman" w:eastAsia="Tempora LGC Uni;Cambria" w:cs="Times New Roman"/>
          <w:color w:val="000000"/>
        </w:rPr>
      </w:r>
    </w:p>
    <w:p>
      <w:pPr>
        <w:numPr>
          <w:ilvl w:val="0"/>
          <w:numId w:val="26"/>
        </w:numPr>
        <w:ind w:left="0" w:firstLine="709"/>
        <w:jc w:val="both"/>
        <w:spacing w:after="0" w:line="240" w:lineRule="auto"/>
        <w:rPr>
          <w:rFonts w:ascii="Times New Roman" w:hAnsi="Times New Roman" w:eastAsia="Tempora LGC Uni;Cambria" w:cs="Times New Roman"/>
          <w:color w:val="000000"/>
        </w:rPr>
      </w:pPr>
      <w:r>
        <w:rPr>
          <w:rFonts w:ascii="Times New Roman" w:hAnsi="Times New Roman" w:eastAsia="Tempora LGC Uni;Cambria" w:cs="Times New Roman"/>
          <w:color w:val="000000"/>
        </w:rPr>
        <w:t xml:space="preserve">передавать третьим лицам ключевую информацию, предоставленную для подключения к удаленному рабочему месту. В случае подозрения на компрометацию ключевой информации ответственные лица Заказчика вправе заблокировать учетную запись пользователя;</w:t>
      </w:r>
      <w:r>
        <w:rPr>
          <w:rFonts w:ascii="Times New Roman" w:hAnsi="Times New Roman" w:eastAsia="Tempora LGC Uni;Cambria" w:cs="Times New Roman"/>
          <w:color w:val="000000"/>
        </w:rPr>
      </w:r>
    </w:p>
    <w:p>
      <w:pPr>
        <w:numPr>
          <w:ilvl w:val="0"/>
          <w:numId w:val="2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Tempora LGC Uni;Cambria" w:cs="Times New Roman"/>
          <w:color w:val="000000"/>
        </w:rPr>
      </w:pPr>
      <w:r>
        <w:rPr>
          <w:rFonts w:ascii="Times New Roman" w:hAnsi="Times New Roman" w:eastAsia="Tempora LGC Uni;Cambria" w:cs="Times New Roman"/>
          <w:color w:val="000000"/>
        </w:rPr>
        <w:t xml:space="preserve">повышать права доступа, выданные пользователю, осуществляющего подключение к удаленному рабочему месту;</w:t>
      </w:r>
      <w:r>
        <w:rPr>
          <w:rFonts w:ascii="Times New Roman" w:hAnsi="Times New Roman" w:eastAsia="Tempora LGC Uni;Cambria" w:cs="Times New Roman"/>
          <w:color w:val="000000"/>
        </w:rPr>
      </w:r>
    </w:p>
    <w:p>
      <w:pPr>
        <w:numPr>
          <w:ilvl w:val="0"/>
          <w:numId w:val="2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Tempora LGC Uni;Cambria" w:cs="Times New Roman"/>
          <w:color w:val="000000"/>
        </w:rPr>
      </w:pPr>
      <w:r>
        <w:rPr>
          <w:rFonts w:ascii="Times New Roman" w:hAnsi="Times New Roman" w:eastAsia="Tempora LGC Uni;Cambria" w:cs="Times New Roman"/>
          <w:color w:val="000000"/>
        </w:rPr>
        <w:t xml:space="preserve">самостоятельно устанавливать на удаленное рабочее </w:t>
      </w:r>
      <w:r>
        <w:rPr>
          <w:rFonts w:ascii="Times New Roman" w:hAnsi="Times New Roman" w:eastAsia="Tempora LGC Uni;Cambria" w:cs="Times New Roman"/>
          <w:color w:val="000000"/>
        </w:rPr>
        <w:t xml:space="preserve">место программное обеспечение, изменять программную конфигурацию удаленного рабочего места и настройки операционной системы. В случае необходимости установки дополнительного программного обеспечения, Исполнитель обязан согласовывать установку с Заказчиком;</w:t>
      </w:r>
      <w:r>
        <w:rPr>
          <w:rFonts w:ascii="Times New Roman" w:hAnsi="Times New Roman" w:eastAsia="Tempora LGC Uni;Cambria" w:cs="Times New Roman"/>
          <w:color w:val="000000"/>
        </w:rPr>
      </w:r>
    </w:p>
    <w:p>
      <w:pPr>
        <w:numPr>
          <w:ilvl w:val="0"/>
          <w:numId w:val="2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Tempora LGC Uni;Cambria" w:cs="Times New Roman"/>
          <w:color w:val="000000"/>
          <w:spacing w:val="-4"/>
        </w:rPr>
      </w:pPr>
      <w:r>
        <w:rPr>
          <w:rFonts w:ascii="Times New Roman" w:hAnsi="Times New Roman" w:eastAsia="Tempora LGC Uni;Cambria" w:cs="Times New Roman"/>
          <w:color w:val="000000"/>
        </w:rPr>
        <w:t xml:space="preserve">отключать и/или удалять установленные средства защиты (в том числе антивирусное программное обеспечение), а также изменять настройки данных средств;</w:t>
      </w:r>
      <w:r>
        <w:rPr>
          <w:rFonts w:ascii="Times New Roman" w:hAnsi="Times New Roman" w:eastAsia="Tempora LGC Uni;Cambria" w:cs="Times New Roman"/>
          <w:color w:val="000000"/>
          <w:spacing w:val="-4"/>
        </w:rPr>
      </w:r>
    </w:p>
    <w:p>
      <w:pPr>
        <w:numPr>
          <w:ilvl w:val="0"/>
          <w:numId w:val="2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byssinica SIL" w:cs="Times New Roman"/>
          <w:color w:val="000000"/>
        </w:rPr>
      </w:pPr>
      <w:r>
        <w:rPr>
          <w:rFonts w:ascii="Times New Roman" w:hAnsi="Times New Roman" w:eastAsia="Tempora LGC Uni;Cambria" w:cs="Times New Roman"/>
          <w:color w:val="000000"/>
          <w:spacing w:val="-4"/>
        </w:rPr>
        <w:t xml:space="preserve">хранить парольную и иную идентификационную информацию в открытом виде, без предварительного кодирования, на ресурсах, доступ к которым предоставлен в соответствии с настоящим договором.</w:t>
      </w:r>
      <w:r>
        <w:rPr>
          <w:rFonts w:ascii="Times New Roman" w:hAnsi="Times New Roman" w:eastAsia="Abyssinica SIL" w:cs="Times New Roman"/>
          <w:color w:val="000000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byssinica SIL" w:cs="Times New Roman"/>
          <w:color w:val="000000"/>
          <w:spacing w:val="-4"/>
        </w:rPr>
      </w:pPr>
      <w:r>
        <w:rPr>
          <w:rFonts w:ascii="Times New Roman" w:hAnsi="Times New Roman" w:eastAsia="Abyssinica SIL" w:cs="Times New Roman"/>
          <w:color w:val="000000"/>
        </w:rPr>
        <w:t xml:space="preserve">Порядок выполнения работ, связанных с созданием безопасного (защищенного) программного обеспечения и формированием (поддержанием) среды обеспечения оперативного устранени</w:t>
      </w:r>
      <w:r>
        <w:rPr>
          <w:rFonts w:ascii="Times New Roman" w:hAnsi="Times New Roman" w:eastAsia="Abyssinica SIL" w:cs="Times New Roman"/>
          <w:color w:val="000000"/>
        </w:rPr>
        <w:t xml:space="preserve">я выявленных пользователями ошибок программного обеспечения и уязвимостей программы, учитывает требования: «ГОСТ Р 56939-2016. Национальный стандарт Российской Федерации. Защита информации. Разработка безопасного программного обеспечения. Общие требования»</w:t>
      </w:r>
      <w:r>
        <w:rPr>
          <w:rFonts w:ascii="Times New Roman" w:hAnsi="Times New Roman" w:eastAsia="Abyssinica SIL" w:cs="Times New Roman"/>
          <w:color w:val="000000"/>
          <w:spacing w:val="-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eastAsia="Abyssinica SIL" w:cs="Times New Roman"/>
          <w:color w:val="000000"/>
          <w:spacing w:val="-4"/>
        </w:rPr>
        <w:t xml:space="preserve">«ГОСТ Р 58412-2019. Национальный стандарт Российской Федерации. Защита информации. Разработка безопасного программного обеспечения. Угрозы безопасности информации при разработке программного обеспечения».</w:t>
      </w:r>
      <w:r>
        <w:rPr>
          <w:rFonts w:ascii="Times New Roman" w:hAnsi="Times New Roman" w:cs="Times New Roman"/>
          <w:iCs/>
        </w:rPr>
      </w:r>
    </w:p>
    <w:p>
      <w:pPr>
        <w:jc w:val="both"/>
        <w:spacing w:after="0" w:line="216" w:lineRule="auto"/>
        <w:rPr>
          <w:rFonts w:ascii="Times New Roman" w:hAnsi="Times New Roman" w:cs="Times New Roman"/>
          <w:color w:val="000000"/>
          <w:spacing w:val="-4"/>
        </w:rPr>
      </w:pPr>
      <w:r>
        <w:rPr>
          <w:rFonts w:ascii="Times New Roman" w:hAnsi="Times New Roman" w:cs="Times New Roman"/>
          <w:color w:val="000000"/>
          <w:spacing w:val="-4"/>
        </w:rPr>
      </w:r>
      <w:r>
        <w:rPr>
          <w:rFonts w:ascii="Times New Roman" w:hAnsi="Times New Roman" w:cs="Times New Roman"/>
          <w:color w:val="000000"/>
          <w:spacing w:val="-4"/>
        </w:rPr>
      </w:r>
    </w:p>
    <w:p>
      <w:pPr>
        <w:pStyle w:val="756"/>
        <w:numPr>
          <w:ilvl w:val="0"/>
          <w:numId w:val="15"/>
        </w:numPr>
        <w:ind w:left="0" w:firstLine="709"/>
        <w:jc w:val="center"/>
        <w:rPr>
          <w:rFonts w:ascii="Times New Roman" w:hAnsi="Times New Roman" w:cs="Times New Roman"/>
          <w:iCs/>
          <w:sz w:val="22"/>
          <w:szCs w:val="22"/>
        </w:rPr>
      </w:pPr>
      <w:r/>
      <w:bookmarkStart w:id="22" w:name="_Toc239843896"/>
      <w:r>
        <w:rPr>
          <w:rFonts w:ascii="Times New Roman" w:hAnsi="Times New Roman" w:cs="Times New Roman"/>
          <w:iCs/>
          <w:sz w:val="22"/>
          <w:szCs w:val="22"/>
        </w:rPr>
        <w:t xml:space="preserve">Требования к документированию</w:t>
      </w:r>
      <w:bookmarkEnd w:id="22"/>
      <w:r/>
      <w:r>
        <w:rPr>
          <w:rFonts w:ascii="Times New Roman" w:hAnsi="Times New Roman" w:cs="Times New Roman"/>
          <w:iCs/>
          <w:sz w:val="22"/>
          <w:szCs w:val="22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Р</w:t>
      </w:r>
      <w:r>
        <w:rPr>
          <w:rFonts w:ascii="Times New Roman" w:hAnsi="Times New Roman" w:cs="Times New Roman"/>
          <w:color w:val="000000"/>
          <w:spacing w:val="-4"/>
        </w:rPr>
        <w:t xml:space="preserve">азработанная в ходе оказания услуг документация должна учитывать требования ГОСТ 34.201-89, ГОСТ 34.601-90, ГОСТ Р 51583-2000.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  <w:color w:val="000000"/>
          <w:spacing w:val="-4"/>
        </w:rPr>
      </w:pPr>
      <w:r>
        <w:rPr>
          <w:rFonts w:ascii="Times New Roman" w:hAnsi="Times New Roman" w:cs="Times New Roman"/>
          <w:color w:val="000000"/>
          <w:spacing w:val="-4"/>
        </w:rPr>
        <w:t xml:space="preserve">Отдельные документы, могут содержать записи латинскими буквами (наименование полей баз данных, тексты прог</w:t>
      </w:r>
      <w:r>
        <w:rPr>
          <w:rFonts w:ascii="Times New Roman" w:hAnsi="Times New Roman" w:cs="Times New Roman"/>
          <w:color w:val="000000"/>
          <w:spacing w:val="-4"/>
        </w:rPr>
        <w:t xml:space="preserve">рамм и т.д.). Допускается выпуск документации на составные части программного обеспечения, являющиеся общим программным обеспечением (системной платформы, серверов баз данных, операционной системы, созданных сторонними производителями) на английском языке.</w:t>
      </w:r>
      <w:r>
        <w:rPr>
          <w:rFonts w:ascii="Times New Roman" w:hAnsi="Times New Roman" w:cs="Times New Roman"/>
          <w:color w:val="000000"/>
          <w:spacing w:val="-4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  <w:color w:val="000000"/>
          <w:spacing w:val="-4"/>
        </w:rPr>
      </w:pPr>
      <w:r>
        <w:rPr>
          <w:rFonts w:ascii="Times New Roman" w:hAnsi="Times New Roman" w:cs="Times New Roman"/>
          <w:color w:val="000000"/>
          <w:spacing w:val="-4"/>
        </w:rPr>
        <w:t xml:space="preserve">Подготавливаемый в рамках договора отчет о количестве оказанных услуг (Приложение 1 к настоящему Техническому заданию), составляется путем отправки данных на электронные почты </w:t>
      </w:r>
      <w:hyperlink r:id="rId16" w:tooltip="mailto:mail@dtc.udmr.ru" w:history="1">
        <w:r>
          <w:rPr>
            <w:rStyle w:val="928"/>
            <w:rFonts w:ascii="Times New Roman" w:hAnsi="Times New Roman"/>
            <w:color w:val="000000"/>
            <w:spacing w:val="-4"/>
            <w:u w:val="none"/>
          </w:rPr>
          <w:t xml:space="preserve">mail@dtc.udmr.ru</w:t>
        </w:r>
      </w:hyperlink>
      <w:r>
        <w:rPr>
          <w:rStyle w:val="928"/>
          <w:rFonts w:ascii="Times New Roman" w:hAnsi="Times New Roman"/>
          <w:color w:val="000000"/>
          <w:spacing w:val="-4"/>
          <w:u w:val="none"/>
        </w:rPr>
        <w:t xml:space="preserve"> и </w:t>
      </w:r>
      <w:hyperlink r:id="rId17" w:tooltip="mailto:mail@it.udmr.ru" w:history="1">
        <w:r>
          <w:rPr>
            <w:rStyle w:val="928"/>
            <w:rFonts w:ascii="Times New Roman" w:hAnsi="Times New Roman"/>
            <w:color w:val="000000"/>
            <w:spacing w:val="-4"/>
            <w:u w:val="none"/>
          </w:rPr>
          <w:t xml:space="preserve">mail@it.udmr.ru</w:t>
        </w:r>
      </w:hyperlink>
      <w:r>
        <w:rPr>
          <w:rStyle w:val="928"/>
          <w:rFonts w:ascii="Times New Roman" w:hAnsi="Times New Roman"/>
          <w:color w:val="000000"/>
          <w:spacing w:val="-4"/>
          <w:u w:val="none"/>
        </w:rPr>
        <w:t xml:space="preserve">,</w:t>
      </w:r>
      <w:r>
        <w:rPr>
          <w:rStyle w:val="928"/>
          <w:rFonts w:ascii="Times New Roman" w:hAnsi="Times New Roman"/>
          <w:color w:val="000000"/>
          <w:spacing w:val="-4"/>
        </w:rPr>
        <w:t xml:space="preserve"> содержащий:</w:t>
      </w:r>
      <w:r>
        <w:rPr>
          <w:rFonts w:ascii="Times New Roman" w:hAnsi="Times New Roman" w:cs="Times New Roman"/>
          <w:color w:val="000000"/>
          <w:spacing w:val="-4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pacing w:val="-4"/>
        </w:rPr>
        <w:t xml:space="preserve">- </w:t>
      </w: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номер обращения;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- дата регистрации;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- учреждение;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- подсистема;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- тема обращения;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- описание обращения;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- состояние обращения;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ind w:firstLine="567"/>
        <w:jc w:val="both"/>
        <w:spacing w:after="0" w:line="216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- </w:t>
      </w: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дата закрытия обращения.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ind w:left="0" w:firstLine="567"/>
        <w:jc w:val="both"/>
        <w:spacing w:line="216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numPr>
          <w:ilvl w:val="0"/>
          <w:numId w:val="15"/>
        </w:numPr>
        <w:ind w:left="0" w:firstLine="709"/>
        <w:jc w:val="center"/>
        <w:spacing w:line="216" w:lineRule="auto"/>
        <w:rPr>
          <w:rFonts w:ascii="Times New Roman" w:hAnsi="Times New Roman" w:cs="Times New Roman"/>
          <w:b/>
          <w:bCs/>
          <w:color w:val="000000"/>
          <w:spacing w:val="-4"/>
          <w:lang w:eastAsia="en-US"/>
        </w:rPr>
        <w:outlineLvl w:val="0"/>
      </w:pPr>
      <w:r/>
      <w:bookmarkStart w:id="23" w:name="_Toc239843897"/>
      <w:r>
        <w:rPr>
          <w:rFonts w:ascii="Times New Roman" w:hAnsi="Times New Roman" w:cs="Times New Roman"/>
          <w:b/>
          <w:bCs/>
          <w:color w:val="000000"/>
          <w:spacing w:val="-4"/>
          <w:lang w:eastAsia="en-US"/>
        </w:rPr>
        <w:t xml:space="preserve">Лицензионные условия</w:t>
      </w:r>
      <w:bookmarkEnd w:id="23"/>
      <w:r/>
      <w:r>
        <w:rPr>
          <w:rFonts w:ascii="Times New Roman" w:hAnsi="Times New Roman" w:cs="Times New Roman"/>
          <w:b/>
          <w:bCs/>
          <w:color w:val="000000"/>
          <w:spacing w:val="-4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5.1. Оказание услуг должно выполняться с соблюдением положений части 4 Гражданского кодекса РФ (далее – ГК РФ) в отношении охраны прав на результаты интеллектуальной деятельности правообладателей программы ЭВМ и третьих лиц.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5.2. Исполнитель в рамках исполнения обязательств по Контракту обязан</w:t>
      </w: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 предоставить Заказчику с соблюдением требований гл. 69 и гл. 70 ГК РФ неисключительные (пользовательские) права на использование результатов интеллектуальной деятельности - программ для ЭВМ без нарушения прав Разработчика эксплуатируемых программ для ЭВМ.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5.3. Исключительное право на программу для ЭВМ, необходимое для функционирования программы для ЭВМ, сохраняется за Исполнителем, если последний является Правообладателем (Разработчиком).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5.4. Право, предоставляемое Заказчику, должно включать в себя неисключительное (пользовательское) право на воспроизведение программного обеспечения (</w:t>
      </w: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программ для ЭВМ) в качестве конечного пользователя, ограниченное правом инсталляции, копирования, запуска и использования его в своем рабочем процессе в соответствии с ее техническим (функциональным) назначением определенном настоящим Техническом задании.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5.5. Права, предоставляемые Исполнителем Заказчику, должны включать в себя: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numPr>
          <w:ilvl w:val="0"/>
          <w:numId w:val="34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запись и хранение программы для ЭВМ в памяти ЭВМ (в том числе в рамках своей компьютерной сети) и осуществление действий, необходимых для функционирования программы для ЭВМ в соответствии с его прямым назначением;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numPr>
          <w:ilvl w:val="0"/>
          <w:numId w:val="34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изготовление копий программы для ЭВМ, при условии, что эти копии предназначены только для архивных целей, или для осущест</w:t>
      </w: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вления тестовых работ, проводимых для апробации модернизированных версий программы для ЭВМ перед вводом их в эксплуатацию, или для замены экземпляра программы для ЭВМ в случаях, когда такой экземпляр утерян, уничтожен или стал непригоден для использования.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5.6. По истечении срока действия договора Заказчик имеет право без ограничения срока использовать внедренные программы для ЭВМ, при этом такое использование ограничивается: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1) версией, разработанной при исполнении договора;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2) дальнейшее использование осуществляется без права ее дальнейшего сопровождения и получения обновлений (новых версий).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5</w:t>
      </w: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.</w:t>
      </w: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7. Заказчик обязуется: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• использовать программу(ы) для ЭВМ в актуальной версии, утвержденной Правообладателем;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• устанавливать предоставленные Правообладателем обновления для целей поддержания информационной безопасности и улучшения работы программ(ы) для ЭВМ.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5.8. Исполнитель на своем официальном сайте обязуется своевременно информировать Заказчика о создании новых версий и обновлений программ(ы) для ЭВМ.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t xml:space="preserve">5.19. Исполнитель в рамках исполнения своих обязательств обязуется улучшать функционирование и безопасность использования.</w:t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  <w:br w:type="page" w:clear="all"/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pStyle w:val="1002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/>
          <w:spacing w:val="-4"/>
          <w:lang w:eastAsia="en-US"/>
        </w:rPr>
      </w:pPr>
      <w:r>
        <w:rPr>
          <w:rFonts w:ascii="Times New Roman" w:hAnsi="Times New Roman" w:cs="Times New Roman"/>
          <w:color w:val="000000"/>
          <w:spacing w:val="-4"/>
          <w:lang w:eastAsia="en-US"/>
        </w:rPr>
      </w:r>
      <w:r>
        <w:rPr>
          <w:rFonts w:ascii="Times New Roman" w:hAnsi="Times New Roman" w:cs="Times New Roman"/>
          <w:color w:val="000000"/>
          <w:spacing w:val="-4"/>
          <w:lang w:eastAsia="en-US"/>
        </w:rPr>
      </w:r>
    </w:p>
    <w:p>
      <w:pPr>
        <w:jc w:val="both"/>
        <w:spacing w:after="0" w:line="216" w:lineRule="auto"/>
        <w:rPr>
          <w:rFonts w:ascii="Times New Roman" w:hAnsi="Times New Roman" w:cs="Times New Roman"/>
          <w:color w:val="000000"/>
          <w:spacing w:val="-4"/>
        </w:rPr>
      </w:pPr>
      <w:r>
        <w:rPr>
          <w:rFonts w:ascii="Times New Roman" w:hAnsi="Times New Roman" w:cs="Times New Roman"/>
          <w:color w:val="000000"/>
          <w:spacing w:val="-4"/>
        </w:rPr>
      </w:r>
      <w:r>
        <w:rPr>
          <w:rFonts w:ascii="Times New Roman" w:hAnsi="Times New Roman" w:cs="Times New Roman"/>
          <w:color w:val="000000"/>
          <w:spacing w:val="-4"/>
        </w:rPr>
      </w:r>
    </w:p>
    <w:p>
      <w:pPr>
        <w:jc w:val="both"/>
        <w:spacing w:after="0" w:line="216" w:lineRule="auto"/>
        <w:rPr>
          <w:rFonts w:ascii="Times New Roman" w:hAnsi="Times New Roman" w:cs="Times New Roman"/>
          <w:color w:val="000000"/>
          <w:spacing w:val="-4"/>
        </w:rPr>
      </w:pPr>
      <w:r>
        <w:rPr>
          <w:rFonts w:ascii="Times New Roman" w:hAnsi="Times New Roman" w:cs="Times New Roman"/>
          <w:color w:val="000000"/>
          <w:spacing w:val="-4"/>
        </w:rPr>
      </w:r>
      <w:r>
        <w:rPr>
          <w:rFonts w:ascii="Times New Roman" w:hAnsi="Times New Roman" w:cs="Times New Roman"/>
          <w:color w:val="000000"/>
          <w:spacing w:val="-4"/>
        </w:rPr>
      </w:r>
    </w:p>
    <w:p>
      <w:pPr>
        <w:pStyle w:val="1014"/>
        <w:spacing w:line="216" w:lineRule="auto"/>
        <w:rPr>
          <w:rFonts w:ascii="Times New Roman" w:hAnsi="Times New Roman" w:cs="Times New Roman"/>
          <w:b/>
          <w:color w:val="000000"/>
          <w:spacing w:val="-4"/>
        </w:rPr>
      </w:pPr>
      <w:r>
        <w:rPr>
          <w:rFonts w:ascii="Times New Roman" w:hAnsi="Times New Roman" w:cs="Times New Roman"/>
          <w:b/>
          <w:color w:val="000000"/>
          <w:spacing w:val="-4"/>
        </w:rPr>
      </w:r>
      <w:r>
        <w:rPr>
          <w:rFonts w:ascii="Times New Roman" w:hAnsi="Times New Roman" w:cs="Times New Roman"/>
          <w:b/>
          <w:color w:val="000000"/>
          <w:spacing w:val="-4"/>
        </w:rPr>
      </w:r>
    </w:p>
    <w:p>
      <w:pPr>
        <w:jc w:val="right"/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Приложение 1</w:t>
      </w:r>
      <w:r>
        <w:rPr>
          <w:rFonts w:ascii="Times New Roman" w:hAnsi="Times New Roman" w:eastAsia="Times New Roman" w:cs="Times New Roman"/>
        </w:rPr>
      </w:r>
    </w:p>
    <w:p>
      <w:pPr>
        <w:jc w:val="right"/>
        <w:spacing w:after="0" w:line="216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к Техническому заданию</w:t>
      </w:r>
      <w:r>
        <w:rPr>
          <w:rFonts w:ascii="Times New Roman" w:hAnsi="Times New Roman" w:eastAsia="Times New Roman" w:cs="Times New Roman"/>
        </w:rPr>
      </w:r>
    </w:p>
    <w:p>
      <w:pPr>
        <w:jc w:val="right"/>
        <w:spacing w:after="0" w:line="216" w:lineRule="auto"/>
        <w:widowControl w:val="off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</w:rPr>
      </w:r>
      <w:r>
        <w:rPr>
          <w:rFonts w:ascii="Times New Roman" w:hAnsi="Times New Roman" w:eastAsia="Times New Roman" w:cs="Times New Roman"/>
          <w:b/>
          <w:bCs/>
        </w:rPr>
      </w:r>
    </w:p>
    <w:p>
      <w:pPr>
        <w:jc w:val="both"/>
        <w:spacing w:after="0" w:line="216" w:lineRule="auto"/>
        <w:tabs>
          <w:tab w:val="left" w:pos="8364" w:leader="none"/>
        </w:tabs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</w:rPr>
      </w:r>
      <w:r>
        <w:rPr>
          <w:rFonts w:ascii="Times New Roman" w:hAnsi="Times New Roman" w:eastAsia="Times New Roman" w:cs="Times New Roman"/>
          <w:b/>
          <w:bCs/>
        </w:rPr>
      </w:r>
    </w:p>
    <w:p>
      <w:pPr>
        <w:jc w:val="right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</w:rPr>
        <w:t xml:space="preserve">Форма</w:t>
      </w:r>
      <w:r>
        <w:rPr>
          <w:rFonts w:ascii="Times New Roman" w:hAnsi="Times New Roman" w:eastAsia="Times New Roman" w:cs="Times New Roman"/>
          <w:b/>
        </w:rPr>
      </w:r>
    </w:p>
    <w:p>
      <w:pPr>
        <w:jc w:val="center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eastAsia="Times New Roman" w:cs="Times New Roman"/>
          <w:b/>
        </w:rPr>
      </w:r>
    </w:p>
    <w:p>
      <w:pPr>
        <w:jc w:val="center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Отчет о полученных обращениях</w:t>
      </w:r>
      <w:r>
        <w:rPr>
          <w:rFonts w:ascii="Times New Roman" w:hAnsi="Times New Roman" w:eastAsia="Times New Roman" w:cs="Times New Roman"/>
          <w:b/>
        </w:rPr>
      </w:r>
    </w:p>
    <w:p>
      <w:pPr>
        <w:jc w:val="center"/>
        <w:spacing w:after="0" w:line="216" w:lineRule="auto"/>
        <w:rPr>
          <w:rFonts w:ascii="Times New Roman" w:hAnsi="Times New Roman" w:eastAsia="Arial Narrow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за ___ квартал 202</w:t>
      </w:r>
      <w:r>
        <w:rPr>
          <w:rFonts w:ascii="Times New Roman" w:hAnsi="Times New Roman" w:eastAsia="Times New Roman" w:cs="Times New Roman"/>
          <w:b/>
        </w:rPr>
        <w:t xml:space="preserve">7</w:t>
      </w:r>
      <w:r>
        <w:rPr>
          <w:rFonts w:ascii="Times New Roman" w:hAnsi="Times New Roman" w:eastAsia="Times New Roman" w:cs="Times New Roman"/>
          <w:b/>
        </w:rPr>
        <w:t xml:space="preserve"> года </w:t>
      </w:r>
      <w:r>
        <w:rPr>
          <w:rFonts w:ascii="Times New Roman" w:hAnsi="Times New Roman" w:eastAsia="Arial Narrow" w:cs="Times New Roman"/>
          <w:b/>
        </w:rPr>
      </w:r>
    </w:p>
    <w:p>
      <w:pPr>
        <w:jc w:val="center"/>
        <w:spacing w:after="0"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eastAsia="Arial Narrow" w:cs="Times New Roman"/>
          <w:b/>
        </w:rPr>
        <w:t xml:space="preserve"> </w:t>
      </w:r>
      <w:r>
        <w:rPr>
          <w:rFonts w:ascii="Times New Roman" w:hAnsi="Times New Roman" w:eastAsia="Times New Roman" w:cs="Times New Roman"/>
          <w:b/>
        </w:rPr>
        <w:t xml:space="preserve">по договору № 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_____________ </w:t>
      </w:r>
      <w:r>
        <w:rPr>
          <w:rFonts w:ascii="Times New Roman" w:hAnsi="Times New Roman" w:eastAsia="Times New Roman" w:cs="Times New Roman"/>
          <w:b/>
        </w:rPr>
        <w:t xml:space="preserve">от «___»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 ____________</w:t>
      </w:r>
      <w:r>
        <w:rPr>
          <w:rFonts w:ascii="Times New Roman" w:hAnsi="Times New Roman" w:eastAsia="Times New Roman" w:cs="Times New Roman"/>
          <w:b/>
        </w:rPr>
        <w:t xml:space="preserve"> 20__ года</w:t>
      </w:r>
      <w:r>
        <w:rPr>
          <w:rFonts w:ascii="Times New Roman" w:hAnsi="Times New Roman" w:cs="Times New Roman"/>
        </w:rPr>
      </w:r>
    </w:p>
    <w:p>
      <w:pPr>
        <w:jc w:val="center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eastAsia="Times New Roman" w:cs="Times New Roman"/>
          <w:b/>
        </w:rPr>
      </w:r>
    </w:p>
    <w:p>
      <w:pPr>
        <w:jc w:val="center"/>
        <w:spacing w:after="0" w:line="216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eastAsia="Times New Roman" w:cs="Times New Roman"/>
          <w:b/>
        </w:rPr>
      </w:r>
    </w:p>
    <w:p>
      <w:pPr>
        <w:jc w:val="both"/>
        <w:spacing w:after="0" w:line="216" w:lineRule="auto"/>
        <w:rPr>
          <w:rFonts w:ascii="Times New Roman" w:hAnsi="Times New Roman" w:eastAsia="Times New Roman" w:cs="Times New Roman"/>
          <w:color w:val="000000"/>
          <w:spacing w:val="-4"/>
        </w:rPr>
      </w:pPr>
      <w:r>
        <w:rPr>
          <w:rFonts w:ascii="Times New Roman" w:hAnsi="Times New Roman" w:eastAsia="Times New Roman" w:cs="Times New Roman"/>
        </w:rPr>
        <w:t xml:space="preserve">г. Ижевск                                                                                          «___»</w:t>
      </w:r>
      <w:r>
        <w:rPr>
          <w:rFonts w:ascii="Times New Roman" w:hAnsi="Times New Roman" w:eastAsia="Times New Roman" w:cs="Times New Roman"/>
          <w:lang w:eastAsia="ru-RU"/>
        </w:rPr>
        <w:t xml:space="preserve"> _________ </w:t>
      </w:r>
      <w:r>
        <w:rPr>
          <w:rFonts w:ascii="Times New Roman" w:hAnsi="Times New Roman" w:eastAsia="Times New Roman" w:cs="Times New Roman"/>
        </w:rPr>
        <w:t xml:space="preserve">20__ г.</w:t>
      </w:r>
      <w:r>
        <w:rPr>
          <w:rFonts w:ascii="Times New Roman" w:hAnsi="Times New Roman" w:eastAsia="Times New Roman" w:cs="Times New Roman"/>
          <w:color w:val="000000"/>
          <w:spacing w:val="-4"/>
        </w:rPr>
      </w:r>
    </w:p>
    <w:p>
      <w:pPr>
        <w:ind w:firstLine="709"/>
        <w:jc w:val="both"/>
        <w:spacing w:after="0" w:line="216" w:lineRule="auto"/>
        <w:rPr>
          <w:rFonts w:ascii="Times New Roman" w:hAnsi="Times New Roman" w:eastAsia="Times New Roman" w:cs="Times New Roman"/>
          <w:color w:val="000000"/>
          <w:spacing w:val="-4"/>
        </w:rPr>
      </w:pPr>
      <w:r>
        <w:rPr>
          <w:rFonts w:ascii="Times New Roman" w:hAnsi="Times New Roman" w:eastAsia="Times New Roman" w:cs="Times New Roman"/>
          <w:color w:val="000000"/>
          <w:spacing w:val="-4"/>
        </w:rPr>
      </w:r>
      <w:r>
        <w:rPr>
          <w:rFonts w:ascii="Times New Roman" w:hAnsi="Times New Roman" w:eastAsia="Times New Roman" w:cs="Times New Roman"/>
          <w:color w:val="000000"/>
          <w:spacing w:val="-4"/>
        </w:rPr>
      </w:r>
    </w:p>
    <w:tbl>
      <w:tblPr>
        <w:tblW w:w="1077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41"/>
        <w:gridCol w:w="1309"/>
        <w:gridCol w:w="1449"/>
        <w:gridCol w:w="1451"/>
        <w:gridCol w:w="1404"/>
        <w:gridCol w:w="1308"/>
        <w:gridCol w:w="1308"/>
        <w:gridCol w:w="1265"/>
        <w:gridCol w:w="838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№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9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Номер обращения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9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Дата регистрации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Учреждение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4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Подсистема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8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Тема обращения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8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Описание обращения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5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Состояние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" w:type="dxa"/>
            <w:vAlign w:val="center"/>
            <w:textDirection w:val="lrTb"/>
            <w:noWrap w:val="false"/>
          </w:tcPr>
          <w:p>
            <w:pPr>
              <w:jc w:val="center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  <w:t xml:space="preserve">Дата закрытия</w:t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1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4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8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8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5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0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9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1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4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8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08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5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" w:type="dxa"/>
            <w:textDirection w:val="lrTb"/>
            <w:noWrap w:val="false"/>
          </w:tcPr>
          <w:p>
            <w:pPr>
              <w:jc w:val="both"/>
              <w:spacing w:after="0" w:line="216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  <w:r>
              <w:rPr>
                <w:rFonts w:ascii="Times New Roman" w:hAnsi="Times New Roman" w:cs="Times New Roman"/>
                <w:color w:val="000000"/>
                <w:spacing w:val="-4"/>
              </w:rPr>
            </w:r>
          </w:p>
        </w:tc>
      </w:tr>
    </w:tbl>
    <w:p>
      <w:pPr>
        <w:pStyle w:val="1014"/>
        <w:spacing w:line="21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erReference w:type="default" r:id="rId9"/>
      <w:footerReference w:type="first" r:id="rId10"/>
      <w:footnotePr/>
      <w:endnotePr/>
      <w:type w:val="nextPage"/>
      <w:pgSz w:w="11906" w:h="16838" w:orient="portrait"/>
      <w:pgMar w:top="851" w:right="1133" w:bottom="851" w:left="1134" w:header="0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empora LGC Uni;Cambria">
    <w:panose1 w:val="02020603050405020304"/>
  </w:font>
  <w:font w:name="Liberation Serif;Times New Roma">
    <w:panose1 w:val="02020603050405020304"/>
  </w:font>
  <w:font w:name="Arial Unicode MS">
    <w:panose1 w:val="020B0604020202020204"/>
  </w:font>
  <w:font w:name="Wingdings">
    <w:panose1 w:val="05010000000000000000"/>
  </w:font>
  <w:font w:name="Symbol">
    <w:panose1 w:val="05010000000000000000"/>
  </w:font>
  <w:font w:name="Cambria">
    <w:panose1 w:val="02040503050406030204"/>
  </w:font>
  <w:font w:name="Times New Roman">
    <w:panose1 w:val="02020603050405020304"/>
  </w:font>
  <w:font w:name="Arial Narrow">
    <w:panose1 w:val="020B0606020202030204"/>
  </w:font>
  <w:font w:name="Microsoft YaHei">
    <w:panose1 w:val="020B0503020203020204"/>
  </w:font>
  <w:font w:name="Abyssinica SIL">
    <w:panose1 w:val="02000603020000020004"/>
  </w:font>
  <w:font w:name="Lohit Devanagari;Times New Roma">
    <w:panose1 w:val="020B0600000000000000"/>
  </w:font>
  <w:font w:name="Liberation Sans;Arial">
    <w:panose1 w:val="020B0604020202020204"/>
  </w:font>
  <w:font w:name="Calibri">
    <w:panose1 w:val="020F0502020204030204"/>
  </w:font>
  <w:font w:name="Arial">
    <w:panose1 w:val="020B0604020202020204"/>
  </w:font>
  <w:font w:name="Droid Sans Fallback">
    <w:panose1 w:val="020B0502000000000001"/>
  </w:font>
  <w:font w:name="Lohit Devanagari">
    <w:panose1 w:val="020B0600000000000000"/>
  </w:font>
  <w:font w:name="OpenSymbol">
    <w:panose1 w:val="05010000000000000000"/>
  </w:font>
  <w:font w:name="Courier New">
    <w:panose1 w:val="02070409020205020404"/>
  </w:font>
  <w:font w:name="Mangal">
    <w:panose1 w:val="02040503050406030204"/>
  </w:font>
  <w:font w:name="Tahoma">
    <w:panose1 w:val="020B0606030504020204"/>
  </w:font>
  <w:font w:name="Tempora LGC Uni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2</w:t>
    </w:r>
    <w:r>
      <w:fldChar w:fldCharType="end"/>
    </w:r>
    <w:r/>
  </w:p>
  <w:p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756"/>
      <w:isLgl w:val="false"/>
      <w:suff w:val="tab"/>
      <w:lvlText w:val="%1.1."/>
      <w:lvlJc w:val="left"/>
      <w:pPr>
        <w:ind w:left="0" w:firstLine="0"/>
        <w:tabs>
          <w:tab w:val="num" w:pos="0" w:leader="none"/>
        </w:tabs>
      </w:pPr>
      <w:rPr>
        <w:rFonts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decimal"/>
      <w:pStyle w:val="757"/>
      <w:isLgl w:val="false"/>
      <w:suff w:val="tab"/>
      <w:lvlText w:val="%2."/>
      <w:lvlJc w:val="left"/>
      <w:pPr>
        <w:ind w:left="0" w:firstLine="567"/>
        <w:tabs>
          <w:tab w:val="num" w:pos="1701" w:leader="none"/>
        </w:tabs>
      </w:pPr>
      <w:rPr>
        <w:rFonts w:eastAsia="Times New Roman" w:cs="Times New Roman"/>
        <w:b w:val="0"/>
        <w:bCs/>
        <w:i w:val="0"/>
        <w:iCs w:val="0"/>
        <w:caps w:val="0"/>
        <w:smallCaps w:val="0"/>
        <w:strike w:val="0"/>
        <w:vanish w:val="0"/>
        <w:color w:val="00000a"/>
        <w:spacing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pStyle w:val="758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cs="Times New Roman"/>
      </w:rPr>
    </w:lvl>
    <w:lvl w:ilvl="3">
      <w:start w:val="1"/>
      <w:numFmt w:val="decimal"/>
      <w:pStyle w:val="759"/>
      <w:isLgl w:val="false"/>
      <w:suff w:val="tab"/>
      <w:lvlText w:val="%1.%2.%3.%4"/>
      <w:lvlJc w:val="left"/>
      <w:pPr>
        <w:ind w:left="2214" w:hanging="1134"/>
        <w:tabs>
          <w:tab w:val="num" w:pos="2214" w:leader="none"/>
        </w:tabs>
      </w:pPr>
      <w:rPr>
        <w:rFonts w:cs="Times New Roman"/>
      </w:r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pStyle w:val="761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2629" w:hanging="360"/>
        <w:tabs>
          <w:tab w:val="num" w:pos="2269" w:leader="none"/>
        </w:tabs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0" w:leader="none"/>
        </w:tabs>
      </w:pPr>
      <w:rPr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45" w:hanging="945"/>
        <w:tabs>
          <w:tab w:val="num" w:pos="0" w:leader="none"/>
        </w:tabs>
      </w:pPr>
      <w:rPr>
        <w:rFonts w:ascii="Times New Roman" w:hAnsi="Times New Roman" w:eastAsia="Times New Roman" w:cs="Times New Roman"/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485" w:hanging="945"/>
        <w:tabs>
          <w:tab w:val="num" w:pos="0" w:leader="none"/>
        </w:tabs>
      </w:pPr>
      <w:rPr>
        <w:rFonts w:ascii="Times New Roman" w:hAnsi="Times New Roman" w:eastAsia="Times New Roman" w:cs="Times New Roman"/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2025" w:hanging="945"/>
        <w:tabs>
          <w:tab w:val="num" w:pos="0" w:leader="none"/>
        </w:tabs>
      </w:pPr>
      <w:rPr>
        <w:rFonts w:ascii="Arial Narrow" w:hAnsi="Arial Narrow" w:eastAsia="Times New Roman" w:cs="Arial Narrow"/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565" w:hanging="945"/>
        <w:tabs>
          <w:tab w:val="num" w:pos="0" w:leader="none"/>
        </w:tabs>
      </w:pPr>
      <w:rPr>
        <w:rFonts w:ascii="Arial Narrow" w:hAnsi="Arial Narrow" w:eastAsia="Times New Roman" w:cs="Arial Narrow"/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240" w:hanging="1080"/>
        <w:tabs>
          <w:tab w:val="num" w:pos="0" w:leader="none"/>
        </w:tabs>
      </w:pPr>
      <w:rPr>
        <w:rFonts w:ascii="Arial Narrow" w:hAnsi="Arial Narrow" w:eastAsia="Times New Roman" w:cs="Arial Narrow"/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780" w:hanging="1080"/>
        <w:tabs>
          <w:tab w:val="num" w:pos="0" w:leader="none"/>
        </w:tabs>
      </w:pPr>
      <w:rPr>
        <w:rFonts w:ascii="Arial Narrow" w:hAnsi="Arial Narrow" w:eastAsia="Times New Roman" w:cs="Arial Narrow"/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680" w:hanging="1440"/>
        <w:tabs>
          <w:tab w:val="num" w:pos="0" w:leader="none"/>
        </w:tabs>
      </w:pPr>
      <w:rPr>
        <w:rFonts w:ascii="Arial Narrow" w:hAnsi="Arial Narrow" w:eastAsia="Times New Roman" w:cs="Arial Narrow"/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220" w:hanging="1440"/>
        <w:tabs>
          <w:tab w:val="num" w:pos="0" w:leader="none"/>
        </w:tabs>
      </w:pPr>
      <w:rPr>
        <w:rFonts w:ascii="Arial Narrow" w:hAnsi="Arial Narrow" w:eastAsia="Times New Roman" w:cs="Arial Narrow"/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120" w:hanging="1800"/>
        <w:tabs>
          <w:tab w:val="num" w:pos="0" w:leader="none"/>
        </w:tabs>
      </w:pPr>
      <w:rPr>
        <w:rFonts w:ascii="Arial Narrow" w:hAnsi="Arial Narrow" w:eastAsia="Times New Roman" w:cs="Arial Narrow"/>
        <w:b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705" w:hanging="705"/>
        <w:tabs>
          <w:tab w:val="num" w:pos="0" w:leader="none"/>
        </w:tabs>
      </w:pPr>
      <w:rPr>
        <w:rFonts w:hint="default" w:ascii="Arial Narrow" w:hAnsi="Arial Narrow" w:cs="Arial Narrow"/>
        <w:b w:val="0"/>
        <w:bCs w:val="0"/>
        <w:sz w:val="22"/>
        <w:szCs w:val="22"/>
      </w:rPr>
    </w:lvl>
    <w:lvl w:ilvl="1">
      <w:start w:val="1"/>
      <w:numFmt w:val="decimal"/>
      <w:isLgl w:val="false"/>
      <w:suff w:val="tab"/>
      <w:lvlText w:val="4.%2."/>
      <w:lvlJc w:val="left"/>
      <w:pPr>
        <w:ind w:left="705" w:hanging="705"/>
        <w:tabs>
          <w:tab w:val="num" w:pos="0" w:leader="none"/>
        </w:tabs>
      </w:pPr>
      <w:rPr>
        <w:rFonts w:hint="default"/>
        <w:b w:val="0"/>
        <w:bCs w:val="0"/>
      </w:rPr>
    </w:lvl>
    <w:lvl w:ilvl="2">
      <w:start w:val="1"/>
      <w:numFmt w:val="decimal"/>
      <w:isLgl w:val="false"/>
      <w:suff w:val="tab"/>
      <w:lvlText w:val="2.%2.%3."/>
      <w:lvlJc w:val="left"/>
      <w:pPr>
        <w:ind w:left="720" w:hanging="720"/>
        <w:tabs>
          <w:tab w:val="num" w:pos="0" w:leader="none"/>
        </w:tabs>
      </w:pPr>
      <w:rPr>
        <w:rFonts w:hint="default"/>
        <w:b w:val="0"/>
        <w:bCs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0" w:leader="none"/>
        </w:tabs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52" w:hanging="360"/>
        <w:tabs>
          <w:tab w:val="num" w:pos="0" w:leader="none"/>
        </w:tabs>
      </w:pPr>
      <w:rPr>
        <w:rFonts w:hint="default" w:ascii="Symbol" w:hAnsi="Symbol" w:cs="Symbol"/>
        <w:strike w:val="0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</w:lvl>
    <w:lvl w:ilvl="1">
      <w:start w:val="3"/>
      <w:numFmt w:val="decimal"/>
      <w:isLgl w:val="false"/>
      <w:suff w:val="tab"/>
      <w:lvlText w:val="%1.%2."/>
      <w:lvlJc w:val="left"/>
      <w:pPr>
        <w:ind w:left="360" w:hanging="36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0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1800"/>
        <w:tabs>
          <w:tab w:val="num" w:pos="0" w:leader="none"/>
        </w:tabs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895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1"/>
      <w:numFmt w:val="decimal"/>
      <w:pStyle w:val="1032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0" w:leader="none"/>
        </w:tabs>
      </w:pPr>
      <w:rPr>
        <w:rFonts w:hint="default" w:ascii="Symbol" w:hAnsi="Symbol" w:cs="Symbol"/>
        <w:color w:val="00000a"/>
        <w:sz w:val="22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429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080" w:hanging="360"/>
        <w:tabs>
          <w:tab w:val="num" w:pos="1080" w:leader="none"/>
        </w:tabs>
      </w:pPr>
      <w:rPr>
        <w:rFonts w:hint="default" w:ascii="Symbol" w:hAnsi="Symbol" w:cs="Symbol"/>
      </w:rPr>
    </w:lvl>
    <w:lvl w:ilvl="2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 w:cs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1800" w:hanging="360"/>
        <w:tabs>
          <w:tab w:val="num" w:pos="180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 w:cs="Symbol"/>
      </w:rPr>
    </w:lvl>
    <w:lvl w:ilvl="5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hint="default" w:ascii="Symbol" w:hAnsi="Symbol" w:cs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240" w:leader="none"/>
        </w:tabs>
      </w:pPr>
      <w:rPr>
        <w:rFonts w:hint="default" w:ascii="Symbol" w:hAnsi="Symbol" w:cs="Symbol"/>
      </w:rPr>
    </w:lvl>
    <w:lvl w:ilvl="8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 w:cs="Symbol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895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72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4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sz w:val="24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  <w:color w:val="00000a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895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  <w:color w:val="00000a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895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0">
    <w:multiLevelType w:val="hybridMultilevel"/>
    <w:lvl w:ilvl="0">
      <w:start w:val="13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  <w:color w:val="00000a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4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7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4">
    <w:multiLevelType w:val="hybridMultilevel"/>
    <w:lvl w:ilvl="0">
      <w:start w:val="1"/>
      <w:numFmt w:val="bullet"/>
      <w:pStyle w:val="1023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  <w:color w:val="00000a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2"/>
  </w:num>
  <w:num w:numId="3">
    <w:abstractNumId w:val="11"/>
  </w:num>
  <w:num w:numId="4">
    <w:abstractNumId w:val="32"/>
  </w:num>
  <w:num w:numId="5">
    <w:abstractNumId w:val="30"/>
  </w:num>
  <w:num w:numId="6">
    <w:abstractNumId w:val="31"/>
  </w:num>
  <w:num w:numId="7">
    <w:abstractNumId w:val="9"/>
  </w:num>
  <w:num w:numId="8">
    <w:abstractNumId w:val="36"/>
  </w:num>
  <w:num w:numId="9">
    <w:abstractNumId w:val="6"/>
  </w:num>
  <w:num w:numId="10">
    <w:abstractNumId w:val="22"/>
  </w:num>
  <w:num w:numId="11">
    <w:abstractNumId w:val="15"/>
  </w:num>
  <w:num w:numId="12">
    <w:abstractNumId w:val="34"/>
  </w:num>
  <w:num w:numId="13">
    <w:abstractNumId w:val="4"/>
  </w:num>
  <w:num w:numId="14">
    <w:abstractNumId w:val="8"/>
  </w:num>
  <w:num w:numId="15">
    <w:abstractNumId w:val="23"/>
  </w:num>
  <w:num w:numId="16">
    <w:abstractNumId w:val="33"/>
  </w:num>
  <w:num w:numId="17">
    <w:abstractNumId w:val="1"/>
  </w:num>
  <w:num w:numId="18">
    <w:abstractNumId w:val="14"/>
  </w:num>
  <w:num w:numId="19">
    <w:abstractNumId w:val="21"/>
  </w:num>
  <w:num w:numId="20">
    <w:abstractNumId w:val="27"/>
  </w:num>
  <w:num w:numId="21">
    <w:abstractNumId w:val="28"/>
  </w:num>
  <w:num w:numId="22">
    <w:abstractNumId w:val="20"/>
  </w:num>
  <w:num w:numId="23">
    <w:abstractNumId w:val="12"/>
  </w:num>
  <w:num w:numId="24">
    <w:abstractNumId w:val="26"/>
  </w:num>
  <w:num w:numId="25">
    <w:abstractNumId w:val="7"/>
  </w:num>
  <w:num w:numId="26">
    <w:abstractNumId w:val="18"/>
  </w:num>
  <w:num w:numId="27">
    <w:abstractNumId w:val="16"/>
  </w:num>
  <w:num w:numId="28">
    <w:abstractNumId w:val="29"/>
  </w:num>
  <w:num w:numId="29">
    <w:abstractNumId w:val="19"/>
  </w:num>
  <w:num w:numId="30">
    <w:abstractNumId w:val="24"/>
  </w:num>
  <w:num w:numId="31">
    <w:abstractNumId w:val="10"/>
  </w:num>
  <w:num w:numId="32">
    <w:abstractNumId w:val="5"/>
  </w:num>
  <w:num w:numId="33">
    <w:abstractNumId w:val="35"/>
  </w:num>
  <w:num w:numId="34">
    <w:abstractNumId w:val="17"/>
  </w:num>
  <w:num w:numId="35">
    <w:abstractNumId w:val="3"/>
  </w:num>
  <w:num w:numId="36">
    <w:abstractNumId w:val="13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empora LGC Uni" w:hAnsi="Tempora LGC Uni" w:eastAsia="Droid Sans Fallback" w:cs="Lohit Devanaga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47">
    <w:name w:val="Caption Char"/>
    <w:basedOn w:val="765"/>
    <w:link w:val="969"/>
    <w:uiPriority w:val="35"/>
    <w:rPr>
      <w:b/>
      <w:bCs/>
      <w:color w:val="4f81bd" w:themeColor="accent1"/>
      <w:sz w:val="18"/>
      <w:szCs w:val="18"/>
    </w:rPr>
  </w:style>
  <w:style w:type="table" w:styleId="50">
    <w:name w:val="Plain Table 1"/>
    <w:basedOn w:val="7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">
    <w:name w:val="Grid Table 5 Dark"/>
    <w:basedOn w:val="7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7">
    <w:name w:val="Grid Table 7 Colorful"/>
    <w:basedOn w:val="7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6">
    <w:name w:val="List Table 7 Colorful"/>
    <w:basedOn w:val="7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55" w:default="1">
    <w:name w:val="Normal"/>
    <w:qFormat/>
    <w:pPr>
      <w:spacing w:after="200" w:line="276" w:lineRule="auto"/>
    </w:pPr>
    <w:rPr>
      <w:rFonts w:ascii="Calibri" w:hAnsi="Calibri" w:eastAsia="Calibri" w:cs="Calibri"/>
      <w:color w:val="00000a"/>
      <w:sz w:val="22"/>
      <w:szCs w:val="22"/>
      <w:lang w:eastAsia="zh-CN"/>
    </w:rPr>
  </w:style>
  <w:style w:type="paragraph" w:styleId="756">
    <w:name w:val="Heading 1"/>
    <w:basedOn w:val="755"/>
    <w:next w:val="967"/>
    <w:qFormat/>
    <w:pPr>
      <w:numPr>
        <w:ilvl w:val="0"/>
        <w:numId w:val="1"/>
      </w:numPr>
      <w:keepNext/>
      <w:spacing w:before="240" w:after="60" w:line="240" w:lineRule="auto"/>
      <w:outlineLvl w:val="0"/>
    </w:pPr>
    <w:rPr>
      <w:rFonts w:ascii="Arial" w:hAnsi="Arial" w:eastAsia="Times New Roman" w:cs="Arial"/>
      <w:b/>
      <w:bCs/>
      <w:sz w:val="32"/>
      <w:szCs w:val="32"/>
    </w:rPr>
  </w:style>
  <w:style w:type="paragraph" w:styleId="757">
    <w:name w:val="Heading 2"/>
    <w:basedOn w:val="755"/>
    <w:next w:val="967"/>
    <w:qFormat/>
    <w:pPr>
      <w:numPr>
        <w:ilvl w:val="1"/>
        <w:numId w:val="1"/>
      </w:numPr>
      <w:keepNext/>
      <w:spacing w:before="240" w:after="60" w:line="240" w:lineRule="auto"/>
      <w:outlineLvl w:val="1"/>
    </w:pPr>
    <w:rPr>
      <w:rFonts w:ascii="Cambria" w:hAnsi="Cambria" w:eastAsia="Times New Roman" w:cs="Cambria"/>
      <w:b/>
      <w:bCs/>
      <w:i/>
      <w:iCs/>
      <w:sz w:val="28"/>
      <w:szCs w:val="28"/>
    </w:rPr>
  </w:style>
  <w:style w:type="paragraph" w:styleId="758">
    <w:name w:val="Heading 3"/>
    <w:basedOn w:val="755"/>
    <w:next w:val="967"/>
    <w:qFormat/>
    <w:pPr>
      <w:numPr>
        <w:ilvl w:val="2"/>
        <w:numId w:val="1"/>
      </w:numPr>
      <w:ind w:left="2870" w:hanging="360"/>
      <w:keepNext/>
      <w:spacing w:before="120" w:after="120" w:line="240" w:lineRule="auto"/>
      <w:tabs>
        <w:tab w:val="left" w:pos="2870" w:leader="none"/>
      </w:tabs>
      <w:outlineLvl w:val="2"/>
    </w:pPr>
    <w:rPr>
      <w:rFonts w:ascii="Times New Roman" w:hAnsi="Times New Roman" w:cs="Times New Roman"/>
      <w:b/>
      <w:bCs/>
      <w:sz w:val="28"/>
      <w:szCs w:val="28"/>
    </w:rPr>
  </w:style>
  <w:style w:type="paragraph" w:styleId="759">
    <w:name w:val="Heading 4"/>
    <w:basedOn w:val="755"/>
    <w:next w:val="967"/>
    <w:qFormat/>
    <w:pPr>
      <w:numPr>
        <w:ilvl w:val="3"/>
        <w:numId w:val="1"/>
      </w:numPr>
      <w:ind w:left="3590" w:hanging="360"/>
      <w:jc w:val="both"/>
      <w:keepNext/>
      <w:spacing w:before="240" w:after="120" w:line="240" w:lineRule="auto"/>
      <w:tabs>
        <w:tab w:val="left" w:pos="1134" w:leader="none"/>
        <w:tab w:val="left" w:pos="3590" w:leader="none"/>
      </w:tabs>
      <w:outlineLvl w:val="3"/>
    </w:pPr>
    <w:rPr>
      <w:rFonts w:ascii="Times New Roman" w:hAnsi="Times New Roman" w:cs="Times New Roman"/>
      <w:b/>
      <w:bCs/>
      <w:i/>
      <w:iCs/>
      <w:sz w:val="28"/>
      <w:szCs w:val="28"/>
    </w:rPr>
  </w:style>
  <w:style w:type="paragraph" w:styleId="760">
    <w:name w:val="Heading 5"/>
    <w:basedOn w:val="755"/>
    <w:next w:val="755"/>
    <w:link w:val="800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61">
    <w:name w:val="Heading 6"/>
    <w:basedOn w:val="755"/>
    <w:next w:val="755"/>
    <w:qFormat/>
    <w:pPr>
      <w:numPr>
        <w:ilvl w:val="5"/>
        <w:numId w:val="1"/>
      </w:numPr>
      <w:spacing w:before="240" w:after="60"/>
      <w:outlineLvl w:val="5"/>
    </w:pPr>
    <w:rPr>
      <w:rFonts w:eastAsia="Times New Roman"/>
      <w:b/>
      <w:bCs/>
    </w:rPr>
  </w:style>
  <w:style w:type="paragraph" w:styleId="762">
    <w:name w:val="Heading 7"/>
    <w:basedOn w:val="755"/>
    <w:next w:val="755"/>
    <w:link w:val="802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63">
    <w:name w:val="Heading 8"/>
    <w:basedOn w:val="755"/>
    <w:next w:val="755"/>
    <w:link w:val="80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64">
    <w:name w:val="Heading 9"/>
    <w:basedOn w:val="755"/>
    <w:next w:val="755"/>
    <w:link w:val="80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5" w:default="1">
    <w:name w:val="Default Paragraph Font"/>
    <w:uiPriority w:val="1"/>
    <w:semiHidden/>
    <w:unhideWhenUsed/>
  </w:style>
  <w:style w:type="table" w:styleId="7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7" w:default="1">
    <w:name w:val="No List"/>
    <w:uiPriority w:val="99"/>
    <w:semiHidden/>
    <w:unhideWhenUsed/>
  </w:style>
  <w:style w:type="character" w:styleId="768" w:customStyle="1">
    <w:name w:val="Heading 5 Char"/>
    <w:basedOn w:val="765"/>
    <w:uiPriority w:val="9"/>
    <w:rPr>
      <w:rFonts w:ascii="Arial" w:hAnsi="Arial" w:eastAsia="Arial" w:cs="Arial"/>
      <w:b/>
      <w:bCs/>
      <w:sz w:val="24"/>
      <w:szCs w:val="24"/>
    </w:rPr>
  </w:style>
  <w:style w:type="character" w:styleId="769" w:customStyle="1">
    <w:name w:val="Heading 7 Char"/>
    <w:basedOn w:val="7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0" w:customStyle="1">
    <w:name w:val="Heading 8 Char"/>
    <w:basedOn w:val="765"/>
    <w:uiPriority w:val="9"/>
    <w:rPr>
      <w:rFonts w:ascii="Arial" w:hAnsi="Arial" w:eastAsia="Arial" w:cs="Arial"/>
      <w:i/>
      <w:iCs/>
      <w:sz w:val="22"/>
      <w:szCs w:val="22"/>
    </w:rPr>
  </w:style>
  <w:style w:type="character" w:styleId="771" w:customStyle="1">
    <w:name w:val="Heading 9 Char"/>
    <w:basedOn w:val="765"/>
    <w:uiPriority w:val="9"/>
    <w:rPr>
      <w:rFonts w:ascii="Arial" w:hAnsi="Arial" w:eastAsia="Arial" w:cs="Arial"/>
      <w:i/>
      <w:iCs/>
      <w:sz w:val="21"/>
      <w:szCs w:val="21"/>
    </w:rPr>
  </w:style>
  <w:style w:type="character" w:styleId="772" w:customStyle="1">
    <w:name w:val="Title Char"/>
    <w:basedOn w:val="765"/>
    <w:uiPriority w:val="10"/>
    <w:rPr>
      <w:sz w:val="48"/>
      <w:szCs w:val="48"/>
    </w:rPr>
  </w:style>
  <w:style w:type="character" w:styleId="773" w:customStyle="1">
    <w:name w:val="Subtitle Char"/>
    <w:basedOn w:val="765"/>
    <w:uiPriority w:val="11"/>
    <w:rPr>
      <w:sz w:val="24"/>
      <w:szCs w:val="24"/>
    </w:rPr>
  </w:style>
  <w:style w:type="character" w:styleId="774" w:customStyle="1">
    <w:name w:val="Quote Char"/>
    <w:uiPriority w:val="29"/>
    <w:rPr>
      <w:i/>
    </w:rPr>
  </w:style>
  <w:style w:type="character" w:styleId="775" w:customStyle="1">
    <w:name w:val="Intense Quote Char"/>
    <w:uiPriority w:val="30"/>
    <w:rPr>
      <w:i/>
    </w:rPr>
  </w:style>
  <w:style w:type="table" w:styleId="776" w:customStyle="1">
    <w:name w:val="Таблица простая 11"/>
    <w:basedOn w:val="76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7" w:customStyle="1">
    <w:name w:val="Таблица простая 21"/>
    <w:basedOn w:val="76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8" w:customStyle="1">
    <w:name w:val="Таблица простая 31"/>
    <w:basedOn w:val="76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9" w:customStyle="1">
    <w:name w:val="Таблица простая 41"/>
    <w:basedOn w:val="76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Таблица простая 51"/>
    <w:basedOn w:val="76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1" w:customStyle="1">
    <w:name w:val="Таблица-сетка 1 светлая1"/>
    <w:basedOn w:val="76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Таблица-сетка 21"/>
    <w:basedOn w:val="76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Таблица-сетка 31"/>
    <w:basedOn w:val="76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Таблица-сетка 41"/>
    <w:basedOn w:val="76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5" w:customStyle="1">
    <w:name w:val="Таблица-сетка 5 темная1"/>
    <w:basedOn w:val="7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6" w:customStyle="1">
    <w:name w:val="Таблица-сетка 6 цветная1"/>
    <w:basedOn w:val="76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7" w:customStyle="1">
    <w:name w:val="Таблица-сетка 7 цветная1"/>
    <w:basedOn w:val="76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Список-таблица 1 светлая1"/>
    <w:basedOn w:val="76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Список-таблица 21"/>
    <w:basedOn w:val="76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0" w:customStyle="1">
    <w:name w:val="Список-таблица 31"/>
    <w:basedOn w:val="76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Список-таблица 41"/>
    <w:basedOn w:val="76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Список-таблица 5 темная1"/>
    <w:basedOn w:val="76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Список-таблица 6 цветная1"/>
    <w:basedOn w:val="76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4" w:customStyle="1">
    <w:name w:val="Список-таблица 7 цветная1"/>
    <w:basedOn w:val="76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95" w:customStyle="1">
    <w:name w:val="Endnote Text Char"/>
    <w:uiPriority w:val="99"/>
    <w:rPr>
      <w:sz w:val="20"/>
    </w:rPr>
  </w:style>
  <w:style w:type="character" w:styleId="796" w:customStyle="1">
    <w:name w:val="Heading 1 Char"/>
    <w:basedOn w:val="765"/>
    <w:uiPriority w:val="9"/>
    <w:qFormat/>
    <w:rPr>
      <w:rFonts w:ascii="Arial" w:hAnsi="Arial" w:eastAsia="Arial" w:cs="Arial"/>
      <w:sz w:val="40"/>
      <w:szCs w:val="40"/>
    </w:rPr>
  </w:style>
  <w:style w:type="character" w:styleId="797" w:customStyle="1">
    <w:name w:val="Heading 2 Char"/>
    <w:basedOn w:val="765"/>
    <w:uiPriority w:val="9"/>
    <w:qFormat/>
    <w:rPr>
      <w:rFonts w:ascii="Arial" w:hAnsi="Arial" w:eastAsia="Arial" w:cs="Arial"/>
      <w:sz w:val="34"/>
    </w:rPr>
  </w:style>
  <w:style w:type="character" w:styleId="798" w:customStyle="1">
    <w:name w:val="Heading 3 Char"/>
    <w:basedOn w:val="765"/>
    <w:uiPriority w:val="9"/>
    <w:qFormat/>
    <w:rPr>
      <w:rFonts w:ascii="Arial" w:hAnsi="Arial" w:eastAsia="Arial" w:cs="Arial"/>
      <w:sz w:val="30"/>
      <w:szCs w:val="30"/>
    </w:rPr>
  </w:style>
  <w:style w:type="character" w:styleId="799" w:customStyle="1">
    <w:name w:val="Heading 4 Char"/>
    <w:basedOn w:val="765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00" w:customStyle="1">
    <w:name w:val="Заголовок 5 Знак"/>
    <w:basedOn w:val="765"/>
    <w:link w:val="760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01" w:customStyle="1">
    <w:name w:val="Heading 6 Char"/>
    <w:basedOn w:val="765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02" w:customStyle="1">
    <w:name w:val="Заголовок 7 Знак"/>
    <w:basedOn w:val="765"/>
    <w:link w:val="762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03" w:customStyle="1">
    <w:name w:val="Заголовок 8 Знак"/>
    <w:basedOn w:val="765"/>
    <w:link w:val="763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04" w:customStyle="1">
    <w:name w:val="Заголовок 9 Знак"/>
    <w:basedOn w:val="765"/>
    <w:link w:val="764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05" w:customStyle="1">
    <w:name w:val="Заголовок Знак1"/>
    <w:basedOn w:val="765"/>
    <w:link w:val="966"/>
    <w:uiPriority w:val="10"/>
    <w:qFormat/>
    <w:rPr>
      <w:sz w:val="48"/>
      <w:szCs w:val="48"/>
    </w:rPr>
  </w:style>
  <w:style w:type="character" w:styleId="806" w:customStyle="1">
    <w:name w:val="Подзаголовок Знак"/>
    <w:basedOn w:val="765"/>
    <w:link w:val="971"/>
    <w:uiPriority w:val="11"/>
    <w:qFormat/>
    <w:rPr>
      <w:sz w:val="24"/>
      <w:szCs w:val="24"/>
    </w:rPr>
  </w:style>
  <w:style w:type="character" w:styleId="807" w:customStyle="1">
    <w:name w:val="Цитата 2 Знак"/>
    <w:link w:val="972"/>
    <w:uiPriority w:val="29"/>
    <w:qFormat/>
    <w:rPr>
      <w:i/>
    </w:rPr>
  </w:style>
  <w:style w:type="character" w:styleId="808" w:customStyle="1">
    <w:name w:val="Выделенная цитата Знак"/>
    <w:link w:val="973"/>
    <w:uiPriority w:val="30"/>
    <w:qFormat/>
    <w:rPr>
      <w:i/>
    </w:rPr>
  </w:style>
  <w:style w:type="character" w:styleId="809" w:customStyle="1">
    <w:name w:val="Header Char"/>
    <w:basedOn w:val="765"/>
    <w:uiPriority w:val="99"/>
    <w:qFormat/>
  </w:style>
  <w:style w:type="character" w:styleId="810" w:customStyle="1">
    <w:name w:val="Footer Char"/>
    <w:basedOn w:val="765"/>
    <w:uiPriority w:val="99"/>
    <w:qFormat/>
  </w:style>
  <w:style w:type="character" w:styleId="811" w:customStyle="1">
    <w:name w:val="Название объекта Знак"/>
    <w:basedOn w:val="765"/>
    <w:link w:val="969"/>
    <w:uiPriority w:val="35"/>
    <w:qFormat/>
    <w:rPr>
      <w:b/>
      <w:bCs/>
      <w:color w:val="18a303" w:themeColor="accent1"/>
      <w:sz w:val="18"/>
      <w:szCs w:val="18"/>
    </w:rPr>
  </w:style>
  <w:style w:type="character" w:styleId="812" w:customStyle="1">
    <w:name w:val="Footnote Text Char"/>
    <w:uiPriority w:val="99"/>
    <w:qFormat/>
    <w:rPr>
      <w:sz w:val="18"/>
    </w:rPr>
  </w:style>
  <w:style w:type="character" w:styleId="813" w:customStyle="1">
    <w:name w:val="Символ сноски"/>
    <w:basedOn w:val="765"/>
    <w:uiPriority w:val="99"/>
    <w:unhideWhenUsed/>
    <w:qFormat/>
    <w:rPr>
      <w:vertAlign w:val="superscript"/>
    </w:rPr>
  </w:style>
  <w:style w:type="character" w:styleId="814">
    <w:name w:val="footnote reference"/>
    <w:rPr>
      <w:vertAlign w:val="superscript"/>
    </w:rPr>
  </w:style>
  <w:style w:type="character" w:styleId="815" w:customStyle="1">
    <w:name w:val="Текст концевой сноски Знак"/>
    <w:link w:val="974"/>
    <w:uiPriority w:val="99"/>
    <w:qFormat/>
    <w:rPr>
      <w:sz w:val="20"/>
    </w:rPr>
  </w:style>
  <w:style w:type="character" w:styleId="816" w:customStyle="1">
    <w:name w:val="Символ концевой сноски"/>
    <w:basedOn w:val="765"/>
    <w:uiPriority w:val="99"/>
    <w:semiHidden/>
    <w:unhideWhenUsed/>
    <w:qFormat/>
    <w:rPr>
      <w:vertAlign w:val="superscript"/>
    </w:rPr>
  </w:style>
  <w:style w:type="character" w:styleId="817">
    <w:name w:val="endnote reference"/>
    <w:rPr>
      <w:vertAlign w:val="superscript"/>
    </w:rPr>
  </w:style>
  <w:style w:type="character" w:styleId="818" w:customStyle="1">
    <w:name w:val="WW8Num1z0"/>
    <w:qFormat/>
    <w:rPr>
      <w:rFonts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u w:val="none"/>
      <w:vertAlign w:val="baseline"/>
    </w:rPr>
  </w:style>
  <w:style w:type="character" w:styleId="819" w:customStyle="1">
    <w:name w:val="WW8Num1z1"/>
    <w:qFormat/>
    <w:rPr>
      <w:rFonts w:eastAsia="Times New Roman" w:cs="Times New Roman"/>
      <w:b w:val="0"/>
      <w:bCs/>
      <w:i w:val="0"/>
      <w:iCs w:val="0"/>
      <w:caps w:val="0"/>
      <w:smallCaps w:val="0"/>
      <w:strike w:val="0"/>
      <w:vanish w:val="0"/>
      <w:color w:val="00000a"/>
      <w:spacing w:val="0"/>
      <w:position w:val="0"/>
      <w:sz w:val="22"/>
      <w:szCs w:val="22"/>
      <w:u w:val="none"/>
      <w:vertAlign w:val="baseline"/>
    </w:rPr>
  </w:style>
  <w:style w:type="character" w:styleId="820" w:customStyle="1">
    <w:name w:val="WW8Num1z2"/>
    <w:qFormat/>
    <w:rPr>
      <w:rFonts w:cs="Times New Roman"/>
    </w:rPr>
  </w:style>
  <w:style w:type="character" w:styleId="821" w:customStyle="1">
    <w:name w:val="WW8Num2z0"/>
    <w:qFormat/>
    <w:rPr>
      <w:rFonts w:ascii="Times New Roman" w:hAnsi="Times New Roman" w:eastAsia="Times New Roman" w:cs="Times New Roman"/>
      <w:b/>
    </w:rPr>
  </w:style>
  <w:style w:type="character" w:styleId="822" w:customStyle="1">
    <w:name w:val="WW8Num2z2"/>
    <w:qFormat/>
    <w:rPr>
      <w:rFonts w:ascii="Arial Narrow" w:hAnsi="Arial Narrow" w:eastAsia="Times New Roman" w:cs="Arial Narrow"/>
      <w:b/>
    </w:rPr>
  </w:style>
  <w:style w:type="character" w:styleId="823" w:customStyle="1">
    <w:name w:val="WW8Num3z0"/>
    <w:qFormat/>
  </w:style>
  <w:style w:type="character" w:styleId="824" w:customStyle="1">
    <w:name w:val="WW8Num4z0"/>
    <w:qFormat/>
  </w:style>
  <w:style w:type="character" w:styleId="825" w:customStyle="1">
    <w:name w:val="WW8Num5z0"/>
    <w:qFormat/>
    <w:rPr>
      <w:rFonts w:ascii="Symbol" w:hAnsi="Symbol" w:cs="Times New Roman"/>
      <w:color w:val="00000a"/>
    </w:rPr>
  </w:style>
  <w:style w:type="character" w:styleId="826" w:customStyle="1">
    <w:name w:val="WW8Num6z0"/>
    <w:qFormat/>
  </w:style>
  <w:style w:type="character" w:styleId="827" w:customStyle="1">
    <w:name w:val="WW8Num7z0"/>
    <w:qFormat/>
  </w:style>
  <w:style w:type="character" w:styleId="828" w:customStyle="1">
    <w:name w:val="WW8Num8z0"/>
    <w:qFormat/>
    <w:rPr>
      <w:rFonts w:ascii="Symbol" w:hAnsi="Symbol" w:cs="Times New Roman"/>
      <w:color w:val="00000a"/>
    </w:rPr>
  </w:style>
  <w:style w:type="character" w:styleId="829" w:customStyle="1">
    <w:name w:val="WW8Num9z0"/>
    <w:qFormat/>
    <w:rPr>
      <w:rFonts w:ascii="Arial Narrow" w:hAnsi="Arial Narrow" w:cs="Arial Narrow"/>
      <w:b w:val="0"/>
      <w:bCs w:val="0"/>
      <w:sz w:val="22"/>
      <w:szCs w:val="22"/>
    </w:rPr>
  </w:style>
  <w:style w:type="character" w:styleId="830" w:customStyle="1">
    <w:name w:val="WW8Num9z1"/>
    <w:qFormat/>
    <w:rPr>
      <w:b w:val="0"/>
      <w:bCs w:val="0"/>
    </w:rPr>
  </w:style>
  <w:style w:type="character" w:styleId="831" w:customStyle="1">
    <w:name w:val="WW8Num9z3"/>
    <w:qFormat/>
  </w:style>
  <w:style w:type="character" w:styleId="832" w:customStyle="1">
    <w:name w:val="WW8Num10z0"/>
    <w:qFormat/>
  </w:style>
  <w:style w:type="character" w:styleId="833" w:customStyle="1">
    <w:name w:val="WW8Num11z0"/>
    <w:qFormat/>
    <w:rPr>
      <w:rFonts w:ascii="Symbol" w:hAnsi="Symbol" w:cs="Times New Roman"/>
      <w:color w:val="00000a"/>
      <w:sz w:val="22"/>
    </w:rPr>
  </w:style>
  <w:style w:type="character" w:styleId="834" w:customStyle="1">
    <w:name w:val="WW8Num12z0"/>
    <w:qFormat/>
    <w:rPr>
      <w:rFonts w:ascii="Symbol" w:hAnsi="Symbol" w:cs="Symbol"/>
    </w:rPr>
  </w:style>
  <w:style w:type="character" w:styleId="835" w:customStyle="1">
    <w:name w:val="WW8Num13z0"/>
    <w:qFormat/>
  </w:style>
  <w:style w:type="character" w:styleId="836" w:customStyle="1">
    <w:name w:val="WW8Num14z0"/>
    <w:qFormat/>
  </w:style>
  <w:style w:type="character" w:styleId="837" w:customStyle="1">
    <w:name w:val="WW8Num15z0"/>
    <w:qFormat/>
    <w:rPr>
      <w:sz w:val="24"/>
    </w:rPr>
  </w:style>
  <w:style w:type="character" w:styleId="838" w:customStyle="1">
    <w:name w:val="WW8Num16z0"/>
    <w:qFormat/>
  </w:style>
  <w:style w:type="character" w:styleId="839" w:customStyle="1">
    <w:name w:val="WW8Num17z0"/>
    <w:qFormat/>
    <w:rPr>
      <w:b/>
    </w:rPr>
  </w:style>
  <w:style w:type="character" w:styleId="840" w:customStyle="1">
    <w:name w:val="WW8Num17z2"/>
    <w:qFormat/>
    <w:rPr>
      <w:b w:val="0"/>
    </w:rPr>
  </w:style>
  <w:style w:type="character" w:styleId="841" w:customStyle="1">
    <w:name w:val="WW8Num17z3"/>
    <w:qFormat/>
  </w:style>
  <w:style w:type="character" w:styleId="842" w:customStyle="1">
    <w:name w:val="WW8Num18z0"/>
    <w:qFormat/>
  </w:style>
  <w:style w:type="character" w:styleId="843" w:customStyle="1">
    <w:name w:val="WW8Num20z0"/>
    <w:qFormat/>
    <w:rPr>
      <w:rFonts w:ascii="Symbol" w:hAnsi="Symbol" w:cs="Times New Roman"/>
      <w:color w:val="00000a"/>
    </w:rPr>
  </w:style>
  <w:style w:type="character" w:styleId="844" w:customStyle="1">
    <w:name w:val="WW8Num21z0"/>
    <w:qFormat/>
    <w:rPr>
      <w:rFonts w:ascii="Symbol" w:hAnsi="Symbol" w:cs="Symbol"/>
    </w:rPr>
  </w:style>
  <w:style w:type="character" w:styleId="845" w:customStyle="1">
    <w:name w:val="WW8Num22z0"/>
    <w:qFormat/>
    <w:rPr>
      <w:rFonts w:ascii="Symbol" w:hAnsi="Symbol" w:cs="Symbol"/>
    </w:rPr>
  </w:style>
  <w:style w:type="character" w:styleId="846" w:customStyle="1">
    <w:name w:val="WW8Num23z0"/>
    <w:qFormat/>
    <w:rPr>
      <w:rFonts w:ascii="Symbol" w:hAnsi="Symbol" w:cs="Symbol"/>
    </w:rPr>
  </w:style>
  <w:style w:type="character" w:styleId="847" w:customStyle="1">
    <w:name w:val="WW8Num24z0"/>
    <w:qFormat/>
    <w:rPr>
      <w:rFonts w:ascii="Symbol" w:hAnsi="Symbol" w:cs="Symbol"/>
    </w:rPr>
  </w:style>
  <w:style w:type="character" w:styleId="848" w:customStyle="1">
    <w:name w:val="WW8Num25z0"/>
    <w:qFormat/>
    <w:rPr>
      <w:rFonts w:ascii="Symbol" w:hAnsi="Symbol" w:cs="Symbol"/>
      <w:strike w:val="0"/>
    </w:rPr>
  </w:style>
  <w:style w:type="character" w:styleId="849" w:customStyle="1">
    <w:name w:val="WW8Num26z0"/>
    <w:qFormat/>
    <w:rPr>
      <w:rFonts w:ascii="Symbol" w:hAnsi="Symbol" w:cs="OpenSymbol"/>
    </w:rPr>
  </w:style>
  <w:style w:type="character" w:styleId="850" w:customStyle="1">
    <w:name w:val="WW8Num27z0"/>
    <w:qFormat/>
    <w:rPr>
      <w:rFonts w:ascii="Symbol" w:hAnsi="Symbol" w:cs="Symbol"/>
    </w:rPr>
  </w:style>
  <w:style w:type="character" w:styleId="851" w:customStyle="1">
    <w:name w:val="WW8Num28z0"/>
    <w:qFormat/>
    <w:rPr>
      <w:rFonts w:ascii="Symbol" w:hAnsi="Symbol" w:cs="Symbol"/>
    </w:rPr>
  </w:style>
  <w:style w:type="character" w:styleId="852" w:customStyle="1">
    <w:name w:val="WW8Num29z0"/>
    <w:qFormat/>
    <w:rPr>
      <w:rFonts w:ascii="Symbol" w:hAnsi="Symbol" w:cs="Symbol"/>
    </w:rPr>
  </w:style>
  <w:style w:type="character" w:styleId="853" w:customStyle="1">
    <w:name w:val="WW8Num30z0"/>
    <w:qFormat/>
    <w:rPr>
      <w:rFonts w:ascii="Symbol" w:hAnsi="Symbol" w:cs="Symbol"/>
    </w:rPr>
  </w:style>
  <w:style w:type="character" w:styleId="854" w:customStyle="1">
    <w:name w:val="WW8Num2z3"/>
    <w:qFormat/>
    <w:rPr>
      <w:rFonts w:ascii="Arial Narrow" w:hAnsi="Arial Narrow" w:eastAsia="Times New Roman" w:cs="Arial Narrow"/>
    </w:rPr>
  </w:style>
  <w:style w:type="character" w:styleId="855" w:customStyle="1">
    <w:name w:val="WW8Num3z2"/>
    <w:qFormat/>
    <w:rPr>
      <w:rFonts w:ascii="Arial Narrow" w:hAnsi="Arial Narrow" w:eastAsia="Times New Roman" w:cs="Arial Narrow"/>
      <w:b/>
    </w:rPr>
  </w:style>
  <w:style w:type="character" w:styleId="856" w:customStyle="1">
    <w:name w:val="WW8Num10z3"/>
    <w:qFormat/>
  </w:style>
  <w:style w:type="character" w:styleId="857" w:customStyle="1">
    <w:name w:val="WW8Num18z2"/>
    <w:qFormat/>
    <w:rPr>
      <w:b w:val="0"/>
    </w:rPr>
  </w:style>
  <w:style w:type="character" w:styleId="858" w:customStyle="1">
    <w:name w:val="WW8Num18z3"/>
    <w:qFormat/>
  </w:style>
  <w:style w:type="character" w:styleId="859" w:customStyle="1">
    <w:name w:val="WW8Num19z0"/>
    <w:qFormat/>
  </w:style>
  <w:style w:type="character" w:styleId="860" w:customStyle="1">
    <w:name w:val="WW8Num23z2"/>
    <w:qFormat/>
  </w:style>
  <w:style w:type="character" w:styleId="861" w:customStyle="1">
    <w:name w:val="WW8Num30z1"/>
    <w:qFormat/>
    <w:rPr>
      <w:rFonts w:ascii="Courier New" w:hAnsi="Courier New" w:cs="Courier New"/>
    </w:rPr>
  </w:style>
  <w:style w:type="character" w:styleId="862" w:customStyle="1">
    <w:name w:val="WW8Num30z2"/>
    <w:qFormat/>
    <w:rPr>
      <w:rFonts w:ascii="Wingdings" w:hAnsi="Wingdings" w:cs="Wingdings"/>
    </w:rPr>
  </w:style>
  <w:style w:type="character" w:styleId="863" w:customStyle="1">
    <w:name w:val="WW8Num31z0"/>
    <w:qFormat/>
    <w:rPr>
      <w:rFonts w:ascii="Symbol" w:hAnsi="Symbol" w:cs="Symbol"/>
    </w:rPr>
  </w:style>
  <w:style w:type="character" w:styleId="864" w:customStyle="1">
    <w:name w:val="WW8Num31z1"/>
    <w:qFormat/>
    <w:rPr>
      <w:rFonts w:ascii="Courier New" w:hAnsi="Courier New" w:cs="Courier New"/>
    </w:rPr>
  </w:style>
  <w:style w:type="character" w:styleId="865" w:customStyle="1">
    <w:name w:val="WW8Num31z2"/>
    <w:qFormat/>
    <w:rPr>
      <w:rFonts w:ascii="Wingdings" w:hAnsi="Wingdings" w:cs="Wingdings"/>
    </w:rPr>
  </w:style>
  <w:style w:type="character" w:styleId="866" w:customStyle="1">
    <w:name w:val="WW8Num32z0"/>
    <w:qFormat/>
    <w:rPr>
      <w:rFonts w:ascii="Symbol" w:hAnsi="Symbol" w:cs="Symbol"/>
    </w:rPr>
  </w:style>
  <w:style w:type="character" w:styleId="867" w:customStyle="1">
    <w:name w:val="WW8Num32z1"/>
    <w:qFormat/>
    <w:rPr>
      <w:rFonts w:ascii="Courier New" w:hAnsi="Courier New" w:cs="Courier New"/>
    </w:rPr>
  </w:style>
  <w:style w:type="character" w:styleId="868" w:customStyle="1">
    <w:name w:val="WW8Num32z2"/>
    <w:qFormat/>
    <w:rPr>
      <w:rFonts w:ascii="Wingdings" w:hAnsi="Wingdings" w:cs="Wingdings"/>
    </w:rPr>
  </w:style>
  <w:style w:type="character" w:styleId="869" w:customStyle="1">
    <w:name w:val="WW8Num33z0"/>
    <w:qFormat/>
    <w:rPr>
      <w:rFonts w:ascii="Symbol" w:hAnsi="Symbol" w:cs="Symbol"/>
    </w:rPr>
  </w:style>
  <w:style w:type="character" w:styleId="870" w:customStyle="1">
    <w:name w:val="WW8Num33z1"/>
    <w:qFormat/>
    <w:rPr>
      <w:rFonts w:ascii="Courier New" w:hAnsi="Courier New" w:cs="Courier New"/>
    </w:rPr>
  </w:style>
  <w:style w:type="character" w:styleId="871" w:customStyle="1">
    <w:name w:val="WW8Num33z2"/>
    <w:qFormat/>
    <w:rPr>
      <w:rFonts w:ascii="Wingdings" w:hAnsi="Wingdings" w:cs="Wingdings"/>
    </w:rPr>
  </w:style>
  <w:style w:type="character" w:styleId="872" w:customStyle="1">
    <w:name w:val="WW8Num34z0"/>
    <w:qFormat/>
    <w:rPr>
      <w:rFonts w:ascii="Symbol" w:hAnsi="Symbol" w:cs="Symbol"/>
    </w:rPr>
  </w:style>
  <w:style w:type="character" w:styleId="873" w:customStyle="1">
    <w:name w:val="WW8Num34z1"/>
    <w:qFormat/>
    <w:rPr>
      <w:rFonts w:ascii="Courier New" w:hAnsi="Courier New" w:cs="Courier New"/>
    </w:rPr>
  </w:style>
  <w:style w:type="character" w:styleId="874" w:customStyle="1">
    <w:name w:val="WW8Num34z2"/>
    <w:qFormat/>
    <w:rPr>
      <w:rFonts w:ascii="Wingdings" w:hAnsi="Wingdings" w:cs="Wingdings"/>
    </w:rPr>
  </w:style>
  <w:style w:type="character" w:styleId="875" w:customStyle="1">
    <w:name w:val="WW8Num35z0"/>
    <w:qFormat/>
    <w:rPr>
      <w:rFonts w:ascii="Symbol" w:hAnsi="Symbol" w:cs="Symbol"/>
    </w:rPr>
  </w:style>
  <w:style w:type="character" w:styleId="876" w:customStyle="1">
    <w:name w:val="WW8Num35z1"/>
    <w:qFormat/>
    <w:rPr>
      <w:rFonts w:ascii="Courier New" w:hAnsi="Courier New" w:cs="Courier New"/>
    </w:rPr>
  </w:style>
  <w:style w:type="character" w:styleId="877" w:customStyle="1">
    <w:name w:val="WW8Num35z2"/>
    <w:qFormat/>
    <w:rPr>
      <w:rFonts w:ascii="Wingdings" w:hAnsi="Wingdings" w:cs="Wingdings"/>
    </w:rPr>
  </w:style>
  <w:style w:type="character" w:styleId="878" w:customStyle="1">
    <w:name w:val="WW8Num36z0"/>
    <w:qFormat/>
    <w:rPr>
      <w:rFonts w:ascii="Symbol" w:hAnsi="Symbol" w:cs="Symbol"/>
    </w:rPr>
  </w:style>
  <w:style w:type="character" w:styleId="879" w:customStyle="1">
    <w:name w:val="WW8Num36z1"/>
    <w:qFormat/>
    <w:rPr>
      <w:rFonts w:ascii="Courier New" w:hAnsi="Courier New" w:cs="Courier New"/>
    </w:rPr>
  </w:style>
  <w:style w:type="character" w:styleId="880" w:customStyle="1">
    <w:name w:val="WW8Num36z2"/>
    <w:qFormat/>
    <w:rPr>
      <w:rFonts w:ascii="Wingdings" w:hAnsi="Wingdings" w:cs="Wingdings"/>
    </w:rPr>
  </w:style>
  <w:style w:type="character" w:styleId="881" w:customStyle="1">
    <w:name w:val="WW8Num37z0"/>
    <w:qFormat/>
    <w:rPr>
      <w:rFonts w:ascii="Symbol" w:hAnsi="Symbol" w:cs="Symbol"/>
    </w:rPr>
  </w:style>
  <w:style w:type="character" w:styleId="882" w:customStyle="1">
    <w:name w:val="WW8Num37z1"/>
    <w:qFormat/>
    <w:rPr>
      <w:rFonts w:ascii="Courier New" w:hAnsi="Courier New" w:cs="Courier New"/>
    </w:rPr>
  </w:style>
  <w:style w:type="character" w:styleId="883" w:customStyle="1">
    <w:name w:val="WW8Num37z2"/>
    <w:qFormat/>
    <w:rPr>
      <w:rFonts w:ascii="Wingdings" w:hAnsi="Wingdings" w:cs="Wingdings"/>
    </w:rPr>
  </w:style>
  <w:style w:type="character" w:styleId="884" w:customStyle="1">
    <w:name w:val="WW8Num38z0"/>
    <w:qFormat/>
    <w:rPr>
      <w:rFonts w:ascii="Symbol" w:hAnsi="Symbol" w:cs="Symbol"/>
    </w:rPr>
  </w:style>
  <w:style w:type="character" w:styleId="885" w:customStyle="1">
    <w:name w:val="WW8Num38z1"/>
    <w:qFormat/>
    <w:rPr>
      <w:rFonts w:ascii="Courier New" w:hAnsi="Courier New" w:cs="Courier New"/>
    </w:rPr>
  </w:style>
  <w:style w:type="character" w:styleId="886" w:customStyle="1">
    <w:name w:val="WW8Num38z2"/>
    <w:qFormat/>
    <w:rPr>
      <w:rFonts w:ascii="Wingdings" w:hAnsi="Wingdings" w:cs="Wingdings"/>
    </w:rPr>
  </w:style>
  <w:style w:type="character" w:styleId="887" w:customStyle="1">
    <w:name w:val="WW8Num40z0"/>
    <w:qFormat/>
    <w:rPr>
      <w:rFonts w:ascii="Symbol" w:hAnsi="Symbol" w:cs="Symbol"/>
    </w:rPr>
  </w:style>
  <w:style w:type="character" w:styleId="888" w:customStyle="1">
    <w:name w:val="WW8Num40z1"/>
    <w:qFormat/>
    <w:rPr>
      <w:rFonts w:ascii="Courier New" w:hAnsi="Courier New" w:cs="Courier New"/>
    </w:rPr>
  </w:style>
  <w:style w:type="character" w:styleId="889" w:customStyle="1">
    <w:name w:val="WW8Num40z2"/>
    <w:qFormat/>
    <w:rPr>
      <w:rFonts w:ascii="Wingdings" w:hAnsi="Wingdings" w:cs="Wingdings"/>
    </w:rPr>
  </w:style>
  <w:style w:type="character" w:styleId="890" w:customStyle="1">
    <w:name w:val="WW8Num41z0"/>
    <w:qFormat/>
    <w:rPr>
      <w:rFonts w:ascii="Symbol" w:hAnsi="Symbol" w:cs="Symbol"/>
    </w:rPr>
  </w:style>
  <w:style w:type="character" w:styleId="891" w:customStyle="1">
    <w:name w:val="WW8Num41z1"/>
    <w:qFormat/>
    <w:rPr>
      <w:rFonts w:ascii="Courier New" w:hAnsi="Courier New" w:cs="Courier New"/>
    </w:rPr>
  </w:style>
  <w:style w:type="character" w:styleId="892" w:customStyle="1">
    <w:name w:val="WW8Num41z2"/>
    <w:qFormat/>
    <w:rPr>
      <w:rFonts w:ascii="Wingdings" w:hAnsi="Wingdings" w:cs="Wingdings"/>
    </w:rPr>
  </w:style>
  <w:style w:type="character" w:styleId="893" w:customStyle="1">
    <w:name w:val="WW8Num42z0"/>
    <w:qFormat/>
    <w:rPr>
      <w:rFonts w:ascii="Symbol" w:hAnsi="Symbol" w:cs="Symbol"/>
    </w:rPr>
  </w:style>
  <w:style w:type="character" w:styleId="894" w:customStyle="1">
    <w:name w:val="WW8Num42z1"/>
    <w:qFormat/>
    <w:rPr>
      <w:rFonts w:ascii="Courier New" w:hAnsi="Courier New" w:cs="Courier New"/>
    </w:rPr>
  </w:style>
  <w:style w:type="character" w:styleId="895" w:customStyle="1">
    <w:name w:val="WW8Num42z2"/>
    <w:qFormat/>
    <w:rPr>
      <w:rFonts w:ascii="Wingdings" w:hAnsi="Wingdings" w:cs="Wingdings"/>
    </w:rPr>
  </w:style>
  <w:style w:type="character" w:styleId="896" w:customStyle="1">
    <w:name w:val="Основной шрифт абзаца2"/>
    <w:qFormat/>
  </w:style>
  <w:style w:type="character" w:styleId="897" w:customStyle="1">
    <w:name w:val="WW8Num11z3"/>
    <w:qFormat/>
  </w:style>
  <w:style w:type="character" w:styleId="898" w:customStyle="1">
    <w:name w:val="WW8Num19z2"/>
    <w:qFormat/>
    <w:rPr>
      <w:b w:val="0"/>
    </w:rPr>
  </w:style>
  <w:style w:type="character" w:styleId="899" w:customStyle="1">
    <w:name w:val="WW8Num19z3"/>
    <w:qFormat/>
  </w:style>
  <w:style w:type="character" w:styleId="900" w:customStyle="1">
    <w:name w:val="WW8Num24z2"/>
    <w:qFormat/>
  </w:style>
  <w:style w:type="character" w:styleId="901" w:customStyle="1">
    <w:name w:val="WW8Num12z3"/>
    <w:qFormat/>
  </w:style>
  <w:style w:type="character" w:styleId="902" w:customStyle="1">
    <w:name w:val="WW8Num22z2"/>
    <w:qFormat/>
    <w:rPr>
      <w:b w:val="0"/>
    </w:rPr>
  </w:style>
  <w:style w:type="character" w:styleId="903" w:customStyle="1">
    <w:name w:val="WW8Num22z3"/>
    <w:qFormat/>
  </w:style>
  <w:style w:type="character" w:styleId="904" w:customStyle="1">
    <w:name w:val="WW8Num29z2"/>
    <w:qFormat/>
  </w:style>
  <w:style w:type="character" w:styleId="905" w:customStyle="1">
    <w:name w:val="WW8Num39z0"/>
    <w:qFormat/>
    <w:rPr>
      <w:rFonts w:ascii="Symbol" w:hAnsi="Symbol" w:cs="Symbol"/>
      <w:strike w:val="0"/>
    </w:rPr>
  </w:style>
  <w:style w:type="character" w:styleId="906" w:customStyle="1">
    <w:name w:val="WW8Num1z3"/>
    <w:qFormat/>
    <w:rPr>
      <w:rFonts w:ascii="Arial Narrow" w:hAnsi="Arial Narrow" w:eastAsia="Times New Roman" w:cs="Arial Narrow"/>
    </w:rPr>
  </w:style>
  <w:style w:type="character" w:styleId="907" w:customStyle="1">
    <w:name w:val="WW8Num6z1"/>
    <w:qFormat/>
    <w:rPr>
      <w:rFonts w:ascii="Courier New" w:hAnsi="Courier New" w:cs="Courier New"/>
    </w:rPr>
  </w:style>
  <w:style w:type="character" w:styleId="908" w:customStyle="1">
    <w:name w:val="WW8Num6z2"/>
    <w:qFormat/>
    <w:rPr>
      <w:rFonts w:ascii="Wingdings" w:hAnsi="Wingdings" w:cs="Wingdings"/>
    </w:rPr>
  </w:style>
  <w:style w:type="character" w:styleId="909" w:customStyle="1">
    <w:name w:val="WW8Num6z3"/>
    <w:qFormat/>
    <w:rPr>
      <w:rFonts w:ascii="Symbol" w:hAnsi="Symbol" w:cs="Symbol"/>
    </w:rPr>
  </w:style>
  <w:style w:type="character" w:styleId="910" w:customStyle="1">
    <w:name w:val="WW8Num10z1"/>
    <w:qFormat/>
    <w:rPr>
      <w:rFonts w:eastAsia="Times New Roman" w:cs="Times New Roman"/>
      <w:b w:val="0"/>
      <w:bCs/>
      <w:i w:val="0"/>
      <w:iCs w:val="0"/>
      <w:caps w:val="0"/>
      <w:smallCaps w:val="0"/>
      <w:strike w:val="0"/>
      <w:vanish w:val="0"/>
      <w:color w:val="00000a"/>
      <w:spacing w:val="0"/>
      <w:position w:val="0"/>
      <w:sz w:val="22"/>
      <w:szCs w:val="22"/>
      <w:u w:val="none"/>
      <w:vertAlign w:val="baseline"/>
    </w:rPr>
  </w:style>
  <w:style w:type="character" w:styleId="911" w:customStyle="1">
    <w:name w:val="WW8Num10z2"/>
    <w:qFormat/>
    <w:rPr>
      <w:rFonts w:cs="Times New Roman"/>
    </w:rPr>
  </w:style>
  <w:style w:type="character" w:styleId="912" w:customStyle="1">
    <w:name w:val="WW8Num13z1"/>
    <w:qFormat/>
    <w:rPr>
      <w:rFonts w:ascii="Courier New" w:hAnsi="Courier New" w:cs="Courier New"/>
    </w:rPr>
  </w:style>
  <w:style w:type="character" w:styleId="913" w:customStyle="1">
    <w:name w:val="WW8Num13z2"/>
    <w:qFormat/>
    <w:rPr>
      <w:rFonts w:ascii="Wingdings" w:hAnsi="Wingdings" w:cs="Wingdings"/>
    </w:rPr>
  </w:style>
  <w:style w:type="character" w:styleId="914" w:customStyle="1">
    <w:name w:val="WW8Num13z3"/>
    <w:qFormat/>
    <w:rPr>
      <w:rFonts w:ascii="Symbol" w:hAnsi="Symbol" w:cs="Symbol"/>
    </w:rPr>
  </w:style>
  <w:style w:type="character" w:styleId="915" w:customStyle="1">
    <w:name w:val="WW8Num15z3"/>
    <w:qFormat/>
  </w:style>
  <w:style w:type="character" w:styleId="916" w:customStyle="1">
    <w:name w:val="WW8Num18z1"/>
    <w:qFormat/>
    <w:rPr>
      <w:rFonts w:ascii="Courier New" w:hAnsi="Courier New" w:cs="Courier New"/>
    </w:rPr>
  </w:style>
  <w:style w:type="character" w:styleId="917" w:customStyle="1">
    <w:name w:val="WW8Num25z2"/>
    <w:qFormat/>
    <w:rPr>
      <w:b w:val="0"/>
    </w:rPr>
  </w:style>
  <w:style w:type="character" w:styleId="918" w:customStyle="1">
    <w:name w:val="WW8Num25z3"/>
    <w:qFormat/>
  </w:style>
  <w:style w:type="character" w:styleId="919" w:customStyle="1">
    <w:name w:val="WW8Num29z1"/>
    <w:qFormat/>
    <w:rPr>
      <w:rFonts w:ascii="Courier New" w:hAnsi="Courier New" w:cs="Courier New"/>
    </w:rPr>
  </w:style>
  <w:style w:type="character" w:styleId="920" w:customStyle="1">
    <w:name w:val="WW8Num29z3"/>
    <w:qFormat/>
    <w:rPr>
      <w:rFonts w:ascii="Symbol" w:hAnsi="Symbol" w:cs="Symbol"/>
    </w:rPr>
  </w:style>
  <w:style w:type="character" w:styleId="921" w:customStyle="1">
    <w:name w:val="WW8Num31z3"/>
    <w:qFormat/>
    <w:rPr>
      <w:rFonts w:ascii="Symbol" w:hAnsi="Symbol" w:cs="Symbol"/>
    </w:rPr>
  </w:style>
  <w:style w:type="character" w:styleId="922" w:customStyle="1">
    <w:name w:val="WW8Num37z3"/>
    <w:qFormat/>
    <w:rPr>
      <w:rFonts w:ascii="Symbol" w:hAnsi="Symbol" w:cs="Symbol"/>
    </w:rPr>
  </w:style>
  <w:style w:type="character" w:styleId="923" w:customStyle="1">
    <w:name w:val="Основной шрифт абзаца1"/>
    <w:qFormat/>
  </w:style>
  <w:style w:type="character" w:styleId="924" w:customStyle="1">
    <w:name w:val="Заголовок 1 Знак"/>
    <w:qFormat/>
    <w:rPr>
      <w:rFonts w:ascii="Arial" w:hAnsi="Arial" w:cs="Arial"/>
      <w:b/>
      <w:bCs/>
      <w:sz w:val="32"/>
      <w:szCs w:val="32"/>
      <w:lang w:bidi="ar-SA"/>
    </w:rPr>
  </w:style>
  <w:style w:type="character" w:styleId="925" w:customStyle="1">
    <w:name w:val="Заголовок 2 Знак"/>
    <w:qFormat/>
    <w:rPr>
      <w:rFonts w:ascii="Cambria" w:hAnsi="Cambria" w:cs="Times New Roman"/>
      <w:b/>
      <w:bCs/>
      <w:i/>
      <w:iCs/>
      <w:sz w:val="28"/>
      <w:szCs w:val="28"/>
      <w:lang w:bidi="ar-SA"/>
    </w:rPr>
  </w:style>
  <w:style w:type="character" w:styleId="926" w:customStyle="1">
    <w:name w:val="Заголовок 3 Знак"/>
    <w:qFormat/>
    <w:rPr>
      <w:rFonts w:ascii="Cambria" w:hAnsi="Cambria" w:cs="Times New Roman"/>
      <w:b/>
      <w:bCs/>
      <w:sz w:val="26"/>
      <w:szCs w:val="26"/>
    </w:rPr>
  </w:style>
  <w:style w:type="character" w:styleId="927" w:customStyle="1">
    <w:name w:val="Заголовок 4 Знак"/>
    <w:qFormat/>
    <w:rPr>
      <w:rFonts w:ascii="Calibri" w:hAnsi="Calibri" w:cs="Times New Roman"/>
      <w:b/>
      <w:bCs/>
      <w:sz w:val="28"/>
      <w:szCs w:val="28"/>
    </w:rPr>
  </w:style>
  <w:style w:type="character" w:styleId="928">
    <w:name w:val="Hyperlink"/>
    <w:uiPriority w:val="99"/>
    <w:rPr>
      <w:rFonts w:cs="Times New Roman"/>
      <w:color w:val="0000ff"/>
      <w:u w:val="single"/>
    </w:rPr>
  </w:style>
  <w:style w:type="character" w:styleId="929" w:customStyle="1">
    <w:name w:val="Стиль3 Знак"/>
    <w:qFormat/>
    <w:rPr>
      <w:rFonts w:ascii="Arial" w:hAnsi="Arial" w:cs="Arial"/>
      <w:sz w:val="24"/>
    </w:rPr>
  </w:style>
  <w:style w:type="character" w:styleId="930" w:customStyle="1">
    <w:name w:val="Основной текст с отступом 2 Знак"/>
    <w:qFormat/>
    <w:rPr>
      <w:rFonts w:cs="Times New Roman"/>
    </w:rPr>
  </w:style>
  <w:style w:type="character" w:styleId="931" w:customStyle="1">
    <w:name w:val="Текст выноски Знак"/>
    <w:qFormat/>
    <w:rPr>
      <w:rFonts w:ascii="Tahoma" w:hAnsi="Tahoma" w:cs="Tahoma"/>
      <w:sz w:val="16"/>
      <w:szCs w:val="16"/>
    </w:rPr>
  </w:style>
  <w:style w:type="character" w:styleId="932" w:customStyle="1">
    <w:name w:val="Основной текст Знак"/>
    <w:qFormat/>
    <w:rPr>
      <w:rFonts w:ascii="Times New Roman" w:hAnsi="Times New Roman" w:cs="Times New Roman"/>
      <w:sz w:val="24"/>
      <w:szCs w:val="24"/>
      <w:lang w:bidi="ar-SA"/>
    </w:rPr>
  </w:style>
  <w:style w:type="character" w:styleId="933" w:customStyle="1">
    <w:name w:val="Основной текст с отступом Знак"/>
    <w:qFormat/>
    <w:rPr>
      <w:rFonts w:ascii="Times New Roman" w:hAnsi="Times New Roman" w:cs="Times New Roman"/>
      <w:sz w:val="24"/>
      <w:szCs w:val="24"/>
      <w:lang w:bidi="ar-SA"/>
    </w:rPr>
  </w:style>
  <w:style w:type="character" w:styleId="934" w:customStyle="1">
    <w:name w:val="Основной текст 2 Знак"/>
    <w:qFormat/>
    <w:rPr>
      <w:rFonts w:ascii="Times New Roman" w:hAnsi="Times New Roman" w:cs="Times New Roman"/>
      <w:sz w:val="24"/>
      <w:szCs w:val="24"/>
      <w:lang w:bidi="ar-SA"/>
    </w:rPr>
  </w:style>
  <w:style w:type="character" w:styleId="935" w:customStyle="1">
    <w:name w:val="Стиль два заголовка Знак"/>
    <w:qFormat/>
    <w:rPr>
      <w:b/>
      <w:sz w:val="22"/>
      <w:lang w:val="ru-RU"/>
    </w:rPr>
  </w:style>
  <w:style w:type="character" w:styleId="936" w:customStyle="1">
    <w:name w:val="Стиль один заголовок Знак"/>
    <w:qFormat/>
    <w:rPr>
      <w:b/>
      <w:sz w:val="22"/>
    </w:rPr>
  </w:style>
  <w:style w:type="character" w:styleId="937" w:customStyle="1">
    <w:name w:val="Гипертекстовая ссылка"/>
    <w:qFormat/>
    <w:rPr>
      <w:rFonts w:cs="Times New Roman"/>
      <w:color w:val="106bbe"/>
    </w:rPr>
  </w:style>
  <w:style w:type="character" w:styleId="938" w:customStyle="1">
    <w:name w:val="Верхний колонтитул Знак"/>
    <w:qFormat/>
    <w:rPr>
      <w:sz w:val="22"/>
      <w:szCs w:val="22"/>
    </w:rPr>
  </w:style>
  <w:style w:type="character" w:styleId="939" w:customStyle="1">
    <w:name w:val="Нижний колонтитул Знак"/>
    <w:qFormat/>
    <w:rPr>
      <w:sz w:val="22"/>
      <w:szCs w:val="22"/>
    </w:rPr>
  </w:style>
  <w:style w:type="character" w:styleId="940" w:customStyle="1">
    <w:name w:val="Абзац списка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941" w:customStyle="1">
    <w:name w:val="Заголовок Знак"/>
    <w:qFormat/>
    <w:rPr>
      <w:rFonts w:ascii="Liberation Sans;Arial" w:hAnsi="Liberation Sans;Arial" w:eastAsia="Microsoft YaHei" w:cs="Mangal"/>
      <w:color w:val="00000a"/>
      <w:sz w:val="28"/>
      <w:szCs w:val="28"/>
    </w:rPr>
  </w:style>
  <w:style w:type="character" w:styleId="942" w:customStyle="1">
    <w:name w:val="Без интервала Знак"/>
    <w:qFormat/>
    <w:rPr>
      <w:color w:val="00000a"/>
      <w:sz w:val="22"/>
      <w:szCs w:val="22"/>
    </w:rPr>
  </w:style>
  <w:style w:type="character" w:styleId="943" w:customStyle="1">
    <w:name w:val="Знак примечания1"/>
    <w:qFormat/>
    <w:rPr>
      <w:sz w:val="16"/>
      <w:szCs w:val="16"/>
    </w:rPr>
  </w:style>
  <w:style w:type="character" w:styleId="944" w:customStyle="1">
    <w:name w:val="Текст примечания Знак"/>
    <w:qFormat/>
    <w:rPr>
      <w:color w:val="00000a"/>
    </w:rPr>
  </w:style>
  <w:style w:type="character" w:styleId="945" w:customStyle="1">
    <w:name w:val="Тема примечания Знак"/>
    <w:qFormat/>
    <w:rPr>
      <w:b/>
      <w:bCs/>
      <w:color w:val="00000a"/>
    </w:rPr>
  </w:style>
  <w:style w:type="character" w:styleId="946" w:customStyle="1">
    <w:name w:val="Гиперссылка1"/>
    <w:qFormat/>
    <w:rPr>
      <w:color w:val="0000ff"/>
      <w:u w:val="single"/>
    </w:rPr>
  </w:style>
  <w:style w:type="character" w:styleId="947" w:customStyle="1">
    <w:name w:val="Неразрешенное упоминание1"/>
    <w:qFormat/>
    <w:rPr>
      <w:color w:val="605e5c"/>
      <w:shd w:val="clear" w:color="auto" w:fill="e1dfdd"/>
    </w:rPr>
  </w:style>
  <w:style w:type="character" w:styleId="948" w:customStyle="1">
    <w:name w:val="ConsPlusNormal Знак"/>
    <w:qFormat/>
    <w:rPr>
      <w:rFonts w:ascii="Times New Roman" w:hAnsi="Times New Roman" w:eastAsia="Times New Roman" w:cs="Times New Roman"/>
    </w:rPr>
  </w:style>
  <w:style w:type="character" w:styleId="949" w:customStyle="1">
    <w:name w:val="Текст сноски Знак"/>
    <w:qFormat/>
    <w:rPr>
      <w:color w:val="00000a"/>
    </w:rPr>
  </w:style>
  <w:style w:type="character" w:styleId="950" w:customStyle="1">
    <w:name w:val="Основной текст 2 Знак1"/>
    <w:qFormat/>
    <w:rPr>
      <w:rFonts w:ascii="Times New Roman" w:hAnsi="Times New Roman" w:eastAsia="Times New Roman" w:cs="Times New Roman"/>
      <w:color w:val="00000a"/>
      <w:sz w:val="24"/>
      <w:szCs w:val="24"/>
    </w:rPr>
  </w:style>
  <w:style w:type="character" w:styleId="951" w:customStyle="1">
    <w:name w:val="search_result2"/>
    <w:basedOn w:val="923"/>
    <w:qFormat/>
  </w:style>
  <w:style w:type="character" w:styleId="952" w:customStyle="1">
    <w:name w:val="Обычный (веб) Знак"/>
    <w:qFormat/>
    <w:rPr>
      <w:rFonts w:ascii="Times New Roman" w:hAnsi="Times New Roman" w:eastAsia="Times New Roman" w:cs="Times New Roman"/>
      <w:color w:val="00000a"/>
      <w:sz w:val="24"/>
      <w:szCs w:val="24"/>
    </w:rPr>
  </w:style>
  <w:style w:type="character" w:styleId="953" w:customStyle="1">
    <w:name w:val="fontstyle01"/>
    <w:qFormat/>
    <w:rPr>
      <w:rFonts w:ascii="Calibri" w:hAnsi="Calibri" w:cs="Calibri"/>
      <w:b w:val="0"/>
      <w:bCs w:val="0"/>
      <w:i w:val="0"/>
      <w:iCs w:val="0"/>
      <w:color w:val="000000"/>
      <w:sz w:val="16"/>
      <w:szCs w:val="16"/>
    </w:rPr>
  </w:style>
  <w:style w:type="character" w:styleId="954">
    <w:name w:val="FollowedHyperlink"/>
    <w:rPr>
      <w:rFonts w:cs="Times New Roman"/>
      <w:color w:val="800080"/>
      <w:u w:val="single"/>
    </w:rPr>
  </w:style>
  <w:style w:type="character" w:styleId="955" w:customStyle="1">
    <w:name w:val="WW8Num39z1"/>
    <w:qFormat/>
    <w:rPr>
      <w:rFonts w:ascii="Courier New" w:hAnsi="Courier New" w:cs="Courier New"/>
    </w:rPr>
  </w:style>
  <w:style w:type="character" w:styleId="956" w:customStyle="1">
    <w:name w:val="WW8Num39z2"/>
    <w:qFormat/>
    <w:rPr>
      <w:rFonts w:ascii="Wingdings" w:hAnsi="Wingdings" w:cs="Wingdings"/>
    </w:rPr>
  </w:style>
  <w:style w:type="character" w:styleId="957" w:customStyle="1">
    <w:name w:val="WW8Num38z3"/>
    <w:qFormat/>
    <w:rPr>
      <w:rFonts w:ascii="Symbol" w:hAnsi="Symbol" w:cs="Symbol"/>
    </w:rPr>
  </w:style>
  <w:style w:type="character" w:styleId="958" w:customStyle="1">
    <w:name w:val="Маркеры"/>
    <w:qFormat/>
    <w:rPr>
      <w:rFonts w:ascii="OpenSymbol" w:hAnsi="OpenSymbol" w:eastAsia="OpenSymbol" w:cs="OpenSymbol"/>
    </w:rPr>
  </w:style>
  <w:style w:type="character" w:styleId="959" w:customStyle="1">
    <w:name w:val="Знак примечания2"/>
    <w:qFormat/>
    <w:rPr>
      <w:sz w:val="16"/>
      <w:szCs w:val="16"/>
    </w:rPr>
  </w:style>
  <w:style w:type="character" w:styleId="960" w:customStyle="1">
    <w:name w:val="Текст примечания Знак1"/>
    <w:qFormat/>
    <w:rPr>
      <w:rFonts w:ascii="Calibri" w:hAnsi="Calibri" w:eastAsia="Calibri" w:cs="Calibri"/>
      <w:color w:val="00000a"/>
      <w:lang w:eastAsia="zh-CN"/>
    </w:rPr>
  </w:style>
  <w:style w:type="character" w:styleId="961" w:customStyle="1">
    <w:name w:val="line number1"/>
    <w:qFormat/>
  </w:style>
  <w:style w:type="character" w:styleId="962">
    <w:name w:val="annotation reference"/>
    <w:qFormat/>
    <w:rPr>
      <w:sz w:val="16"/>
      <w:szCs w:val="16"/>
    </w:rPr>
  </w:style>
  <w:style w:type="character" w:styleId="963" w:customStyle="1">
    <w:name w:val="Текст примечания Знак2"/>
    <w:qFormat/>
    <w:rPr>
      <w:rFonts w:ascii="Calibri" w:hAnsi="Calibri" w:eastAsia="Calibri" w:cs="Calibri"/>
      <w:color w:val="00000a"/>
      <w:lang w:eastAsia="zh-CN"/>
    </w:rPr>
  </w:style>
  <w:style w:type="character" w:styleId="964" w:customStyle="1">
    <w:name w:val="Ссылка указателя"/>
    <w:qFormat/>
  </w:style>
  <w:style w:type="character" w:styleId="965">
    <w:name w:val="line number"/>
  </w:style>
  <w:style w:type="paragraph" w:styleId="966">
    <w:name w:val="Title"/>
    <w:basedOn w:val="755"/>
    <w:next w:val="967"/>
    <w:link w:val="805"/>
    <w:uiPriority w:val="10"/>
    <w:qFormat/>
    <w:pPr>
      <w:contextualSpacing/>
      <w:spacing w:before="300"/>
    </w:pPr>
    <w:rPr>
      <w:sz w:val="48"/>
      <w:szCs w:val="48"/>
    </w:rPr>
  </w:style>
  <w:style w:type="paragraph" w:styleId="967">
    <w:name w:val="Body Text"/>
    <w:basedOn w:val="755"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968">
    <w:name w:val="List"/>
    <w:basedOn w:val="967"/>
    <w:rPr>
      <w:rFonts w:cs="Mangal"/>
    </w:rPr>
  </w:style>
  <w:style w:type="paragraph" w:styleId="969">
    <w:name w:val="Caption"/>
    <w:basedOn w:val="755"/>
    <w:link w:val="811"/>
    <w:qFormat/>
    <w:pPr>
      <w:spacing w:before="120" w:after="120"/>
      <w:suppressLineNumbers/>
    </w:pPr>
    <w:rPr>
      <w:rFonts w:cs="Lohit Devanagari;Times New Roma"/>
      <w:i/>
      <w:iCs/>
      <w:sz w:val="24"/>
      <w:szCs w:val="24"/>
    </w:rPr>
  </w:style>
  <w:style w:type="paragraph" w:styleId="970">
    <w:name w:val="index heading"/>
    <w:basedOn w:val="966"/>
  </w:style>
  <w:style w:type="paragraph" w:styleId="971">
    <w:name w:val="Subtitle"/>
    <w:basedOn w:val="755"/>
    <w:next w:val="755"/>
    <w:link w:val="806"/>
    <w:uiPriority w:val="11"/>
    <w:qFormat/>
    <w:pPr>
      <w:spacing w:before="200"/>
    </w:pPr>
    <w:rPr>
      <w:sz w:val="24"/>
      <w:szCs w:val="24"/>
    </w:rPr>
  </w:style>
  <w:style w:type="paragraph" w:styleId="972">
    <w:name w:val="Quote"/>
    <w:basedOn w:val="755"/>
    <w:next w:val="755"/>
    <w:link w:val="807"/>
    <w:uiPriority w:val="29"/>
    <w:qFormat/>
    <w:pPr>
      <w:ind w:left="720" w:right="720"/>
    </w:pPr>
    <w:rPr>
      <w:i/>
    </w:rPr>
  </w:style>
  <w:style w:type="paragraph" w:styleId="973">
    <w:name w:val="Intense Quote"/>
    <w:basedOn w:val="755"/>
    <w:next w:val="755"/>
    <w:link w:val="808"/>
    <w:uiPriority w:val="30"/>
    <w:qFormat/>
    <w:pPr>
      <w:ind w:left="720" w:right="720"/>
      <w:spacing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974">
    <w:name w:val="endnote text"/>
    <w:basedOn w:val="755"/>
    <w:link w:val="815"/>
    <w:uiPriority w:val="99"/>
    <w:semiHidden/>
    <w:unhideWhenUsed/>
    <w:pPr>
      <w:spacing w:after="0" w:line="240" w:lineRule="auto"/>
    </w:pPr>
    <w:rPr>
      <w:sz w:val="20"/>
    </w:rPr>
  </w:style>
  <w:style w:type="paragraph" w:styleId="975">
    <w:name w:val="toc 1"/>
    <w:basedOn w:val="755"/>
    <w:next w:val="755"/>
    <w:uiPriority w:val="39"/>
    <w:unhideWhenUsed/>
    <w:pPr>
      <w:spacing w:after="57"/>
    </w:pPr>
  </w:style>
  <w:style w:type="paragraph" w:styleId="976">
    <w:name w:val="toc 3"/>
    <w:basedOn w:val="755"/>
    <w:next w:val="755"/>
    <w:uiPriority w:val="39"/>
    <w:unhideWhenUsed/>
    <w:pPr>
      <w:ind w:left="567"/>
      <w:spacing w:after="57"/>
    </w:pPr>
  </w:style>
  <w:style w:type="paragraph" w:styleId="977">
    <w:name w:val="toc 4"/>
    <w:basedOn w:val="755"/>
    <w:next w:val="755"/>
    <w:uiPriority w:val="39"/>
    <w:unhideWhenUsed/>
    <w:pPr>
      <w:ind w:left="850"/>
      <w:spacing w:after="57"/>
    </w:pPr>
  </w:style>
  <w:style w:type="paragraph" w:styleId="978">
    <w:name w:val="toc 5"/>
    <w:basedOn w:val="755"/>
    <w:next w:val="755"/>
    <w:uiPriority w:val="39"/>
    <w:unhideWhenUsed/>
    <w:pPr>
      <w:ind w:left="1134"/>
      <w:spacing w:after="57"/>
    </w:pPr>
  </w:style>
  <w:style w:type="paragraph" w:styleId="979">
    <w:name w:val="toc 6"/>
    <w:basedOn w:val="755"/>
    <w:next w:val="755"/>
    <w:uiPriority w:val="39"/>
    <w:unhideWhenUsed/>
    <w:pPr>
      <w:ind w:left="1417"/>
      <w:spacing w:after="57"/>
    </w:pPr>
  </w:style>
  <w:style w:type="paragraph" w:styleId="980">
    <w:name w:val="toc 7"/>
    <w:basedOn w:val="755"/>
    <w:next w:val="755"/>
    <w:uiPriority w:val="39"/>
    <w:unhideWhenUsed/>
    <w:pPr>
      <w:ind w:left="1701"/>
      <w:spacing w:after="57"/>
    </w:pPr>
  </w:style>
  <w:style w:type="paragraph" w:styleId="981">
    <w:name w:val="toc 8"/>
    <w:basedOn w:val="755"/>
    <w:next w:val="755"/>
    <w:uiPriority w:val="39"/>
    <w:unhideWhenUsed/>
    <w:pPr>
      <w:ind w:left="1984"/>
      <w:spacing w:after="57"/>
    </w:pPr>
  </w:style>
  <w:style w:type="paragraph" w:styleId="982">
    <w:name w:val="toc 9"/>
    <w:basedOn w:val="755"/>
    <w:next w:val="755"/>
    <w:uiPriority w:val="39"/>
    <w:unhideWhenUsed/>
    <w:pPr>
      <w:ind w:left="2268"/>
      <w:spacing w:after="57"/>
    </w:pPr>
  </w:style>
  <w:style w:type="paragraph" w:styleId="983">
    <w:name w:val="TOC Heading"/>
    <w:uiPriority w:val="39"/>
    <w:unhideWhenUsed/>
    <w:qFormat/>
  </w:style>
  <w:style w:type="paragraph" w:styleId="984">
    <w:name w:val="table of figures"/>
    <w:basedOn w:val="755"/>
    <w:next w:val="755"/>
    <w:uiPriority w:val="99"/>
    <w:unhideWhenUsed/>
    <w:pPr>
      <w:spacing w:after="0"/>
    </w:pPr>
  </w:style>
  <w:style w:type="paragraph" w:styleId="985" w:customStyle="1">
    <w:name w:val="Заголовок1"/>
    <w:basedOn w:val="755"/>
    <w:next w:val="967"/>
    <w:qFormat/>
    <w:pPr>
      <w:keepNext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986" w:customStyle="1">
    <w:name w:val="index heading1"/>
    <w:basedOn w:val="755"/>
    <w:qFormat/>
    <w:pPr>
      <w:suppressLineNumbers/>
    </w:pPr>
    <w:rPr>
      <w:rFonts w:cs="Mangal"/>
    </w:rPr>
  </w:style>
  <w:style w:type="paragraph" w:styleId="987" w:customStyle="1">
    <w:name w:val="Указатель2"/>
    <w:basedOn w:val="755"/>
    <w:qFormat/>
    <w:pPr>
      <w:suppressLineNumbers/>
    </w:pPr>
    <w:rPr>
      <w:rFonts w:cs="Lohit Devanagari;Times New Roma"/>
    </w:rPr>
  </w:style>
  <w:style w:type="paragraph" w:styleId="988" w:customStyle="1">
    <w:name w:val="Название объекта2"/>
    <w:basedOn w:val="755"/>
    <w:qFormat/>
    <w:pPr>
      <w:spacing w:before="120" w:after="120"/>
      <w:suppressLineNumbers/>
    </w:pPr>
    <w:rPr>
      <w:rFonts w:cs="Lohit Devanagari;Times New Roma"/>
      <w:i/>
      <w:iCs/>
      <w:sz w:val="24"/>
      <w:szCs w:val="24"/>
    </w:rPr>
  </w:style>
  <w:style w:type="paragraph" w:styleId="989" w:customStyle="1">
    <w:name w:val="Указатель1"/>
    <w:basedOn w:val="755"/>
    <w:qFormat/>
    <w:pPr>
      <w:suppressLineNumbers/>
    </w:pPr>
    <w:rPr>
      <w:rFonts w:cs="Lohit Devanagari;Times New Roma"/>
    </w:rPr>
  </w:style>
  <w:style w:type="paragraph" w:styleId="990" w:customStyle="1">
    <w:name w:val="Caption1"/>
    <w:basedOn w:val="755"/>
    <w:qFormat/>
    <w:pPr>
      <w:spacing w:before="120" w:after="120"/>
      <w:suppressLineNumbers/>
    </w:pPr>
    <w:rPr>
      <w:rFonts w:cs="Lohit Devanagari;Times New Roma"/>
      <w:i/>
      <w:iCs/>
      <w:sz w:val="24"/>
      <w:szCs w:val="24"/>
    </w:rPr>
  </w:style>
  <w:style w:type="paragraph" w:styleId="991" w:customStyle="1">
    <w:name w:val="Caption11"/>
    <w:basedOn w:val="755"/>
    <w:qFormat/>
    <w:pPr>
      <w:spacing w:before="120" w:after="120"/>
      <w:suppressLineNumbers/>
    </w:pPr>
    <w:rPr>
      <w:rFonts w:cs="Lohit Devanagari;Times New Roma"/>
      <w:i/>
      <w:iCs/>
      <w:sz w:val="24"/>
      <w:szCs w:val="24"/>
    </w:rPr>
  </w:style>
  <w:style w:type="paragraph" w:styleId="992" w:customStyle="1">
    <w:name w:val="Caption111"/>
    <w:basedOn w:val="755"/>
    <w:qFormat/>
    <w:pPr>
      <w:spacing w:before="120" w:after="120"/>
      <w:suppressLineNumbers/>
    </w:pPr>
    <w:rPr>
      <w:rFonts w:cs="Lohit Devanagari;Times New Roma"/>
      <w:i/>
      <w:iCs/>
      <w:sz w:val="24"/>
      <w:szCs w:val="24"/>
    </w:rPr>
  </w:style>
  <w:style w:type="paragraph" w:styleId="993" w:customStyle="1">
    <w:name w:val="Стиль3"/>
    <w:qFormat/>
    <w:pPr>
      <w:ind w:left="1080" w:hanging="360"/>
      <w:jc w:val="both"/>
      <w:widowControl w:val="off"/>
      <w:tabs>
        <w:tab w:val="left" w:pos="1080" w:leader="none"/>
      </w:tabs>
    </w:pPr>
    <w:rPr>
      <w:rFonts w:ascii="Arial" w:hAnsi="Arial" w:eastAsia="Calibri" w:cs="Arial"/>
      <w:color w:val="00000a"/>
      <w:sz w:val="24"/>
      <w:lang w:eastAsia="zh-CN"/>
    </w:rPr>
  </w:style>
  <w:style w:type="paragraph" w:styleId="994" w:customStyle="1">
    <w:name w:val="Основной текст с отступом 21"/>
    <w:basedOn w:val="755"/>
    <w:qFormat/>
    <w:pPr>
      <w:ind w:left="283"/>
      <w:spacing w:after="120" w:line="480" w:lineRule="auto"/>
    </w:pPr>
  </w:style>
  <w:style w:type="paragraph" w:styleId="995" w:customStyle="1">
    <w:name w:val="Название объекта1"/>
    <w:basedOn w:val="755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996" w:customStyle="1">
    <w:name w:val="Default"/>
    <w:qFormat/>
    <w:rPr>
      <w:rFonts w:ascii="Times New Roman" w:hAnsi="Times New Roman" w:eastAsia="Times New Roman" w:cs="Times New Roman"/>
      <w:color w:val="000000"/>
      <w:sz w:val="24"/>
      <w:szCs w:val="24"/>
      <w:lang w:eastAsia="zh-CN"/>
    </w:rPr>
  </w:style>
  <w:style w:type="paragraph" w:styleId="997" w:customStyle="1">
    <w:name w:val="......."/>
    <w:basedOn w:val="996"/>
    <w:next w:val="996"/>
    <w:qFormat/>
    <w:rPr>
      <w:color w:val="00000a"/>
    </w:rPr>
  </w:style>
  <w:style w:type="paragraph" w:styleId="998" w:customStyle="1">
    <w:name w:val="Пункт-3"/>
    <w:basedOn w:val="755"/>
    <w:qFormat/>
    <w:pPr>
      <w:jc w:val="both"/>
      <w:spacing w:after="120" w:line="240" w:lineRule="auto"/>
    </w:pPr>
    <w:rPr>
      <w:rFonts w:ascii="Times New Roman" w:hAnsi="Times New Roman" w:eastAsia="Times New Roman" w:cs="Times New Roman"/>
      <w:szCs w:val="24"/>
    </w:rPr>
  </w:style>
  <w:style w:type="paragraph" w:styleId="999" w:customStyle="1">
    <w:name w:val="Пункт-4"/>
    <w:basedOn w:val="755"/>
    <w:qFormat/>
    <w:pPr>
      <w:jc w:val="both"/>
      <w:spacing w:after="120" w:line="240" w:lineRule="auto"/>
    </w:pPr>
    <w:rPr>
      <w:rFonts w:ascii="Times New Roman" w:hAnsi="Times New Roman" w:eastAsia="Times New Roman" w:cs="Times New Roman"/>
      <w:szCs w:val="24"/>
    </w:rPr>
  </w:style>
  <w:style w:type="paragraph" w:styleId="1000" w:customStyle="1">
    <w:name w:val="Пункт-6"/>
    <w:basedOn w:val="755"/>
    <w:qFormat/>
    <w:pPr>
      <w:jc w:val="both"/>
      <w:spacing w:after="120" w:line="240" w:lineRule="auto"/>
    </w:pPr>
    <w:rPr>
      <w:rFonts w:ascii="Times New Roman" w:hAnsi="Times New Roman" w:eastAsia="Times New Roman" w:cs="Times New Roman"/>
      <w:szCs w:val="24"/>
    </w:rPr>
  </w:style>
  <w:style w:type="paragraph" w:styleId="1001" w:customStyle="1">
    <w:name w:val="Пункт-7"/>
    <w:basedOn w:val="755"/>
    <w:qFormat/>
    <w:pPr>
      <w:jc w:val="both"/>
      <w:spacing w:after="120" w:line="240" w:lineRule="auto"/>
    </w:pPr>
    <w:rPr>
      <w:rFonts w:ascii="Times New Roman" w:hAnsi="Times New Roman" w:eastAsia="Times New Roman" w:cs="Times New Roman"/>
      <w:szCs w:val="24"/>
    </w:rPr>
  </w:style>
  <w:style w:type="paragraph" w:styleId="1002">
    <w:name w:val="List Paragraph"/>
    <w:basedOn w:val="755"/>
    <w:qFormat/>
    <w:pPr>
      <w:contextualSpacing/>
      <w:ind w:left="720"/>
    </w:pPr>
  </w:style>
  <w:style w:type="paragraph" w:styleId="1003" w:customStyle="1">
    <w:name w:val="rvps5"/>
    <w:basedOn w:val="755"/>
    <w:qFormat/>
    <w:pPr>
      <w:jc w:val="both"/>
      <w:spacing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004" w:customStyle="1">
    <w:name w:val="Словарная статья"/>
    <w:basedOn w:val="755"/>
    <w:qFormat/>
    <w:pPr>
      <w:ind w:right="118"/>
      <w:jc w:val="both"/>
      <w:spacing w:after="0" w:line="240" w:lineRule="auto"/>
    </w:pPr>
    <w:rPr>
      <w:rFonts w:ascii="Arial" w:hAnsi="Arial" w:eastAsia="Times New Roman" w:cs="Arial"/>
      <w:sz w:val="20"/>
      <w:szCs w:val="20"/>
    </w:rPr>
  </w:style>
  <w:style w:type="paragraph" w:styleId="1005" w:customStyle="1">
    <w:name w:val="Стиль1"/>
    <w:basedOn w:val="755"/>
    <w:qFormat/>
    <w:pPr>
      <w:keepLines/>
      <w:keepNext/>
      <w:spacing w:after="60" w:line="240" w:lineRule="auto"/>
      <w:widowControl w:val="off"/>
      <w:suppressLineNumbers/>
    </w:pPr>
    <w:rPr>
      <w:rFonts w:ascii="Times New Roman" w:hAnsi="Times New Roman" w:eastAsia="Times New Roman" w:cs="Times New Roman"/>
      <w:b/>
      <w:sz w:val="28"/>
      <w:szCs w:val="24"/>
    </w:rPr>
  </w:style>
  <w:style w:type="paragraph" w:styleId="1006">
    <w:name w:val="Balloon Text"/>
    <w:basedOn w:val="755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007" w:customStyle="1">
    <w:name w:val="Обычный (Интернет)1"/>
    <w:basedOn w:val="755"/>
    <w:qFormat/>
    <w:pPr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008">
    <w:name w:val="Body Text Indent"/>
    <w:basedOn w:val="755"/>
    <w:pPr>
      <w:ind w:left="283"/>
      <w:spacing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009" w:customStyle="1">
    <w:name w:val="Основной текст 22"/>
    <w:basedOn w:val="755"/>
    <w:qFormat/>
    <w:pPr>
      <w:spacing w:after="120" w:line="48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010" w:customStyle="1">
    <w:name w:val="Plain Text1"/>
    <w:basedOn w:val="996"/>
    <w:next w:val="996"/>
    <w:qFormat/>
    <w:rPr>
      <w:rFonts w:eastAsia="Calibri"/>
      <w:color w:val="00000a"/>
    </w:rPr>
  </w:style>
  <w:style w:type="paragraph" w:styleId="1011" w:customStyle="1">
    <w:name w:val="....... (...)"/>
    <w:basedOn w:val="996"/>
    <w:next w:val="996"/>
    <w:qFormat/>
    <w:rPr>
      <w:rFonts w:eastAsia="Calibri"/>
      <w:color w:val="00000a"/>
    </w:rPr>
  </w:style>
  <w:style w:type="paragraph" w:styleId="1012" w:customStyle="1">
    <w:name w:val="Стиль два заголовка"/>
    <w:basedOn w:val="757"/>
    <w:qFormat/>
    <w:pPr>
      <w:numPr>
        <w:ilvl w:val="0"/>
        <w:numId w:val="0"/>
      </w:numPr>
      <w:spacing w:before="360" w:after="120"/>
      <w:tabs>
        <w:tab w:val="left" w:pos="709" w:leader="none"/>
      </w:tabs>
      <w:outlineLvl w:val="9"/>
    </w:pPr>
    <w:rPr>
      <w:rFonts w:ascii="Calibri" w:hAnsi="Calibri" w:eastAsia="Calibri" w:cs="Calibri"/>
      <w:bCs w:val="0"/>
      <w:i w:val="0"/>
      <w:iCs w:val="0"/>
      <w:sz w:val="22"/>
      <w:szCs w:val="20"/>
    </w:rPr>
  </w:style>
  <w:style w:type="paragraph" w:styleId="1013" w:customStyle="1">
    <w:name w:val="Стиль один заголовок"/>
    <w:basedOn w:val="756"/>
    <w:qFormat/>
    <w:pPr>
      <w:numPr>
        <w:ilvl w:val="0"/>
        <w:numId w:val="0"/>
      </w:numPr>
      <w:ind w:firstLine="709"/>
      <w:keepLines/>
      <w:spacing w:before="600" w:after="240"/>
      <w:tabs>
        <w:tab w:val="left" w:pos="851" w:leader="none"/>
      </w:tabs>
      <w:outlineLvl w:val="9"/>
    </w:pPr>
    <w:rPr>
      <w:rFonts w:ascii="Calibri" w:hAnsi="Calibri" w:eastAsia="Calibri" w:cs="Times New Roman"/>
      <w:bCs w:val="0"/>
      <w:sz w:val="22"/>
      <w:szCs w:val="20"/>
    </w:rPr>
  </w:style>
  <w:style w:type="paragraph" w:styleId="1014">
    <w:name w:val="No Spacing"/>
    <w:qFormat/>
    <w:rPr>
      <w:rFonts w:ascii="Calibri" w:hAnsi="Calibri" w:eastAsia="Calibri" w:cs="Calibri"/>
      <w:color w:val="00000a"/>
      <w:sz w:val="22"/>
      <w:szCs w:val="22"/>
      <w:lang w:eastAsia="zh-CN"/>
    </w:rPr>
  </w:style>
  <w:style w:type="paragraph" w:styleId="1015" w:customStyle="1">
    <w:name w:val="Колонтитул"/>
    <w:basedOn w:val="755"/>
    <w:qFormat/>
    <w:pPr>
      <w:tabs>
        <w:tab w:val="center" w:pos="4819" w:leader="none"/>
        <w:tab w:val="right" w:pos="9638" w:leader="none"/>
      </w:tabs>
      <w:suppressLineNumbers/>
    </w:pPr>
  </w:style>
  <w:style w:type="paragraph" w:styleId="1016">
    <w:name w:val="Header"/>
    <w:basedOn w:val="755"/>
    <w:pPr>
      <w:tabs>
        <w:tab w:val="center" w:pos="4677" w:leader="none"/>
        <w:tab w:val="right" w:pos="9355" w:leader="none"/>
      </w:tabs>
    </w:pPr>
  </w:style>
  <w:style w:type="paragraph" w:styleId="1017">
    <w:name w:val="Footer"/>
    <w:basedOn w:val="755"/>
    <w:pPr>
      <w:tabs>
        <w:tab w:val="center" w:pos="4677" w:leader="none"/>
        <w:tab w:val="right" w:pos="9355" w:leader="none"/>
      </w:tabs>
    </w:pPr>
  </w:style>
  <w:style w:type="paragraph" w:styleId="1018" w:customStyle="1">
    <w:name w:val="Основной текст 21"/>
    <w:basedOn w:val="755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1019" w:customStyle="1">
    <w:name w:val="Текст примечания1"/>
    <w:basedOn w:val="755"/>
    <w:qFormat/>
    <w:pPr>
      <w:spacing w:line="240" w:lineRule="auto"/>
    </w:pPr>
    <w:rPr>
      <w:sz w:val="20"/>
      <w:szCs w:val="20"/>
    </w:rPr>
  </w:style>
  <w:style w:type="paragraph" w:styleId="1020">
    <w:name w:val="annotation subject"/>
    <w:basedOn w:val="1019"/>
    <w:next w:val="1019"/>
    <w:qFormat/>
    <w:rPr>
      <w:b/>
      <w:bCs/>
    </w:rPr>
  </w:style>
  <w:style w:type="paragraph" w:styleId="1021" w:customStyle="1">
    <w:name w:val="ConsPlusNormal"/>
    <w:qFormat/>
    <w:pPr>
      <w:widowControl w:val="off"/>
    </w:pPr>
    <w:rPr>
      <w:rFonts w:ascii="Times New Roman" w:hAnsi="Times New Roman" w:eastAsia="Times New Roman" w:cs="Times New Roman"/>
      <w:lang w:eastAsia="zh-CN"/>
    </w:rPr>
  </w:style>
  <w:style w:type="paragraph" w:styleId="1022">
    <w:name w:val="footnote text"/>
    <w:basedOn w:val="755"/>
    <w:pPr>
      <w:spacing w:after="0" w:line="240" w:lineRule="auto"/>
    </w:pPr>
    <w:rPr>
      <w:sz w:val="20"/>
      <w:szCs w:val="20"/>
    </w:rPr>
  </w:style>
  <w:style w:type="paragraph" w:styleId="1023" w:customStyle="1">
    <w:name w:val="Маркированный список 21"/>
    <w:basedOn w:val="755"/>
    <w:qFormat/>
    <w:pPr>
      <w:numPr>
        <w:ilvl w:val="0"/>
        <w:numId w:val="12"/>
      </w:numPr>
      <w:jc w:val="center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1024" w:customStyle="1">
    <w:name w:val="Обычный (веб) Знак1"/>
    <w:basedOn w:val="755"/>
    <w:next w:val="1007"/>
    <w:qFormat/>
    <w:pPr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025" w:customStyle="1">
    <w:name w:val="Содержимое врезки"/>
    <w:basedOn w:val="755"/>
    <w:qFormat/>
  </w:style>
  <w:style w:type="paragraph" w:styleId="1026" w:customStyle="1">
    <w:name w:val="Содержимое таблицы"/>
    <w:basedOn w:val="755"/>
    <w:qFormat/>
    <w:pPr>
      <w:widowControl w:val="off"/>
      <w:suppressLineNumbers/>
    </w:pPr>
  </w:style>
  <w:style w:type="paragraph" w:styleId="1027" w:customStyle="1">
    <w:name w:val="Заголовок таблицы"/>
    <w:basedOn w:val="1026"/>
    <w:qFormat/>
    <w:pPr>
      <w:jc w:val="center"/>
    </w:pPr>
    <w:rPr>
      <w:b/>
      <w:bCs/>
    </w:rPr>
  </w:style>
  <w:style w:type="paragraph" w:styleId="1028" w:customStyle="1">
    <w:name w:val="Заголовок таблицы ссылок1"/>
    <w:basedOn w:val="756"/>
    <w:next w:val="755"/>
    <w:qFormat/>
    <w:pPr>
      <w:numPr>
        <w:ilvl w:val="0"/>
        <w:numId w:val="0"/>
      </w:numPr>
      <w:keepLines/>
      <w:spacing w:after="0" w:line="252" w:lineRule="auto"/>
      <w:outlineLvl w:val="9"/>
    </w:pPr>
    <w:rPr>
      <w:rFonts w:ascii="Calibri" w:hAnsi="Calibri" w:cs="Times New Roman"/>
      <w:b w:val="0"/>
      <w:bCs w:val="0"/>
      <w:color w:val="365f91"/>
    </w:rPr>
  </w:style>
  <w:style w:type="paragraph" w:styleId="1029">
    <w:name w:val="toc 2"/>
    <w:basedOn w:val="755"/>
    <w:next w:val="755"/>
    <w:uiPriority w:val="39"/>
    <w:pPr>
      <w:ind w:left="220"/>
      <w:spacing w:after="100"/>
      <w:tabs>
        <w:tab w:val="left" w:pos="709" w:leader="none"/>
        <w:tab w:val="right" w:pos="9627" w:leader="dot"/>
      </w:tabs>
    </w:pPr>
    <w:rPr>
      <w:color w:val="000000"/>
    </w:rPr>
  </w:style>
  <w:style w:type="paragraph" w:styleId="1030" w:customStyle="1">
    <w:name w:val="_Основной с красной строки"/>
    <w:basedOn w:val="755"/>
    <w:qFormat/>
    <w:pPr>
      <w:ind w:firstLine="709"/>
      <w:jc w:val="both"/>
      <w:spacing w:after="0" w:line="360" w:lineRule="exact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1031" w:customStyle="1">
    <w:name w:val="Обычный (КС) Знак"/>
    <w:basedOn w:val="755"/>
    <w:qFormat/>
    <w:pPr>
      <w:ind w:firstLine="709"/>
      <w:jc w:val="both"/>
      <w:spacing w:after="0" w:line="240" w:lineRule="auto"/>
    </w:pPr>
    <w:rPr>
      <w:color w:val="000000"/>
      <w:sz w:val="24"/>
      <w:szCs w:val="24"/>
    </w:rPr>
  </w:style>
  <w:style w:type="paragraph" w:styleId="1032" w:customStyle="1">
    <w:name w:val="Список маркер (КС) Знак"/>
    <w:basedOn w:val="755"/>
    <w:qFormat/>
    <w:pPr>
      <w:numPr>
        <w:ilvl w:val="0"/>
        <w:numId w:val="18"/>
      </w:numPr>
      <w:jc w:val="both"/>
      <w:spacing w:after="0"/>
      <w:tabs>
        <w:tab w:val="left" w:pos="900" w:leader="none"/>
      </w:tabs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1033">
    <w:name w:val="Revision"/>
    <w:qFormat/>
    <w:rPr>
      <w:rFonts w:ascii="Calibri" w:hAnsi="Calibri" w:eastAsia="Calibri" w:cs="Calibri"/>
      <w:color w:val="00000a"/>
      <w:sz w:val="22"/>
      <w:szCs w:val="22"/>
      <w:lang w:eastAsia="zh-CN"/>
    </w:rPr>
  </w:style>
  <w:style w:type="paragraph" w:styleId="1034" w:customStyle="1">
    <w:name w:val="Текст примечания2"/>
    <w:basedOn w:val="755"/>
    <w:qFormat/>
    <w:rPr>
      <w:sz w:val="20"/>
      <w:szCs w:val="20"/>
    </w:rPr>
  </w:style>
  <w:style w:type="paragraph" w:styleId="1035">
    <w:name w:val="annotation text"/>
    <w:basedOn w:val="755"/>
    <w:qFormat/>
    <w:rPr>
      <w:sz w:val="20"/>
      <w:szCs w:val="20"/>
    </w:rPr>
  </w:style>
  <w:style w:type="numbering" w:styleId="1036" w:customStyle="1">
    <w:name w:val="WW8Num1"/>
    <w:qFormat/>
  </w:style>
  <w:style w:type="numbering" w:styleId="1037" w:customStyle="1">
    <w:name w:val="WW8Num2"/>
    <w:qFormat/>
  </w:style>
  <w:style w:type="numbering" w:styleId="1038" w:customStyle="1">
    <w:name w:val="WW8Num3"/>
    <w:qFormat/>
  </w:style>
  <w:style w:type="numbering" w:styleId="1039" w:customStyle="1">
    <w:name w:val="WW8Num4"/>
    <w:qFormat/>
  </w:style>
  <w:style w:type="numbering" w:styleId="1040" w:customStyle="1">
    <w:name w:val="WW8Num5"/>
    <w:qFormat/>
  </w:style>
  <w:style w:type="numbering" w:styleId="1041" w:customStyle="1">
    <w:name w:val="WW8Num6"/>
    <w:qFormat/>
  </w:style>
  <w:style w:type="numbering" w:styleId="1042" w:customStyle="1">
    <w:name w:val="WW8Num7"/>
    <w:qFormat/>
  </w:style>
  <w:style w:type="numbering" w:styleId="1043" w:customStyle="1">
    <w:name w:val="WW8Num8"/>
    <w:qFormat/>
  </w:style>
  <w:style w:type="numbering" w:styleId="1044" w:customStyle="1">
    <w:name w:val="WW8Num9"/>
    <w:qFormat/>
  </w:style>
  <w:style w:type="numbering" w:styleId="1045" w:customStyle="1">
    <w:name w:val="WW8Num10"/>
    <w:qFormat/>
  </w:style>
  <w:style w:type="numbering" w:styleId="1046" w:customStyle="1">
    <w:name w:val="WW8Num11"/>
    <w:qFormat/>
  </w:style>
  <w:style w:type="numbering" w:styleId="1047" w:customStyle="1">
    <w:name w:val="WW8Num12"/>
    <w:qFormat/>
  </w:style>
  <w:style w:type="numbering" w:styleId="1048" w:customStyle="1">
    <w:name w:val="WW8Num13"/>
    <w:qFormat/>
  </w:style>
  <w:style w:type="numbering" w:styleId="1049" w:customStyle="1">
    <w:name w:val="WW8Num14"/>
    <w:qFormat/>
  </w:style>
  <w:style w:type="numbering" w:styleId="1050" w:customStyle="1">
    <w:name w:val="WW8Num15"/>
    <w:qFormat/>
  </w:style>
  <w:style w:type="numbering" w:styleId="1051" w:customStyle="1">
    <w:name w:val="WW8Num16"/>
    <w:qFormat/>
  </w:style>
  <w:style w:type="numbering" w:styleId="1052" w:customStyle="1">
    <w:name w:val="WW8Num17"/>
    <w:qFormat/>
  </w:style>
  <w:style w:type="numbering" w:styleId="1053" w:customStyle="1">
    <w:name w:val="WW8Num18"/>
    <w:qFormat/>
  </w:style>
  <w:style w:type="numbering" w:styleId="1054" w:customStyle="1">
    <w:name w:val="WW8Num19"/>
    <w:qFormat/>
  </w:style>
  <w:style w:type="numbering" w:styleId="1055" w:customStyle="1">
    <w:name w:val="WW8Num20"/>
    <w:qFormat/>
  </w:style>
  <w:style w:type="numbering" w:styleId="1056" w:customStyle="1">
    <w:name w:val="WW8Num21"/>
    <w:qFormat/>
  </w:style>
  <w:style w:type="numbering" w:styleId="1057" w:customStyle="1">
    <w:name w:val="WW8Num22"/>
    <w:qFormat/>
  </w:style>
  <w:style w:type="numbering" w:styleId="1058" w:customStyle="1">
    <w:name w:val="WW8Num23"/>
    <w:qFormat/>
  </w:style>
  <w:style w:type="numbering" w:styleId="1059" w:customStyle="1">
    <w:name w:val="WW8Num24"/>
    <w:qFormat/>
  </w:style>
  <w:style w:type="numbering" w:styleId="1060" w:customStyle="1">
    <w:name w:val="WW8Num25"/>
    <w:qFormat/>
  </w:style>
  <w:style w:type="numbering" w:styleId="1061" w:customStyle="1">
    <w:name w:val="WW8Num26"/>
    <w:qFormat/>
  </w:style>
  <w:style w:type="numbering" w:styleId="1062" w:customStyle="1">
    <w:name w:val="WW8Num27"/>
    <w:qFormat/>
  </w:style>
  <w:style w:type="numbering" w:styleId="1063" w:customStyle="1">
    <w:name w:val="WW8Num28"/>
    <w:qFormat/>
  </w:style>
  <w:style w:type="numbering" w:styleId="1064" w:customStyle="1">
    <w:name w:val="WW8Num29"/>
    <w:qFormat/>
  </w:style>
  <w:style w:type="numbering" w:styleId="1065" w:customStyle="1">
    <w:name w:val="WW8Num30"/>
    <w:qFormat/>
  </w:style>
  <w:style w:type="table" w:styleId="1066">
    <w:name w:val="Table Grid"/>
    <w:basedOn w:val="76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67" w:customStyle="1">
    <w:name w:val="Table Grid Light"/>
    <w:basedOn w:val="76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068" w:customStyle="1">
    <w:name w:val="Таблица простая 11"/>
    <w:basedOn w:val="76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fffff" w:fill="f2f2f2" w:themeFill="text1" w:themeFillTint="0D"/>
      </w:tcPr>
    </w:tblStylePr>
    <w:tblStylePr w:type="band1Vert">
      <w:tcPr>
        <w:shd w:val="clear" w:color="ffffff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1069" w:customStyle="1">
    <w:name w:val="Таблица простая 21"/>
    <w:basedOn w:val="76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1070" w:customStyle="1">
    <w:name w:val="Таблица простая 31"/>
    <w:basedOn w:val="766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D"/>
      </w:tcPr>
    </w:tblStylePr>
    <w:tblStylePr w:type="band1Vert">
      <w:rPr>
        <w:sz w:val="22"/>
      </w:rPr>
      <w:tcPr>
        <w:shd w:val="clear" w:color="ffffff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1071" w:customStyle="1">
    <w:name w:val="Таблица простая 41"/>
    <w:basedOn w:val="766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D"/>
      </w:tcPr>
    </w:tblStylePr>
    <w:tblStylePr w:type="band1Vert">
      <w:rPr>
        <w:sz w:val="22"/>
      </w:rPr>
      <w:tcPr>
        <w:shd w:val="clear" w:color="ffffff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1072" w:customStyle="1">
    <w:name w:val="Таблица простая 51"/>
    <w:basedOn w:val="766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D"/>
      </w:tcPr>
    </w:tblStylePr>
    <w:tblStylePr w:type="band1Vert">
      <w:rPr>
        <w:sz w:val="22"/>
      </w:rPr>
      <w:tcPr>
        <w:shd w:val="clear" w:color="ffffff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73" w:customStyle="1">
    <w:name w:val="Таблица-сетка 1 светлая1"/>
    <w:basedOn w:val="76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74" w:customStyle="1">
    <w:name w:val="Grid Table 1 Light - Accent 1"/>
    <w:basedOn w:val="766"/>
    <w:uiPriority w:val="99"/>
    <w:tblPr>
      <w:tblStyleRowBandSize w:val="1"/>
      <w:tblStyleColBandSize w:val="1"/>
      <w:tblBorders>
        <w:top w:val="single" w:color="87FC76" w:themeColor="accent1" w:themeTint="67" w:sz="4" w:space="0"/>
        <w:left w:val="single" w:color="87FC76" w:themeColor="accent1" w:themeTint="67" w:sz="4" w:space="0"/>
        <w:bottom w:val="single" w:color="87FC76" w:themeColor="accent1" w:themeTint="67" w:sz="4" w:space="0"/>
        <w:right w:val="single" w:color="87FC76" w:themeColor="accent1" w:themeTint="67" w:sz="4" w:space="0"/>
        <w:insideH w:val="single" w:color="87FC76" w:themeColor="accent1" w:themeTint="67" w:sz="4" w:space="0"/>
        <w:insideV w:val="single" w:color="87FC76" w:themeColor="accent1" w:themeTint="67" w:sz="4" w:space="0"/>
      </w:tblBorders>
    </w:tblPr>
    <w:tblStylePr w:type="band1Horz">
      <w:rPr>
        <w:sz w:val="22"/>
      </w:rPr>
      <w:tcPr>
        <w:tcBorders>
          <w:top w:val="single" w:color="18A303" w:themeColor="accent1" w:sz="4" w:space="0"/>
          <w:left w:val="single" w:color="18A303" w:themeColor="accent1" w:sz="4" w:space="0"/>
          <w:bottom w:val="single" w:color="18A303" w:themeColor="accent1" w:sz="4" w:space="0"/>
          <w:right w:val="single" w:color="18A303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18A303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75" w:customStyle="1">
    <w:name w:val="Grid Table 1 Light - Accent 2"/>
    <w:basedOn w:val="766"/>
    <w:uiPriority w:val="99"/>
    <w:tblPr>
      <w:tblStyleRowBandSize w:val="1"/>
      <w:tblStyleColBandSize w:val="1"/>
      <w:tblBorders>
        <w:top w:val="single" w:color="76CBFC" w:themeColor="accent2" w:themeTint="67" w:sz="4" w:space="0"/>
        <w:left w:val="single" w:color="76CBFC" w:themeColor="accent2" w:themeTint="67" w:sz="4" w:space="0"/>
        <w:bottom w:val="single" w:color="76CBFC" w:themeColor="accent2" w:themeTint="67" w:sz="4" w:space="0"/>
        <w:right w:val="single" w:color="76CBFC" w:themeColor="accent2" w:themeTint="67" w:sz="4" w:space="0"/>
        <w:insideH w:val="single" w:color="76CBFC" w:themeColor="accent2" w:themeTint="67" w:sz="4" w:space="0"/>
        <w:insideV w:val="single" w:color="76CBFC" w:themeColor="accent2" w:themeTint="67" w:sz="4" w:space="0"/>
      </w:tblBorders>
    </w:tblPr>
    <w:tblStylePr w:type="band1Horz">
      <w:rPr>
        <w:sz w:val="22"/>
      </w:rPr>
      <w:tcPr>
        <w:tcBorders>
          <w:top w:val="single" w:color="0369A3" w:themeColor="accent2" w:sz="4" w:space="0"/>
          <w:left w:val="single" w:color="0369A3" w:themeColor="accent2" w:sz="4" w:space="0"/>
          <w:bottom w:val="single" w:color="0369A3" w:themeColor="accent2" w:sz="4" w:space="0"/>
          <w:right w:val="single" w:color="0369A3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369A3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76" w:customStyle="1">
    <w:name w:val="Grid Table 1 Light - Accent 3"/>
    <w:basedOn w:val="766"/>
    <w:uiPriority w:val="99"/>
    <w:tblPr>
      <w:tblStyleRowBandSize w:val="1"/>
      <w:tblStyleColBandSize w:val="1"/>
      <w:tblBorders>
        <w:top w:val="single" w:color="FCA776" w:themeColor="accent3" w:themeTint="67" w:sz="4" w:space="0"/>
        <w:left w:val="single" w:color="FCA776" w:themeColor="accent3" w:themeTint="67" w:sz="4" w:space="0"/>
        <w:bottom w:val="single" w:color="FCA776" w:themeColor="accent3" w:themeTint="67" w:sz="4" w:space="0"/>
        <w:right w:val="single" w:color="FCA776" w:themeColor="accent3" w:themeTint="67" w:sz="4" w:space="0"/>
        <w:insideH w:val="single" w:color="FCA776" w:themeColor="accent3" w:themeTint="67" w:sz="4" w:space="0"/>
        <w:insideV w:val="single" w:color="FCA776" w:themeColor="accent3" w:themeTint="67" w:sz="4" w:space="0"/>
      </w:tblBorders>
    </w:tblPr>
    <w:tblStylePr w:type="band1Horz">
      <w:rPr>
        <w:sz w:val="22"/>
      </w:rPr>
      <w:tcPr>
        <w:tcBorders>
          <w:top w:val="single" w:color="A33E03" w:themeColor="accent3" w:sz="4" w:space="0"/>
          <w:left w:val="single" w:color="A33E03" w:themeColor="accent3" w:sz="4" w:space="0"/>
          <w:bottom w:val="single" w:color="A33E03" w:themeColor="accent3" w:sz="4" w:space="0"/>
          <w:right w:val="single" w:color="A33E03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33E03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77" w:customStyle="1">
    <w:name w:val="Grid Table 1 Light - Accent 4"/>
    <w:basedOn w:val="766"/>
    <w:uiPriority w:val="99"/>
    <w:tblPr>
      <w:tblStyleRowBandSize w:val="1"/>
      <w:tblStyleColBandSize w:val="1"/>
      <w:tblBorders>
        <w:top w:val="single" w:color="EA76FC" w:themeColor="accent4" w:themeTint="67" w:sz="4" w:space="0"/>
        <w:left w:val="single" w:color="EA76FC" w:themeColor="accent4" w:themeTint="67" w:sz="4" w:space="0"/>
        <w:bottom w:val="single" w:color="EA76FC" w:themeColor="accent4" w:themeTint="67" w:sz="4" w:space="0"/>
        <w:right w:val="single" w:color="EA76FC" w:themeColor="accent4" w:themeTint="67" w:sz="4" w:space="0"/>
        <w:insideH w:val="single" w:color="EA76FC" w:themeColor="accent4" w:themeTint="67" w:sz="4" w:space="0"/>
        <w:insideV w:val="single" w:color="EA76FC" w:themeColor="accent4" w:themeTint="67" w:sz="4" w:space="0"/>
      </w:tblBorders>
    </w:tblPr>
    <w:tblStylePr w:type="band1Horz">
      <w:rPr>
        <w:sz w:val="22"/>
      </w:rPr>
      <w:tcPr>
        <w:tcBorders>
          <w:top w:val="single" w:color="8E03A3" w:themeColor="accent4" w:sz="4" w:space="0"/>
          <w:left w:val="single" w:color="8E03A3" w:themeColor="accent4" w:sz="4" w:space="0"/>
          <w:bottom w:val="single" w:color="8E03A3" w:themeColor="accent4" w:sz="4" w:space="0"/>
          <w:right w:val="single" w:color="8E03A3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E03A3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78" w:customStyle="1">
    <w:name w:val="Grid Table 1 Light - Accent 5"/>
    <w:basedOn w:val="766"/>
    <w:uiPriority w:val="99"/>
    <w:tblPr>
      <w:tblStyleRowBandSize w:val="1"/>
      <w:tblStyleColBandSize w:val="1"/>
      <w:tblBorders>
        <w:top w:val="single" w:color="FFE282" w:themeColor="accent5" w:themeTint="67" w:sz="4" w:space="0"/>
        <w:left w:val="single" w:color="FFE282" w:themeColor="accent5" w:themeTint="67" w:sz="4" w:space="0"/>
        <w:bottom w:val="single" w:color="FFE282" w:themeColor="accent5" w:themeTint="67" w:sz="4" w:space="0"/>
        <w:right w:val="single" w:color="FFE282" w:themeColor="accent5" w:themeTint="67" w:sz="4" w:space="0"/>
        <w:insideH w:val="single" w:color="FFE282" w:themeColor="accent5" w:themeTint="67" w:sz="4" w:space="0"/>
        <w:insideV w:val="single" w:color="FFE282" w:themeColor="accent5" w:themeTint="67" w:sz="4" w:space="0"/>
      </w:tblBorders>
    </w:tblPr>
    <w:tblStylePr w:type="band1Horz">
      <w:rPr>
        <w:sz w:val="22"/>
      </w:rPr>
      <w:tcPr>
        <w:tcBorders>
          <w:top w:val="single" w:color="C99C00" w:themeColor="accent5" w:sz="4" w:space="0"/>
          <w:left w:val="single" w:color="C99C00" w:themeColor="accent5" w:sz="4" w:space="0"/>
          <w:bottom w:val="single" w:color="C99C00" w:themeColor="accent5" w:sz="4" w:space="0"/>
          <w:right w:val="single" w:color="C99C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99C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79" w:customStyle="1">
    <w:name w:val="Grid Table 1 Light - Accent 6"/>
    <w:basedOn w:val="766"/>
    <w:uiPriority w:val="99"/>
    <w:tblPr>
      <w:tblStyleRowBandSize w:val="1"/>
      <w:tblStyleColBandSize w:val="1"/>
      <w:tblBorders>
        <w:top w:val="single" w:color="F09D9C" w:themeColor="accent6" w:themeTint="67" w:sz="4" w:space="0"/>
        <w:left w:val="single" w:color="F09D9C" w:themeColor="accent6" w:themeTint="67" w:sz="4" w:space="0"/>
        <w:bottom w:val="single" w:color="F09D9C" w:themeColor="accent6" w:themeTint="67" w:sz="4" w:space="0"/>
        <w:right w:val="single" w:color="F09D9C" w:themeColor="accent6" w:themeTint="67" w:sz="4" w:space="0"/>
        <w:insideH w:val="single" w:color="F09D9C" w:themeColor="accent6" w:themeTint="67" w:sz="4" w:space="0"/>
        <w:insideV w:val="single" w:color="F09D9C" w:themeColor="accent6" w:themeTint="67" w:sz="4" w:space="0"/>
      </w:tblBorders>
    </w:tblPr>
    <w:tblStylePr w:type="band1Horz">
      <w:rPr>
        <w:sz w:val="22"/>
      </w:rPr>
      <w:tcPr>
        <w:tcBorders>
          <w:top w:val="single" w:color="C9211E" w:themeColor="accent6" w:sz="4" w:space="0"/>
          <w:left w:val="single" w:color="C9211E" w:themeColor="accent6" w:sz="4" w:space="0"/>
          <w:bottom w:val="single" w:color="C9211E" w:themeColor="accent6" w:sz="4" w:space="0"/>
          <w:right w:val="single" w:color="C9211E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9211E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80" w:customStyle="1">
    <w:name w:val="Таблица-сетка 21"/>
    <w:basedOn w:val="76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1" w:customStyle="1">
    <w:name w:val="Grid Table 2 - Accent 1"/>
    <w:basedOn w:val="766"/>
    <w:uiPriority w:val="99"/>
    <w:tblPr>
      <w:tblStyleRowBandSize w:val="1"/>
      <w:tblStyleColBandSize w:val="1"/>
      <w:tblBorders>
        <w:bottom w:val="single" w:color="1BBE03" w:themeColor="accent1" w:themeTint="EA" w:sz="4" w:space="0"/>
        <w:insideH w:val="single" w:color="1BBE03" w:themeColor="accent1" w:themeTint="EA" w:sz="4" w:space="0"/>
        <w:insideV w:val="single" w:color="1BBE03" w:themeColor="accent1" w:themeTint="EA" w:sz="4" w:space="0"/>
      </w:tblBorders>
    </w:tblPr>
    <w:tblStylePr w:type="band1Horz">
      <w:rPr>
        <w:sz w:val="22"/>
      </w:rPr>
      <w:tcPr>
        <w:shd w:val="clear" w:color="ffffff" w:fill="c2fdb9" w:themeFill="accent1" w:themeFillTint="34"/>
      </w:tcPr>
    </w:tblStylePr>
    <w:tblStylePr w:type="band1Vert">
      <w:rPr>
        <w:sz w:val="22"/>
      </w:rPr>
      <w:tcPr>
        <w:shd w:val="clear" w:color="ffffff" w:fill="c2fdb9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8A303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18A303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2" w:customStyle="1">
    <w:name w:val="Grid Table 2 - Accent 2"/>
    <w:basedOn w:val="766"/>
    <w:uiPriority w:val="99"/>
    <w:tblPr>
      <w:tblStyleRowBandSize w:val="1"/>
      <w:tblStyleColBandSize w:val="1"/>
      <w:tblBorders>
        <w:bottom w:val="single" w:color="36B3FB" w:themeColor="accent2" w:themeTint="97" w:sz="4" w:space="0"/>
        <w:insideH w:val="single" w:color="36B3FB" w:themeColor="accent2" w:themeTint="97" w:sz="4" w:space="0"/>
        <w:insideV w:val="single" w:color="36B3FB" w:themeColor="accent2" w:themeTint="97" w:sz="4" w:space="0"/>
      </w:tblBorders>
    </w:tblPr>
    <w:tblStylePr w:type="band1Horz">
      <w:rPr>
        <w:sz w:val="22"/>
      </w:rPr>
      <w:tcPr>
        <w:shd w:val="clear" w:color="ffffff" w:fill="bce6fd" w:themeFill="accent2" w:themeFillTint="32"/>
      </w:tcPr>
    </w:tblStylePr>
    <w:tblStylePr w:type="band1Vert">
      <w:rPr>
        <w:sz w:val="22"/>
      </w:rPr>
      <w:tcPr>
        <w:shd w:val="clear" w:color="ffffff" w:fill="bce6fd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369A3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369A3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3" w:customStyle="1">
    <w:name w:val="Grid Table 2 - Accent 3"/>
    <w:basedOn w:val="766"/>
    <w:uiPriority w:val="99"/>
    <w:tblPr>
      <w:tblStyleRowBandSize w:val="1"/>
      <w:tblStyleColBandSize w:val="1"/>
      <w:tblBorders>
        <w:bottom w:val="single" w:color="A43E03" w:themeColor="accent3" w:themeTint="FE" w:sz="4" w:space="0"/>
        <w:insideH w:val="single" w:color="A43E03" w:themeColor="accent3" w:themeTint="FE" w:sz="4" w:space="0"/>
        <w:insideV w:val="single" w:color="A43E03" w:themeColor="accent3" w:themeTint="FE" w:sz="4" w:space="0"/>
      </w:tblBorders>
    </w:tblPr>
    <w:tblStylePr w:type="band1Horz">
      <w:rPr>
        <w:sz w:val="22"/>
      </w:rPr>
      <w:tcPr>
        <w:shd w:val="clear" w:color="ffffff" w:fill="fdd2b9" w:themeFill="accent3" w:themeFillTint="34"/>
      </w:tcPr>
    </w:tblStylePr>
    <w:tblStylePr w:type="band1Vert">
      <w:rPr>
        <w:sz w:val="22"/>
      </w:rPr>
      <w:tcPr>
        <w:shd w:val="clear" w:color="ffffff" w:fill="fdd2b9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33E03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33E03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4" w:customStyle="1">
    <w:name w:val="Grid Table 2 - Accent 4"/>
    <w:basedOn w:val="766"/>
    <w:uiPriority w:val="99"/>
    <w:tblPr>
      <w:tblStyleRowBandSize w:val="1"/>
      <w:tblStyleColBandSize w:val="1"/>
      <w:tblBorders>
        <w:bottom w:val="single" w:color="E032FB" w:themeColor="accent4" w:themeTint="9A" w:sz="4" w:space="0"/>
        <w:insideH w:val="single" w:color="E032FB" w:themeColor="accent4" w:themeTint="9A" w:sz="4" w:space="0"/>
        <w:insideV w:val="single" w:color="E032FB" w:themeColor="accent4" w:themeTint="9A" w:sz="4" w:space="0"/>
      </w:tblBorders>
    </w:tblPr>
    <w:tblStylePr w:type="band1Horz">
      <w:rPr>
        <w:sz w:val="22"/>
      </w:rPr>
      <w:tcPr>
        <w:shd w:val="clear" w:color="ffffff" w:fill="f4b9fd" w:themeFill="accent4" w:themeFillTint="34"/>
      </w:tcPr>
    </w:tblStylePr>
    <w:tblStylePr w:type="band1Vert">
      <w:rPr>
        <w:sz w:val="22"/>
      </w:rPr>
      <w:tcPr>
        <w:shd w:val="clear" w:color="ffffff" w:fill="f4b9fd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E03A3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E03A3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5" w:customStyle="1">
    <w:name w:val="Grid Table 2 - Accent 5"/>
    <w:basedOn w:val="766"/>
    <w:uiPriority w:val="99"/>
    <w:tblPr>
      <w:tblStyleRowBandSize w:val="1"/>
      <w:tblStyleColBandSize w:val="1"/>
      <w:tblBorders>
        <w:bottom w:val="single" w:color="C99C00" w:themeColor="accent5" w:sz="4" w:space="0"/>
        <w:insideH w:val="single" w:color="C99C00" w:themeColor="accent5" w:sz="4" w:space="0"/>
        <w:insideV w:val="single" w:color="C99C00" w:themeColor="accent5" w:sz="4" w:space="0"/>
      </w:tblBorders>
    </w:tblPr>
    <w:tblStylePr w:type="band1Horz">
      <w:rPr>
        <w:sz w:val="22"/>
      </w:rPr>
      <w:tcPr>
        <w:shd w:val="clear" w:color="ffffff" w:fill="fff0bf" w:themeFill="accent5" w:themeFillTint="34"/>
      </w:tcPr>
    </w:tblStylePr>
    <w:tblStylePr w:type="band1Vert">
      <w:rPr>
        <w:sz w:val="22"/>
      </w:rPr>
      <w:tcPr>
        <w:shd w:val="clear" w:color="ffffff" w:fill="fff0bf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99C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99C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6" w:customStyle="1">
    <w:name w:val="Grid Table 2 - Accent 6"/>
    <w:basedOn w:val="766"/>
    <w:uiPriority w:val="99"/>
    <w:tblPr>
      <w:tblStyleRowBandSize w:val="1"/>
      <w:tblStyleColBandSize w:val="1"/>
      <w:tblBorders>
        <w:bottom w:val="single" w:color="C9211E" w:themeColor="accent6" w:sz="4" w:space="0"/>
        <w:insideH w:val="single" w:color="C9211E" w:themeColor="accent6" w:sz="4" w:space="0"/>
        <w:insideV w:val="single" w:color="C9211E" w:themeColor="accent6" w:sz="4" w:space="0"/>
      </w:tblBorders>
    </w:tblPr>
    <w:tblStylePr w:type="band1Horz">
      <w:rPr>
        <w:sz w:val="22"/>
      </w:rPr>
      <w:tcPr>
        <w:shd w:val="clear" w:color="ffffff" w:fill="f7cdcd" w:themeFill="accent6" w:themeFillTint="34"/>
      </w:tcPr>
    </w:tblStylePr>
    <w:tblStylePr w:type="band1Vert">
      <w:rPr>
        <w:sz w:val="22"/>
      </w:rPr>
      <w:tcPr>
        <w:shd w:val="clear" w:color="ffffff" w:fill="f7cdcd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9211E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9211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7" w:customStyle="1">
    <w:name w:val="Таблица-сетка 31"/>
    <w:basedOn w:val="76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8" w:customStyle="1">
    <w:name w:val="Grid Table 3 - Accent 1"/>
    <w:basedOn w:val="766"/>
    <w:uiPriority w:val="99"/>
    <w:tblPr>
      <w:tblStyleRowBandSize w:val="1"/>
      <w:tblStyleColBandSize w:val="1"/>
      <w:tblBorders>
        <w:bottom w:val="single" w:color="1BBE03" w:themeColor="accent1" w:themeTint="EA" w:sz="4" w:space="0"/>
        <w:insideH w:val="single" w:color="1BBE03" w:themeColor="accent1" w:themeTint="EA" w:sz="4" w:space="0"/>
        <w:insideV w:val="single" w:color="1BBE03" w:themeColor="accent1" w:themeTint="EA" w:sz="4" w:space="0"/>
      </w:tblBorders>
    </w:tblPr>
    <w:tblStylePr w:type="band1Horz">
      <w:rPr>
        <w:sz w:val="22"/>
      </w:rPr>
      <w:tcPr>
        <w:shd w:val="clear" w:color="ffffff" w:fill="c2fdb9" w:themeFill="accent1" w:themeFillTint="34"/>
      </w:tcPr>
    </w:tblStylePr>
    <w:tblStylePr w:type="band1Vert">
      <w:rPr>
        <w:sz w:val="22"/>
      </w:rPr>
      <w:tcPr>
        <w:shd w:val="clear" w:color="ffffff" w:fill="c2fdb9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9" w:customStyle="1">
    <w:name w:val="Grid Table 3 - Accent 2"/>
    <w:basedOn w:val="766"/>
    <w:uiPriority w:val="99"/>
    <w:tblPr>
      <w:tblStyleRowBandSize w:val="1"/>
      <w:tblStyleColBandSize w:val="1"/>
      <w:tblBorders>
        <w:bottom w:val="single" w:color="36B3FB" w:themeColor="accent2" w:themeTint="97" w:sz="4" w:space="0"/>
        <w:insideH w:val="single" w:color="36B3FB" w:themeColor="accent2" w:themeTint="97" w:sz="4" w:space="0"/>
        <w:insideV w:val="single" w:color="36B3FB" w:themeColor="accent2" w:themeTint="97" w:sz="4" w:space="0"/>
      </w:tblBorders>
    </w:tblPr>
    <w:tblStylePr w:type="band1Horz">
      <w:rPr>
        <w:sz w:val="22"/>
      </w:rPr>
      <w:tcPr>
        <w:shd w:val="clear" w:color="ffffff" w:fill="bce6fd" w:themeFill="accent2" w:themeFillTint="32"/>
      </w:tcPr>
    </w:tblStylePr>
    <w:tblStylePr w:type="band1Vert">
      <w:rPr>
        <w:sz w:val="22"/>
      </w:rPr>
      <w:tcPr>
        <w:shd w:val="clear" w:color="ffffff" w:fill="bce6fd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0" w:customStyle="1">
    <w:name w:val="Grid Table 3 - Accent 3"/>
    <w:basedOn w:val="766"/>
    <w:uiPriority w:val="99"/>
    <w:tblPr>
      <w:tblStyleRowBandSize w:val="1"/>
      <w:tblStyleColBandSize w:val="1"/>
      <w:tblBorders>
        <w:bottom w:val="single" w:color="A43E03" w:themeColor="accent3" w:themeTint="FE" w:sz="4" w:space="0"/>
        <w:insideH w:val="single" w:color="A43E03" w:themeColor="accent3" w:themeTint="FE" w:sz="4" w:space="0"/>
        <w:insideV w:val="single" w:color="A43E03" w:themeColor="accent3" w:themeTint="FE" w:sz="4" w:space="0"/>
      </w:tblBorders>
    </w:tblPr>
    <w:tblStylePr w:type="band1Horz">
      <w:rPr>
        <w:sz w:val="22"/>
      </w:rPr>
      <w:tcPr>
        <w:shd w:val="clear" w:color="ffffff" w:fill="fdd2b9" w:themeFill="accent3" w:themeFillTint="34"/>
      </w:tcPr>
    </w:tblStylePr>
    <w:tblStylePr w:type="band1Vert">
      <w:rPr>
        <w:sz w:val="22"/>
      </w:rPr>
      <w:tcPr>
        <w:shd w:val="clear" w:color="ffffff" w:fill="fdd2b9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1" w:customStyle="1">
    <w:name w:val="Grid Table 3 - Accent 4"/>
    <w:basedOn w:val="766"/>
    <w:uiPriority w:val="99"/>
    <w:tblPr>
      <w:tblStyleRowBandSize w:val="1"/>
      <w:tblStyleColBandSize w:val="1"/>
      <w:tblBorders>
        <w:bottom w:val="single" w:color="E032FB" w:themeColor="accent4" w:themeTint="9A" w:sz="4" w:space="0"/>
        <w:insideH w:val="single" w:color="E032FB" w:themeColor="accent4" w:themeTint="9A" w:sz="4" w:space="0"/>
        <w:insideV w:val="single" w:color="E032FB" w:themeColor="accent4" w:themeTint="9A" w:sz="4" w:space="0"/>
      </w:tblBorders>
    </w:tblPr>
    <w:tblStylePr w:type="band1Horz">
      <w:rPr>
        <w:sz w:val="22"/>
      </w:rPr>
      <w:tcPr>
        <w:shd w:val="clear" w:color="ffffff" w:fill="f4b9fd" w:themeFill="accent4" w:themeFillTint="34"/>
      </w:tcPr>
    </w:tblStylePr>
    <w:tblStylePr w:type="band1Vert">
      <w:rPr>
        <w:sz w:val="22"/>
      </w:rPr>
      <w:tcPr>
        <w:shd w:val="clear" w:color="ffffff" w:fill="f4b9fd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2" w:customStyle="1">
    <w:name w:val="Grid Table 3 - Accent 5"/>
    <w:basedOn w:val="766"/>
    <w:uiPriority w:val="99"/>
    <w:tblPr>
      <w:tblStyleRowBandSize w:val="1"/>
      <w:tblStyleColBandSize w:val="1"/>
      <w:tblBorders>
        <w:bottom w:val="single" w:color="C99C00" w:themeColor="accent5" w:sz="4" w:space="0"/>
        <w:insideH w:val="single" w:color="C99C00" w:themeColor="accent5" w:sz="4" w:space="0"/>
        <w:insideV w:val="single" w:color="C99C00" w:themeColor="accent5" w:sz="4" w:space="0"/>
      </w:tblBorders>
    </w:tblPr>
    <w:tblStylePr w:type="band1Horz">
      <w:rPr>
        <w:sz w:val="22"/>
      </w:rPr>
      <w:tcPr>
        <w:shd w:val="clear" w:color="ffffff" w:fill="fff0bf" w:themeFill="accent5" w:themeFillTint="34"/>
      </w:tcPr>
    </w:tblStylePr>
    <w:tblStylePr w:type="band1Vert">
      <w:rPr>
        <w:sz w:val="22"/>
      </w:rPr>
      <w:tcPr>
        <w:shd w:val="clear" w:color="ffffff" w:fill="fff0bf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3" w:customStyle="1">
    <w:name w:val="Grid Table 3 - Accent 6"/>
    <w:basedOn w:val="766"/>
    <w:uiPriority w:val="99"/>
    <w:tblPr>
      <w:tblStyleRowBandSize w:val="1"/>
      <w:tblStyleColBandSize w:val="1"/>
      <w:tblBorders>
        <w:bottom w:val="single" w:color="C9211E" w:themeColor="accent6" w:sz="4" w:space="0"/>
        <w:insideH w:val="single" w:color="C9211E" w:themeColor="accent6" w:sz="4" w:space="0"/>
        <w:insideV w:val="single" w:color="C9211E" w:themeColor="accent6" w:sz="4" w:space="0"/>
      </w:tblBorders>
    </w:tblPr>
    <w:tblStylePr w:type="band1Horz">
      <w:rPr>
        <w:sz w:val="22"/>
      </w:rPr>
      <w:tcPr>
        <w:shd w:val="clear" w:color="ffffff" w:fill="f7cdcd" w:themeFill="accent6" w:themeFillTint="34"/>
      </w:tcPr>
    </w:tblStylePr>
    <w:tblStylePr w:type="band1Vert">
      <w:rPr>
        <w:sz w:val="22"/>
      </w:rPr>
      <w:tcPr>
        <w:shd w:val="clear" w:color="ffffff" w:fill="f7cdcd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4" w:customStyle="1">
    <w:name w:val="Таблица-сетка 41"/>
    <w:basedOn w:val="76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1095" w:customStyle="1">
    <w:name w:val="Grid Table 4 - Accent 1"/>
    <w:basedOn w:val="766"/>
    <w:uiPriority w:val="59"/>
    <w:tblPr>
      <w:tblStyleRowBandSize w:val="1"/>
      <w:tblStyleColBandSize w:val="1"/>
      <w:tblBorders>
        <w:top w:val="single" w:color="58FB40" w:themeColor="accent1" w:themeTint="90" w:sz="4" w:space="0"/>
        <w:left w:val="single" w:color="58FB40" w:themeColor="accent1" w:themeTint="90" w:sz="4" w:space="0"/>
        <w:bottom w:val="single" w:color="58FB40" w:themeColor="accent1" w:themeTint="90" w:sz="4" w:space="0"/>
        <w:right w:val="single" w:color="58FB40" w:themeColor="accent1" w:themeTint="90" w:sz="4" w:space="0"/>
        <w:insideH w:val="single" w:color="58FB40" w:themeColor="accent1" w:themeTint="90" w:sz="4" w:space="0"/>
        <w:insideV w:val="single" w:color="58FB40" w:themeColor="accent1" w:themeTint="90" w:sz="4" w:space="0"/>
      </w:tblBorders>
    </w:tblPr>
    <w:tblStylePr w:type="band1Horz">
      <w:rPr>
        <w:sz w:val="22"/>
      </w:rPr>
      <w:tcPr>
        <w:shd w:val="clear" w:color="ffffff" w:fill="c4fdbc" w:themeFill="accent1" w:themeFillTint="32"/>
      </w:tcPr>
    </w:tblStylePr>
    <w:tblStylePr w:type="band1Vert">
      <w:rPr>
        <w:sz w:val="22"/>
      </w:rPr>
      <w:tcPr>
        <w:shd w:val="clear" w:color="ffffff" w:fill="c4fdbc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1bbe03" w:themeFill="accent1" w:themeFillTint="EA"/>
        <w:tcBorders>
          <w:top w:val="single" w:color="18A303" w:themeColor="accent1" w:sz="4" w:space="0"/>
          <w:left w:val="single" w:color="18A303" w:themeColor="accent1" w:sz="4" w:space="0"/>
          <w:bottom w:val="single" w:color="18A303" w:themeColor="accent1" w:sz="4" w:space="0"/>
          <w:right w:val="single" w:color="18A303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18A303" w:themeColor="accent1" w:sz="4" w:space="0"/>
        </w:tcBorders>
      </w:tcPr>
    </w:tblStylePr>
  </w:style>
  <w:style w:type="table" w:styleId="1096" w:customStyle="1">
    <w:name w:val="Grid Table 4 - Accent 2"/>
    <w:basedOn w:val="766"/>
    <w:uiPriority w:val="59"/>
    <w:tblPr>
      <w:tblStyleRowBandSize w:val="1"/>
      <w:tblStyleColBandSize w:val="1"/>
      <w:tblBorders>
        <w:top w:val="single" w:color="40B7FB" w:themeColor="accent2" w:themeTint="90" w:sz="4" w:space="0"/>
        <w:left w:val="single" w:color="40B7FB" w:themeColor="accent2" w:themeTint="90" w:sz="4" w:space="0"/>
        <w:bottom w:val="single" w:color="40B7FB" w:themeColor="accent2" w:themeTint="90" w:sz="4" w:space="0"/>
        <w:right w:val="single" w:color="40B7FB" w:themeColor="accent2" w:themeTint="90" w:sz="4" w:space="0"/>
        <w:insideH w:val="single" w:color="40B7FB" w:themeColor="accent2" w:themeTint="90" w:sz="4" w:space="0"/>
        <w:insideV w:val="single" w:color="40B7FB" w:themeColor="accent2" w:themeTint="90" w:sz="4" w:space="0"/>
      </w:tblBorders>
    </w:tblPr>
    <w:tblStylePr w:type="band1Horz">
      <w:rPr>
        <w:sz w:val="22"/>
      </w:rPr>
      <w:tcPr>
        <w:shd w:val="clear" w:color="ffffff" w:fill="bce6fd" w:themeFill="accent2" w:themeFillTint="32"/>
      </w:tcPr>
    </w:tblStylePr>
    <w:tblStylePr w:type="band1Vert">
      <w:rPr>
        <w:sz w:val="22"/>
      </w:rPr>
      <w:tcPr>
        <w:shd w:val="clear" w:color="ffffff" w:fill="bce6fd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36b3fb" w:themeFill="accent2" w:themeFillTint="97"/>
        <w:tcBorders>
          <w:top w:val="single" w:color="0369A3" w:themeColor="accent2" w:sz="4" w:space="0"/>
          <w:left w:val="single" w:color="0369A3" w:themeColor="accent2" w:sz="4" w:space="0"/>
          <w:bottom w:val="single" w:color="0369A3" w:themeColor="accent2" w:sz="4" w:space="0"/>
          <w:right w:val="single" w:color="0369A3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369A3" w:themeColor="accent2" w:sz="4" w:space="0"/>
        </w:tcBorders>
      </w:tcPr>
    </w:tblStylePr>
  </w:style>
  <w:style w:type="table" w:styleId="1097" w:customStyle="1">
    <w:name w:val="Grid Table 4 - Accent 3"/>
    <w:basedOn w:val="766"/>
    <w:uiPriority w:val="59"/>
    <w:tblPr>
      <w:tblStyleRowBandSize w:val="1"/>
      <w:tblStyleColBandSize w:val="1"/>
      <w:tblBorders>
        <w:top w:val="single" w:color="FB8540" w:themeColor="accent3" w:themeTint="90" w:sz="4" w:space="0"/>
        <w:left w:val="single" w:color="FB8540" w:themeColor="accent3" w:themeTint="90" w:sz="4" w:space="0"/>
        <w:bottom w:val="single" w:color="FB8540" w:themeColor="accent3" w:themeTint="90" w:sz="4" w:space="0"/>
        <w:right w:val="single" w:color="FB8540" w:themeColor="accent3" w:themeTint="90" w:sz="4" w:space="0"/>
        <w:insideH w:val="single" w:color="FB8540" w:themeColor="accent3" w:themeTint="90" w:sz="4" w:space="0"/>
        <w:insideV w:val="single" w:color="FB8540" w:themeColor="accent3" w:themeTint="90" w:sz="4" w:space="0"/>
      </w:tblBorders>
    </w:tblPr>
    <w:tblStylePr w:type="band1Horz">
      <w:rPr>
        <w:sz w:val="22"/>
      </w:rPr>
      <w:tcPr>
        <w:shd w:val="clear" w:color="ffffff" w:fill="fdd2b9" w:themeFill="accent3" w:themeFillTint="34"/>
      </w:tcPr>
    </w:tblStylePr>
    <w:tblStylePr w:type="band1Vert">
      <w:rPr>
        <w:sz w:val="22"/>
      </w:rPr>
      <w:tcPr>
        <w:shd w:val="clear" w:color="ffffff" w:fill="fdd2b9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43e03" w:themeFill="accent3" w:themeFillTint="FE"/>
        <w:tcBorders>
          <w:top w:val="single" w:color="A33E03" w:themeColor="accent3" w:sz="4" w:space="0"/>
          <w:left w:val="single" w:color="A33E03" w:themeColor="accent3" w:sz="4" w:space="0"/>
          <w:bottom w:val="single" w:color="A33E03" w:themeColor="accent3" w:sz="4" w:space="0"/>
          <w:right w:val="single" w:color="A33E03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33E03" w:themeColor="accent3" w:sz="4" w:space="0"/>
        </w:tcBorders>
      </w:tcPr>
    </w:tblStylePr>
  </w:style>
  <w:style w:type="table" w:styleId="1098" w:customStyle="1">
    <w:name w:val="Grid Table 4 - Accent 4"/>
    <w:basedOn w:val="766"/>
    <w:uiPriority w:val="59"/>
    <w:tblPr>
      <w:tblStyleRowBandSize w:val="1"/>
      <w:tblStyleColBandSize w:val="1"/>
      <w:tblBorders>
        <w:top w:val="single" w:color="E240FB" w:themeColor="accent4" w:themeTint="90" w:sz="4" w:space="0"/>
        <w:left w:val="single" w:color="E240FB" w:themeColor="accent4" w:themeTint="90" w:sz="4" w:space="0"/>
        <w:bottom w:val="single" w:color="E240FB" w:themeColor="accent4" w:themeTint="90" w:sz="4" w:space="0"/>
        <w:right w:val="single" w:color="E240FB" w:themeColor="accent4" w:themeTint="90" w:sz="4" w:space="0"/>
        <w:insideH w:val="single" w:color="E240FB" w:themeColor="accent4" w:themeTint="90" w:sz="4" w:space="0"/>
        <w:insideV w:val="single" w:color="E240FB" w:themeColor="accent4" w:themeTint="90" w:sz="4" w:space="0"/>
      </w:tblBorders>
    </w:tblPr>
    <w:tblStylePr w:type="band1Horz">
      <w:rPr>
        <w:sz w:val="22"/>
      </w:rPr>
      <w:tcPr>
        <w:shd w:val="clear" w:color="ffffff" w:fill="f4b9fd" w:themeFill="accent4" w:themeFillTint="34"/>
      </w:tcPr>
    </w:tblStylePr>
    <w:tblStylePr w:type="band1Vert">
      <w:rPr>
        <w:sz w:val="22"/>
      </w:rPr>
      <w:tcPr>
        <w:shd w:val="clear" w:color="ffffff" w:fill="f4b9fd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032fb" w:themeFill="accent4" w:themeFillTint="9A"/>
        <w:tcBorders>
          <w:top w:val="single" w:color="8E03A3" w:themeColor="accent4" w:sz="4" w:space="0"/>
          <w:left w:val="single" w:color="8E03A3" w:themeColor="accent4" w:sz="4" w:space="0"/>
          <w:bottom w:val="single" w:color="8E03A3" w:themeColor="accent4" w:sz="4" w:space="0"/>
          <w:right w:val="single" w:color="8E03A3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E03A3" w:themeColor="accent4" w:sz="4" w:space="0"/>
        </w:tcBorders>
      </w:tcPr>
    </w:tblStylePr>
  </w:style>
  <w:style w:type="table" w:styleId="1099" w:customStyle="1">
    <w:name w:val="Grid Table 4 - Accent 5"/>
    <w:basedOn w:val="766"/>
    <w:uiPriority w:val="59"/>
    <w:tblPr>
      <w:tblStyleRowBandSize w:val="1"/>
      <w:tblStyleColBandSize w:val="1"/>
      <w:tblBorders>
        <w:top w:val="single" w:color="FFD750" w:themeColor="accent5" w:themeTint="90" w:sz="4" w:space="0"/>
        <w:left w:val="single" w:color="FFD750" w:themeColor="accent5" w:themeTint="90" w:sz="4" w:space="0"/>
        <w:bottom w:val="single" w:color="FFD750" w:themeColor="accent5" w:themeTint="90" w:sz="4" w:space="0"/>
        <w:right w:val="single" w:color="FFD750" w:themeColor="accent5" w:themeTint="90" w:sz="4" w:space="0"/>
        <w:insideH w:val="single" w:color="FFD750" w:themeColor="accent5" w:themeTint="90" w:sz="4" w:space="0"/>
        <w:insideV w:val="single" w:color="FFD750" w:themeColor="accent5" w:themeTint="90" w:sz="4" w:space="0"/>
      </w:tblBorders>
    </w:tblPr>
    <w:tblStylePr w:type="band1Horz">
      <w:rPr>
        <w:sz w:val="22"/>
      </w:rPr>
      <w:tcPr>
        <w:shd w:val="clear" w:color="ffffff" w:fill="fff0bf" w:themeFill="accent5" w:themeFillTint="34"/>
      </w:tcPr>
    </w:tblStylePr>
    <w:tblStylePr w:type="band1Vert">
      <w:rPr>
        <w:sz w:val="22"/>
      </w:rPr>
      <w:tcPr>
        <w:shd w:val="clear" w:color="ffffff" w:fill="fff0bf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9c00" w:themeFill="accent5"/>
        <w:tcBorders>
          <w:top w:val="single" w:color="C99C00" w:themeColor="accent5" w:sz="4" w:space="0"/>
          <w:left w:val="single" w:color="C99C00" w:themeColor="accent5" w:sz="4" w:space="0"/>
          <w:bottom w:val="single" w:color="C99C00" w:themeColor="accent5" w:sz="4" w:space="0"/>
          <w:right w:val="single" w:color="C99C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99C00" w:themeColor="accent5" w:sz="4" w:space="0"/>
        </w:tcBorders>
      </w:tcPr>
    </w:tblStylePr>
  </w:style>
  <w:style w:type="table" w:styleId="1100" w:customStyle="1">
    <w:name w:val="Grid Table 4 - Accent 6"/>
    <w:basedOn w:val="766"/>
    <w:uiPriority w:val="59"/>
    <w:tblPr>
      <w:tblStyleRowBandSize w:val="1"/>
      <w:tblStyleColBandSize w:val="1"/>
      <w:tblBorders>
        <w:top w:val="single" w:color="EA7775" w:themeColor="accent6" w:themeTint="90" w:sz="4" w:space="0"/>
        <w:left w:val="single" w:color="EA7775" w:themeColor="accent6" w:themeTint="90" w:sz="4" w:space="0"/>
        <w:bottom w:val="single" w:color="EA7775" w:themeColor="accent6" w:themeTint="90" w:sz="4" w:space="0"/>
        <w:right w:val="single" w:color="EA7775" w:themeColor="accent6" w:themeTint="90" w:sz="4" w:space="0"/>
        <w:insideH w:val="single" w:color="EA7775" w:themeColor="accent6" w:themeTint="90" w:sz="4" w:space="0"/>
        <w:insideV w:val="single" w:color="EA7775" w:themeColor="accent6" w:themeTint="90" w:sz="4" w:space="0"/>
      </w:tblBorders>
    </w:tblPr>
    <w:tblStylePr w:type="band1Horz">
      <w:rPr>
        <w:sz w:val="22"/>
      </w:rPr>
      <w:tcPr>
        <w:shd w:val="clear" w:color="ffffff" w:fill="f7cdcd" w:themeFill="accent6" w:themeFillTint="34"/>
      </w:tcPr>
    </w:tblStylePr>
    <w:tblStylePr w:type="band1Vert">
      <w:rPr>
        <w:sz w:val="22"/>
      </w:rPr>
      <w:tcPr>
        <w:shd w:val="clear" w:color="ffffff" w:fill="f7cdcd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211e" w:themeFill="accent6"/>
        <w:tcBorders>
          <w:top w:val="single" w:color="C9211E" w:themeColor="accent6" w:sz="4" w:space="0"/>
          <w:left w:val="single" w:color="C9211E" w:themeColor="accent6" w:sz="4" w:space="0"/>
          <w:bottom w:val="single" w:color="C9211E" w:themeColor="accent6" w:sz="4" w:space="0"/>
          <w:right w:val="single" w:color="C9211E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9211E" w:themeColor="accent6" w:sz="4" w:space="0"/>
        </w:tcBorders>
      </w:tcPr>
    </w:tblStylePr>
  </w:style>
  <w:style w:type="table" w:styleId="1101" w:customStyle="1">
    <w:name w:val="Таблица-сетка 5 темная1"/>
    <w:basedOn w:val="7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1102" w:customStyle="1">
    <w:name w:val="Grid Table 5 Dark- Accent 1"/>
    <w:basedOn w:val="7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77fc63" w:themeFill="accent1" w:themeFillTint="75"/>
      </w:tcPr>
    </w:tblStylePr>
    <w:tblStylePr w:type="band1Vert">
      <w:tcPr>
        <w:shd w:val="clear" w:color="ffffff" w:fill="77fc63" w:themeFill="accent1" w:themeFillTint="75"/>
      </w:tcPr>
    </w:tblStylePr>
    <w:tblStylePr w:type="firstCol">
      <w:rPr>
        <w:b/>
        <w:sz w:val="22"/>
      </w:rPr>
      <w:tcPr>
        <w:shd w:val="clear" w:color="ffffff" w:fill="18a303" w:themeFill="accent1"/>
      </w:tcPr>
    </w:tblStylePr>
    <w:tblStylePr w:type="firstRow">
      <w:rPr>
        <w:b/>
        <w:sz w:val="22"/>
      </w:rPr>
      <w:tcPr>
        <w:shd w:val="clear" w:color="ffffff" w:fill="18a303" w:themeFill="accent1"/>
      </w:tcPr>
    </w:tblStylePr>
    <w:tblStylePr w:type="lastCol">
      <w:rPr>
        <w:b/>
        <w:sz w:val="22"/>
      </w:rPr>
      <w:tcPr>
        <w:shd w:val="clear" w:color="ffffff" w:fill="18a303" w:themeFill="accent1"/>
      </w:tcPr>
    </w:tblStylePr>
    <w:tblStylePr w:type="lastRow">
      <w:rPr>
        <w:b/>
        <w:sz w:val="22"/>
      </w:rPr>
      <w:tcPr>
        <w:shd w:val="clear" w:color="ffffff" w:fill="18a303" w:themeFill="accent1"/>
        <w:tcBorders>
          <w:top w:val="single" w:color="FFFFFF" w:themeColor="light1" w:sz="4" w:space="0"/>
        </w:tcBorders>
      </w:tcPr>
    </w:tblStylePr>
  </w:style>
  <w:style w:type="table" w:styleId="1103" w:customStyle="1">
    <w:name w:val="Grid Table 5 Dark - Accent 2"/>
    <w:basedOn w:val="7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63c4fc" w:themeFill="accent2" w:themeFillTint="75"/>
      </w:tcPr>
    </w:tblStylePr>
    <w:tblStylePr w:type="band1Vert">
      <w:tcPr>
        <w:shd w:val="clear" w:color="ffffff" w:fill="63c4fc" w:themeFill="accent2" w:themeFillTint="75"/>
      </w:tcPr>
    </w:tblStylePr>
    <w:tblStylePr w:type="firstCol">
      <w:rPr>
        <w:b/>
        <w:sz w:val="22"/>
      </w:rPr>
      <w:tcPr>
        <w:shd w:val="clear" w:color="ffffff" w:fill="0369a3" w:themeFill="accent2"/>
      </w:tcPr>
    </w:tblStylePr>
    <w:tblStylePr w:type="firstRow">
      <w:rPr>
        <w:b/>
        <w:sz w:val="22"/>
      </w:rPr>
      <w:tcPr>
        <w:shd w:val="clear" w:color="ffffff" w:fill="0369a3" w:themeFill="accent2"/>
      </w:tcPr>
    </w:tblStylePr>
    <w:tblStylePr w:type="lastCol">
      <w:rPr>
        <w:b/>
        <w:sz w:val="22"/>
      </w:rPr>
      <w:tcPr>
        <w:shd w:val="clear" w:color="ffffff" w:fill="0369a3" w:themeFill="accent2"/>
      </w:tcPr>
    </w:tblStylePr>
    <w:tblStylePr w:type="lastRow">
      <w:rPr>
        <w:b/>
        <w:sz w:val="22"/>
      </w:rPr>
      <w:tcPr>
        <w:shd w:val="clear" w:color="ffffff" w:fill="0369a3" w:themeFill="accent2"/>
        <w:tcBorders>
          <w:top w:val="single" w:color="FFFFFF" w:themeColor="light1" w:sz="4" w:space="0"/>
        </w:tcBorders>
      </w:tcPr>
    </w:tblStylePr>
  </w:style>
  <w:style w:type="table" w:styleId="1104" w:customStyle="1">
    <w:name w:val="Grid Table 5 Dark - Accent 3"/>
    <w:basedOn w:val="7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fc9b63" w:themeFill="accent3" w:themeFillTint="75"/>
      </w:tcPr>
    </w:tblStylePr>
    <w:tblStylePr w:type="band1Vert">
      <w:tcPr>
        <w:shd w:val="clear" w:color="ffffff" w:fill="fc9b63" w:themeFill="accent3" w:themeFillTint="75"/>
      </w:tcPr>
    </w:tblStylePr>
    <w:tblStylePr w:type="firstCol">
      <w:rPr>
        <w:b/>
        <w:sz w:val="22"/>
      </w:rPr>
      <w:tcPr>
        <w:shd w:val="clear" w:color="ffffff" w:fill="a33e03" w:themeFill="accent3"/>
      </w:tcPr>
    </w:tblStylePr>
    <w:tblStylePr w:type="firstRow">
      <w:rPr>
        <w:b/>
        <w:sz w:val="22"/>
      </w:rPr>
      <w:tcPr>
        <w:shd w:val="clear" w:color="ffffff" w:fill="a33e03" w:themeFill="accent3"/>
      </w:tcPr>
    </w:tblStylePr>
    <w:tblStylePr w:type="lastCol">
      <w:rPr>
        <w:b/>
        <w:sz w:val="22"/>
      </w:rPr>
      <w:tcPr>
        <w:shd w:val="clear" w:color="ffffff" w:fill="a33e03" w:themeFill="accent3"/>
      </w:tcPr>
    </w:tblStylePr>
    <w:tblStylePr w:type="lastRow">
      <w:rPr>
        <w:b/>
        <w:sz w:val="22"/>
      </w:rPr>
      <w:tcPr>
        <w:shd w:val="clear" w:color="ffffff" w:fill="a33e03" w:themeFill="accent3"/>
        <w:tcBorders>
          <w:top w:val="single" w:color="FFFFFF" w:themeColor="light1" w:sz="4" w:space="0"/>
        </w:tcBorders>
      </w:tcPr>
    </w:tblStylePr>
  </w:style>
  <w:style w:type="table" w:styleId="1105" w:customStyle="1">
    <w:name w:val="Grid Table 5 Dark- Accent 4"/>
    <w:basedOn w:val="7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e763fc" w:themeFill="accent4" w:themeFillTint="75"/>
      </w:tcPr>
    </w:tblStylePr>
    <w:tblStylePr w:type="band1Vert">
      <w:tcPr>
        <w:shd w:val="clear" w:color="ffffff" w:fill="e763fc" w:themeFill="accent4" w:themeFillTint="75"/>
      </w:tcPr>
    </w:tblStylePr>
    <w:tblStylePr w:type="firstCol">
      <w:rPr>
        <w:b/>
        <w:sz w:val="22"/>
      </w:rPr>
      <w:tcPr>
        <w:shd w:val="clear" w:color="ffffff" w:fill="8e03a3" w:themeFill="accent4"/>
      </w:tcPr>
    </w:tblStylePr>
    <w:tblStylePr w:type="firstRow">
      <w:rPr>
        <w:b/>
        <w:sz w:val="22"/>
      </w:rPr>
      <w:tcPr>
        <w:shd w:val="clear" w:color="ffffff" w:fill="8e03a3" w:themeFill="accent4"/>
      </w:tcPr>
    </w:tblStylePr>
    <w:tblStylePr w:type="lastCol">
      <w:rPr>
        <w:b/>
        <w:sz w:val="22"/>
      </w:rPr>
      <w:tcPr>
        <w:shd w:val="clear" w:color="ffffff" w:fill="8e03a3" w:themeFill="accent4"/>
      </w:tcPr>
    </w:tblStylePr>
    <w:tblStylePr w:type="lastRow">
      <w:rPr>
        <w:b/>
        <w:sz w:val="22"/>
      </w:rPr>
      <w:tcPr>
        <w:shd w:val="clear" w:color="ffffff" w:fill="8e03a3" w:themeFill="accent4"/>
        <w:tcBorders>
          <w:top w:val="single" w:color="FFFFFF" w:themeColor="light1" w:sz="4" w:space="0"/>
        </w:tcBorders>
      </w:tcPr>
    </w:tblStylePr>
  </w:style>
  <w:style w:type="table" w:styleId="1106" w:customStyle="1">
    <w:name w:val="Grid Table 5 Dark - Accent 5"/>
    <w:basedOn w:val="7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ffde71" w:themeFill="accent5" w:themeFillTint="75"/>
      </w:tcPr>
    </w:tblStylePr>
    <w:tblStylePr w:type="band1Vert">
      <w:tcPr>
        <w:shd w:val="clear" w:color="ffffff" w:fill="ffde71" w:themeFill="accent5" w:themeFillTint="75"/>
      </w:tcPr>
    </w:tblStylePr>
    <w:tblStylePr w:type="firstCol">
      <w:rPr>
        <w:b/>
        <w:sz w:val="22"/>
      </w:rPr>
      <w:tcPr>
        <w:shd w:val="clear" w:color="ffffff" w:fill="c99c00" w:themeFill="accent5"/>
      </w:tcPr>
    </w:tblStylePr>
    <w:tblStylePr w:type="firstRow">
      <w:rPr>
        <w:b/>
        <w:sz w:val="22"/>
      </w:rPr>
      <w:tcPr>
        <w:shd w:val="clear" w:color="ffffff" w:fill="c99c00" w:themeFill="accent5"/>
      </w:tcPr>
    </w:tblStylePr>
    <w:tblStylePr w:type="lastCol">
      <w:rPr>
        <w:b/>
        <w:sz w:val="22"/>
      </w:rPr>
      <w:tcPr>
        <w:shd w:val="clear" w:color="ffffff" w:fill="c99c00" w:themeFill="accent5"/>
      </w:tcPr>
    </w:tblStylePr>
    <w:tblStylePr w:type="lastRow">
      <w:rPr>
        <w:b/>
        <w:sz w:val="22"/>
      </w:rPr>
      <w:tcPr>
        <w:shd w:val="clear" w:color="ffffff" w:fill="c99c00" w:themeFill="accent5"/>
        <w:tcBorders>
          <w:top w:val="single" w:color="FFFFFF" w:themeColor="light1" w:sz="4" w:space="0"/>
        </w:tcBorders>
      </w:tcPr>
    </w:tblStylePr>
  </w:style>
  <w:style w:type="table" w:styleId="1107" w:customStyle="1">
    <w:name w:val="Grid Table 5 Dark - Accent 6"/>
    <w:basedOn w:val="7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ee908f" w:themeFill="accent6" w:themeFillTint="75"/>
      </w:tcPr>
    </w:tblStylePr>
    <w:tblStylePr w:type="band1Vert">
      <w:tcPr>
        <w:shd w:val="clear" w:color="ffffff" w:fill="ee908f" w:themeFill="accent6" w:themeFillTint="75"/>
      </w:tcPr>
    </w:tblStylePr>
    <w:tblStylePr w:type="firstCol">
      <w:rPr>
        <w:b/>
        <w:sz w:val="22"/>
      </w:rPr>
      <w:tcPr>
        <w:shd w:val="clear" w:color="ffffff" w:fill="c9211e" w:themeFill="accent6"/>
      </w:tcPr>
    </w:tblStylePr>
    <w:tblStylePr w:type="firstRow">
      <w:rPr>
        <w:b/>
        <w:sz w:val="22"/>
      </w:rPr>
      <w:tcPr>
        <w:shd w:val="clear" w:color="ffffff" w:fill="c9211e" w:themeFill="accent6"/>
      </w:tcPr>
    </w:tblStylePr>
    <w:tblStylePr w:type="lastCol">
      <w:rPr>
        <w:b/>
        <w:sz w:val="22"/>
      </w:rPr>
      <w:tcPr>
        <w:shd w:val="clear" w:color="ffffff" w:fill="c9211e" w:themeFill="accent6"/>
      </w:tcPr>
    </w:tblStylePr>
    <w:tblStylePr w:type="lastRow">
      <w:rPr>
        <w:b/>
        <w:sz w:val="22"/>
      </w:rPr>
      <w:tcPr>
        <w:shd w:val="clear" w:color="ffffff" w:fill="c9211e" w:themeFill="accent6"/>
        <w:tcBorders>
          <w:top w:val="single" w:color="FFFFFF" w:themeColor="light1" w:sz="4" w:space="0"/>
        </w:tcBorders>
      </w:tcPr>
    </w:tblStylePr>
  </w:style>
  <w:style w:type="table" w:styleId="1108" w:customStyle="1">
    <w:name w:val="Таблица-сетка 6 цветная1"/>
    <w:basedOn w:val="76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109" w:customStyle="1">
    <w:name w:val="Grid Table 6 Colorful - Accent 1"/>
    <w:basedOn w:val="766"/>
    <w:uiPriority w:val="99"/>
    <w:tblPr>
      <w:tblStyleRowBandSize w:val="1"/>
      <w:tblStyleColBandSize w:val="1"/>
      <w:tblBorders>
        <w:top w:val="single" w:color="6AFC55" w:themeColor="accent1" w:themeTint="80" w:sz="4" w:space="0"/>
        <w:left w:val="single" w:color="6AFC55" w:themeColor="accent1" w:themeTint="80" w:sz="4" w:space="0"/>
        <w:bottom w:val="single" w:color="6AFC55" w:themeColor="accent1" w:themeTint="80" w:sz="4" w:space="0"/>
        <w:right w:val="single" w:color="6AFC55" w:themeColor="accent1" w:themeTint="80" w:sz="4" w:space="0"/>
        <w:insideH w:val="single" w:color="6AFC55" w:themeColor="accent1" w:themeTint="80" w:sz="4" w:space="0"/>
        <w:insideV w:val="single" w:color="6AFC55" w:themeColor="accent1" w:themeTint="80" w:sz="4" w:space="0"/>
      </w:tblBorders>
    </w:tblPr>
    <w:tblStylePr w:type="band1Horz">
      <w:rPr>
        <w:color w:val="6afc55" w:themeColor="accent1" w:themeTint="80" w:themeShade="95"/>
        <w:sz w:val="22"/>
      </w:rPr>
      <w:tcPr>
        <w:shd w:val="clear" w:color="ffffff" w:fill="c2fdb9" w:themeFill="accent1" w:themeFillTint="34"/>
      </w:tcPr>
    </w:tblStylePr>
    <w:tblStylePr w:type="band1Vert">
      <w:tcPr>
        <w:shd w:val="clear" w:color="ffffff" w:fill="c2fdb9" w:themeFill="accent1" w:themeFillTint="34"/>
      </w:tcPr>
    </w:tblStylePr>
    <w:tblStylePr w:type="band2Horz">
      <w:rPr>
        <w:color w:val="6afc55" w:themeColor="accent1" w:themeTint="80" w:themeShade="95"/>
        <w:sz w:val="22"/>
      </w:rPr>
    </w:tblStylePr>
    <w:tblStylePr w:type="firstCol">
      <w:rPr>
        <w:b/>
        <w:color w:val="6afc55" w:themeColor="accent1" w:themeTint="80" w:themeShade="95"/>
      </w:rPr>
    </w:tblStylePr>
    <w:tblStylePr w:type="firstRow">
      <w:rPr>
        <w:b/>
        <w:color w:val="6afc55" w:themeColor="accent1" w:themeTint="80" w:themeShade="95"/>
      </w:rPr>
      <w:tcPr>
        <w:tcBorders>
          <w:bottom w:val="single" w:color="18A303" w:themeColor="accent1" w:sz="12" w:space="0"/>
        </w:tcBorders>
      </w:tcPr>
    </w:tblStylePr>
    <w:tblStylePr w:type="lastCol">
      <w:rPr>
        <w:b/>
        <w:color w:val="6afc55" w:themeColor="accent1" w:themeTint="80" w:themeShade="95"/>
      </w:rPr>
    </w:tblStylePr>
    <w:tblStylePr w:type="lastRow">
      <w:rPr>
        <w:b/>
        <w:color w:val="6afc55" w:themeColor="accent1" w:themeTint="80" w:themeShade="95"/>
      </w:rPr>
    </w:tblStylePr>
  </w:style>
  <w:style w:type="table" w:styleId="1110" w:customStyle="1">
    <w:name w:val="Grid Table 6 Colorful - Accent 2"/>
    <w:basedOn w:val="766"/>
    <w:uiPriority w:val="99"/>
    <w:tblPr>
      <w:tblStyleRowBandSize w:val="1"/>
      <w:tblStyleColBandSize w:val="1"/>
      <w:tblBorders>
        <w:top w:val="single" w:color="36B3FB" w:themeColor="accent2" w:themeTint="97" w:sz="4" w:space="0"/>
        <w:left w:val="single" w:color="36B3FB" w:themeColor="accent2" w:themeTint="97" w:sz="4" w:space="0"/>
        <w:bottom w:val="single" w:color="36B3FB" w:themeColor="accent2" w:themeTint="97" w:sz="4" w:space="0"/>
        <w:right w:val="single" w:color="36B3FB" w:themeColor="accent2" w:themeTint="97" w:sz="4" w:space="0"/>
        <w:insideH w:val="single" w:color="36B3FB" w:themeColor="accent2" w:themeTint="97" w:sz="4" w:space="0"/>
        <w:insideV w:val="single" w:color="36B3FB" w:themeColor="accent2" w:themeTint="97" w:sz="4" w:space="0"/>
      </w:tblBorders>
    </w:tblPr>
    <w:tblStylePr w:type="band1Horz">
      <w:rPr>
        <w:color w:val="36b3fb" w:themeColor="accent2" w:themeTint="97" w:themeShade="95"/>
        <w:sz w:val="22"/>
      </w:rPr>
      <w:tcPr>
        <w:shd w:val="clear" w:color="ffffff" w:fill="bce6fd" w:themeFill="accent2" w:themeFillTint="32"/>
      </w:tcPr>
    </w:tblStylePr>
    <w:tblStylePr w:type="band1Vert">
      <w:tcPr>
        <w:shd w:val="clear" w:color="ffffff" w:fill="bce6fd" w:themeFill="accent2" w:themeFillTint="32"/>
      </w:tcPr>
    </w:tblStylePr>
    <w:tblStylePr w:type="band2Horz">
      <w:rPr>
        <w:color w:val="36b3fb" w:themeColor="accent2" w:themeTint="97" w:themeShade="95"/>
        <w:sz w:val="22"/>
      </w:rPr>
    </w:tblStylePr>
    <w:tblStylePr w:type="firstCol">
      <w:rPr>
        <w:b/>
        <w:color w:val="36b3fb" w:themeColor="accent2" w:themeTint="97" w:themeShade="95"/>
      </w:rPr>
    </w:tblStylePr>
    <w:tblStylePr w:type="firstRow">
      <w:rPr>
        <w:b/>
        <w:color w:val="36b3fb" w:themeColor="accent2" w:themeTint="97" w:themeShade="95"/>
      </w:rPr>
      <w:tcPr>
        <w:tcBorders>
          <w:bottom w:val="single" w:color="0369A3" w:themeColor="accent2" w:sz="12" w:space="0"/>
        </w:tcBorders>
      </w:tcPr>
    </w:tblStylePr>
    <w:tblStylePr w:type="lastCol">
      <w:rPr>
        <w:b/>
        <w:color w:val="36b3fb" w:themeColor="accent2" w:themeTint="97" w:themeShade="95"/>
      </w:rPr>
    </w:tblStylePr>
    <w:tblStylePr w:type="lastRow">
      <w:rPr>
        <w:b/>
        <w:color w:val="36b3fb" w:themeColor="accent2" w:themeTint="97" w:themeShade="95"/>
      </w:rPr>
    </w:tblStylePr>
  </w:style>
  <w:style w:type="table" w:styleId="1111" w:customStyle="1">
    <w:name w:val="Grid Table 6 Colorful - Accent 3"/>
    <w:basedOn w:val="766"/>
    <w:uiPriority w:val="99"/>
    <w:tblPr>
      <w:tblStyleRowBandSize w:val="1"/>
      <w:tblStyleColBandSize w:val="1"/>
      <w:tblBorders>
        <w:top w:val="single" w:color="A43E03" w:themeColor="accent3" w:themeTint="FE" w:sz="4" w:space="0"/>
        <w:left w:val="single" w:color="A43E03" w:themeColor="accent3" w:themeTint="FE" w:sz="4" w:space="0"/>
        <w:bottom w:val="single" w:color="A43E03" w:themeColor="accent3" w:themeTint="FE" w:sz="4" w:space="0"/>
        <w:right w:val="single" w:color="A43E03" w:themeColor="accent3" w:themeTint="FE" w:sz="4" w:space="0"/>
        <w:insideH w:val="single" w:color="A43E03" w:themeColor="accent3" w:themeTint="FE" w:sz="4" w:space="0"/>
        <w:insideV w:val="single" w:color="A43E03" w:themeColor="accent3" w:themeTint="FE" w:sz="4" w:space="0"/>
      </w:tblBorders>
    </w:tblPr>
    <w:tblStylePr w:type="band1Horz">
      <w:rPr>
        <w:color w:val="a43e03" w:themeColor="accent3" w:themeTint="FE" w:themeShade="95"/>
        <w:sz w:val="22"/>
      </w:rPr>
      <w:tcPr>
        <w:shd w:val="clear" w:color="ffffff" w:fill="fdd2b9" w:themeFill="accent3" w:themeFillTint="34"/>
      </w:tcPr>
    </w:tblStylePr>
    <w:tblStylePr w:type="band1Vert">
      <w:tcPr>
        <w:shd w:val="clear" w:color="ffffff" w:fill="fdd2b9" w:themeFill="accent3" w:themeFillTint="34"/>
      </w:tcPr>
    </w:tblStylePr>
    <w:tblStylePr w:type="band2Horz">
      <w:rPr>
        <w:color w:val="a43e03" w:themeColor="accent3" w:themeTint="FE" w:themeShade="95"/>
        <w:sz w:val="22"/>
      </w:rPr>
    </w:tblStylePr>
    <w:tblStylePr w:type="firstCol">
      <w:rPr>
        <w:b/>
        <w:color w:val="a43e03" w:themeColor="accent3" w:themeTint="FE" w:themeShade="95"/>
      </w:rPr>
    </w:tblStylePr>
    <w:tblStylePr w:type="firstRow">
      <w:rPr>
        <w:b/>
        <w:color w:val="a43e03" w:themeColor="accent3" w:themeTint="FE" w:themeShade="95"/>
      </w:rPr>
      <w:tcPr>
        <w:tcBorders>
          <w:bottom w:val="single" w:color="A33E03" w:themeColor="accent3" w:sz="12" w:space="0"/>
        </w:tcBorders>
      </w:tcPr>
    </w:tblStylePr>
    <w:tblStylePr w:type="lastCol">
      <w:rPr>
        <w:b/>
        <w:color w:val="a43e03" w:themeColor="accent3" w:themeTint="FE" w:themeShade="95"/>
      </w:rPr>
    </w:tblStylePr>
    <w:tblStylePr w:type="lastRow">
      <w:rPr>
        <w:b/>
        <w:color w:val="a43e03" w:themeColor="accent3" w:themeTint="FE" w:themeShade="95"/>
      </w:rPr>
    </w:tblStylePr>
  </w:style>
  <w:style w:type="table" w:styleId="1112" w:customStyle="1">
    <w:name w:val="Grid Table 6 Colorful - Accent 4"/>
    <w:basedOn w:val="766"/>
    <w:uiPriority w:val="99"/>
    <w:tblPr>
      <w:tblStyleRowBandSize w:val="1"/>
      <w:tblStyleColBandSize w:val="1"/>
      <w:tblBorders>
        <w:top w:val="single" w:color="E032FB" w:themeColor="accent4" w:themeTint="9A" w:sz="4" w:space="0"/>
        <w:left w:val="single" w:color="E032FB" w:themeColor="accent4" w:themeTint="9A" w:sz="4" w:space="0"/>
        <w:bottom w:val="single" w:color="E032FB" w:themeColor="accent4" w:themeTint="9A" w:sz="4" w:space="0"/>
        <w:right w:val="single" w:color="E032FB" w:themeColor="accent4" w:themeTint="9A" w:sz="4" w:space="0"/>
        <w:insideH w:val="single" w:color="E032FB" w:themeColor="accent4" w:themeTint="9A" w:sz="4" w:space="0"/>
        <w:insideV w:val="single" w:color="E032FB" w:themeColor="accent4" w:themeTint="9A" w:sz="4" w:space="0"/>
      </w:tblBorders>
    </w:tblPr>
    <w:tblStylePr w:type="band1Horz">
      <w:rPr>
        <w:color w:val="e032fb" w:themeColor="accent4" w:themeTint="9A" w:themeShade="95"/>
        <w:sz w:val="22"/>
      </w:rPr>
      <w:tcPr>
        <w:shd w:val="clear" w:color="ffffff" w:fill="f4b9fd" w:themeFill="accent4" w:themeFillTint="34"/>
      </w:tcPr>
    </w:tblStylePr>
    <w:tblStylePr w:type="band1Vert">
      <w:tcPr>
        <w:shd w:val="clear" w:color="ffffff" w:fill="f4b9fd" w:themeFill="accent4" w:themeFillTint="34"/>
      </w:tcPr>
    </w:tblStylePr>
    <w:tblStylePr w:type="band2Horz">
      <w:rPr>
        <w:color w:val="e032fb" w:themeColor="accent4" w:themeTint="9A" w:themeShade="95"/>
        <w:sz w:val="22"/>
      </w:rPr>
    </w:tblStylePr>
    <w:tblStylePr w:type="firstCol">
      <w:rPr>
        <w:b/>
        <w:color w:val="e032fb" w:themeColor="accent4" w:themeTint="9A" w:themeShade="95"/>
      </w:rPr>
    </w:tblStylePr>
    <w:tblStylePr w:type="firstRow">
      <w:rPr>
        <w:b/>
        <w:color w:val="e032fb" w:themeColor="accent4" w:themeTint="9A" w:themeShade="95"/>
      </w:rPr>
      <w:tcPr>
        <w:tcBorders>
          <w:bottom w:val="single" w:color="8E03A3" w:themeColor="accent4" w:sz="12" w:space="0"/>
        </w:tcBorders>
      </w:tcPr>
    </w:tblStylePr>
    <w:tblStylePr w:type="lastCol">
      <w:rPr>
        <w:b/>
        <w:color w:val="e032fb" w:themeColor="accent4" w:themeTint="9A" w:themeShade="95"/>
      </w:rPr>
    </w:tblStylePr>
    <w:tblStylePr w:type="lastRow">
      <w:rPr>
        <w:b/>
        <w:color w:val="e032fb" w:themeColor="accent4" w:themeTint="9A" w:themeShade="95"/>
      </w:rPr>
    </w:tblStylePr>
  </w:style>
  <w:style w:type="table" w:styleId="1113" w:customStyle="1">
    <w:name w:val="Grid Table 6 Colorful - Accent 5"/>
    <w:basedOn w:val="766"/>
    <w:uiPriority w:val="99"/>
    <w:tblPr>
      <w:tblStyleRowBandSize w:val="1"/>
      <w:tblStyleColBandSize w:val="1"/>
      <w:tblBorders>
        <w:top w:val="single" w:color="C99C00" w:themeColor="accent5" w:sz="4" w:space="0"/>
        <w:left w:val="single" w:color="C99C00" w:themeColor="accent5" w:sz="4" w:space="0"/>
        <w:bottom w:val="single" w:color="C99C00" w:themeColor="accent5" w:sz="4" w:space="0"/>
        <w:right w:val="single" w:color="C99C00" w:themeColor="accent5" w:sz="4" w:space="0"/>
        <w:insideH w:val="single" w:color="C99C00" w:themeColor="accent5" w:sz="4" w:space="0"/>
        <w:insideV w:val="single" w:color="C99C00" w:themeColor="accent5" w:sz="4" w:space="0"/>
      </w:tblBorders>
    </w:tblPr>
    <w:tblStylePr w:type="band1Horz">
      <w:rPr>
        <w:color w:val="755a00" w:themeColor="accent5" w:themeShade="95"/>
        <w:sz w:val="22"/>
      </w:rPr>
      <w:tcPr>
        <w:shd w:val="clear" w:color="ffffff" w:fill="fff0bf" w:themeFill="accent5" w:themeFillTint="34"/>
      </w:tcPr>
    </w:tblStylePr>
    <w:tblStylePr w:type="band1Vert">
      <w:tcPr>
        <w:shd w:val="clear" w:color="ffffff" w:fill="fff0bf" w:themeFill="accent5" w:themeFillTint="34"/>
      </w:tcPr>
    </w:tblStylePr>
    <w:tblStylePr w:type="band2Horz">
      <w:rPr>
        <w:color w:val="755a00" w:themeColor="accent5" w:themeShade="95"/>
        <w:sz w:val="22"/>
      </w:rPr>
    </w:tblStylePr>
    <w:tblStylePr w:type="firstCol">
      <w:rPr>
        <w:b/>
        <w:color w:val="755a00" w:themeColor="accent5" w:themeShade="95"/>
      </w:rPr>
    </w:tblStylePr>
    <w:tblStylePr w:type="firstRow">
      <w:rPr>
        <w:b/>
        <w:color w:val="755a00" w:themeColor="accent5" w:themeShade="95"/>
      </w:rPr>
      <w:tcPr>
        <w:tcBorders>
          <w:bottom w:val="single" w:color="C99C00" w:themeColor="accent5" w:sz="12" w:space="0"/>
        </w:tcBorders>
      </w:tcPr>
    </w:tblStylePr>
    <w:tblStylePr w:type="lastCol">
      <w:rPr>
        <w:b/>
        <w:color w:val="755a00" w:themeColor="accent5" w:themeShade="95"/>
      </w:rPr>
    </w:tblStylePr>
    <w:tblStylePr w:type="lastRow">
      <w:rPr>
        <w:b/>
        <w:color w:val="755a00" w:themeColor="accent5" w:themeShade="95"/>
      </w:rPr>
    </w:tblStylePr>
  </w:style>
  <w:style w:type="table" w:styleId="1114" w:customStyle="1">
    <w:name w:val="Grid Table 6 Colorful - Accent 6"/>
    <w:basedOn w:val="766"/>
    <w:uiPriority w:val="99"/>
    <w:tblPr>
      <w:tblStyleRowBandSize w:val="1"/>
      <w:tblStyleColBandSize w:val="1"/>
      <w:tblBorders>
        <w:top w:val="single" w:color="C9211E" w:themeColor="accent6" w:sz="4" w:space="0"/>
        <w:left w:val="single" w:color="C9211E" w:themeColor="accent6" w:sz="4" w:space="0"/>
        <w:bottom w:val="single" w:color="C9211E" w:themeColor="accent6" w:sz="4" w:space="0"/>
        <w:right w:val="single" w:color="C9211E" w:themeColor="accent6" w:sz="4" w:space="0"/>
        <w:insideH w:val="single" w:color="C9211E" w:themeColor="accent6" w:sz="4" w:space="0"/>
        <w:insideV w:val="single" w:color="C9211E" w:themeColor="accent6" w:sz="4" w:space="0"/>
      </w:tblBorders>
    </w:tblPr>
    <w:tblStylePr w:type="band1Horz">
      <w:rPr>
        <w:color w:val="755a00" w:themeColor="accent5" w:themeShade="95"/>
        <w:sz w:val="22"/>
      </w:rPr>
      <w:tcPr>
        <w:shd w:val="clear" w:color="ffffff" w:fill="f7cdcd" w:themeFill="accent6" w:themeFillTint="34"/>
      </w:tcPr>
    </w:tblStylePr>
    <w:tblStylePr w:type="band1Vert">
      <w:tcPr>
        <w:shd w:val="clear" w:color="ffffff" w:fill="f7cdcd" w:themeFill="accent6" w:themeFillTint="34"/>
      </w:tcPr>
    </w:tblStylePr>
    <w:tblStylePr w:type="band2Horz">
      <w:rPr>
        <w:color w:val="755a00" w:themeColor="accent5" w:themeShade="95"/>
        <w:sz w:val="22"/>
      </w:rPr>
    </w:tblStylePr>
    <w:tblStylePr w:type="firstCol">
      <w:rPr>
        <w:b/>
        <w:color w:val="755a00" w:themeColor="accent5" w:themeShade="95"/>
      </w:rPr>
    </w:tblStylePr>
    <w:tblStylePr w:type="firstRow">
      <w:rPr>
        <w:b/>
        <w:color w:val="755a00" w:themeColor="accent5" w:themeShade="95"/>
      </w:rPr>
      <w:tcPr>
        <w:tcBorders>
          <w:bottom w:val="single" w:color="C9211E" w:themeColor="accent6" w:sz="12" w:space="0"/>
        </w:tcBorders>
      </w:tcPr>
    </w:tblStylePr>
    <w:tblStylePr w:type="lastCol">
      <w:rPr>
        <w:b/>
        <w:color w:val="755a00" w:themeColor="accent5" w:themeShade="95"/>
      </w:rPr>
    </w:tblStylePr>
    <w:tblStylePr w:type="lastRow">
      <w:rPr>
        <w:b/>
        <w:color w:val="755a00" w:themeColor="accent5" w:themeShade="95"/>
      </w:rPr>
    </w:tblStylePr>
  </w:style>
  <w:style w:type="table" w:styleId="1115" w:customStyle="1">
    <w:name w:val="Таблица-сетка 7 цветная1"/>
    <w:basedOn w:val="76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fffff" w:fill="f2f2f2" w:themeFill="text1" w:themeFillTint="0D"/>
      </w:tcPr>
    </w:tblStylePr>
    <w:tblStylePr w:type="band1Vert"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16" w:customStyle="1">
    <w:name w:val="Grid Table 7 Colorful - Accent 1"/>
    <w:basedOn w:val="766"/>
    <w:uiPriority w:val="99"/>
    <w:tblPr>
      <w:tblStyleRowBandSize w:val="1"/>
      <w:tblStyleColBandSize w:val="1"/>
      <w:tblBorders>
        <w:bottom w:val="single" w:color="6AFC55" w:themeColor="accent1" w:themeTint="80" w:sz="4" w:space="0"/>
        <w:right w:val="single" w:color="6AFC55" w:themeColor="accent1" w:themeTint="80" w:sz="4" w:space="0"/>
        <w:insideH w:val="single" w:color="6AFC55" w:themeColor="accent1" w:themeTint="80" w:sz="4" w:space="0"/>
        <w:insideV w:val="single" w:color="6AFC55" w:themeColor="accent1" w:themeTint="80" w:sz="4" w:space="0"/>
      </w:tblBorders>
    </w:tblPr>
    <w:tblStylePr w:type="band1Horz">
      <w:rPr>
        <w:color w:val="6afc55" w:themeColor="accent1" w:themeTint="80" w:themeShade="95"/>
        <w:sz w:val="22"/>
      </w:rPr>
      <w:tcPr>
        <w:shd w:val="clear" w:color="ffffff" w:fill="c2fdb9" w:themeFill="accent1" w:themeFillTint="34"/>
      </w:tcPr>
    </w:tblStylePr>
    <w:tblStylePr w:type="band1Vert">
      <w:tcPr>
        <w:shd w:val="clear" w:color="ffffff" w:fill="c2fdb9" w:themeFill="accent1" w:themeFillTint="34"/>
      </w:tcPr>
    </w:tblStylePr>
    <w:tblStylePr w:type="band2Horz">
      <w:rPr>
        <w:color w:val="6afc55" w:themeColor="accent1" w:themeTint="80" w:themeShade="95"/>
        <w:sz w:val="22"/>
      </w:rPr>
    </w:tblStylePr>
    <w:tblStylePr w:type="firstCol">
      <w:rPr>
        <w:i/>
        <w:color w:val="6afc55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18A303" w:themeColor="accent1" w:sz="4" w:space="0"/>
        </w:tcBorders>
      </w:tcPr>
    </w:tblStylePr>
    <w:tblStylePr w:type="firstRow">
      <w:rPr>
        <w:b/>
        <w:color w:val="6afc55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18A303" w:themeColor="accent1" w:sz="4" w:space="0"/>
          <w:right w:val="none" w:color="000000" w:sz="0" w:space="0"/>
        </w:tcBorders>
      </w:tcPr>
    </w:tblStylePr>
    <w:tblStylePr w:type="lastCol">
      <w:rPr>
        <w:i/>
        <w:color w:val="6afc55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18A303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6afc55" w:themeColor="accent1" w:themeTint="80" w:themeShade="95"/>
        <w:sz w:val="22"/>
      </w:rPr>
      <w:tcPr>
        <w:shd w:val="clear" w:color="ffffff" w:fill="ffffff" w:themeFill="light1"/>
        <w:tcBorders>
          <w:top w:val="single" w:color="18A303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17" w:customStyle="1">
    <w:name w:val="Grid Table 7 Colorful - Accent 2"/>
    <w:basedOn w:val="766"/>
    <w:uiPriority w:val="99"/>
    <w:tblPr>
      <w:tblStyleRowBandSize w:val="1"/>
      <w:tblStyleColBandSize w:val="1"/>
      <w:tblBorders>
        <w:bottom w:val="single" w:color="36B3FB" w:themeColor="accent2" w:themeTint="97" w:sz="4" w:space="0"/>
        <w:right w:val="single" w:color="36B3FB" w:themeColor="accent2" w:themeTint="97" w:sz="4" w:space="0"/>
        <w:insideH w:val="single" w:color="36B3FB" w:themeColor="accent2" w:themeTint="97" w:sz="4" w:space="0"/>
        <w:insideV w:val="single" w:color="36B3FB" w:themeColor="accent2" w:themeTint="97" w:sz="4" w:space="0"/>
      </w:tblBorders>
    </w:tblPr>
    <w:tblStylePr w:type="band1Horz">
      <w:rPr>
        <w:color w:val="36b3fb" w:themeColor="accent2" w:themeTint="97" w:themeShade="95"/>
        <w:sz w:val="22"/>
      </w:rPr>
      <w:tcPr>
        <w:shd w:val="clear" w:color="ffffff" w:fill="bce6fd" w:themeFill="accent2" w:themeFillTint="32"/>
      </w:tcPr>
    </w:tblStylePr>
    <w:tblStylePr w:type="band1Vert">
      <w:tcPr>
        <w:shd w:val="clear" w:color="ffffff" w:fill="bce6fd" w:themeFill="accent2" w:themeFillTint="32"/>
      </w:tcPr>
    </w:tblStylePr>
    <w:tblStylePr w:type="band2Horz">
      <w:rPr>
        <w:color w:val="36b3fb" w:themeColor="accent2" w:themeTint="97" w:themeShade="95"/>
        <w:sz w:val="22"/>
      </w:rPr>
    </w:tblStylePr>
    <w:tblStylePr w:type="firstCol">
      <w:rPr>
        <w:i/>
        <w:color w:val="36b3fb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369A3" w:themeColor="accent2" w:sz="4" w:space="0"/>
        </w:tcBorders>
      </w:tcPr>
    </w:tblStylePr>
    <w:tblStylePr w:type="firstRow">
      <w:rPr>
        <w:b/>
        <w:color w:val="36b3fb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369A3" w:themeColor="accent2" w:sz="4" w:space="0"/>
          <w:right w:val="none" w:color="000000" w:sz="0" w:space="0"/>
        </w:tcBorders>
      </w:tcPr>
    </w:tblStylePr>
    <w:tblStylePr w:type="lastCol">
      <w:rPr>
        <w:i/>
        <w:color w:val="36b3fb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0369A3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36b3fb" w:themeColor="accent2" w:themeTint="97" w:themeShade="95"/>
        <w:sz w:val="22"/>
      </w:rPr>
      <w:tcPr>
        <w:shd w:val="clear" w:color="ffffff" w:fill="ffffff" w:themeFill="light1"/>
        <w:tcBorders>
          <w:top w:val="single" w:color="0369A3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18" w:customStyle="1">
    <w:name w:val="Grid Table 7 Colorful - Accent 3"/>
    <w:basedOn w:val="766"/>
    <w:uiPriority w:val="99"/>
    <w:tblPr>
      <w:tblStyleRowBandSize w:val="1"/>
      <w:tblStyleColBandSize w:val="1"/>
      <w:tblBorders>
        <w:bottom w:val="single" w:color="A43E03" w:themeColor="accent3" w:themeTint="FE" w:sz="4" w:space="0"/>
        <w:right w:val="single" w:color="A43E03" w:themeColor="accent3" w:themeTint="FE" w:sz="4" w:space="0"/>
        <w:insideH w:val="single" w:color="A43E03" w:themeColor="accent3" w:themeTint="FE" w:sz="4" w:space="0"/>
        <w:insideV w:val="single" w:color="A43E03" w:themeColor="accent3" w:themeTint="FE" w:sz="4" w:space="0"/>
      </w:tblBorders>
    </w:tblPr>
    <w:tblStylePr w:type="band1Horz">
      <w:rPr>
        <w:color w:val="a43e03" w:themeColor="accent3" w:themeTint="FE" w:themeShade="95"/>
        <w:sz w:val="22"/>
      </w:rPr>
      <w:tcPr>
        <w:shd w:val="clear" w:color="ffffff" w:fill="fdd2b9" w:themeFill="accent3" w:themeFillTint="34"/>
      </w:tcPr>
    </w:tblStylePr>
    <w:tblStylePr w:type="band1Vert">
      <w:tcPr>
        <w:shd w:val="clear" w:color="ffffff" w:fill="fdd2b9" w:themeFill="accent3" w:themeFillTint="34"/>
      </w:tcPr>
    </w:tblStylePr>
    <w:tblStylePr w:type="band2Horz">
      <w:rPr>
        <w:color w:val="a43e03" w:themeColor="accent3" w:themeTint="FE" w:themeShade="95"/>
        <w:sz w:val="22"/>
      </w:rPr>
    </w:tblStylePr>
    <w:tblStylePr w:type="firstCol">
      <w:rPr>
        <w:i/>
        <w:color w:val="a43e03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33E03" w:themeColor="accent3" w:sz="4" w:space="0"/>
        </w:tcBorders>
      </w:tcPr>
    </w:tblStylePr>
    <w:tblStylePr w:type="firstRow">
      <w:rPr>
        <w:b/>
        <w:color w:val="a43e03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33E03" w:themeColor="accent3" w:sz="4" w:space="0"/>
          <w:right w:val="none" w:color="000000" w:sz="0" w:space="0"/>
        </w:tcBorders>
      </w:tcPr>
    </w:tblStylePr>
    <w:tblStylePr w:type="lastCol">
      <w:rPr>
        <w:i/>
        <w:color w:val="a43e03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33E03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43e03" w:themeColor="accent3" w:themeTint="FE" w:themeShade="95"/>
        <w:sz w:val="22"/>
      </w:rPr>
      <w:tcPr>
        <w:shd w:val="clear" w:color="ffffff" w:fill="ffffff" w:themeFill="light1"/>
        <w:tcBorders>
          <w:top w:val="single" w:color="A33E03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19" w:customStyle="1">
    <w:name w:val="Grid Table 7 Colorful - Accent 4"/>
    <w:basedOn w:val="766"/>
    <w:uiPriority w:val="99"/>
    <w:tblPr>
      <w:tblStyleRowBandSize w:val="1"/>
      <w:tblStyleColBandSize w:val="1"/>
      <w:tblBorders>
        <w:bottom w:val="single" w:color="E032FB" w:themeColor="accent4" w:themeTint="9A" w:sz="4" w:space="0"/>
        <w:right w:val="single" w:color="E032FB" w:themeColor="accent4" w:themeTint="9A" w:sz="4" w:space="0"/>
        <w:insideH w:val="single" w:color="E032FB" w:themeColor="accent4" w:themeTint="9A" w:sz="4" w:space="0"/>
        <w:insideV w:val="single" w:color="E032FB" w:themeColor="accent4" w:themeTint="9A" w:sz="4" w:space="0"/>
      </w:tblBorders>
    </w:tblPr>
    <w:tblStylePr w:type="band1Horz">
      <w:rPr>
        <w:color w:val="e032fb" w:themeColor="accent4" w:themeTint="9A" w:themeShade="95"/>
        <w:sz w:val="22"/>
      </w:rPr>
      <w:tcPr>
        <w:shd w:val="clear" w:color="ffffff" w:fill="f4b9fd" w:themeFill="accent4" w:themeFillTint="34"/>
      </w:tcPr>
    </w:tblStylePr>
    <w:tblStylePr w:type="band1Vert">
      <w:tcPr>
        <w:shd w:val="clear" w:color="ffffff" w:fill="f4b9fd" w:themeFill="accent4" w:themeFillTint="34"/>
      </w:tcPr>
    </w:tblStylePr>
    <w:tblStylePr w:type="band2Horz">
      <w:rPr>
        <w:color w:val="e032fb" w:themeColor="accent4" w:themeTint="9A" w:themeShade="95"/>
        <w:sz w:val="22"/>
      </w:rPr>
    </w:tblStylePr>
    <w:tblStylePr w:type="firstCol">
      <w:rPr>
        <w:i/>
        <w:color w:val="e032fb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E03A3" w:themeColor="accent4" w:sz="4" w:space="0"/>
        </w:tcBorders>
      </w:tcPr>
    </w:tblStylePr>
    <w:tblStylePr w:type="firstRow">
      <w:rPr>
        <w:b/>
        <w:color w:val="e032fb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E03A3" w:themeColor="accent4" w:sz="4" w:space="0"/>
          <w:right w:val="none" w:color="000000" w:sz="0" w:space="0"/>
        </w:tcBorders>
      </w:tcPr>
    </w:tblStylePr>
    <w:tblStylePr w:type="lastCol">
      <w:rPr>
        <w:i/>
        <w:color w:val="e032fb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E03A3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e032fb" w:themeColor="accent4" w:themeTint="9A" w:themeShade="95"/>
        <w:sz w:val="22"/>
      </w:rPr>
      <w:tcPr>
        <w:shd w:val="clear" w:color="ffffff" w:fill="ffffff" w:themeFill="light1"/>
        <w:tcBorders>
          <w:top w:val="single" w:color="8E03A3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20" w:customStyle="1">
    <w:name w:val="Grid Table 7 Colorful - Accent 5"/>
    <w:basedOn w:val="766"/>
    <w:uiPriority w:val="99"/>
    <w:tblPr>
      <w:tblStyleRowBandSize w:val="1"/>
      <w:tblStyleColBandSize w:val="1"/>
      <w:tblBorders>
        <w:bottom w:val="single" w:color="FFD750" w:themeColor="accent5" w:themeTint="90" w:sz="4" w:space="0"/>
        <w:right w:val="single" w:color="FFD750" w:themeColor="accent5" w:themeTint="90" w:sz="4" w:space="0"/>
        <w:insideH w:val="single" w:color="FFD750" w:themeColor="accent5" w:themeTint="90" w:sz="4" w:space="0"/>
        <w:insideV w:val="single" w:color="FFD750" w:themeColor="accent5" w:themeTint="90" w:sz="4" w:space="0"/>
      </w:tblBorders>
    </w:tblPr>
    <w:tblStylePr w:type="band1Horz">
      <w:rPr>
        <w:color w:val="755a00" w:themeColor="accent5" w:themeShade="95"/>
        <w:sz w:val="22"/>
      </w:rPr>
      <w:tcPr>
        <w:shd w:val="clear" w:color="ffffff" w:fill="fff0bf" w:themeFill="accent5" w:themeFillTint="34"/>
      </w:tcPr>
    </w:tblStylePr>
    <w:tblStylePr w:type="band1Vert">
      <w:tcPr>
        <w:shd w:val="clear" w:color="ffffff" w:fill="fff0bf" w:themeFill="accent5" w:themeFillTint="34"/>
      </w:tcPr>
    </w:tblStylePr>
    <w:tblStylePr w:type="band2Horz">
      <w:rPr>
        <w:color w:val="755a00" w:themeColor="accent5" w:themeShade="95"/>
        <w:sz w:val="22"/>
      </w:rPr>
    </w:tblStylePr>
    <w:tblStylePr w:type="firstCol">
      <w:rPr>
        <w:i/>
        <w:color w:val="755a00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9C00" w:themeColor="accent5" w:sz="4" w:space="0"/>
        </w:tcBorders>
      </w:tcPr>
    </w:tblStylePr>
    <w:tblStylePr w:type="firstRow">
      <w:rPr>
        <w:b/>
        <w:color w:val="755a00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99C00" w:themeColor="accent5" w:sz="4" w:space="0"/>
          <w:right w:val="none" w:color="000000" w:sz="0" w:space="0"/>
        </w:tcBorders>
      </w:tcPr>
    </w:tblStylePr>
    <w:tblStylePr w:type="lastCol">
      <w:rPr>
        <w:i/>
        <w:color w:val="755a00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C99C00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55a00" w:themeColor="accent5" w:themeShade="95"/>
        <w:sz w:val="22"/>
      </w:rPr>
      <w:tcPr>
        <w:shd w:val="clear" w:color="ffffff" w:fill="ffffff" w:themeFill="light1"/>
        <w:tcBorders>
          <w:top w:val="single" w:color="C99C00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21" w:customStyle="1">
    <w:name w:val="Grid Table 7 Colorful - Accent 6"/>
    <w:basedOn w:val="766"/>
    <w:uiPriority w:val="99"/>
    <w:tblPr>
      <w:tblStyleRowBandSize w:val="1"/>
      <w:tblStyleColBandSize w:val="1"/>
      <w:tblBorders>
        <w:bottom w:val="single" w:color="EA7775" w:themeColor="accent6" w:themeTint="90" w:sz="4" w:space="0"/>
        <w:right w:val="single" w:color="EA7775" w:themeColor="accent6" w:themeTint="90" w:sz="4" w:space="0"/>
        <w:insideH w:val="single" w:color="EA7775" w:themeColor="accent6" w:themeTint="90" w:sz="4" w:space="0"/>
        <w:insideV w:val="single" w:color="EA7775" w:themeColor="accent6" w:themeTint="90" w:sz="4" w:space="0"/>
      </w:tblBorders>
    </w:tblPr>
    <w:tblStylePr w:type="band1Horz">
      <w:rPr>
        <w:color w:val="751311" w:themeColor="accent6" w:themeShade="95"/>
        <w:sz w:val="22"/>
      </w:rPr>
      <w:tcPr>
        <w:shd w:val="clear" w:color="ffffff" w:fill="f7cdcd" w:themeFill="accent6" w:themeFillTint="34"/>
      </w:tcPr>
    </w:tblStylePr>
    <w:tblStylePr w:type="band1Vert">
      <w:tcPr>
        <w:shd w:val="clear" w:color="ffffff" w:fill="f7cdcd" w:themeFill="accent6" w:themeFillTint="34"/>
      </w:tcPr>
    </w:tblStylePr>
    <w:tblStylePr w:type="band2Horz">
      <w:rPr>
        <w:color w:val="751311" w:themeColor="accent6" w:themeShade="95"/>
        <w:sz w:val="22"/>
      </w:rPr>
    </w:tblStylePr>
    <w:tblStylePr w:type="firstCol">
      <w:rPr>
        <w:i/>
        <w:color w:val="751311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211E" w:themeColor="accent6" w:sz="4" w:space="0"/>
        </w:tcBorders>
      </w:tcPr>
    </w:tblStylePr>
    <w:tblStylePr w:type="firstRow">
      <w:rPr>
        <w:b/>
        <w:color w:val="751311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9211E" w:themeColor="accent6" w:sz="4" w:space="0"/>
          <w:right w:val="none" w:color="000000" w:sz="0" w:space="0"/>
        </w:tcBorders>
      </w:tcPr>
    </w:tblStylePr>
    <w:tblStylePr w:type="lastCol">
      <w:rPr>
        <w:i/>
        <w:color w:val="751311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C9211E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51311" w:themeColor="accent6" w:themeShade="95"/>
        <w:sz w:val="22"/>
      </w:rPr>
      <w:tcPr>
        <w:shd w:val="clear" w:color="ffffff" w:fill="ffffff" w:themeFill="light1"/>
        <w:tcBorders>
          <w:top w:val="single" w:color="C9211E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22" w:customStyle="1">
    <w:name w:val="Список-таблица 1 светлая1"/>
    <w:basedOn w:val="766"/>
    <w:uiPriority w:val="99"/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3" w:customStyle="1">
    <w:name w:val="List Table 1 Light - Accent 1"/>
    <w:basedOn w:val="766"/>
    <w:uiPriority w:val="99"/>
    <w:tblPr>
      <w:tblStyleRowBandSize w:val="1"/>
      <w:tblStyleColBandSize w:val="1"/>
    </w:tblPr>
    <w:tblStylePr w:type="band1Horz">
      <w:tcPr>
        <w:shd w:val="clear" w:color="ffffff" w:fill="b4fda9" w:themeFill="accent1" w:themeFillTint="40"/>
      </w:tcPr>
    </w:tblStylePr>
    <w:tblStylePr w:type="band1Vert">
      <w:tcPr>
        <w:shd w:val="clear" w:color="ffffff" w:fill="b4fda9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18A303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18A303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4" w:customStyle="1">
    <w:name w:val="List Table 1 Light - Accent 2"/>
    <w:basedOn w:val="766"/>
    <w:uiPriority w:val="99"/>
    <w:tblPr>
      <w:tblStyleRowBandSize w:val="1"/>
      <w:tblStyleColBandSize w:val="1"/>
    </w:tblPr>
    <w:tblStylePr w:type="band1Horz">
      <w:tcPr>
        <w:shd w:val="clear" w:color="ffffff" w:fill="a9defd" w:themeFill="accent2" w:themeFillTint="40"/>
      </w:tcPr>
    </w:tblStylePr>
    <w:tblStylePr w:type="band1Vert">
      <w:tcPr>
        <w:shd w:val="clear" w:color="ffffff" w:fill="a9defd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369A3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369A3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5" w:customStyle="1">
    <w:name w:val="List Table 1 Light - Accent 3"/>
    <w:basedOn w:val="766"/>
    <w:uiPriority w:val="99"/>
    <w:tblPr>
      <w:tblStyleRowBandSize w:val="1"/>
      <w:tblStyleColBandSize w:val="1"/>
    </w:tblPr>
    <w:tblStylePr w:type="band1Horz">
      <w:tcPr>
        <w:shd w:val="clear" w:color="ffffff" w:fill="fdc8a9" w:themeFill="accent3" w:themeFillTint="40"/>
      </w:tcPr>
    </w:tblStylePr>
    <w:tblStylePr w:type="band1Vert">
      <w:tcPr>
        <w:shd w:val="clear" w:color="ffffff" w:fill="fdc8a9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33E03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33E03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6" w:customStyle="1">
    <w:name w:val="List Table 1 Light - Accent 4"/>
    <w:basedOn w:val="766"/>
    <w:uiPriority w:val="99"/>
    <w:tblPr>
      <w:tblStyleRowBandSize w:val="1"/>
      <w:tblStyleColBandSize w:val="1"/>
    </w:tblPr>
    <w:tblStylePr w:type="band1Horz">
      <w:tcPr>
        <w:shd w:val="clear" w:color="ffffff" w:fill="f2a9fd" w:themeFill="accent4" w:themeFillTint="40"/>
      </w:tcPr>
    </w:tblStylePr>
    <w:tblStylePr w:type="band1Vert">
      <w:tcPr>
        <w:shd w:val="clear" w:color="ffffff" w:fill="f2a9fd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E03A3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E03A3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7" w:customStyle="1">
    <w:name w:val="List Table 1 Light - Accent 5"/>
    <w:basedOn w:val="766"/>
    <w:uiPriority w:val="99"/>
    <w:tblPr>
      <w:tblStyleRowBandSize w:val="1"/>
      <w:tblStyleColBandSize w:val="1"/>
    </w:tblPr>
    <w:tblStylePr w:type="band1Horz">
      <w:tcPr>
        <w:shd w:val="clear" w:color="ffffff" w:fill="ffedb1" w:themeFill="accent5" w:themeFillTint="40"/>
      </w:tcPr>
    </w:tblStylePr>
    <w:tblStylePr w:type="band1Vert">
      <w:tcPr>
        <w:shd w:val="clear" w:color="ffffff" w:fill="ffedb1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99C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99C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8" w:customStyle="1">
    <w:name w:val="List Table 1 Light - Accent 6"/>
    <w:basedOn w:val="766"/>
    <w:uiPriority w:val="99"/>
    <w:tblPr>
      <w:tblStyleRowBandSize w:val="1"/>
      <w:tblStyleColBandSize w:val="1"/>
    </w:tblPr>
    <w:tblStylePr w:type="band1Horz">
      <w:tcPr>
        <w:shd w:val="clear" w:color="ffffff" w:fill="f6c2c1" w:themeFill="accent6" w:themeFillTint="40"/>
      </w:tcPr>
    </w:tblStylePr>
    <w:tblStylePr w:type="band1Vert">
      <w:tcPr>
        <w:shd w:val="clear" w:color="ffffff" w:fill="f6c2c1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9211E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9211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9" w:customStyle="1">
    <w:name w:val="Список-таблица 21"/>
    <w:basedOn w:val="76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30" w:customStyle="1">
    <w:name w:val="List Table 2 - Accent 1"/>
    <w:basedOn w:val="766"/>
    <w:uiPriority w:val="99"/>
    <w:tblPr>
      <w:tblStyleRowBandSize w:val="1"/>
      <w:tblStyleColBandSize w:val="1"/>
      <w:tblBorders>
        <w:top w:val="single" w:color="58FB40" w:themeColor="accent1" w:themeTint="90" w:sz="4" w:space="0"/>
        <w:bottom w:val="single" w:color="58FB40" w:themeColor="accent1" w:themeTint="90" w:sz="4" w:space="0"/>
        <w:insideH w:val="single" w:color="58FB40" w:themeColor="accent1" w:themeTint="90" w:sz="4" w:space="0"/>
      </w:tblBorders>
    </w:tblPr>
    <w:tblStylePr w:type="band1Horz">
      <w:rPr>
        <w:sz w:val="22"/>
      </w:rPr>
      <w:tcPr>
        <w:shd w:val="clear" w:color="ffffff" w:fill="b4fda9" w:themeFill="accent1" w:themeFillTint="40"/>
      </w:tcPr>
    </w:tblStylePr>
    <w:tblStylePr w:type="band1Vert">
      <w:rPr>
        <w:sz w:val="22"/>
      </w:rPr>
      <w:tcPr>
        <w:shd w:val="clear" w:color="ffffff" w:fill="b4fda9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18A303" w:themeColor="accent1" w:sz="4" w:space="0"/>
          <w:left w:val="none" w:color="000000" w:sz="4" w:space="0"/>
          <w:bottom w:val="single" w:color="18A303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18A303" w:themeColor="accent1" w:sz="4" w:space="0"/>
          <w:left w:val="none" w:color="000000" w:sz="4" w:space="0"/>
          <w:bottom w:val="single" w:color="18A303" w:themeColor="accent1" w:sz="4" w:space="0"/>
          <w:right w:val="none" w:color="000000" w:sz="4" w:space="0"/>
        </w:tcBorders>
      </w:tcPr>
    </w:tblStylePr>
  </w:style>
  <w:style w:type="table" w:styleId="1131" w:customStyle="1">
    <w:name w:val="List Table 2 - Accent 2"/>
    <w:basedOn w:val="766"/>
    <w:uiPriority w:val="99"/>
    <w:tblPr>
      <w:tblStyleRowBandSize w:val="1"/>
      <w:tblStyleColBandSize w:val="1"/>
      <w:tblBorders>
        <w:top w:val="single" w:color="40B7FB" w:themeColor="accent2" w:themeTint="90" w:sz="4" w:space="0"/>
        <w:bottom w:val="single" w:color="40B7FB" w:themeColor="accent2" w:themeTint="90" w:sz="4" w:space="0"/>
        <w:insideH w:val="single" w:color="40B7FB" w:themeColor="accent2" w:themeTint="90" w:sz="4" w:space="0"/>
      </w:tblBorders>
    </w:tblPr>
    <w:tblStylePr w:type="band1Horz">
      <w:rPr>
        <w:sz w:val="22"/>
      </w:rPr>
      <w:tcPr>
        <w:shd w:val="clear" w:color="ffffff" w:fill="a9defd" w:themeFill="accent2" w:themeFillTint="40"/>
      </w:tcPr>
    </w:tblStylePr>
    <w:tblStylePr w:type="band1Vert">
      <w:rPr>
        <w:sz w:val="22"/>
      </w:rPr>
      <w:tcPr>
        <w:shd w:val="clear" w:color="ffffff" w:fill="a9defd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369A3" w:themeColor="accent2" w:sz="4" w:space="0"/>
          <w:left w:val="none" w:color="000000" w:sz="4" w:space="0"/>
          <w:bottom w:val="single" w:color="0369A3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369A3" w:themeColor="accent2" w:sz="4" w:space="0"/>
          <w:left w:val="none" w:color="000000" w:sz="4" w:space="0"/>
          <w:bottom w:val="single" w:color="0369A3" w:themeColor="accent2" w:sz="4" w:space="0"/>
          <w:right w:val="none" w:color="000000" w:sz="4" w:space="0"/>
        </w:tcBorders>
      </w:tcPr>
    </w:tblStylePr>
  </w:style>
  <w:style w:type="table" w:styleId="1132" w:customStyle="1">
    <w:name w:val="List Table 2 - Accent 3"/>
    <w:basedOn w:val="766"/>
    <w:uiPriority w:val="99"/>
    <w:tblPr>
      <w:tblStyleRowBandSize w:val="1"/>
      <w:tblStyleColBandSize w:val="1"/>
      <w:tblBorders>
        <w:top w:val="single" w:color="FB8540" w:themeColor="accent3" w:themeTint="90" w:sz="4" w:space="0"/>
        <w:bottom w:val="single" w:color="FB8540" w:themeColor="accent3" w:themeTint="90" w:sz="4" w:space="0"/>
        <w:insideH w:val="single" w:color="FB8540" w:themeColor="accent3" w:themeTint="90" w:sz="4" w:space="0"/>
      </w:tblBorders>
    </w:tblPr>
    <w:tblStylePr w:type="band1Horz">
      <w:rPr>
        <w:sz w:val="22"/>
      </w:rPr>
      <w:tcPr>
        <w:shd w:val="clear" w:color="ffffff" w:fill="fdc8a9" w:themeFill="accent3" w:themeFillTint="40"/>
      </w:tcPr>
    </w:tblStylePr>
    <w:tblStylePr w:type="band1Vert">
      <w:rPr>
        <w:sz w:val="22"/>
      </w:rPr>
      <w:tcPr>
        <w:shd w:val="clear" w:color="ffffff" w:fill="fdc8a9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33E03" w:themeColor="accent3" w:sz="4" w:space="0"/>
          <w:left w:val="none" w:color="000000" w:sz="4" w:space="0"/>
          <w:bottom w:val="single" w:color="A33E03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33E03" w:themeColor="accent3" w:sz="4" w:space="0"/>
          <w:left w:val="none" w:color="000000" w:sz="4" w:space="0"/>
          <w:bottom w:val="single" w:color="A33E03" w:themeColor="accent3" w:sz="4" w:space="0"/>
          <w:right w:val="none" w:color="000000" w:sz="4" w:space="0"/>
        </w:tcBorders>
      </w:tcPr>
    </w:tblStylePr>
  </w:style>
  <w:style w:type="table" w:styleId="1133" w:customStyle="1">
    <w:name w:val="List Table 2 - Accent 4"/>
    <w:basedOn w:val="766"/>
    <w:uiPriority w:val="99"/>
    <w:tblPr>
      <w:tblStyleRowBandSize w:val="1"/>
      <w:tblStyleColBandSize w:val="1"/>
      <w:tblBorders>
        <w:top w:val="single" w:color="E240FB" w:themeColor="accent4" w:themeTint="90" w:sz="4" w:space="0"/>
        <w:bottom w:val="single" w:color="E240FB" w:themeColor="accent4" w:themeTint="90" w:sz="4" w:space="0"/>
        <w:insideH w:val="single" w:color="E240FB" w:themeColor="accent4" w:themeTint="90" w:sz="4" w:space="0"/>
      </w:tblBorders>
    </w:tblPr>
    <w:tblStylePr w:type="band1Horz">
      <w:rPr>
        <w:sz w:val="22"/>
      </w:rPr>
      <w:tcPr>
        <w:shd w:val="clear" w:color="ffffff" w:fill="f2a9fd" w:themeFill="accent4" w:themeFillTint="40"/>
      </w:tcPr>
    </w:tblStylePr>
    <w:tblStylePr w:type="band1Vert">
      <w:rPr>
        <w:sz w:val="22"/>
      </w:rPr>
      <w:tcPr>
        <w:shd w:val="clear" w:color="ffffff" w:fill="f2a9fd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E03A3" w:themeColor="accent4" w:sz="4" w:space="0"/>
          <w:left w:val="none" w:color="000000" w:sz="4" w:space="0"/>
          <w:bottom w:val="single" w:color="8E03A3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E03A3" w:themeColor="accent4" w:sz="4" w:space="0"/>
          <w:left w:val="none" w:color="000000" w:sz="4" w:space="0"/>
          <w:bottom w:val="single" w:color="8E03A3" w:themeColor="accent4" w:sz="4" w:space="0"/>
          <w:right w:val="none" w:color="000000" w:sz="4" w:space="0"/>
        </w:tcBorders>
      </w:tcPr>
    </w:tblStylePr>
  </w:style>
  <w:style w:type="table" w:styleId="1134" w:customStyle="1">
    <w:name w:val="List Table 2 - Accent 5"/>
    <w:basedOn w:val="766"/>
    <w:uiPriority w:val="99"/>
    <w:tblPr>
      <w:tblStyleRowBandSize w:val="1"/>
      <w:tblStyleColBandSize w:val="1"/>
      <w:tblBorders>
        <w:top w:val="single" w:color="FFD750" w:themeColor="accent5" w:themeTint="90" w:sz="4" w:space="0"/>
        <w:bottom w:val="single" w:color="FFD750" w:themeColor="accent5" w:themeTint="90" w:sz="4" w:space="0"/>
        <w:insideH w:val="single" w:color="FFD750" w:themeColor="accent5" w:themeTint="90" w:sz="4" w:space="0"/>
      </w:tblBorders>
    </w:tblPr>
    <w:tblStylePr w:type="band1Horz">
      <w:rPr>
        <w:sz w:val="22"/>
      </w:rPr>
      <w:tcPr>
        <w:shd w:val="clear" w:color="ffffff" w:fill="ffedb1" w:themeFill="accent5" w:themeFillTint="40"/>
      </w:tcPr>
    </w:tblStylePr>
    <w:tblStylePr w:type="band1Vert">
      <w:rPr>
        <w:sz w:val="22"/>
      </w:rPr>
      <w:tcPr>
        <w:shd w:val="clear" w:color="ffffff" w:fill="ffedb1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99C00" w:themeColor="accent5" w:sz="4" w:space="0"/>
          <w:left w:val="none" w:color="000000" w:sz="4" w:space="0"/>
          <w:bottom w:val="single" w:color="C99C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99C00" w:themeColor="accent5" w:sz="4" w:space="0"/>
          <w:left w:val="none" w:color="000000" w:sz="4" w:space="0"/>
          <w:bottom w:val="single" w:color="C99C00" w:themeColor="accent5" w:sz="4" w:space="0"/>
          <w:right w:val="none" w:color="000000" w:sz="4" w:space="0"/>
        </w:tcBorders>
      </w:tcPr>
    </w:tblStylePr>
  </w:style>
  <w:style w:type="table" w:styleId="1135" w:customStyle="1">
    <w:name w:val="List Table 2 - Accent 6"/>
    <w:basedOn w:val="766"/>
    <w:uiPriority w:val="99"/>
    <w:tblPr>
      <w:tblStyleRowBandSize w:val="1"/>
      <w:tblStyleColBandSize w:val="1"/>
      <w:tblBorders>
        <w:top w:val="single" w:color="EA7775" w:themeColor="accent6" w:themeTint="90" w:sz="4" w:space="0"/>
        <w:bottom w:val="single" w:color="EA7775" w:themeColor="accent6" w:themeTint="90" w:sz="4" w:space="0"/>
        <w:insideH w:val="single" w:color="EA7775" w:themeColor="accent6" w:themeTint="90" w:sz="4" w:space="0"/>
      </w:tblBorders>
    </w:tblPr>
    <w:tblStylePr w:type="band1Horz">
      <w:rPr>
        <w:sz w:val="22"/>
      </w:rPr>
      <w:tcPr>
        <w:shd w:val="clear" w:color="ffffff" w:fill="f6c2c1" w:themeFill="accent6" w:themeFillTint="40"/>
      </w:tcPr>
    </w:tblStylePr>
    <w:tblStylePr w:type="band1Vert">
      <w:rPr>
        <w:sz w:val="22"/>
      </w:rPr>
      <w:tcPr>
        <w:shd w:val="clear" w:color="ffffff" w:fill="f6c2c1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9211E" w:themeColor="accent6" w:sz="4" w:space="0"/>
          <w:left w:val="none" w:color="000000" w:sz="4" w:space="0"/>
          <w:bottom w:val="single" w:color="C9211E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9211E" w:themeColor="accent6" w:sz="4" w:space="0"/>
          <w:left w:val="none" w:color="000000" w:sz="4" w:space="0"/>
          <w:bottom w:val="single" w:color="C9211E" w:themeColor="accent6" w:sz="4" w:space="0"/>
          <w:right w:val="none" w:color="000000" w:sz="4" w:space="0"/>
        </w:tcBorders>
      </w:tcPr>
    </w:tblStylePr>
  </w:style>
  <w:style w:type="table" w:styleId="1136" w:customStyle="1">
    <w:name w:val="Список-таблица 31"/>
    <w:basedOn w:val="76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37" w:customStyle="1">
    <w:name w:val="List Table 3 - Accent 1"/>
    <w:basedOn w:val="766"/>
    <w:uiPriority w:val="99"/>
    <w:tblPr>
      <w:tblStyleRowBandSize w:val="1"/>
      <w:tblStyleColBandSize w:val="1"/>
      <w:tblBorders>
        <w:top w:val="single" w:color="18A303" w:themeColor="accent1" w:sz="4" w:space="0"/>
        <w:left w:val="single" w:color="18A303" w:themeColor="accent1" w:sz="4" w:space="0"/>
        <w:bottom w:val="single" w:color="18A303" w:themeColor="accent1" w:sz="4" w:space="0"/>
        <w:right w:val="single" w:color="18A303" w:themeColor="accent1" w:sz="4" w:space="0"/>
      </w:tblBorders>
    </w:tblPr>
    <w:tblStylePr w:type="band1Horz">
      <w:rPr>
        <w:sz w:val="22"/>
      </w:rPr>
      <w:tcPr>
        <w:tcBorders>
          <w:top w:val="single" w:color="18A303" w:themeColor="accent1" w:sz="4" w:space="0"/>
          <w:bottom w:val="single" w:color="18A303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18A303" w:themeColor="accent1" w:sz="4" w:space="0"/>
          <w:right w:val="single" w:color="18A303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18a303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38" w:customStyle="1">
    <w:name w:val="List Table 3 - Accent 2"/>
    <w:basedOn w:val="766"/>
    <w:uiPriority w:val="99"/>
    <w:tblPr>
      <w:tblStyleRowBandSize w:val="1"/>
      <w:tblStyleColBandSize w:val="1"/>
      <w:tblBorders>
        <w:top w:val="single" w:color="36B3FB" w:themeColor="accent2" w:themeTint="97" w:sz="4" w:space="0"/>
        <w:left w:val="single" w:color="36B3FB" w:themeColor="accent2" w:themeTint="97" w:sz="4" w:space="0"/>
        <w:bottom w:val="single" w:color="36B3FB" w:themeColor="accent2" w:themeTint="97" w:sz="4" w:space="0"/>
        <w:right w:val="single" w:color="36B3FB" w:themeColor="accent2" w:themeTint="97" w:sz="4" w:space="0"/>
      </w:tblBorders>
    </w:tblPr>
    <w:tblStylePr w:type="band1Horz">
      <w:rPr>
        <w:sz w:val="22"/>
      </w:rPr>
      <w:tcPr>
        <w:tcBorders>
          <w:top w:val="single" w:color="0369A3" w:themeColor="accent2" w:sz="4" w:space="0"/>
          <w:bottom w:val="single" w:color="0369A3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369A3" w:themeColor="accent2" w:sz="4" w:space="0"/>
          <w:right w:val="single" w:color="0369A3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36b3fb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39" w:customStyle="1">
    <w:name w:val="List Table 3 - Accent 3"/>
    <w:basedOn w:val="766"/>
    <w:uiPriority w:val="99"/>
    <w:tblPr>
      <w:tblStyleRowBandSize w:val="1"/>
      <w:tblStyleColBandSize w:val="1"/>
      <w:tblBorders>
        <w:top w:val="single" w:color="FB7E35" w:themeColor="accent3" w:themeTint="98" w:sz="4" w:space="0"/>
        <w:left w:val="single" w:color="FB7E35" w:themeColor="accent3" w:themeTint="98" w:sz="4" w:space="0"/>
        <w:bottom w:val="single" w:color="FB7E35" w:themeColor="accent3" w:themeTint="98" w:sz="4" w:space="0"/>
        <w:right w:val="single" w:color="FB7E35" w:themeColor="accent3" w:themeTint="98" w:sz="4" w:space="0"/>
      </w:tblBorders>
    </w:tblPr>
    <w:tblStylePr w:type="band1Horz">
      <w:rPr>
        <w:sz w:val="22"/>
      </w:rPr>
      <w:tcPr>
        <w:tcBorders>
          <w:top w:val="single" w:color="A33E03" w:themeColor="accent3" w:sz="4" w:space="0"/>
          <w:bottom w:val="single" w:color="A33E03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A33E03" w:themeColor="accent3" w:sz="4" w:space="0"/>
          <w:right w:val="single" w:color="A33E03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b7e35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40" w:customStyle="1">
    <w:name w:val="List Table 3 - Accent 4"/>
    <w:basedOn w:val="766"/>
    <w:uiPriority w:val="99"/>
    <w:tblPr>
      <w:tblStyleRowBandSize w:val="1"/>
      <w:tblStyleColBandSize w:val="1"/>
      <w:tblBorders>
        <w:top w:val="single" w:color="E032FB" w:themeColor="accent4" w:themeTint="9A" w:sz="4" w:space="0"/>
        <w:left w:val="single" w:color="E032FB" w:themeColor="accent4" w:themeTint="9A" w:sz="4" w:space="0"/>
        <w:bottom w:val="single" w:color="E032FB" w:themeColor="accent4" w:themeTint="9A" w:sz="4" w:space="0"/>
        <w:right w:val="single" w:color="E032FB" w:themeColor="accent4" w:themeTint="9A" w:sz="4" w:space="0"/>
      </w:tblBorders>
    </w:tblPr>
    <w:tblStylePr w:type="band1Horz">
      <w:rPr>
        <w:sz w:val="22"/>
      </w:rPr>
      <w:tcPr>
        <w:tcBorders>
          <w:top w:val="single" w:color="8E03A3" w:themeColor="accent4" w:sz="4" w:space="0"/>
          <w:bottom w:val="single" w:color="8E03A3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E03A3" w:themeColor="accent4" w:sz="4" w:space="0"/>
          <w:right w:val="single" w:color="8E03A3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032fb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41" w:customStyle="1">
    <w:name w:val="List Table 3 - Accent 5"/>
    <w:basedOn w:val="766"/>
    <w:uiPriority w:val="99"/>
    <w:tblPr>
      <w:tblStyleRowBandSize w:val="1"/>
      <w:tblStyleColBandSize w:val="1"/>
      <w:tblBorders>
        <w:top w:val="single" w:color="FFD444" w:themeColor="accent5" w:themeTint="9A" w:sz="4" w:space="0"/>
        <w:left w:val="single" w:color="FFD444" w:themeColor="accent5" w:themeTint="9A" w:sz="4" w:space="0"/>
        <w:bottom w:val="single" w:color="FFD444" w:themeColor="accent5" w:themeTint="9A" w:sz="4" w:space="0"/>
        <w:right w:val="single" w:color="FFD444" w:themeColor="accent5" w:themeTint="9A" w:sz="4" w:space="0"/>
      </w:tblBorders>
    </w:tblPr>
    <w:tblStylePr w:type="band1Horz">
      <w:rPr>
        <w:sz w:val="22"/>
      </w:rPr>
      <w:tcPr>
        <w:tcBorders>
          <w:top w:val="single" w:color="C99C00" w:themeColor="accent5" w:sz="4" w:space="0"/>
          <w:bottom w:val="single" w:color="C99C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C99C00" w:themeColor="accent5" w:sz="4" w:space="0"/>
          <w:right w:val="single" w:color="C99C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444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42" w:customStyle="1">
    <w:name w:val="List Table 3 - Accent 6"/>
    <w:basedOn w:val="766"/>
    <w:uiPriority w:val="99"/>
    <w:tblPr>
      <w:tblStyleRowBandSize w:val="1"/>
      <w:tblStyleColBandSize w:val="1"/>
      <w:tblBorders>
        <w:top w:val="single" w:color="E9706E" w:themeColor="accent6" w:themeTint="98" w:sz="4" w:space="0"/>
        <w:left w:val="single" w:color="E9706E" w:themeColor="accent6" w:themeTint="98" w:sz="4" w:space="0"/>
        <w:bottom w:val="single" w:color="E9706E" w:themeColor="accent6" w:themeTint="98" w:sz="4" w:space="0"/>
        <w:right w:val="single" w:color="E9706E" w:themeColor="accent6" w:themeTint="98" w:sz="4" w:space="0"/>
      </w:tblBorders>
    </w:tblPr>
    <w:tblStylePr w:type="band1Horz">
      <w:rPr>
        <w:sz w:val="22"/>
      </w:rPr>
      <w:tcPr>
        <w:tcBorders>
          <w:top w:val="single" w:color="C9211E" w:themeColor="accent6" w:sz="4" w:space="0"/>
          <w:bottom w:val="single" w:color="C9211E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C9211E" w:themeColor="accent6" w:sz="4" w:space="0"/>
          <w:right w:val="single" w:color="C9211E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9706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43" w:customStyle="1">
    <w:name w:val="Список-таблица 41"/>
    <w:basedOn w:val="76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44" w:customStyle="1">
    <w:name w:val="List Table 4 - Accent 1"/>
    <w:basedOn w:val="766"/>
    <w:uiPriority w:val="99"/>
    <w:tblPr>
      <w:tblStyleRowBandSize w:val="1"/>
      <w:tblStyleColBandSize w:val="1"/>
      <w:tblBorders>
        <w:top w:val="single" w:color="58FB40" w:themeColor="accent1" w:themeTint="90" w:sz="4" w:space="0"/>
        <w:left w:val="single" w:color="58FB40" w:themeColor="accent1" w:themeTint="90" w:sz="4" w:space="0"/>
        <w:bottom w:val="single" w:color="58FB40" w:themeColor="accent1" w:themeTint="90" w:sz="4" w:space="0"/>
        <w:right w:val="single" w:color="58FB40" w:themeColor="accent1" w:themeTint="90" w:sz="4" w:space="0"/>
        <w:insideH w:val="single" w:color="58FB40" w:themeColor="accent1" w:themeTint="90" w:sz="4" w:space="0"/>
      </w:tblBorders>
    </w:tblPr>
    <w:tblStylePr w:type="band1Horz">
      <w:rPr>
        <w:sz w:val="22"/>
      </w:rPr>
      <w:tcPr>
        <w:shd w:val="clear" w:color="ffffff" w:fill="b4fda9" w:themeFill="accent1" w:themeFillTint="40"/>
      </w:tcPr>
    </w:tblStylePr>
    <w:tblStylePr w:type="band1Vert">
      <w:rPr>
        <w:sz w:val="22"/>
      </w:rPr>
      <w:tcPr>
        <w:shd w:val="clear" w:color="ffffff" w:fill="b4fda9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18a303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45" w:customStyle="1">
    <w:name w:val="List Table 4 - Accent 2"/>
    <w:basedOn w:val="766"/>
    <w:uiPriority w:val="99"/>
    <w:tblPr>
      <w:tblStyleRowBandSize w:val="1"/>
      <w:tblStyleColBandSize w:val="1"/>
      <w:tblBorders>
        <w:top w:val="single" w:color="40B7FB" w:themeColor="accent2" w:themeTint="90" w:sz="4" w:space="0"/>
        <w:left w:val="single" w:color="40B7FB" w:themeColor="accent2" w:themeTint="90" w:sz="4" w:space="0"/>
        <w:bottom w:val="single" w:color="40B7FB" w:themeColor="accent2" w:themeTint="90" w:sz="4" w:space="0"/>
        <w:right w:val="single" w:color="40B7FB" w:themeColor="accent2" w:themeTint="90" w:sz="4" w:space="0"/>
        <w:insideH w:val="single" w:color="40B7FB" w:themeColor="accent2" w:themeTint="90" w:sz="4" w:space="0"/>
      </w:tblBorders>
    </w:tblPr>
    <w:tblStylePr w:type="band1Horz">
      <w:rPr>
        <w:sz w:val="22"/>
      </w:rPr>
      <w:tcPr>
        <w:shd w:val="clear" w:color="ffffff" w:fill="a9defd" w:themeFill="accent2" w:themeFillTint="40"/>
      </w:tcPr>
    </w:tblStylePr>
    <w:tblStylePr w:type="band1Vert">
      <w:rPr>
        <w:sz w:val="22"/>
      </w:rPr>
      <w:tcPr>
        <w:shd w:val="clear" w:color="ffffff" w:fill="a9defd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369a3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46" w:customStyle="1">
    <w:name w:val="List Table 4 - Accent 3"/>
    <w:basedOn w:val="766"/>
    <w:uiPriority w:val="99"/>
    <w:tblPr>
      <w:tblStyleRowBandSize w:val="1"/>
      <w:tblStyleColBandSize w:val="1"/>
      <w:tblBorders>
        <w:top w:val="single" w:color="FB8540" w:themeColor="accent3" w:themeTint="90" w:sz="4" w:space="0"/>
        <w:left w:val="single" w:color="FB8540" w:themeColor="accent3" w:themeTint="90" w:sz="4" w:space="0"/>
        <w:bottom w:val="single" w:color="FB8540" w:themeColor="accent3" w:themeTint="90" w:sz="4" w:space="0"/>
        <w:right w:val="single" w:color="FB8540" w:themeColor="accent3" w:themeTint="90" w:sz="4" w:space="0"/>
        <w:insideH w:val="single" w:color="FB8540" w:themeColor="accent3" w:themeTint="90" w:sz="4" w:space="0"/>
      </w:tblBorders>
    </w:tblPr>
    <w:tblStylePr w:type="band1Horz">
      <w:rPr>
        <w:sz w:val="22"/>
      </w:rPr>
      <w:tcPr>
        <w:shd w:val="clear" w:color="ffffff" w:fill="fdc8a9" w:themeFill="accent3" w:themeFillTint="40"/>
      </w:tcPr>
    </w:tblStylePr>
    <w:tblStylePr w:type="band1Vert">
      <w:rPr>
        <w:sz w:val="22"/>
      </w:rPr>
      <w:tcPr>
        <w:shd w:val="clear" w:color="ffffff" w:fill="fdc8a9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33e03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47" w:customStyle="1">
    <w:name w:val="List Table 4 - Accent 4"/>
    <w:basedOn w:val="766"/>
    <w:uiPriority w:val="99"/>
    <w:tblPr>
      <w:tblStyleRowBandSize w:val="1"/>
      <w:tblStyleColBandSize w:val="1"/>
      <w:tblBorders>
        <w:top w:val="single" w:color="E240FB" w:themeColor="accent4" w:themeTint="90" w:sz="4" w:space="0"/>
        <w:left w:val="single" w:color="E240FB" w:themeColor="accent4" w:themeTint="90" w:sz="4" w:space="0"/>
        <w:bottom w:val="single" w:color="E240FB" w:themeColor="accent4" w:themeTint="90" w:sz="4" w:space="0"/>
        <w:right w:val="single" w:color="E240FB" w:themeColor="accent4" w:themeTint="90" w:sz="4" w:space="0"/>
        <w:insideH w:val="single" w:color="E240FB" w:themeColor="accent4" w:themeTint="90" w:sz="4" w:space="0"/>
      </w:tblBorders>
    </w:tblPr>
    <w:tblStylePr w:type="band1Horz">
      <w:rPr>
        <w:sz w:val="22"/>
      </w:rPr>
      <w:tcPr>
        <w:shd w:val="clear" w:color="ffffff" w:fill="f2a9fd" w:themeFill="accent4" w:themeFillTint="40"/>
      </w:tcPr>
    </w:tblStylePr>
    <w:tblStylePr w:type="band1Vert">
      <w:rPr>
        <w:sz w:val="22"/>
      </w:rPr>
      <w:tcPr>
        <w:shd w:val="clear" w:color="ffffff" w:fill="f2a9fd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e03a3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48" w:customStyle="1">
    <w:name w:val="List Table 4 - Accent 5"/>
    <w:basedOn w:val="766"/>
    <w:uiPriority w:val="99"/>
    <w:tblPr>
      <w:tblStyleRowBandSize w:val="1"/>
      <w:tblStyleColBandSize w:val="1"/>
      <w:tblBorders>
        <w:top w:val="single" w:color="FFD750" w:themeColor="accent5" w:themeTint="90" w:sz="4" w:space="0"/>
        <w:left w:val="single" w:color="FFD750" w:themeColor="accent5" w:themeTint="90" w:sz="4" w:space="0"/>
        <w:bottom w:val="single" w:color="FFD750" w:themeColor="accent5" w:themeTint="90" w:sz="4" w:space="0"/>
        <w:right w:val="single" w:color="FFD750" w:themeColor="accent5" w:themeTint="90" w:sz="4" w:space="0"/>
        <w:insideH w:val="single" w:color="FFD750" w:themeColor="accent5" w:themeTint="90" w:sz="4" w:space="0"/>
      </w:tblBorders>
    </w:tblPr>
    <w:tblStylePr w:type="band1Horz">
      <w:rPr>
        <w:sz w:val="22"/>
      </w:rPr>
      <w:tcPr>
        <w:shd w:val="clear" w:color="ffffff" w:fill="ffedb1" w:themeFill="accent5" w:themeFillTint="40"/>
      </w:tcPr>
    </w:tblStylePr>
    <w:tblStylePr w:type="band1Vert">
      <w:rPr>
        <w:sz w:val="22"/>
      </w:rPr>
      <w:tcPr>
        <w:shd w:val="clear" w:color="ffffff" w:fill="ffedb1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9c00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49" w:customStyle="1">
    <w:name w:val="List Table 4 - Accent 6"/>
    <w:basedOn w:val="766"/>
    <w:uiPriority w:val="99"/>
    <w:tblPr>
      <w:tblStyleRowBandSize w:val="1"/>
      <w:tblStyleColBandSize w:val="1"/>
      <w:tblBorders>
        <w:top w:val="single" w:color="EA7775" w:themeColor="accent6" w:themeTint="90" w:sz="4" w:space="0"/>
        <w:left w:val="single" w:color="EA7775" w:themeColor="accent6" w:themeTint="90" w:sz="4" w:space="0"/>
        <w:bottom w:val="single" w:color="EA7775" w:themeColor="accent6" w:themeTint="90" w:sz="4" w:space="0"/>
        <w:right w:val="single" w:color="EA7775" w:themeColor="accent6" w:themeTint="90" w:sz="4" w:space="0"/>
        <w:insideH w:val="single" w:color="EA7775" w:themeColor="accent6" w:themeTint="90" w:sz="4" w:space="0"/>
      </w:tblBorders>
    </w:tblPr>
    <w:tblStylePr w:type="band1Horz">
      <w:rPr>
        <w:sz w:val="22"/>
      </w:rPr>
      <w:tcPr>
        <w:shd w:val="clear" w:color="ffffff" w:fill="f6c2c1" w:themeFill="accent6" w:themeFillTint="40"/>
      </w:tcPr>
    </w:tblStylePr>
    <w:tblStylePr w:type="band1Vert">
      <w:rPr>
        <w:sz w:val="22"/>
      </w:rPr>
      <w:tcPr>
        <w:shd w:val="clear" w:color="ffffff" w:fill="f6c2c1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211e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150" w:customStyle="1">
    <w:name w:val="Список-таблица 5 темная1"/>
    <w:basedOn w:val="76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51" w:customStyle="1">
    <w:name w:val="List Table 5 Dark - Accent 1"/>
    <w:basedOn w:val="766"/>
    <w:uiPriority w:val="99"/>
    <w:tblPr>
      <w:tblStyleRowBandSize w:val="1"/>
      <w:tblStyleColBandSize w:val="1"/>
      <w:tblBorders>
        <w:top w:val="single" w:color="18A303" w:themeColor="accent1" w:sz="32" w:space="0"/>
        <w:left w:val="single" w:color="18A303" w:themeColor="accent1" w:sz="32" w:space="0"/>
        <w:bottom w:val="single" w:color="18A303" w:themeColor="accent1" w:sz="32" w:space="0"/>
        <w:right w:val="single" w:color="18A303" w:themeColor="accent1" w:sz="32" w:space="0"/>
      </w:tblBorders>
    </w:tblPr>
    <w:tblStylePr w:type="band1Horz">
      <w:tcPr>
        <w:shd w:val="clear" w:color="ffffff" w:fill="18a303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18a303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18a303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18A303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18a303" w:themeFill="accent1"/>
        <w:tcBorders>
          <w:top w:val="single" w:color="18A303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18A303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52" w:customStyle="1">
    <w:name w:val="List Table 5 Dark - Accent 2"/>
    <w:basedOn w:val="766"/>
    <w:uiPriority w:val="99"/>
    <w:tblPr>
      <w:tblStyleRowBandSize w:val="1"/>
      <w:tblStyleColBandSize w:val="1"/>
      <w:tblBorders>
        <w:top w:val="single" w:color="36B3FB" w:themeColor="accent2" w:themeTint="97" w:sz="32" w:space="0"/>
        <w:left w:val="single" w:color="36B3FB" w:themeColor="accent2" w:themeTint="97" w:sz="32" w:space="0"/>
        <w:bottom w:val="single" w:color="36B3FB" w:themeColor="accent2" w:themeTint="97" w:sz="32" w:space="0"/>
        <w:right w:val="single" w:color="36B3FB" w:themeColor="accent2" w:themeTint="97" w:sz="32" w:space="0"/>
      </w:tblBorders>
    </w:tblPr>
    <w:tblStylePr w:type="band1Horz">
      <w:tcPr>
        <w:shd w:val="clear" w:color="ffffff" w:fill="36b3fb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36b3fb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36b3fb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369A3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36b3fb" w:themeFill="accent2" w:themeFillTint="97"/>
        <w:tcBorders>
          <w:top w:val="single" w:color="0369A3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369A3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53" w:customStyle="1">
    <w:name w:val="List Table 5 Dark - Accent 3"/>
    <w:basedOn w:val="766"/>
    <w:uiPriority w:val="99"/>
    <w:tblPr>
      <w:tblStyleRowBandSize w:val="1"/>
      <w:tblStyleColBandSize w:val="1"/>
      <w:tblBorders>
        <w:top w:val="single" w:color="FB7E35" w:themeColor="accent3" w:themeTint="98" w:sz="32" w:space="0"/>
        <w:left w:val="single" w:color="FB7E35" w:themeColor="accent3" w:themeTint="98" w:sz="32" w:space="0"/>
        <w:bottom w:val="single" w:color="FB7E35" w:themeColor="accent3" w:themeTint="98" w:sz="32" w:space="0"/>
        <w:right w:val="single" w:color="FB7E35" w:themeColor="accent3" w:themeTint="98" w:sz="32" w:space="0"/>
      </w:tblBorders>
    </w:tblPr>
    <w:tblStylePr w:type="band1Horz">
      <w:tcPr>
        <w:shd w:val="clear" w:color="ffffff" w:fill="fb7e35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b7e35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b7e35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33E03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b7e35" w:themeFill="accent3" w:themeFillTint="98"/>
        <w:tcBorders>
          <w:top w:val="single" w:color="A33E03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33E03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54" w:customStyle="1">
    <w:name w:val="List Table 5 Dark - Accent 4"/>
    <w:basedOn w:val="766"/>
    <w:uiPriority w:val="99"/>
    <w:tblPr>
      <w:tblStyleRowBandSize w:val="1"/>
      <w:tblStyleColBandSize w:val="1"/>
      <w:tblBorders>
        <w:top w:val="single" w:color="E032FB" w:themeColor="accent4" w:themeTint="9A" w:sz="32" w:space="0"/>
        <w:left w:val="single" w:color="E032FB" w:themeColor="accent4" w:themeTint="9A" w:sz="32" w:space="0"/>
        <w:bottom w:val="single" w:color="E032FB" w:themeColor="accent4" w:themeTint="9A" w:sz="32" w:space="0"/>
        <w:right w:val="single" w:color="E032FB" w:themeColor="accent4" w:themeTint="9A" w:sz="32" w:space="0"/>
      </w:tblBorders>
    </w:tblPr>
    <w:tblStylePr w:type="band1Horz">
      <w:tcPr>
        <w:shd w:val="clear" w:color="ffffff" w:fill="e032fb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e032fb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e032fb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E03A3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e032fb" w:themeFill="accent4" w:themeFillTint="9A"/>
        <w:tcBorders>
          <w:top w:val="single" w:color="8E03A3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03A3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55" w:customStyle="1">
    <w:name w:val="List Table 5 Dark - Accent 5"/>
    <w:basedOn w:val="766"/>
    <w:uiPriority w:val="99"/>
    <w:tblPr>
      <w:tblStyleRowBandSize w:val="1"/>
      <w:tblStyleColBandSize w:val="1"/>
      <w:tblBorders>
        <w:top w:val="single" w:color="FFD444" w:themeColor="accent5" w:themeTint="9A" w:sz="32" w:space="0"/>
        <w:left w:val="single" w:color="FFD444" w:themeColor="accent5" w:themeTint="9A" w:sz="32" w:space="0"/>
        <w:bottom w:val="single" w:color="FFD444" w:themeColor="accent5" w:themeTint="9A" w:sz="32" w:space="0"/>
        <w:right w:val="single" w:color="FFD444" w:themeColor="accent5" w:themeTint="9A" w:sz="32" w:space="0"/>
      </w:tblBorders>
    </w:tblPr>
    <w:tblStylePr w:type="band1Horz">
      <w:tcPr>
        <w:shd w:val="clear" w:color="ffffff" w:fill="ffd444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d444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d444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99C00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444" w:themeFill="accent5" w:themeFillTint="9A"/>
        <w:tcBorders>
          <w:top w:val="single" w:color="C99C00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9C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56" w:customStyle="1">
    <w:name w:val="List Table 5 Dark - Accent 6"/>
    <w:basedOn w:val="766"/>
    <w:uiPriority w:val="99"/>
    <w:tblPr>
      <w:tblStyleRowBandSize w:val="1"/>
      <w:tblStyleColBandSize w:val="1"/>
      <w:tblBorders>
        <w:top w:val="single" w:color="E9706E" w:themeColor="accent6" w:themeTint="98" w:sz="32" w:space="0"/>
        <w:left w:val="single" w:color="E9706E" w:themeColor="accent6" w:themeTint="98" w:sz="32" w:space="0"/>
        <w:bottom w:val="single" w:color="E9706E" w:themeColor="accent6" w:themeTint="98" w:sz="32" w:space="0"/>
        <w:right w:val="single" w:color="E9706E" w:themeColor="accent6" w:themeTint="98" w:sz="32" w:space="0"/>
      </w:tblBorders>
    </w:tblPr>
    <w:tblStylePr w:type="band1Horz">
      <w:tcPr>
        <w:shd w:val="clear" w:color="ffffff" w:fill="e9706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e9706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e9706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9211E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e9706e" w:themeFill="accent6" w:themeFillTint="98"/>
        <w:tcBorders>
          <w:top w:val="single" w:color="C9211E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211E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157" w:customStyle="1">
    <w:name w:val="Список-таблица 6 цветная1"/>
    <w:basedOn w:val="76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158" w:customStyle="1">
    <w:name w:val="List Table 6 Colorful - Accent 1"/>
    <w:basedOn w:val="766"/>
    <w:uiPriority w:val="99"/>
    <w:tblPr>
      <w:tblStyleRowBandSize w:val="1"/>
      <w:tblStyleColBandSize w:val="1"/>
      <w:tblBorders>
        <w:top w:val="single" w:color="18A303" w:themeColor="accent1" w:sz="4" w:space="0"/>
        <w:bottom w:val="single" w:color="18A303" w:themeColor="accent1" w:sz="4" w:space="0"/>
      </w:tblBorders>
    </w:tblPr>
    <w:tblStylePr w:type="band1Horz">
      <w:rPr>
        <w:color w:val="0d5e01" w:themeColor="accent1" w:themeShade="95"/>
        <w:sz w:val="22"/>
      </w:rPr>
      <w:tcPr>
        <w:shd w:val="clear" w:color="ffffff" w:fill="b4fda9" w:themeFill="accent1" w:themeFillTint="40"/>
      </w:tcPr>
    </w:tblStylePr>
    <w:tblStylePr w:type="band1Vert">
      <w:tcPr>
        <w:shd w:val="clear" w:color="ffffff" w:fill="b4fda9" w:themeFill="accent1" w:themeFillTint="40"/>
      </w:tcPr>
    </w:tblStylePr>
    <w:tblStylePr w:type="band2Horz">
      <w:rPr>
        <w:color w:val="0d5e01" w:themeColor="accent1" w:themeShade="95"/>
        <w:sz w:val="22"/>
      </w:rPr>
    </w:tblStylePr>
    <w:tblStylePr w:type="firstCol">
      <w:rPr>
        <w:b/>
        <w:color w:val="0d5e01" w:themeColor="accent1" w:themeShade="95"/>
      </w:rPr>
    </w:tblStylePr>
    <w:tblStylePr w:type="firstRow">
      <w:rPr>
        <w:b/>
        <w:color w:val="0d5e01" w:themeColor="accent1" w:themeShade="95"/>
      </w:rPr>
      <w:tcPr>
        <w:tcBorders>
          <w:bottom w:val="single" w:color="18A303" w:themeColor="accent1" w:sz="4" w:space="0"/>
        </w:tcBorders>
      </w:tcPr>
    </w:tblStylePr>
    <w:tblStylePr w:type="lastCol">
      <w:rPr>
        <w:b/>
        <w:color w:val="0d5e01" w:themeColor="accent1" w:themeShade="95"/>
      </w:rPr>
    </w:tblStylePr>
    <w:tblStylePr w:type="lastRow">
      <w:rPr>
        <w:b/>
        <w:color w:val="0d5e01" w:themeColor="accent1" w:themeShade="95"/>
      </w:rPr>
      <w:tcPr>
        <w:tcBorders>
          <w:top w:val="single" w:color="18A303" w:themeColor="accent1" w:sz="4" w:space="0"/>
        </w:tcBorders>
      </w:tcPr>
    </w:tblStylePr>
  </w:style>
  <w:style w:type="table" w:styleId="1159" w:customStyle="1">
    <w:name w:val="List Table 6 Colorful - Accent 2"/>
    <w:basedOn w:val="766"/>
    <w:uiPriority w:val="99"/>
    <w:tblPr>
      <w:tblStyleRowBandSize w:val="1"/>
      <w:tblStyleColBandSize w:val="1"/>
      <w:tblBorders>
        <w:top w:val="single" w:color="36B3FB" w:themeColor="accent2" w:themeTint="97" w:sz="4" w:space="0"/>
        <w:bottom w:val="single" w:color="36B3FB" w:themeColor="accent2" w:themeTint="97" w:sz="4" w:space="0"/>
      </w:tblBorders>
    </w:tblPr>
    <w:tblStylePr w:type="band1Horz">
      <w:rPr>
        <w:color w:val="36b3fb" w:themeColor="accent2" w:themeTint="97" w:themeShade="95"/>
        <w:sz w:val="22"/>
      </w:rPr>
      <w:tcPr>
        <w:shd w:val="clear" w:color="ffffff" w:fill="a9defd" w:themeFill="accent2" w:themeFillTint="40"/>
      </w:tcPr>
    </w:tblStylePr>
    <w:tblStylePr w:type="band1Vert">
      <w:tcPr>
        <w:shd w:val="clear" w:color="ffffff" w:fill="a9defd" w:themeFill="accent2" w:themeFillTint="40"/>
      </w:tcPr>
    </w:tblStylePr>
    <w:tblStylePr w:type="band2Horz">
      <w:rPr>
        <w:color w:val="36b3fb" w:themeColor="accent2" w:themeTint="97" w:themeShade="95"/>
        <w:sz w:val="22"/>
      </w:rPr>
    </w:tblStylePr>
    <w:tblStylePr w:type="firstCol">
      <w:rPr>
        <w:b/>
        <w:color w:val="36b3fb" w:themeColor="accent2" w:themeTint="97" w:themeShade="95"/>
      </w:rPr>
    </w:tblStylePr>
    <w:tblStylePr w:type="firstRow">
      <w:rPr>
        <w:b/>
        <w:color w:val="36b3fb" w:themeColor="accent2" w:themeTint="97" w:themeShade="95"/>
      </w:rPr>
      <w:tcPr>
        <w:tcBorders>
          <w:bottom w:val="single" w:color="0369A3" w:themeColor="accent2" w:sz="4" w:space="0"/>
        </w:tcBorders>
      </w:tcPr>
    </w:tblStylePr>
    <w:tblStylePr w:type="lastCol">
      <w:rPr>
        <w:b/>
        <w:color w:val="36b3fb" w:themeColor="accent2" w:themeTint="97" w:themeShade="95"/>
      </w:rPr>
    </w:tblStylePr>
    <w:tblStylePr w:type="lastRow">
      <w:rPr>
        <w:b/>
        <w:color w:val="36b3fb" w:themeColor="accent2" w:themeTint="97" w:themeShade="95"/>
      </w:rPr>
      <w:tcPr>
        <w:tcBorders>
          <w:top w:val="single" w:color="0369A3" w:themeColor="accent2" w:sz="4" w:space="0"/>
        </w:tcBorders>
      </w:tcPr>
    </w:tblStylePr>
  </w:style>
  <w:style w:type="table" w:styleId="1160" w:customStyle="1">
    <w:name w:val="List Table 6 Colorful - Accent 3"/>
    <w:basedOn w:val="766"/>
    <w:uiPriority w:val="99"/>
    <w:tblPr>
      <w:tblStyleRowBandSize w:val="1"/>
      <w:tblStyleColBandSize w:val="1"/>
      <w:tblBorders>
        <w:top w:val="single" w:color="FB7E35" w:themeColor="accent3" w:themeTint="98" w:sz="4" w:space="0"/>
        <w:bottom w:val="single" w:color="FB7E35" w:themeColor="accent3" w:themeTint="98" w:sz="4" w:space="0"/>
      </w:tblBorders>
    </w:tblPr>
    <w:tblStylePr w:type="band1Horz">
      <w:rPr>
        <w:color w:val="fb7e35" w:themeColor="accent3" w:themeTint="98" w:themeShade="95"/>
        <w:sz w:val="22"/>
      </w:rPr>
      <w:tcPr>
        <w:shd w:val="clear" w:color="ffffff" w:fill="fdc8a9" w:themeFill="accent3" w:themeFillTint="40"/>
      </w:tcPr>
    </w:tblStylePr>
    <w:tblStylePr w:type="band1Vert">
      <w:tcPr>
        <w:shd w:val="clear" w:color="ffffff" w:fill="fdc8a9" w:themeFill="accent3" w:themeFillTint="40"/>
      </w:tcPr>
    </w:tblStylePr>
    <w:tblStylePr w:type="band2Horz">
      <w:rPr>
        <w:color w:val="fb7e35" w:themeColor="accent3" w:themeTint="98" w:themeShade="95"/>
        <w:sz w:val="22"/>
      </w:rPr>
    </w:tblStylePr>
    <w:tblStylePr w:type="firstCol">
      <w:rPr>
        <w:b/>
        <w:color w:val="fb7e35" w:themeColor="accent3" w:themeTint="98" w:themeShade="95"/>
      </w:rPr>
    </w:tblStylePr>
    <w:tblStylePr w:type="firstRow">
      <w:rPr>
        <w:b/>
        <w:color w:val="fb7e35" w:themeColor="accent3" w:themeTint="98" w:themeShade="95"/>
      </w:rPr>
      <w:tcPr>
        <w:tcBorders>
          <w:bottom w:val="single" w:color="A33E03" w:themeColor="accent3" w:sz="4" w:space="0"/>
        </w:tcBorders>
      </w:tcPr>
    </w:tblStylePr>
    <w:tblStylePr w:type="lastCol">
      <w:rPr>
        <w:b/>
        <w:color w:val="fb7e35" w:themeColor="accent3" w:themeTint="98" w:themeShade="95"/>
      </w:rPr>
    </w:tblStylePr>
    <w:tblStylePr w:type="lastRow">
      <w:rPr>
        <w:b/>
        <w:color w:val="fb7e35" w:themeColor="accent3" w:themeTint="98" w:themeShade="95"/>
      </w:rPr>
      <w:tcPr>
        <w:tcBorders>
          <w:top w:val="single" w:color="A33E03" w:themeColor="accent3" w:sz="4" w:space="0"/>
        </w:tcBorders>
      </w:tcPr>
    </w:tblStylePr>
  </w:style>
  <w:style w:type="table" w:styleId="1161" w:customStyle="1">
    <w:name w:val="List Table 6 Colorful - Accent 4"/>
    <w:basedOn w:val="766"/>
    <w:uiPriority w:val="99"/>
    <w:tblPr>
      <w:tblStyleRowBandSize w:val="1"/>
      <w:tblStyleColBandSize w:val="1"/>
      <w:tblBorders>
        <w:top w:val="single" w:color="E032FB" w:themeColor="accent4" w:themeTint="9A" w:sz="4" w:space="0"/>
        <w:bottom w:val="single" w:color="E032FB" w:themeColor="accent4" w:themeTint="9A" w:sz="4" w:space="0"/>
      </w:tblBorders>
    </w:tblPr>
    <w:tblStylePr w:type="band1Horz">
      <w:rPr>
        <w:color w:val="e032fb" w:themeColor="accent4" w:themeTint="9A" w:themeShade="95"/>
        <w:sz w:val="22"/>
      </w:rPr>
      <w:tcPr>
        <w:shd w:val="clear" w:color="ffffff" w:fill="f2a9fd" w:themeFill="accent4" w:themeFillTint="40"/>
      </w:tcPr>
    </w:tblStylePr>
    <w:tblStylePr w:type="band1Vert">
      <w:tcPr>
        <w:shd w:val="clear" w:color="ffffff" w:fill="f2a9fd" w:themeFill="accent4" w:themeFillTint="40"/>
      </w:tcPr>
    </w:tblStylePr>
    <w:tblStylePr w:type="band2Horz">
      <w:rPr>
        <w:color w:val="e032fb" w:themeColor="accent4" w:themeTint="9A" w:themeShade="95"/>
        <w:sz w:val="22"/>
      </w:rPr>
    </w:tblStylePr>
    <w:tblStylePr w:type="firstCol">
      <w:rPr>
        <w:b/>
        <w:color w:val="e032fb" w:themeColor="accent4" w:themeTint="9A" w:themeShade="95"/>
      </w:rPr>
    </w:tblStylePr>
    <w:tblStylePr w:type="firstRow">
      <w:rPr>
        <w:b/>
        <w:color w:val="e032fb" w:themeColor="accent4" w:themeTint="9A" w:themeShade="95"/>
      </w:rPr>
      <w:tcPr>
        <w:tcBorders>
          <w:bottom w:val="single" w:color="8E03A3" w:themeColor="accent4" w:sz="4" w:space="0"/>
        </w:tcBorders>
      </w:tcPr>
    </w:tblStylePr>
    <w:tblStylePr w:type="lastCol">
      <w:rPr>
        <w:b/>
        <w:color w:val="e032fb" w:themeColor="accent4" w:themeTint="9A" w:themeShade="95"/>
      </w:rPr>
    </w:tblStylePr>
    <w:tblStylePr w:type="lastRow">
      <w:rPr>
        <w:b/>
        <w:color w:val="e032fb" w:themeColor="accent4" w:themeTint="9A" w:themeShade="95"/>
      </w:rPr>
      <w:tcPr>
        <w:tcBorders>
          <w:top w:val="single" w:color="8E03A3" w:themeColor="accent4" w:sz="4" w:space="0"/>
        </w:tcBorders>
      </w:tcPr>
    </w:tblStylePr>
  </w:style>
  <w:style w:type="table" w:styleId="1162" w:customStyle="1">
    <w:name w:val="List Table 6 Colorful - Accent 5"/>
    <w:basedOn w:val="766"/>
    <w:uiPriority w:val="99"/>
    <w:tblPr>
      <w:tblStyleRowBandSize w:val="1"/>
      <w:tblStyleColBandSize w:val="1"/>
      <w:tblBorders>
        <w:top w:val="single" w:color="FFD444" w:themeColor="accent5" w:themeTint="9A" w:sz="4" w:space="0"/>
        <w:bottom w:val="single" w:color="FFD444" w:themeColor="accent5" w:themeTint="9A" w:sz="4" w:space="0"/>
      </w:tblBorders>
    </w:tblPr>
    <w:tblStylePr w:type="band1Horz">
      <w:rPr>
        <w:color w:val="ffd444" w:themeColor="accent5" w:themeTint="9A" w:themeShade="95"/>
        <w:sz w:val="22"/>
      </w:rPr>
      <w:tcPr>
        <w:shd w:val="clear" w:color="ffffff" w:fill="ffedb1" w:themeFill="accent5" w:themeFillTint="40"/>
      </w:tcPr>
    </w:tblStylePr>
    <w:tblStylePr w:type="band1Vert">
      <w:tcPr>
        <w:shd w:val="clear" w:color="ffffff" w:fill="ffedb1" w:themeFill="accent5" w:themeFillTint="40"/>
      </w:tcPr>
    </w:tblStylePr>
    <w:tblStylePr w:type="band2Horz">
      <w:rPr>
        <w:color w:val="ffd444" w:themeColor="accent5" w:themeTint="9A" w:themeShade="95"/>
        <w:sz w:val="22"/>
      </w:rPr>
    </w:tblStylePr>
    <w:tblStylePr w:type="firstCol">
      <w:rPr>
        <w:b/>
        <w:color w:val="ffd444" w:themeColor="accent5" w:themeTint="9A" w:themeShade="95"/>
      </w:rPr>
    </w:tblStylePr>
    <w:tblStylePr w:type="firstRow">
      <w:rPr>
        <w:b/>
        <w:color w:val="ffd444" w:themeColor="accent5" w:themeTint="9A" w:themeShade="95"/>
      </w:rPr>
      <w:tcPr>
        <w:tcBorders>
          <w:bottom w:val="single" w:color="C99C00" w:themeColor="accent5" w:sz="4" w:space="0"/>
        </w:tcBorders>
      </w:tcPr>
    </w:tblStylePr>
    <w:tblStylePr w:type="lastCol">
      <w:rPr>
        <w:b/>
        <w:color w:val="ffd444" w:themeColor="accent5" w:themeTint="9A" w:themeShade="95"/>
      </w:rPr>
    </w:tblStylePr>
    <w:tblStylePr w:type="lastRow">
      <w:rPr>
        <w:b/>
        <w:color w:val="ffd444" w:themeColor="accent5" w:themeTint="9A" w:themeShade="95"/>
      </w:rPr>
      <w:tcPr>
        <w:tcBorders>
          <w:top w:val="single" w:color="C99C00" w:themeColor="accent5" w:sz="4" w:space="0"/>
        </w:tcBorders>
      </w:tcPr>
    </w:tblStylePr>
  </w:style>
  <w:style w:type="table" w:styleId="1163" w:customStyle="1">
    <w:name w:val="List Table 6 Colorful - Accent 6"/>
    <w:basedOn w:val="766"/>
    <w:uiPriority w:val="99"/>
    <w:tblPr>
      <w:tblStyleRowBandSize w:val="1"/>
      <w:tblStyleColBandSize w:val="1"/>
      <w:tblBorders>
        <w:top w:val="single" w:color="E9706E" w:themeColor="accent6" w:themeTint="98" w:sz="4" w:space="0"/>
        <w:bottom w:val="single" w:color="E9706E" w:themeColor="accent6" w:themeTint="98" w:sz="4" w:space="0"/>
      </w:tblBorders>
    </w:tblPr>
    <w:tblStylePr w:type="band1Horz">
      <w:rPr>
        <w:color w:val="e9706e" w:themeColor="accent6" w:themeTint="98" w:themeShade="95"/>
        <w:sz w:val="22"/>
      </w:rPr>
      <w:tcPr>
        <w:shd w:val="clear" w:color="ffffff" w:fill="f6c2c1" w:themeFill="accent6" w:themeFillTint="40"/>
      </w:tcPr>
    </w:tblStylePr>
    <w:tblStylePr w:type="band1Vert">
      <w:tcPr>
        <w:shd w:val="clear" w:color="ffffff" w:fill="f6c2c1" w:themeFill="accent6" w:themeFillTint="40"/>
      </w:tcPr>
    </w:tblStylePr>
    <w:tblStylePr w:type="band2Horz">
      <w:rPr>
        <w:color w:val="e9706e" w:themeColor="accent6" w:themeTint="98" w:themeShade="95"/>
        <w:sz w:val="22"/>
      </w:rPr>
    </w:tblStylePr>
    <w:tblStylePr w:type="firstCol">
      <w:rPr>
        <w:b/>
        <w:color w:val="e9706e" w:themeColor="accent6" w:themeTint="98" w:themeShade="95"/>
      </w:rPr>
    </w:tblStylePr>
    <w:tblStylePr w:type="firstRow">
      <w:rPr>
        <w:b/>
        <w:color w:val="e9706e" w:themeColor="accent6" w:themeTint="98" w:themeShade="95"/>
      </w:rPr>
      <w:tcPr>
        <w:tcBorders>
          <w:bottom w:val="single" w:color="C9211E" w:themeColor="accent6" w:sz="4" w:space="0"/>
        </w:tcBorders>
      </w:tcPr>
    </w:tblStylePr>
    <w:tblStylePr w:type="lastCol">
      <w:rPr>
        <w:b/>
        <w:color w:val="e9706e" w:themeColor="accent6" w:themeTint="98" w:themeShade="95"/>
      </w:rPr>
    </w:tblStylePr>
    <w:tblStylePr w:type="lastRow">
      <w:rPr>
        <w:b/>
        <w:color w:val="e9706e" w:themeColor="accent6" w:themeTint="98" w:themeShade="95"/>
      </w:rPr>
      <w:tcPr>
        <w:tcBorders>
          <w:top w:val="single" w:color="C9211E" w:themeColor="accent6" w:sz="4" w:space="0"/>
        </w:tcBorders>
      </w:tcPr>
    </w:tblStylePr>
  </w:style>
  <w:style w:type="table" w:styleId="1164" w:customStyle="1">
    <w:name w:val="Список-таблица 7 цветная1"/>
    <w:basedOn w:val="76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65" w:customStyle="1">
    <w:name w:val="List Table 7 Colorful - Accent 1"/>
    <w:basedOn w:val="766"/>
    <w:uiPriority w:val="99"/>
    <w:tblPr>
      <w:tblStyleRowBandSize w:val="1"/>
      <w:tblStyleColBandSize w:val="1"/>
      <w:tblBorders>
        <w:right w:val="single" w:color="18A303" w:themeColor="accent1" w:sz="4" w:space="0"/>
      </w:tblBorders>
    </w:tblPr>
    <w:tblStylePr w:type="band1Horz">
      <w:rPr>
        <w:color w:val="0d5e01" w:themeColor="accent1" w:themeShade="95"/>
        <w:sz w:val="22"/>
      </w:rPr>
      <w:tcPr>
        <w:shd w:val="clear" w:color="ffffff" w:fill="b4fda9" w:themeFill="accent1" w:themeFillTint="40"/>
      </w:tcPr>
    </w:tblStylePr>
    <w:tblStylePr w:type="band1Vert">
      <w:tcPr>
        <w:shd w:val="clear" w:color="ffffff" w:fill="b4fda9" w:themeFill="accent1" w:themeFillTint="40"/>
      </w:tcPr>
    </w:tblStylePr>
    <w:tblStylePr w:type="band2Horz">
      <w:rPr>
        <w:color w:val="0d5e01" w:themeColor="accent1" w:themeShade="95"/>
        <w:sz w:val="22"/>
      </w:rPr>
    </w:tblStylePr>
    <w:tblStylePr w:type="firstCol">
      <w:rPr>
        <w:i/>
        <w:color w:val="0d5e0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18A303" w:themeColor="accent1" w:sz="4" w:space="0"/>
        </w:tcBorders>
      </w:tcPr>
    </w:tblStylePr>
    <w:tblStylePr w:type="firstRow">
      <w:rPr>
        <w:i/>
        <w:color w:val="0d5e01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18A303" w:themeColor="accent1" w:sz="4" w:space="0"/>
          <w:right w:val="none" w:color="000000" w:sz="0" w:space="0"/>
        </w:tcBorders>
      </w:tcPr>
    </w:tblStylePr>
    <w:tblStylePr w:type="lastCol">
      <w:rPr>
        <w:i/>
        <w:color w:val="0d5e0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18A303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0d5e01" w:themeColor="accent1" w:themeShade="95"/>
        <w:sz w:val="22"/>
      </w:rPr>
      <w:tcPr>
        <w:shd w:val="clear" w:color="ffffff" w:fill="ffffff" w:themeFill="light1"/>
        <w:tcBorders>
          <w:top w:val="single" w:color="18A303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66" w:customStyle="1">
    <w:name w:val="List Table 7 Colorful - Accent 2"/>
    <w:basedOn w:val="766"/>
    <w:uiPriority w:val="99"/>
    <w:tblPr>
      <w:tblStyleRowBandSize w:val="1"/>
      <w:tblStyleColBandSize w:val="1"/>
      <w:tblBorders>
        <w:right w:val="single" w:color="36B3FB" w:themeColor="accent2" w:themeTint="97" w:sz="4" w:space="0"/>
      </w:tblBorders>
    </w:tblPr>
    <w:tblStylePr w:type="band1Horz">
      <w:rPr>
        <w:color w:val="36b3fb" w:themeColor="accent2" w:themeTint="97" w:themeShade="95"/>
        <w:sz w:val="22"/>
      </w:rPr>
      <w:tcPr>
        <w:shd w:val="clear" w:color="ffffff" w:fill="a9defd" w:themeFill="accent2" w:themeFillTint="40"/>
      </w:tcPr>
    </w:tblStylePr>
    <w:tblStylePr w:type="band1Vert">
      <w:tcPr>
        <w:shd w:val="clear" w:color="ffffff" w:fill="a9defd" w:themeFill="accent2" w:themeFillTint="40"/>
      </w:tcPr>
    </w:tblStylePr>
    <w:tblStylePr w:type="band2Horz">
      <w:rPr>
        <w:color w:val="36b3fb" w:themeColor="accent2" w:themeTint="97" w:themeShade="95"/>
        <w:sz w:val="22"/>
      </w:rPr>
    </w:tblStylePr>
    <w:tblStylePr w:type="firstCol">
      <w:rPr>
        <w:i/>
        <w:color w:val="36b3fb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369A3" w:themeColor="accent2" w:sz="4" w:space="0"/>
        </w:tcBorders>
      </w:tcPr>
    </w:tblStylePr>
    <w:tblStylePr w:type="firstRow">
      <w:rPr>
        <w:i/>
        <w:color w:val="36b3fb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369A3" w:themeColor="accent2" w:sz="4" w:space="0"/>
          <w:right w:val="none" w:color="000000" w:sz="0" w:space="0"/>
        </w:tcBorders>
      </w:tcPr>
    </w:tblStylePr>
    <w:tblStylePr w:type="lastCol">
      <w:rPr>
        <w:i/>
        <w:color w:val="36b3fb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0369A3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36b3fb" w:themeColor="accent2" w:themeTint="97" w:themeShade="95"/>
        <w:sz w:val="22"/>
      </w:rPr>
      <w:tcPr>
        <w:shd w:val="clear" w:color="ffffff" w:fill="ffffff" w:themeFill="light1"/>
        <w:tcBorders>
          <w:top w:val="single" w:color="0369A3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67" w:customStyle="1">
    <w:name w:val="List Table 7 Colorful - Accent 3"/>
    <w:basedOn w:val="766"/>
    <w:uiPriority w:val="99"/>
    <w:tblPr>
      <w:tblStyleRowBandSize w:val="1"/>
      <w:tblStyleColBandSize w:val="1"/>
      <w:tblBorders>
        <w:right w:val="single" w:color="FB7E35" w:themeColor="accent3" w:themeTint="98" w:sz="4" w:space="0"/>
      </w:tblBorders>
    </w:tblPr>
    <w:tblStylePr w:type="band1Horz">
      <w:rPr>
        <w:color w:val="fb7e35" w:themeColor="accent3" w:themeTint="98" w:themeShade="95"/>
        <w:sz w:val="22"/>
      </w:rPr>
      <w:tcPr>
        <w:shd w:val="clear" w:color="ffffff" w:fill="fdc8a9" w:themeFill="accent3" w:themeFillTint="40"/>
      </w:tcPr>
    </w:tblStylePr>
    <w:tblStylePr w:type="band1Vert">
      <w:tcPr>
        <w:shd w:val="clear" w:color="ffffff" w:fill="fdc8a9" w:themeFill="accent3" w:themeFillTint="40"/>
      </w:tcPr>
    </w:tblStylePr>
    <w:tblStylePr w:type="band2Horz">
      <w:rPr>
        <w:color w:val="fb7e35" w:themeColor="accent3" w:themeTint="98" w:themeShade="95"/>
        <w:sz w:val="22"/>
      </w:rPr>
    </w:tblStylePr>
    <w:tblStylePr w:type="firstCol">
      <w:rPr>
        <w:i/>
        <w:color w:val="fb7e35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33E03" w:themeColor="accent3" w:sz="4" w:space="0"/>
        </w:tcBorders>
      </w:tcPr>
    </w:tblStylePr>
    <w:tblStylePr w:type="firstRow">
      <w:rPr>
        <w:i/>
        <w:color w:val="fb7e3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33E03" w:themeColor="accent3" w:sz="4" w:space="0"/>
          <w:right w:val="none" w:color="000000" w:sz="0" w:space="0"/>
        </w:tcBorders>
      </w:tcPr>
    </w:tblStylePr>
    <w:tblStylePr w:type="lastCol">
      <w:rPr>
        <w:i/>
        <w:color w:val="fb7e35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33E03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b7e35" w:themeColor="accent3" w:themeTint="98" w:themeShade="95"/>
        <w:sz w:val="22"/>
      </w:rPr>
      <w:tcPr>
        <w:shd w:val="clear" w:color="ffffff" w:fill="ffffff" w:themeFill="light1"/>
        <w:tcBorders>
          <w:top w:val="single" w:color="A33E03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68" w:customStyle="1">
    <w:name w:val="List Table 7 Colorful - Accent 4"/>
    <w:basedOn w:val="766"/>
    <w:uiPriority w:val="99"/>
    <w:tblPr>
      <w:tblStyleRowBandSize w:val="1"/>
      <w:tblStyleColBandSize w:val="1"/>
      <w:tblBorders>
        <w:right w:val="single" w:color="E032FB" w:themeColor="accent4" w:themeTint="9A" w:sz="4" w:space="0"/>
      </w:tblBorders>
    </w:tblPr>
    <w:tblStylePr w:type="band1Horz">
      <w:rPr>
        <w:color w:val="e032fb" w:themeColor="accent4" w:themeTint="9A" w:themeShade="95"/>
        <w:sz w:val="22"/>
      </w:rPr>
      <w:tcPr>
        <w:shd w:val="clear" w:color="ffffff" w:fill="f2a9fd" w:themeFill="accent4" w:themeFillTint="40"/>
      </w:tcPr>
    </w:tblStylePr>
    <w:tblStylePr w:type="band1Vert">
      <w:tcPr>
        <w:shd w:val="clear" w:color="ffffff" w:fill="f2a9fd" w:themeFill="accent4" w:themeFillTint="40"/>
      </w:tcPr>
    </w:tblStylePr>
    <w:tblStylePr w:type="band2Horz">
      <w:rPr>
        <w:color w:val="e032fb" w:themeColor="accent4" w:themeTint="9A" w:themeShade="95"/>
        <w:sz w:val="22"/>
      </w:rPr>
    </w:tblStylePr>
    <w:tblStylePr w:type="firstCol">
      <w:rPr>
        <w:i/>
        <w:color w:val="e032fb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E03A3" w:themeColor="accent4" w:sz="4" w:space="0"/>
        </w:tcBorders>
      </w:tcPr>
    </w:tblStylePr>
    <w:tblStylePr w:type="firstRow">
      <w:rPr>
        <w:i/>
        <w:color w:val="e032fb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E03A3" w:themeColor="accent4" w:sz="4" w:space="0"/>
          <w:right w:val="none" w:color="000000" w:sz="0" w:space="0"/>
        </w:tcBorders>
      </w:tcPr>
    </w:tblStylePr>
    <w:tblStylePr w:type="lastCol">
      <w:rPr>
        <w:i/>
        <w:color w:val="e032fb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E03A3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e032fb" w:themeColor="accent4" w:themeTint="9A" w:themeShade="95"/>
        <w:sz w:val="22"/>
      </w:rPr>
      <w:tcPr>
        <w:shd w:val="clear" w:color="ffffff" w:fill="ffffff" w:themeFill="light1"/>
        <w:tcBorders>
          <w:top w:val="single" w:color="8E03A3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69" w:customStyle="1">
    <w:name w:val="List Table 7 Colorful - Accent 5"/>
    <w:basedOn w:val="766"/>
    <w:uiPriority w:val="99"/>
    <w:tblPr>
      <w:tblStyleRowBandSize w:val="1"/>
      <w:tblStyleColBandSize w:val="1"/>
      <w:tblBorders>
        <w:right w:val="single" w:color="FFD444" w:themeColor="accent5" w:themeTint="9A" w:sz="4" w:space="0"/>
      </w:tblBorders>
    </w:tblPr>
    <w:tblStylePr w:type="band1Horz">
      <w:rPr>
        <w:color w:val="ffd444" w:themeColor="accent5" w:themeTint="9A" w:themeShade="95"/>
        <w:sz w:val="22"/>
      </w:rPr>
      <w:tcPr>
        <w:shd w:val="clear" w:color="ffffff" w:fill="ffedb1" w:themeFill="accent5" w:themeFillTint="40"/>
      </w:tcPr>
    </w:tblStylePr>
    <w:tblStylePr w:type="band1Vert">
      <w:tcPr>
        <w:shd w:val="clear" w:color="ffffff" w:fill="ffedb1" w:themeFill="accent5" w:themeFillTint="40"/>
      </w:tcPr>
    </w:tblStylePr>
    <w:tblStylePr w:type="band2Horz">
      <w:rPr>
        <w:color w:val="ffd444" w:themeColor="accent5" w:themeTint="9A" w:themeShade="95"/>
        <w:sz w:val="22"/>
      </w:rPr>
    </w:tblStylePr>
    <w:tblStylePr w:type="firstCol">
      <w:rPr>
        <w:i/>
        <w:color w:val="ffd444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9C00" w:themeColor="accent5" w:sz="4" w:space="0"/>
        </w:tcBorders>
      </w:tcPr>
    </w:tblStylePr>
    <w:tblStylePr w:type="firstRow">
      <w:rPr>
        <w:i/>
        <w:color w:val="ffd444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99C00" w:themeColor="accent5" w:sz="4" w:space="0"/>
          <w:right w:val="none" w:color="000000" w:sz="0" w:space="0"/>
        </w:tcBorders>
      </w:tcPr>
    </w:tblStylePr>
    <w:tblStylePr w:type="lastCol">
      <w:rPr>
        <w:i/>
        <w:color w:val="ffd444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C99C00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fd444" w:themeColor="accent5" w:themeTint="9A" w:themeShade="95"/>
        <w:sz w:val="22"/>
      </w:rPr>
      <w:tcPr>
        <w:shd w:val="clear" w:color="ffffff" w:fill="ffffff" w:themeFill="light1"/>
        <w:tcBorders>
          <w:top w:val="single" w:color="C99C00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70" w:customStyle="1">
    <w:name w:val="List Table 7 Colorful - Accent 6"/>
    <w:basedOn w:val="766"/>
    <w:uiPriority w:val="99"/>
    <w:tblPr>
      <w:tblStyleRowBandSize w:val="1"/>
      <w:tblStyleColBandSize w:val="1"/>
      <w:tblBorders>
        <w:right w:val="single" w:color="E9706E" w:themeColor="accent6" w:themeTint="98" w:sz="4" w:space="0"/>
      </w:tblBorders>
    </w:tblPr>
    <w:tblStylePr w:type="band1Horz">
      <w:rPr>
        <w:color w:val="e9706e" w:themeColor="accent6" w:themeTint="98" w:themeShade="95"/>
        <w:sz w:val="22"/>
      </w:rPr>
      <w:tcPr>
        <w:shd w:val="clear" w:color="ffffff" w:fill="f6c2c1" w:themeFill="accent6" w:themeFillTint="40"/>
      </w:tcPr>
    </w:tblStylePr>
    <w:tblStylePr w:type="band1Vert">
      <w:tcPr>
        <w:shd w:val="clear" w:color="ffffff" w:fill="f6c2c1" w:themeFill="accent6" w:themeFillTint="40"/>
      </w:tcPr>
    </w:tblStylePr>
    <w:tblStylePr w:type="band2Horz">
      <w:rPr>
        <w:color w:val="e9706e" w:themeColor="accent6" w:themeTint="98" w:themeShade="95"/>
        <w:sz w:val="22"/>
      </w:rPr>
    </w:tblStylePr>
    <w:tblStylePr w:type="firstCol">
      <w:rPr>
        <w:i/>
        <w:color w:val="e9706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211E" w:themeColor="accent6" w:sz="4" w:space="0"/>
        </w:tcBorders>
      </w:tcPr>
    </w:tblStylePr>
    <w:tblStylePr w:type="firstRow">
      <w:rPr>
        <w:i/>
        <w:color w:val="e9706e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9211E" w:themeColor="accent6" w:sz="4" w:space="0"/>
          <w:right w:val="none" w:color="000000" w:sz="0" w:space="0"/>
        </w:tcBorders>
      </w:tcPr>
    </w:tblStylePr>
    <w:tblStylePr w:type="lastCol">
      <w:rPr>
        <w:i/>
        <w:color w:val="e9706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211E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e9706e" w:themeColor="accent6" w:themeTint="98" w:themeShade="95"/>
        <w:sz w:val="22"/>
      </w:rPr>
      <w:tcPr>
        <w:shd w:val="clear" w:color="ffffff" w:fill="ffffff" w:themeFill="light1"/>
        <w:tcBorders>
          <w:top w:val="single" w:color="C9211E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71" w:customStyle="1">
    <w:name w:val="Lined - Accent"/>
    <w:basedOn w:val="76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D"/>
      </w:tcPr>
    </w:tblStylePr>
    <w:tblStylePr w:type="band2Vert">
      <w:rPr>
        <w:sz w:val="22"/>
      </w:rPr>
      <w:tcPr>
        <w:shd w:val="clear" w:color="ffffff" w:fill="f2f2f2" w:themeFill="text1" w:themeFillTint="0D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172" w:customStyle="1">
    <w:name w:val="Lined - Accent 1"/>
    <w:basedOn w:val="76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a2fd94" w:themeFill="accent1" w:themeFillTint="50"/>
      </w:tcPr>
    </w:tblStylePr>
    <w:tblStylePr w:type="band2Vert">
      <w:rPr>
        <w:sz w:val="22"/>
      </w:rPr>
      <w:tcPr>
        <w:shd w:val="clear" w:color="ffffff" w:fill="a2fd94" w:themeFill="accent1" w:themeFillTint="50"/>
      </w:tcPr>
    </w:tblStylePr>
    <w:tblStylePr w:type="firstCol">
      <w:rPr>
        <w:sz w:val="22"/>
      </w:rPr>
      <w:tcPr>
        <w:shd w:val="clear" w:color="ffffff" w:fill="1bbe03" w:themeFill="accent1" w:themeFillTint="EA"/>
      </w:tcPr>
    </w:tblStylePr>
    <w:tblStylePr w:type="firstRow">
      <w:rPr>
        <w:sz w:val="22"/>
      </w:rPr>
      <w:tcPr>
        <w:shd w:val="clear" w:color="ffffff" w:fill="1bbe03" w:themeFill="accent1" w:themeFillTint="EA"/>
      </w:tcPr>
    </w:tblStylePr>
    <w:tblStylePr w:type="lastCol">
      <w:rPr>
        <w:sz w:val="22"/>
      </w:rPr>
      <w:tcPr>
        <w:shd w:val="clear" w:color="ffffff" w:fill="1bbe03" w:themeFill="accent1" w:themeFillTint="EA"/>
      </w:tcPr>
    </w:tblStylePr>
    <w:tblStylePr w:type="lastRow">
      <w:rPr>
        <w:sz w:val="22"/>
      </w:rPr>
      <w:tcPr>
        <w:shd w:val="clear" w:color="ffffff" w:fill="1bbe03" w:themeFill="accent1" w:themeFillTint="EA"/>
      </w:tcPr>
    </w:tblStylePr>
  </w:style>
  <w:style w:type="table" w:styleId="1173" w:customStyle="1">
    <w:name w:val="Lined - Accent 2"/>
    <w:basedOn w:val="76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bce6fd" w:themeFill="accent2" w:themeFillTint="32"/>
      </w:tcPr>
    </w:tblStylePr>
    <w:tblStylePr w:type="band2Vert">
      <w:rPr>
        <w:sz w:val="22"/>
      </w:rPr>
      <w:tcPr>
        <w:shd w:val="clear" w:color="ffffff" w:fill="bce6fd" w:themeFill="accent2" w:themeFillTint="32"/>
      </w:tcPr>
    </w:tblStylePr>
    <w:tblStylePr w:type="firstCol">
      <w:rPr>
        <w:sz w:val="22"/>
      </w:rPr>
      <w:tcPr>
        <w:shd w:val="clear" w:color="ffffff" w:fill="36b3fb" w:themeFill="accent2" w:themeFillTint="97"/>
      </w:tcPr>
    </w:tblStylePr>
    <w:tblStylePr w:type="firstRow">
      <w:rPr>
        <w:sz w:val="22"/>
      </w:rPr>
      <w:tcPr>
        <w:shd w:val="clear" w:color="ffffff" w:fill="36b3fb" w:themeFill="accent2" w:themeFillTint="97"/>
      </w:tcPr>
    </w:tblStylePr>
    <w:tblStylePr w:type="lastCol">
      <w:rPr>
        <w:sz w:val="22"/>
      </w:rPr>
      <w:tcPr>
        <w:shd w:val="clear" w:color="ffffff" w:fill="36b3fb" w:themeFill="accent2" w:themeFillTint="97"/>
      </w:tcPr>
    </w:tblStylePr>
    <w:tblStylePr w:type="lastRow">
      <w:rPr>
        <w:sz w:val="22"/>
      </w:rPr>
      <w:tcPr>
        <w:shd w:val="clear" w:color="ffffff" w:fill="36b3fb" w:themeFill="accent2" w:themeFillTint="97"/>
      </w:tcPr>
    </w:tblStylePr>
  </w:style>
  <w:style w:type="table" w:styleId="1174" w:customStyle="1">
    <w:name w:val="Lined - Accent 3"/>
    <w:basedOn w:val="76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d2b9" w:themeFill="accent3" w:themeFillTint="34"/>
      </w:tcPr>
    </w:tblStylePr>
    <w:tblStylePr w:type="band2Vert">
      <w:rPr>
        <w:sz w:val="22"/>
      </w:rPr>
      <w:tcPr>
        <w:shd w:val="clear" w:color="ffffff" w:fill="fdd2b9" w:themeFill="accent3" w:themeFillTint="34"/>
      </w:tcPr>
    </w:tblStylePr>
    <w:tblStylePr w:type="firstCol">
      <w:rPr>
        <w:sz w:val="22"/>
      </w:rPr>
      <w:tcPr>
        <w:shd w:val="clear" w:color="ffffff" w:fill="a43e03" w:themeFill="accent3" w:themeFillTint="FE"/>
      </w:tcPr>
    </w:tblStylePr>
    <w:tblStylePr w:type="firstRow">
      <w:rPr>
        <w:sz w:val="22"/>
      </w:rPr>
      <w:tcPr>
        <w:shd w:val="clear" w:color="ffffff" w:fill="a43e03" w:themeFill="accent3" w:themeFillTint="FE"/>
      </w:tcPr>
    </w:tblStylePr>
    <w:tblStylePr w:type="lastCol">
      <w:rPr>
        <w:sz w:val="22"/>
      </w:rPr>
      <w:tcPr>
        <w:shd w:val="clear" w:color="ffffff" w:fill="a43e03" w:themeFill="accent3" w:themeFillTint="FE"/>
      </w:tcPr>
    </w:tblStylePr>
    <w:tblStylePr w:type="lastRow">
      <w:rPr>
        <w:sz w:val="22"/>
      </w:rPr>
      <w:tcPr>
        <w:shd w:val="clear" w:color="ffffff" w:fill="a43e03" w:themeFill="accent3" w:themeFillTint="FE"/>
      </w:tcPr>
    </w:tblStylePr>
  </w:style>
  <w:style w:type="table" w:styleId="1175" w:customStyle="1">
    <w:name w:val="Lined - Accent 4"/>
    <w:basedOn w:val="76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4b9fd" w:themeFill="accent4" w:themeFillTint="34"/>
      </w:tcPr>
    </w:tblStylePr>
    <w:tblStylePr w:type="band2Vert">
      <w:rPr>
        <w:sz w:val="22"/>
      </w:rPr>
      <w:tcPr>
        <w:shd w:val="clear" w:color="ffffff" w:fill="f4b9fd" w:themeFill="accent4" w:themeFillTint="34"/>
      </w:tcPr>
    </w:tblStylePr>
    <w:tblStylePr w:type="firstCol">
      <w:rPr>
        <w:sz w:val="22"/>
      </w:rPr>
      <w:tcPr>
        <w:shd w:val="clear" w:color="ffffff" w:fill="e032fb" w:themeFill="accent4" w:themeFillTint="9A"/>
      </w:tcPr>
    </w:tblStylePr>
    <w:tblStylePr w:type="firstRow">
      <w:rPr>
        <w:sz w:val="22"/>
      </w:rPr>
      <w:tcPr>
        <w:shd w:val="clear" w:color="ffffff" w:fill="e032fb" w:themeFill="accent4" w:themeFillTint="9A"/>
      </w:tcPr>
    </w:tblStylePr>
    <w:tblStylePr w:type="lastCol">
      <w:rPr>
        <w:sz w:val="22"/>
      </w:rPr>
      <w:tcPr>
        <w:shd w:val="clear" w:color="ffffff" w:fill="e032fb" w:themeFill="accent4" w:themeFillTint="9A"/>
      </w:tcPr>
    </w:tblStylePr>
    <w:tblStylePr w:type="lastRow">
      <w:rPr>
        <w:sz w:val="22"/>
      </w:rPr>
      <w:tcPr>
        <w:shd w:val="clear" w:color="ffffff" w:fill="e032fb" w:themeFill="accent4" w:themeFillTint="9A"/>
      </w:tcPr>
    </w:tblStylePr>
  </w:style>
  <w:style w:type="table" w:styleId="1176" w:customStyle="1">
    <w:name w:val="Lined - Accent 5"/>
    <w:basedOn w:val="76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0bf" w:themeFill="accent5" w:themeFillTint="34"/>
      </w:tcPr>
    </w:tblStylePr>
    <w:tblStylePr w:type="band2Vert">
      <w:rPr>
        <w:sz w:val="22"/>
      </w:rPr>
      <w:tcPr>
        <w:shd w:val="clear" w:color="ffffff" w:fill="fff0bf" w:themeFill="accent5" w:themeFillTint="34"/>
      </w:tcPr>
    </w:tblStylePr>
    <w:tblStylePr w:type="firstCol">
      <w:rPr>
        <w:sz w:val="22"/>
      </w:rPr>
      <w:tcPr>
        <w:shd w:val="clear" w:color="ffffff" w:fill="c99c00" w:themeFill="accent5"/>
      </w:tcPr>
    </w:tblStylePr>
    <w:tblStylePr w:type="firstRow">
      <w:rPr>
        <w:sz w:val="22"/>
      </w:rPr>
      <w:tcPr>
        <w:shd w:val="clear" w:color="ffffff" w:fill="c99c00" w:themeFill="accent5"/>
      </w:tcPr>
    </w:tblStylePr>
    <w:tblStylePr w:type="lastCol">
      <w:rPr>
        <w:sz w:val="22"/>
      </w:rPr>
      <w:tcPr>
        <w:shd w:val="clear" w:color="ffffff" w:fill="c99c00" w:themeFill="accent5"/>
      </w:tcPr>
    </w:tblStylePr>
    <w:tblStylePr w:type="lastRow">
      <w:rPr>
        <w:sz w:val="22"/>
      </w:rPr>
      <w:tcPr>
        <w:shd w:val="clear" w:color="ffffff" w:fill="c99c00" w:themeFill="accent5"/>
      </w:tcPr>
    </w:tblStylePr>
  </w:style>
  <w:style w:type="table" w:styleId="1177" w:customStyle="1">
    <w:name w:val="Lined - Accent 6"/>
    <w:basedOn w:val="76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7cdcd" w:themeFill="accent6" w:themeFillTint="34"/>
      </w:tcPr>
    </w:tblStylePr>
    <w:tblStylePr w:type="band2Vert">
      <w:rPr>
        <w:sz w:val="22"/>
      </w:rPr>
      <w:tcPr>
        <w:shd w:val="clear" w:color="ffffff" w:fill="f7cdcd" w:themeFill="accent6" w:themeFillTint="34"/>
      </w:tcPr>
    </w:tblStylePr>
    <w:tblStylePr w:type="firstCol">
      <w:rPr>
        <w:sz w:val="22"/>
      </w:rPr>
      <w:tcPr>
        <w:shd w:val="clear" w:color="ffffff" w:fill="c9211e" w:themeFill="accent6"/>
      </w:tcPr>
    </w:tblStylePr>
    <w:tblStylePr w:type="firstRow">
      <w:rPr>
        <w:sz w:val="22"/>
      </w:rPr>
      <w:tcPr>
        <w:shd w:val="clear" w:color="ffffff" w:fill="c9211e" w:themeFill="accent6"/>
      </w:tcPr>
    </w:tblStylePr>
    <w:tblStylePr w:type="lastCol">
      <w:rPr>
        <w:sz w:val="22"/>
      </w:rPr>
      <w:tcPr>
        <w:shd w:val="clear" w:color="ffffff" w:fill="c9211e" w:themeFill="accent6"/>
      </w:tcPr>
    </w:tblStylePr>
    <w:tblStylePr w:type="lastRow">
      <w:rPr>
        <w:sz w:val="22"/>
      </w:rPr>
      <w:tcPr>
        <w:shd w:val="clear" w:color="ffffff" w:fill="c9211e" w:themeFill="accent6"/>
      </w:tcPr>
    </w:tblStylePr>
  </w:style>
  <w:style w:type="table" w:styleId="1178" w:customStyle="1">
    <w:name w:val="Bordered &amp; Lined - Accent"/>
    <w:basedOn w:val="766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D"/>
      </w:tcPr>
    </w:tblStylePr>
    <w:tblStylePr w:type="band2Vert">
      <w:rPr>
        <w:sz w:val="22"/>
      </w:rPr>
      <w:tcPr>
        <w:shd w:val="clear" w:color="ffffff" w:fill="f2f2f2" w:themeFill="text1" w:themeFillTint="0D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1179" w:customStyle="1">
    <w:name w:val="Bordered &amp; Lined - Accent 1"/>
    <w:basedOn w:val="766"/>
    <w:uiPriority w:val="99"/>
    <w:tblPr>
      <w:tblStyleRowBandSize w:val="1"/>
      <w:tblStyleColBandSize w:val="1"/>
      <w:tblBorders>
        <w:top w:val="single" w:color="18A303" w:themeColor="accent1" w:sz="4" w:space="0"/>
        <w:left w:val="single" w:color="18A303" w:themeColor="accent1" w:sz="4" w:space="0"/>
        <w:bottom w:val="single" w:color="18A303" w:themeColor="accent1" w:sz="4" w:space="0"/>
        <w:right w:val="single" w:color="18A303" w:themeColor="accent1" w:sz="4" w:space="0"/>
        <w:insideH w:val="single" w:color="18A303" w:themeColor="accent1" w:sz="4" w:space="0"/>
        <w:insideV w:val="single" w:color="18A303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a2fd94" w:themeFill="accent1" w:themeFillTint="50"/>
      </w:tcPr>
    </w:tblStylePr>
    <w:tblStylePr w:type="band2Vert">
      <w:rPr>
        <w:sz w:val="22"/>
      </w:rPr>
      <w:tcPr>
        <w:shd w:val="clear" w:color="ffffff" w:fill="a2fd94" w:themeFill="accent1" w:themeFillTint="50"/>
      </w:tcPr>
    </w:tblStylePr>
    <w:tblStylePr w:type="firstCol">
      <w:rPr>
        <w:sz w:val="22"/>
      </w:rPr>
      <w:tcPr>
        <w:shd w:val="clear" w:color="ffffff" w:fill="1bbe03" w:themeFill="accent1" w:themeFillTint="EA"/>
      </w:tcPr>
    </w:tblStylePr>
    <w:tblStylePr w:type="firstRow">
      <w:rPr>
        <w:sz w:val="22"/>
      </w:rPr>
      <w:tcPr>
        <w:shd w:val="clear" w:color="ffffff" w:fill="1bbe03" w:themeFill="accent1" w:themeFillTint="EA"/>
      </w:tcPr>
    </w:tblStylePr>
    <w:tblStylePr w:type="lastCol">
      <w:rPr>
        <w:sz w:val="22"/>
      </w:rPr>
      <w:tcPr>
        <w:shd w:val="clear" w:color="ffffff" w:fill="1bbe03" w:themeFill="accent1" w:themeFillTint="EA"/>
      </w:tcPr>
    </w:tblStylePr>
    <w:tblStylePr w:type="lastRow">
      <w:rPr>
        <w:sz w:val="22"/>
      </w:rPr>
      <w:tcPr>
        <w:shd w:val="clear" w:color="ffffff" w:fill="1bbe03" w:themeFill="accent1" w:themeFillTint="EA"/>
      </w:tcPr>
    </w:tblStylePr>
  </w:style>
  <w:style w:type="table" w:styleId="1180" w:customStyle="1">
    <w:name w:val="Bordered &amp; Lined - Accent 2"/>
    <w:basedOn w:val="766"/>
    <w:uiPriority w:val="99"/>
    <w:tblPr>
      <w:tblStyleRowBandSize w:val="1"/>
      <w:tblStyleColBandSize w:val="1"/>
      <w:tblBorders>
        <w:top w:val="single" w:color="0369A3" w:themeColor="accent2" w:sz="4" w:space="0"/>
        <w:left w:val="single" w:color="0369A3" w:themeColor="accent2" w:sz="4" w:space="0"/>
        <w:bottom w:val="single" w:color="0369A3" w:themeColor="accent2" w:sz="4" w:space="0"/>
        <w:right w:val="single" w:color="0369A3" w:themeColor="accent2" w:sz="4" w:space="0"/>
        <w:insideH w:val="single" w:color="0369A3" w:themeColor="accent2" w:sz="4" w:space="0"/>
        <w:insideV w:val="single" w:color="0369A3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bce6fd" w:themeFill="accent2" w:themeFillTint="32"/>
      </w:tcPr>
    </w:tblStylePr>
    <w:tblStylePr w:type="band2Vert">
      <w:rPr>
        <w:sz w:val="22"/>
      </w:rPr>
      <w:tcPr>
        <w:shd w:val="clear" w:color="ffffff" w:fill="bce6fd" w:themeFill="accent2" w:themeFillTint="32"/>
      </w:tcPr>
    </w:tblStylePr>
    <w:tblStylePr w:type="firstCol">
      <w:rPr>
        <w:sz w:val="22"/>
      </w:rPr>
      <w:tcPr>
        <w:shd w:val="clear" w:color="ffffff" w:fill="36b3fb" w:themeFill="accent2" w:themeFillTint="97"/>
      </w:tcPr>
    </w:tblStylePr>
    <w:tblStylePr w:type="firstRow">
      <w:rPr>
        <w:sz w:val="22"/>
      </w:rPr>
      <w:tcPr>
        <w:shd w:val="clear" w:color="ffffff" w:fill="36b3fb" w:themeFill="accent2" w:themeFillTint="97"/>
      </w:tcPr>
    </w:tblStylePr>
    <w:tblStylePr w:type="lastCol">
      <w:rPr>
        <w:sz w:val="22"/>
      </w:rPr>
      <w:tcPr>
        <w:shd w:val="clear" w:color="ffffff" w:fill="36b3fb" w:themeFill="accent2" w:themeFillTint="97"/>
      </w:tcPr>
    </w:tblStylePr>
    <w:tblStylePr w:type="lastRow">
      <w:rPr>
        <w:sz w:val="22"/>
      </w:rPr>
      <w:tcPr>
        <w:shd w:val="clear" w:color="ffffff" w:fill="36b3fb" w:themeFill="accent2" w:themeFillTint="97"/>
      </w:tcPr>
    </w:tblStylePr>
  </w:style>
  <w:style w:type="table" w:styleId="1181" w:customStyle="1">
    <w:name w:val="Bordered &amp; Lined - Accent 3"/>
    <w:basedOn w:val="766"/>
    <w:uiPriority w:val="99"/>
    <w:tblPr>
      <w:tblStyleRowBandSize w:val="1"/>
      <w:tblStyleColBandSize w:val="1"/>
      <w:tblBorders>
        <w:top w:val="single" w:color="A33E03" w:themeColor="accent3" w:sz="4" w:space="0"/>
        <w:left w:val="single" w:color="A33E03" w:themeColor="accent3" w:sz="4" w:space="0"/>
        <w:bottom w:val="single" w:color="A33E03" w:themeColor="accent3" w:sz="4" w:space="0"/>
        <w:right w:val="single" w:color="A33E03" w:themeColor="accent3" w:sz="4" w:space="0"/>
        <w:insideH w:val="single" w:color="A33E03" w:themeColor="accent3" w:sz="4" w:space="0"/>
        <w:insideV w:val="single" w:color="A33E03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d2b9" w:themeFill="accent3" w:themeFillTint="34"/>
      </w:tcPr>
    </w:tblStylePr>
    <w:tblStylePr w:type="band2Vert">
      <w:rPr>
        <w:sz w:val="22"/>
      </w:rPr>
      <w:tcPr>
        <w:shd w:val="clear" w:color="ffffff" w:fill="fdd2b9" w:themeFill="accent3" w:themeFillTint="34"/>
      </w:tcPr>
    </w:tblStylePr>
    <w:tblStylePr w:type="firstCol">
      <w:rPr>
        <w:sz w:val="22"/>
      </w:rPr>
      <w:tcPr>
        <w:shd w:val="clear" w:color="ffffff" w:fill="a43e03" w:themeFill="accent3" w:themeFillTint="FE"/>
      </w:tcPr>
    </w:tblStylePr>
    <w:tblStylePr w:type="firstRow">
      <w:rPr>
        <w:sz w:val="22"/>
      </w:rPr>
      <w:tcPr>
        <w:shd w:val="clear" w:color="ffffff" w:fill="a43e03" w:themeFill="accent3" w:themeFillTint="FE"/>
      </w:tcPr>
    </w:tblStylePr>
    <w:tblStylePr w:type="lastCol">
      <w:rPr>
        <w:sz w:val="22"/>
      </w:rPr>
      <w:tcPr>
        <w:shd w:val="clear" w:color="ffffff" w:fill="a43e03" w:themeFill="accent3" w:themeFillTint="FE"/>
      </w:tcPr>
    </w:tblStylePr>
    <w:tblStylePr w:type="lastRow">
      <w:rPr>
        <w:sz w:val="22"/>
      </w:rPr>
      <w:tcPr>
        <w:shd w:val="clear" w:color="ffffff" w:fill="a43e03" w:themeFill="accent3" w:themeFillTint="FE"/>
      </w:tcPr>
    </w:tblStylePr>
  </w:style>
  <w:style w:type="table" w:styleId="1182" w:customStyle="1">
    <w:name w:val="Bordered &amp; Lined - Accent 4"/>
    <w:basedOn w:val="766"/>
    <w:uiPriority w:val="99"/>
    <w:tblPr>
      <w:tblStyleRowBandSize w:val="1"/>
      <w:tblStyleColBandSize w:val="1"/>
      <w:tblBorders>
        <w:top w:val="single" w:color="8E03A3" w:themeColor="accent4" w:sz="4" w:space="0"/>
        <w:left w:val="single" w:color="8E03A3" w:themeColor="accent4" w:sz="4" w:space="0"/>
        <w:bottom w:val="single" w:color="8E03A3" w:themeColor="accent4" w:sz="4" w:space="0"/>
        <w:right w:val="single" w:color="8E03A3" w:themeColor="accent4" w:sz="4" w:space="0"/>
        <w:insideH w:val="single" w:color="8E03A3" w:themeColor="accent4" w:sz="4" w:space="0"/>
        <w:insideV w:val="single" w:color="8E03A3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4b9fd" w:themeFill="accent4" w:themeFillTint="34"/>
      </w:tcPr>
    </w:tblStylePr>
    <w:tblStylePr w:type="band2Vert">
      <w:rPr>
        <w:sz w:val="22"/>
      </w:rPr>
      <w:tcPr>
        <w:shd w:val="clear" w:color="ffffff" w:fill="f4b9fd" w:themeFill="accent4" w:themeFillTint="34"/>
      </w:tcPr>
    </w:tblStylePr>
    <w:tblStylePr w:type="firstCol">
      <w:rPr>
        <w:sz w:val="22"/>
      </w:rPr>
      <w:tcPr>
        <w:shd w:val="clear" w:color="ffffff" w:fill="e032fb" w:themeFill="accent4" w:themeFillTint="9A"/>
      </w:tcPr>
    </w:tblStylePr>
    <w:tblStylePr w:type="firstRow">
      <w:rPr>
        <w:sz w:val="22"/>
      </w:rPr>
      <w:tcPr>
        <w:shd w:val="clear" w:color="ffffff" w:fill="e032fb" w:themeFill="accent4" w:themeFillTint="9A"/>
      </w:tcPr>
    </w:tblStylePr>
    <w:tblStylePr w:type="lastCol">
      <w:rPr>
        <w:sz w:val="22"/>
      </w:rPr>
      <w:tcPr>
        <w:shd w:val="clear" w:color="ffffff" w:fill="e032fb" w:themeFill="accent4" w:themeFillTint="9A"/>
      </w:tcPr>
    </w:tblStylePr>
    <w:tblStylePr w:type="lastRow">
      <w:rPr>
        <w:sz w:val="22"/>
      </w:rPr>
      <w:tcPr>
        <w:shd w:val="clear" w:color="ffffff" w:fill="e032fb" w:themeFill="accent4" w:themeFillTint="9A"/>
      </w:tcPr>
    </w:tblStylePr>
  </w:style>
  <w:style w:type="table" w:styleId="1183" w:customStyle="1">
    <w:name w:val="Bordered &amp; Lined - Accent 5"/>
    <w:basedOn w:val="766"/>
    <w:uiPriority w:val="99"/>
    <w:tblPr>
      <w:tblStyleRowBandSize w:val="1"/>
      <w:tblStyleColBandSize w:val="1"/>
      <w:tblBorders>
        <w:top w:val="single" w:color="C99C00" w:themeColor="accent5" w:sz="4" w:space="0"/>
        <w:left w:val="single" w:color="C99C00" w:themeColor="accent5" w:sz="4" w:space="0"/>
        <w:bottom w:val="single" w:color="C99C00" w:themeColor="accent5" w:sz="4" w:space="0"/>
        <w:right w:val="single" w:color="C99C00" w:themeColor="accent5" w:sz="4" w:space="0"/>
        <w:insideH w:val="single" w:color="C99C00" w:themeColor="accent5" w:sz="4" w:space="0"/>
        <w:insideV w:val="single" w:color="C99C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0bf" w:themeFill="accent5" w:themeFillTint="34"/>
      </w:tcPr>
    </w:tblStylePr>
    <w:tblStylePr w:type="band2Vert">
      <w:rPr>
        <w:sz w:val="22"/>
      </w:rPr>
      <w:tcPr>
        <w:shd w:val="clear" w:color="ffffff" w:fill="fff0bf" w:themeFill="accent5" w:themeFillTint="34"/>
      </w:tcPr>
    </w:tblStylePr>
    <w:tblStylePr w:type="firstCol">
      <w:rPr>
        <w:sz w:val="22"/>
      </w:rPr>
      <w:tcPr>
        <w:shd w:val="clear" w:color="ffffff" w:fill="c99c00" w:themeFill="accent5"/>
      </w:tcPr>
    </w:tblStylePr>
    <w:tblStylePr w:type="firstRow">
      <w:rPr>
        <w:sz w:val="22"/>
      </w:rPr>
      <w:tcPr>
        <w:shd w:val="clear" w:color="ffffff" w:fill="c99c00" w:themeFill="accent5"/>
      </w:tcPr>
    </w:tblStylePr>
    <w:tblStylePr w:type="lastCol">
      <w:rPr>
        <w:sz w:val="22"/>
      </w:rPr>
      <w:tcPr>
        <w:shd w:val="clear" w:color="ffffff" w:fill="c99c00" w:themeFill="accent5"/>
      </w:tcPr>
    </w:tblStylePr>
    <w:tblStylePr w:type="lastRow">
      <w:rPr>
        <w:sz w:val="22"/>
      </w:rPr>
      <w:tcPr>
        <w:shd w:val="clear" w:color="ffffff" w:fill="c99c00" w:themeFill="accent5"/>
      </w:tcPr>
    </w:tblStylePr>
  </w:style>
  <w:style w:type="table" w:styleId="1184" w:customStyle="1">
    <w:name w:val="Bordered &amp; Lined - Accent 6"/>
    <w:basedOn w:val="766"/>
    <w:uiPriority w:val="99"/>
    <w:tblPr>
      <w:tblStyleRowBandSize w:val="1"/>
      <w:tblStyleColBandSize w:val="1"/>
      <w:tblBorders>
        <w:top w:val="single" w:color="C9211E" w:themeColor="accent6" w:sz="4" w:space="0"/>
        <w:left w:val="single" w:color="C9211E" w:themeColor="accent6" w:sz="4" w:space="0"/>
        <w:bottom w:val="single" w:color="C9211E" w:themeColor="accent6" w:sz="4" w:space="0"/>
        <w:right w:val="single" w:color="C9211E" w:themeColor="accent6" w:sz="4" w:space="0"/>
        <w:insideH w:val="single" w:color="C9211E" w:themeColor="accent6" w:sz="4" w:space="0"/>
        <w:insideV w:val="single" w:color="C9211E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7cdcd" w:themeFill="accent6" w:themeFillTint="34"/>
      </w:tcPr>
    </w:tblStylePr>
    <w:tblStylePr w:type="band2Vert">
      <w:rPr>
        <w:sz w:val="22"/>
      </w:rPr>
      <w:tcPr>
        <w:shd w:val="clear" w:color="ffffff" w:fill="f7cdcd" w:themeFill="accent6" w:themeFillTint="34"/>
      </w:tcPr>
    </w:tblStylePr>
    <w:tblStylePr w:type="firstCol">
      <w:rPr>
        <w:sz w:val="22"/>
      </w:rPr>
      <w:tcPr>
        <w:shd w:val="clear" w:color="ffffff" w:fill="c9211e" w:themeFill="accent6"/>
      </w:tcPr>
    </w:tblStylePr>
    <w:tblStylePr w:type="firstRow">
      <w:rPr>
        <w:sz w:val="22"/>
      </w:rPr>
      <w:tcPr>
        <w:shd w:val="clear" w:color="ffffff" w:fill="c9211e" w:themeFill="accent6"/>
      </w:tcPr>
    </w:tblStylePr>
    <w:tblStylePr w:type="lastCol">
      <w:rPr>
        <w:sz w:val="22"/>
      </w:rPr>
      <w:tcPr>
        <w:shd w:val="clear" w:color="ffffff" w:fill="c9211e" w:themeFill="accent6"/>
      </w:tcPr>
    </w:tblStylePr>
    <w:tblStylePr w:type="lastRow">
      <w:rPr>
        <w:sz w:val="22"/>
      </w:rPr>
      <w:tcPr>
        <w:shd w:val="clear" w:color="ffffff" w:fill="c9211e" w:themeFill="accent6"/>
      </w:tcPr>
    </w:tblStylePr>
  </w:style>
  <w:style w:type="table" w:styleId="1185" w:customStyle="1">
    <w:name w:val="Bordered"/>
    <w:basedOn w:val="76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186" w:customStyle="1">
    <w:name w:val="Bordered - Accent 1"/>
    <w:basedOn w:val="766"/>
    <w:uiPriority w:val="99"/>
    <w:tblPr>
      <w:tblStyleRowBandSize w:val="1"/>
      <w:tblStyleColBandSize w:val="1"/>
      <w:tblBorders>
        <w:top w:val="single" w:color="87FC76" w:themeColor="accent1" w:themeTint="67" w:sz="4" w:space="0"/>
        <w:left w:val="single" w:color="87FC76" w:themeColor="accent1" w:themeTint="67" w:sz="4" w:space="0"/>
        <w:bottom w:val="single" w:color="87FC76" w:themeColor="accent1" w:themeTint="67" w:sz="4" w:space="0"/>
        <w:right w:val="single" w:color="87FC76" w:themeColor="accent1" w:themeTint="67" w:sz="4" w:space="0"/>
        <w:insideH w:val="single" w:color="87FC76" w:themeColor="accent1" w:themeTint="67" w:sz="4" w:space="0"/>
        <w:insideV w:val="single" w:color="87FC76" w:themeColor="accent1" w:themeTint="67" w:sz="4" w:space="0"/>
      </w:tblBorders>
    </w:tblPr>
    <w:tblStylePr w:type="band1Horz">
      <w:rPr>
        <w:sz w:val="22"/>
      </w:rPr>
      <w:tcPr>
        <w:tcBorders>
          <w:top w:val="single" w:color="18A303" w:themeColor="accent1" w:sz="4" w:space="0"/>
          <w:left w:val="single" w:color="18A303" w:themeColor="accent1" w:sz="4" w:space="0"/>
          <w:bottom w:val="single" w:color="18A303" w:themeColor="accent1" w:sz="4" w:space="0"/>
          <w:right w:val="single" w:color="18A303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18A303" w:themeColor="accent1" w:sz="12" w:space="0"/>
        </w:tcBorders>
      </w:tcPr>
    </w:tblStylePr>
    <w:tblStylePr w:type="lastCol">
      <w:rPr>
        <w:sz w:val="22"/>
      </w:rPr>
      <w:tcPr>
        <w:tcBorders>
          <w:left w:val="single" w:color="18A303" w:themeColor="accent1" w:sz="12" w:space="0"/>
        </w:tcBorders>
      </w:tcPr>
    </w:tblStylePr>
    <w:tblStylePr w:type="lastRow">
      <w:rPr>
        <w:sz w:val="22"/>
      </w:rPr>
      <w:tcPr>
        <w:tcBorders>
          <w:top w:val="single" w:color="18A303" w:themeColor="accent1" w:sz="12" w:space="0"/>
        </w:tcBorders>
      </w:tcPr>
    </w:tblStylePr>
  </w:style>
  <w:style w:type="table" w:styleId="1187" w:customStyle="1">
    <w:name w:val="Bordered - Accent 2"/>
    <w:basedOn w:val="766"/>
    <w:uiPriority w:val="99"/>
    <w:tblPr>
      <w:tblStyleRowBandSize w:val="1"/>
      <w:tblStyleColBandSize w:val="1"/>
      <w:tblBorders>
        <w:top w:val="single" w:color="76CBFC" w:themeColor="accent2" w:themeTint="67" w:sz="4" w:space="0"/>
        <w:left w:val="single" w:color="76CBFC" w:themeColor="accent2" w:themeTint="67" w:sz="4" w:space="0"/>
        <w:bottom w:val="single" w:color="76CBFC" w:themeColor="accent2" w:themeTint="67" w:sz="4" w:space="0"/>
        <w:right w:val="single" w:color="76CBFC" w:themeColor="accent2" w:themeTint="67" w:sz="4" w:space="0"/>
        <w:insideH w:val="single" w:color="76CBFC" w:themeColor="accent2" w:themeTint="67" w:sz="4" w:space="0"/>
        <w:insideV w:val="single" w:color="76CBFC" w:themeColor="accent2" w:themeTint="67" w:sz="4" w:space="0"/>
      </w:tblBorders>
    </w:tblPr>
    <w:tblStylePr w:type="band1Horz">
      <w:rPr>
        <w:sz w:val="22"/>
      </w:rPr>
      <w:tcPr>
        <w:tcBorders>
          <w:top w:val="single" w:color="0369A3" w:themeColor="accent2" w:sz="4" w:space="0"/>
          <w:left w:val="single" w:color="0369A3" w:themeColor="accent2" w:sz="4" w:space="0"/>
          <w:bottom w:val="single" w:color="0369A3" w:themeColor="accent2" w:sz="4" w:space="0"/>
          <w:right w:val="single" w:color="0369A3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369A3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369A3" w:themeColor="accent2" w:sz="12" w:space="0"/>
        </w:tcBorders>
      </w:tcPr>
    </w:tblStylePr>
    <w:tblStylePr w:type="lastRow">
      <w:rPr>
        <w:sz w:val="22"/>
      </w:rPr>
      <w:tcPr>
        <w:tcBorders>
          <w:top w:val="single" w:color="0369A3" w:themeColor="accent2" w:sz="12" w:space="0"/>
        </w:tcBorders>
      </w:tcPr>
    </w:tblStylePr>
  </w:style>
  <w:style w:type="table" w:styleId="1188" w:customStyle="1">
    <w:name w:val="Bordered - Accent 3"/>
    <w:basedOn w:val="766"/>
    <w:uiPriority w:val="99"/>
    <w:tblPr>
      <w:tblStyleRowBandSize w:val="1"/>
      <w:tblStyleColBandSize w:val="1"/>
      <w:tblBorders>
        <w:top w:val="single" w:color="FCA776" w:themeColor="accent3" w:themeTint="67" w:sz="4" w:space="0"/>
        <w:left w:val="single" w:color="FCA776" w:themeColor="accent3" w:themeTint="67" w:sz="4" w:space="0"/>
        <w:bottom w:val="single" w:color="FCA776" w:themeColor="accent3" w:themeTint="67" w:sz="4" w:space="0"/>
        <w:right w:val="single" w:color="FCA776" w:themeColor="accent3" w:themeTint="67" w:sz="4" w:space="0"/>
        <w:insideH w:val="single" w:color="FCA776" w:themeColor="accent3" w:themeTint="67" w:sz="4" w:space="0"/>
        <w:insideV w:val="single" w:color="FCA776" w:themeColor="accent3" w:themeTint="67" w:sz="4" w:space="0"/>
      </w:tblBorders>
    </w:tblPr>
    <w:tblStylePr w:type="band1Horz">
      <w:rPr>
        <w:sz w:val="22"/>
      </w:rPr>
      <w:tcPr>
        <w:tcBorders>
          <w:top w:val="single" w:color="A33E03" w:themeColor="accent3" w:sz="4" w:space="0"/>
          <w:left w:val="single" w:color="A33E03" w:themeColor="accent3" w:sz="4" w:space="0"/>
          <w:bottom w:val="single" w:color="A33E03" w:themeColor="accent3" w:sz="4" w:space="0"/>
          <w:right w:val="single" w:color="A33E03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33E03" w:themeColor="accent3" w:sz="12" w:space="0"/>
        </w:tcBorders>
      </w:tcPr>
    </w:tblStylePr>
    <w:tblStylePr w:type="lastCol">
      <w:rPr>
        <w:sz w:val="22"/>
      </w:rPr>
      <w:tcPr>
        <w:tcBorders>
          <w:left w:val="single" w:color="A33E03" w:themeColor="accent3" w:sz="12" w:space="0"/>
        </w:tcBorders>
      </w:tcPr>
    </w:tblStylePr>
    <w:tblStylePr w:type="lastRow">
      <w:rPr>
        <w:sz w:val="22"/>
      </w:rPr>
      <w:tcPr>
        <w:tcBorders>
          <w:top w:val="single" w:color="A33E03" w:themeColor="accent3" w:sz="12" w:space="0"/>
        </w:tcBorders>
      </w:tcPr>
    </w:tblStylePr>
  </w:style>
  <w:style w:type="table" w:styleId="1189" w:customStyle="1">
    <w:name w:val="Bordered - Accent 4"/>
    <w:basedOn w:val="766"/>
    <w:uiPriority w:val="99"/>
    <w:tblPr>
      <w:tblStyleRowBandSize w:val="1"/>
      <w:tblStyleColBandSize w:val="1"/>
      <w:tblBorders>
        <w:top w:val="single" w:color="EA76FC" w:themeColor="accent4" w:themeTint="67" w:sz="4" w:space="0"/>
        <w:left w:val="single" w:color="EA76FC" w:themeColor="accent4" w:themeTint="67" w:sz="4" w:space="0"/>
        <w:bottom w:val="single" w:color="EA76FC" w:themeColor="accent4" w:themeTint="67" w:sz="4" w:space="0"/>
        <w:right w:val="single" w:color="EA76FC" w:themeColor="accent4" w:themeTint="67" w:sz="4" w:space="0"/>
        <w:insideH w:val="single" w:color="EA76FC" w:themeColor="accent4" w:themeTint="67" w:sz="4" w:space="0"/>
        <w:insideV w:val="single" w:color="EA76FC" w:themeColor="accent4" w:themeTint="67" w:sz="4" w:space="0"/>
      </w:tblBorders>
    </w:tblPr>
    <w:tblStylePr w:type="band1Horz">
      <w:rPr>
        <w:sz w:val="22"/>
      </w:rPr>
      <w:tcPr>
        <w:tcBorders>
          <w:top w:val="single" w:color="8E03A3" w:themeColor="accent4" w:sz="4" w:space="0"/>
          <w:left w:val="single" w:color="8E03A3" w:themeColor="accent4" w:sz="4" w:space="0"/>
          <w:bottom w:val="single" w:color="8E03A3" w:themeColor="accent4" w:sz="4" w:space="0"/>
          <w:right w:val="single" w:color="8E03A3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E03A3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E03A3" w:themeColor="accent4" w:sz="12" w:space="0"/>
        </w:tcBorders>
      </w:tcPr>
    </w:tblStylePr>
    <w:tblStylePr w:type="lastRow">
      <w:rPr>
        <w:sz w:val="22"/>
      </w:rPr>
      <w:tcPr>
        <w:tcBorders>
          <w:top w:val="single" w:color="8E03A3" w:themeColor="accent4" w:sz="12" w:space="0"/>
        </w:tcBorders>
      </w:tcPr>
    </w:tblStylePr>
  </w:style>
  <w:style w:type="table" w:styleId="1190" w:customStyle="1">
    <w:name w:val="Bordered - Accent 5"/>
    <w:basedOn w:val="766"/>
    <w:uiPriority w:val="99"/>
    <w:tblPr>
      <w:tblStyleRowBandSize w:val="1"/>
      <w:tblStyleColBandSize w:val="1"/>
      <w:tblBorders>
        <w:top w:val="single" w:color="FFE282" w:themeColor="accent5" w:themeTint="67" w:sz="4" w:space="0"/>
        <w:left w:val="single" w:color="FFE282" w:themeColor="accent5" w:themeTint="67" w:sz="4" w:space="0"/>
        <w:bottom w:val="single" w:color="FFE282" w:themeColor="accent5" w:themeTint="67" w:sz="4" w:space="0"/>
        <w:right w:val="single" w:color="FFE282" w:themeColor="accent5" w:themeTint="67" w:sz="4" w:space="0"/>
        <w:insideH w:val="single" w:color="FFE282" w:themeColor="accent5" w:themeTint="67" w:sz="4" w:space="0"/>
        <w:insideV w:val="single" w:color="FFE282" w:themeColor="accent5" w:themeTint="67" w:sz="4" w:space="0"/>
      </w:tblBorders>
    </w:tblPr>
    <w:tblStylePr w:type="band1Horz">
      <w:rPr>
        <w:sz w:val="22"/>
      </w:rPr>
      <w:tcPr>
        <w:tcBorders>
          <w:top w:val="single" w:color="C99C00" w:themeColor="accent5" w:sz="4" w:space="0"/>
          <w:left w:val="single" w:color="C99C00" w:themeColor="accent5" w:sz="4" w:space="0"/>
          <w:bottom w:val="single" w:color="C99C00" w:themeColor="accent5" w:sz="4" w:space="0"/>
          <w:right w:val="single" w:color="C99C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99C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C99C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C99C00" w:themeColor="accent5" w:sz="12" w:space="0"/>
        </w:tcBorders>
      </w:tcPr>
    </w:tblStylePr>
  </w:style>
  <w:style w:type="table" w:styleId="1191" w:customStyle="1">
    <w:name w:val="Bordered - Accent 6"/>
    <w:basedOn w:val="766"/>
    <w:uiPriority w:val="99"/>
    <w:tblPr>
      <w:tblStyleRowBandSize w:val="1"/>
      <w:tblStyleColBandSize w:val="1"/>
      <w:tblBorders>
        <w:top w:val="single" w:color="F09D9C" w:themeColor="accent6" w:themeTint="67" w:sz="4" w:space="0"/>
        <w:left w:val="single" w:color="F09D9C" w:themeColor="accent6" w:themeTint="67" w:sz="4" w:space="0"/>
        <w:bottom w:val="single" w:color="F09D9C" w:themeColor="accent6" w:themeTint="67" w:sz="4" w:space="0"/>
        <w:right w:val="single" w:color="F09D9C" w:themeColor="accent6" w:themeTint="67" w:sz="4" w:space="0"/>
        <w:insideH w:val="single" w:color="F09D9C" w:themeColor="accent6" w:themeTint="67" w:sz="4" w:space="0"/>
        <w:insideV w:val="single" w:color="F09D9C" w:themeColor="accent6" w:themeTint="67" w:sz="4" w:space="0"/>
      </w:tblBorders>
    </w:tblPr>
    <w:tblStylePr w:type="band1Horz">
      <w:rPr>
        <w:sz w:val="22"/>
      </w:rPr>
      <w:tcPr>
        <w:tcBorders>
          <w:top w:val="single" w:color="C9211E" w:themeColor="accent6" w:sz="4" w:space="0"/>
          <w:left w:val="single" w:color="C9211E" w:themeColor="accent6" w:sz="4" w:space="0"/>
          <w:bottom w:val="single" w:color="C9211E" w:themeColor="accent6" w:sz="4" w:space="0"/>
          <w:right w:val="single" w:color="C9211E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9211E" w:themeColor="accent6" w:sz="12" w:space="0"/>
        </w:tcBorders>
      </w:tcPr>
    </w:tblStylePr>
    <w:tblStylePr w:type="lastCol">
      <w:rPr>
        <w:sz w:val="22"/>
      </w:rPr>
      <w:tcPr>
        <w:tcBorders>
          <w:left w:val="single" w:color="C9211E" w:themeColor="accent6" w:sz="12" w:space="0"/>
        </w:tcBorders>
      </w:tcPr>
    </w:tblStylePr>
    <w:tblStylePr w:type="lastRow">
      <w:rPr>
        <w:sz w:val="22"/>
      </w:rPr>
      <w:tcPr>
        <w:tcBorders>
          <w:top w:val="single" w:color="C9211E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Relationship Id="rId12" Type="http://schemas.openxmlformats.org/officeDocument/2006/relationships/hyperlink" Target="https://ru.wikipedia.org/wiki/&#1053;&#1086;&#1090;&#1072;&#1094;&#1080;&#1103;" TargetMode="External"/><Relationship Id="rId13" Type="http://schemas.openxmlformats.org/officeDocument/2006/relationships/hyperlink" Target="https://ru.wikipedia.org/w/index.php?title=&#1052;&#1086;&#1076;&#1077;&#1083;&#1080;&#1088;&#1086;&#1074;&#1072;&#1085;&#1080;&#1077;_&#1073;&#1080;&#1079;&#1085;&#1077;&#1089;-&#1087;&#1088;&#1086;&#1094;&#1077;&#1089;&#1089;&#1086;&#1074;&amp;action=edit&amp;redlink=1" TargetMode="External"/><Relationship Id="rId14" Type="http://schemas.openxmlformats.org/officeDocument/2006/relationships/hyperlink" Target="http://www.bus.gov.ru/" TargetMode="External"/><Relationship Id="rId15" Type="http://schemas.openxmlformats.org/officeDocument/2006/relationships/hyperlink" Target="https://wt.udmr.ru/webtorgi/" TargetMode="External"/><Relationship Id="rId16" Type="http://schemas.openxmlformats.org/officeDocument/2006/relationships/hyperlink" Target="mailto:mail@dtc.udmr.ru" TargetMode="External"/><Relationship Id="rId17" Type="http://schemas.openxmlformats.org/officeDocument/2006/relationships/hyperlink" Target="mailto:mail@it.udm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D6544-D9E9-4520-B46F-E3FD59A3B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Сергей</dc:creator>
  <dc:language>ru-RU</dc:language>
  <cp:lastModifiedBy>kochurova_snv</cp:lastModifiedBy>
  <cp:revision>32</cp:revision>
  <dcterms:created xsi:type="dcterms:W3CDTF">2026-06-25T06:30:00Z</dcterms:created>
  <dcterms:modified xsi:type="dcterms:W3CDTF">2026-09-10T05:13:44Z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