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  <w:t xml:space="preserve">ТЕХНИЧЕСКОЕ ЗАДАНИЕ </w:t>
      </w:r>
    </w:p>
    <w:p>
      <w:pPr>
        <w:widowControl w:val="false"/>
        <w:spacing w:after="0" w:line="312" w:lineRule="auto"/>
        <w:jc w:val="center"/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  <w:t xml:space="preserve">на оказание услуг по обеспечению технического сопровождения и расширенной технической поддержке модулей функциональных систем региональной информационной системы «</w:t>
      </w:r>
      <w:r>
        <w:rPr>
          <w:rFonts w:ascii="Times New Roman" w:hAnsi="Times New Roman" w:eastAsia="Times New Roman" w:cs="Times New Roman"/>
          <w:iCs/>
          <w:spacing w:val="6"/>
          <w:sz w:val="28"/>
          <w:szCs w:val="28"/>
          <w:lang w:eastAsia="zh-CN"/>
        </w:rPr>
        <w:t xml:space="preserve">Сетевой край. Образование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  <w:t xml:space="preserve">»</w:t>
      </w:r>
    </w:p>
    <w:p>
      <w:pPr>
        <w:tabs>
          <w:tab w:val="left" w:pos="9639"/>
        </w:tabs>
        <w:spacing w:after="0" w:line="312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tabs>
          <w:tab w:val="left" w:pos="9639"/>
        </w:tabs>
        <w:spacing w:after="0" w:line="312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Барнаул, 2026 г.</w:t>
      </w:r>
    </w:p>
    <w:p>
      <w:pPr>
        <w:widowControl w:val="false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keepNext w:val="true"/>
        <w:keepLines w:val="true"/>
        <w:spacing w:after="200" w:before="200" w:line="240" w:lineRule="auto"/>
        <w:ind w:left="1287"/>
        <w:jc w:val="both"/>
        <w:outlineLvl w:val="0"/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0"/>
          <w:lang w:val="x-none" w:eastAsia="x-none"/>
        </w:rPr>
      </w:pPr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0"/>
          <w:lang w:val="x-none" w:eastAsia="x-none"/>
        </w:rPr>
        <w:br w:type="page" w:clear="all"/>
      </w:r>
      <w:bookmarkStart w:id="0" w:name="_Toc130223276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ТЕРМИНЫ И СОКРАЩЕНИЯ</w:t>
      </w:r>
      <w:bookmarkEnd w:id="0"/>
    </w:p>
    <w:tbl>
      <w:tblPr>
        <w:jc w:val="cent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067"/>
        <w:gridCol w:w="7560"/>
      </w:tblGrid>
      <w:tr>
        <w:trPr>
          <w:jc w:val="center"/>
        </w:trPr>
        <w:tc>
          <w:tcPr>
            <w:tcW w:w="2067" w:type="dxa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zh-CN"/>
              </w:rPr>
            </w:pPr>
            <w:bookmarkStart w:id="1" w:name="_Toc374447119"/>
            <w:bookmarkStart w:id="2" w:name="_Toc381721865"/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zh-CN"/>
              </w:rPr>
              <w:t xml:space="preserve">Термин / сокращение</w:t>
            </w:r>
          </w:p>
        </w:tc>
        <w:tc>
          <w:tcPr>
            <w:tcW w:w="7560" w:type="dxa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zh-CN"/>
              </w:rPr>
              <w:t xml:space="preserve">Определение</w:t>
            </w:r>
          </w:p>
        </w:tc>
      </w:tr>
      <w:tr>
        <w:trPr>
          <w:jc w:val="center"/>
        </w:trPr>
        <w:tc>
          <w:tcPr>
            <w:tcW w:w="2067" w:type="dxa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  <w:t xml:space="preserve">Адаптивное сопровождение</w:t>
            </w:r>
          </w:p>
        </w:tc>
        <w:tc>
          <w:tcPr>
            <w:tcW w:w="7560" w:type="dxa"/>
          </w:tcPr>
          <w:p>
            <w:pPr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  <w:t xml:space="preserve">adaptive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  <w:t xml:space="preserve">maintenance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  <w:t xml:space="preserve">): Изменение (модификация) программного продукта после поставки, обеспечивающее его работоспособность в измененных или изменяющихся условиях (среде), в соответствии с ГОСТ Р ИСО/МЭК 14764-2002</w:t>
            </w:r>
          </w:p>
        </w:tc>
      </w:tr>
      <w:tr>
        <w:trPr>
          <w:jc w:val="center"/>
        </w:trPr>
        <w:tc>
          <w:tcPr>
            <w:tcW w:w="2067" w:type="dxa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АИС</w:t>
            </w:r>
          </w:p>
        </w:tc>
        <w:tc>
          <w:tcPr>
            <w:tcW w:w="7560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Автоматизированная информационная система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РИС СКО,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Система</w:t>
            </w:r>
          </w:p>
        </w:tc>
        <w:tc>
          <w:tcPr>
            <w:tcW w:w="7560" w:type="dxa"/>
          </w:tcPr>
          <w:p>
            <w:pPr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Региональная информационная система Алтайского края «Сетевой край. Образование»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АИС ЕУ</w:t>
            </w:r>
          </w:p>
        </w:tc>
        <w:tc>
          <w:tcPr>
            <w:tcW w:w="7560" w:type="dxa"/>
          </w:tcPr>
          <w:p>
            <w:pPr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Действующая в регионе автоматизированная информационная система «Е-Услуги. Образование», входящая в состав Системы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АИС СРО</w:t>
            </w:r>
          </w:p>
        </w:tc>
        <w:tc>
          <w:tcPr>
            <w:tcW w:w="7560" w:type="dxa"/>
          </w:tcPr>
          <w:p>
            <w:pPr>
              <w:widowControl w:val="false"/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Действующая в регионе автоматизированная информационная система «Сетевой регион. Образование», входящая в состав Системы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АИС УК</w:t>
            </w:r>
          </w:p>
        </w:tc>
        <w:tc>
          <w:tcPr>
            <w:tcW w:w="7560" w:type="dxa"/>
            <w:vAlign w:val="center"/>
          </w:tcPr>
          <w:p>
            <w:pPr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Действующая в регионе автоматизированная информационная система «Учет контингента», входящая в состав Системы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АИС Аттестация</w:t>
            </w:r>
          </w:p>
        </w:tc>
        <w:tc>
          <w:tcPr>
            <w:tcW w:w="7560" w:type="dxa"/>
            <w:vAlign w:val="center"/>
          </w:tcPr>
          <w:p>
            <w:pPr>
              <w:widowControl w:val="false"/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Действующая в регионе автоматизированная информационная система «Аттестация педагогических работников», входящая в состав Системы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ДОО АИС СРО</w:t>
            </w:r>
          </w:p>
        </w:tc>
        <w:tc>
          <w:tcPr>
            <w:tcW w:w="7560" w:type="dxa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Модуль «ДОО» АИС «Сетевой Регион. Образование»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ДОО АИС ЕУ</w:t>
            </w:r>
          </w:p>
        </w:tc>
        <w:tc>
          <w:tcPr>
            <w:tcW w:w="7560" w:type="dxa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Модуль «Зачисление в ДОО» АИС «Е-услуги. Образование»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ЕПГУ</w:t>
            </w:r>
          </w:p>
        </w:tc>
        <w:tc>
          <w:tcPr>
            <w:tcW w:w="7560" w:type="dxa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Единый портал государственных услуг и функций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ЕСИА</w:t>
            </w:r>
          </w:p>
        </w:tc>
        <w:tc>
          <w:tcPr>
            <w:tcW w:w="7560" w:type="dxa"/>
            <w:vAlign w:val="center"/>
          </w:tcPr>
          <w:p>
            <w:pPr>
              <w:widowControl w:val="false"/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Федеральная государственная информационная система «Единая система идентификации и аутентификации»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ФГИС ДДО</w:t>
            </w:r>
          </w:p>
        </w:tc>
        <w:tc>
          <w:tcPr>
            <w:tcW w:w="7560" w:type="dxa"/>
            <w:vAlign w:val="center"/>
          </w:tcPr>
          <w:p>
            <w:pPr>
              <w:widowControl w:val="false"/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Федеральная государственная информационная система доступности дошкольного образования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ГИС ДДО</w:t>
            </w:r>
          </w:p>
        </w:tc>
        <w:tc>
          <w:tcPr>
            <w:tcW w:w="7560" w:type="dxa"/>
            <w:vAlign w:val="center"/>
          </w:tcPr>
          <w:p>
            <w:pPr>
              <w:widowControl w:val="false"/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Государственная информационная система субъектов Российской Федерации доступности дошкольного образования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ФГИС ФРИ</w:t>
            </w:r>
          </w:p>
        </w:tc>
        <w:tc>
          <w:tcPr>
            <w:tcW w:w="7560" w:type="dxa"/>
            <w:vAlign w:val="center"/>
          </w:tcPr>
          <w:p>
            <w:pPr>
              <w:widowControl w:val="false"/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Федеральная государственная информационная система «Федеральный реестр инвалидов»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ЕГР ЗАГС</w:t>
            </w:r>
          </w:p>
        </w:tc>
        <w:tc>
          <w:tcPr>
            <w:tcW w:w="7560" w:type="dxa"/>
            <w:vAlign w:val="center"/>
          </w:tcPr>
          <w:p>
            <w:pPr>
              <w:widowControl w:val="false"/>
              <w:spacing w:after="0" w:line="0" w:lineRule="atLeast"/>
              <w:contextualSpacing w:val="true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Федеральная государственная информационная система «Единый государственный реестр записей актов гражданского состояния»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СТП</w:t>
            </w:r>
          </w:p>
        </w:tc>
        <w:tc>
          <w:tcPr>
            <w:tcW w:w="7560" w:type="dxa"/>
            <w:vAlign w:val="center"/>
          </w:tcPr>
          <w:p>
            <w:pPr>
              <w:widowControl w:val="false"/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Служба технической поддержки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ТЗ</w:t>
            </w:r>
          </w:p>
        </w:tc>
        <w:tc>
          <w:tcPr>
            <w:tcW w:w="7560" w:type="dxa"/>
          </w:tcPr>
          <w:p>
            <w:pPr>
              <w:widowControl w:val="false"/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Техническое задание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ЦОД</w:t>
            </w:r>
          </w:p>
        </w:tc>
        <w:tc>
          <w:tcPr>
            <w:tcW w:w="7560" w:type="dxa"/>
          </w:tcPr>
          <w:p>
            <w:pPr>
              <w:widowControl w:val="false"/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Центр обработки данных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СПО</w:t>
            </w:r>
          </w:p>
        </w:tc>
        <w:tc>
          <w:tcPr>
            <w:tcW w:w="7560" w:type="dxa"/>
          </w:tcPr>
          <w:p>
            <w:pPr>
              <w:widowControl w:val="false"/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  <w:t xml:space="preserve">Специальное программное обеспечение</w:t>
            </w:r>
          </w:p>
        </w:tc>
      </w:tr>
      <w:tr>
        <w:trPr>
          <w:jc w:val="center"/>
        </w:trPr>
        <w:tc>
          <w:tcPr>
            <w:tcW w:w="2067" w:type="dxa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ОПО</w:t>
            </w:r>
          </w:p>
        </w:tc>
        <w:tc>
          <w:tcPr>
            <w:tcW w:w="7560" w:type="dxa"/>
          </w:tcPr>
          <w:p>
            <w:pPr>
              <w:widowControl w:val="false"/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zh-CN"/>
              </w:rPr>
              <w:t xml:space="preserve">Общесистемное программное обеспечение (операционные системы, СУБД, системы защиты данных)</w:t>
            </w:r>
          </w:p>
        </w:tc>
      </w:tr>
    </w:tbl>
    <w:p>
      <w:pPr>
        <w:keepNext w:val="true"/>
        <w:keepLines w:val="true"/>
        <w:numPr>
          <w:ilvl w:val="0"/>
          <w:numId w:val="5"/>
        </w:numPr>
        <w:spacing w:after="200" w:before="200" w:line="240" w:lineRule="auto"/>
        <w:jc w:val="both"/>
        <w:outlineLvl w:val="0"/>
        <w:rPr>
          <w:rFonts w:ascii="Times New Roman" w:hAnsi="Times New Roman" w:eastAsia="Times New Roman" w:cs="Times New Roman"/>
          <w:caps/>
          <w:kern w:val="32"/>
          <w:sz w:val="28"/>
          <w:szCs w:val="28"/>
          <w:lang w:val="x-none" w:eastAsia="x-none"/>
        </w:rPr>
      </w:pPr>
      <w:r>
        <w:rPr>
          <w:rFonts w:ascii="Times New Roman" w:hAnsi="Times New Roman" w:eastAsia="Times New Roman" w:cs="Times New Roman"/>
          <w:b/>
          <w:bCs/>
          <w:caps/>
          <w:kern w:val="32"/>
          <w:sz w:val="36"/>
          <w:szCs w:val="32"/>
          <w:lang w:val="x-none" w:eastAsia="x-none"/>
        </w:rPr>
        <w:br w:type="page" w:clear="all"/>
      </w:r>
      <w:bookmarkStart w:id="3" w:name="_Toc449715951"/>
      <w:bookmarkStart w:id="4" w:name="_Toc130223277"/>
      <w:bookmarkEnd w:id="1"/>
      <w:bookmarkEnd w:id="2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ОБЩИЕ СВЕДЕНИЯ</w:t>
      </w:r>
      <w:bookmarkEnd w:id="3"/>
      <w:bookmarkEnd w:id="4"/>
    </w:p>
    <w:p>
      <w:pPr>
        <w:keepNext w:val="true"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after="0" w:before="120" w:line="312" w:lineRule="auto"/>
        <w:jc w:val="both"/>
        <w:outlineLvl w:val="1"/>
        <w:rPr>
          <w:rFonts w:ascii="Times New Roman" w:hAnsi="Times New Roman" w:eastAsia="Calibri" w:cs="Times New Roman"/>
          <w:b/>
          <w:bCs/>
          <w:sz w:val="28"/>
          <w:szCs w:val="28"/>
          <w:lang w:eastAsia="zh-CN"/>
        </w:rPr>
      </w:pPr>
      <w:bookmarkStart w:id="5" w:name="_Toc325553848"/>
      <w:bookmarkStart w:id="6" w:name="_Toc374447120"/>
      <w:bookmarkStart w:id="7" w:name="_Toc381721866"/>
      <w:bookmarkStart w:id="8" w:name="_Toc449715952"/>
      <w:bookmarkStart w:id="9" w:name="_Toc130223278"/>
      <w:r>
        <w:rPr>
          <w:rFonts w:ascii="Times New Roman" w:hAnsi="Times New Roman" w:eastAsia="Calibri" w:cs="Times New Roman"/>
          <w:b/>
          <w:bCs/>
          <w:sz w:val="28"/>
          <w:szCs w:val="28"/>
          <w:lang w:eastAsia="zh-CN"/>
        </w:rPr>
        <w:t xml:space="preserve">Наименование </w:t>
      </w:r>
      <w:bookmarkEnd w:id="5"/>
      <w:bookmarkEnd w:id="6"/>
      <w:bookmarkEnd w:id="7"/>
      <w:bookmarkEnd w:id="8"/>
      <w:r>
        <w:rPr>
          <w:rFonts w:ascii="Times New Roman" w:hAnsi="Times New Roman" w:eastAsia="Calibri" w:cs="Times New Roman"/>
          <w:b/>
          <w:bCs/>
          <w:sz w:val="28"/>
          <w:szCs w:val="28"/>
          <w:lang w:eastAsia="zh-CN"/>
        </w:rPr>
        <w:t xml:space="preserve">услуг</w:t>
      </w:r>
      <w:bookmarkEnd w:id="9"/>
    </w:p>
    <w:p>
      <w:pPr>
        <w:widowControl w:val="false"/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0" w:name="_Toc325553849"/>
      <w:bookmarkStart w:id="11" w:name="_Toc374447121"/>
      <w:bookmarkStart w:id="12" w:name="_Toc381721867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Оказание услуг 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  <w:t xml:space="preserve">по обеспечению технического сопровождения и расширенной технической поддержке,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действующей в Алтайском крае региональной информационной системы «Сетевой край. Образование» (далее – «Услуги»).</w:t>
      </w:r>
    </w:p>
    <w:p>
      <w:pPr>
        <w:keepNext w:val="true"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after="0" w:before="120" w:line="312" w:lineRule="auto"/>
        <w:ind w:left="1429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bookmarkStart w:id="13" w:name="_Toc449715953"/>
      <w:bookmarkStart w:id="14" w:name="_Toc130223279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Наименование Заказчика</w:t>
      </w:r>
      <w:bookmarkEnd w:id="10"/>
      <w:bookmarkEnd w:id="11"/>
      <w:bookmarkEnd w:id="12"/>
      <w:bookmarkEnd w:id="13"/>
      <w:bookmarkEnd w:id="14"/>
    </w:p>
    <w:p>
      <w:pPr>
        <w:widowControl w:val="false"/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Краевое автономное учреждение дополнительного профессионального образования «Алтайский институт цифровых технологий и оценки качества образования имени Олега Ростиславовича Львова»</w:t>
      </w:r>
    </w:p>
    <w:p>
      <w:pPr>
        <w:keepNext w:val="true"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after="0" w:before="120" w:line="312" w:lineRule="auto"/>
        <w:ind w:left="1429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bookmarkStart w:id="15" w:name="_Toc369707282"/>
      <w:bookmarkStart w:id="16" w:name="_Toc374447122"/>
      <w:bookmarkStart w:id="17" w:name="_Toc381721868"/>
      <w:bookmarkStart w:id="18" w:name="_Toc449715954"/>
      <w:bookmarkStart w:id="19" w:name="_Toc13022328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Юридический адрес Заказчика</w:t>
      </w:r>
      <w:bookmarkEnd w:id="15"/>
      <w:bookmarkEnd w:id="16"/>
      <w:bookmarkEnd w:id="17"/>
      <w:bookmarkEnd w:id="18"/>
      <w:bookmarkEnd w:id="19"/>
    </w:p>
    <w:p>
      <w:pPr>
        <w:tabs>
          <w:tab w:val="num" w:pos="0"/>
          <w:tab w:val="left" w:pos="1276"/>
        </w:tabs>
        <w:spacing w:after="0" w:line="312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656008, Алтайский край, г. Барнаул, ул. Партизанская, д. 195</w:t>
      </w:r>
    </w:p>
    <w:p>
      <w:pPr>
        <w:keepNext w:val="true"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after="0" w:before="120" w:line="312" w:lineRule="auto"/>
        <w:ind w:left="1429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bookmarkStart w:id="20" w:name="_Toc368921922"/>
      <w:bookmarkStart w:id="21" w:name="_Toc368922038"/>
      <w:bookmarkStart w:id="22" w:name="_Toc368922622"/>
      <w:bookmarkStart w:id="23" w:name="_Toc368921923"/>
      <w:bookmarkStart w:id="24" w:name="_Toc368922039"/>
      <w:bookmarkStart w:id="25" w:name="_Toc368922623"/>
      <w:bookmarkStart w:id="26" w:name="_Toc368921924"/>
      <w:bookmarkStart w:id="27" w:name="_Toc368922040"/>
      <w:bookmarkStart w:id="28" w:name="_Toc368922624"/>
      <w:bookmarkStart w:id="29" w:name="_Toc335830301"/>
      <w:bookmarkStart w:id="30" w:name="_Toc374447125"/>
      <w:bookmarkStart w:id="31" w:name="_Toc381721870"/>
      <w:bookmarkStart w:id="32" w:name="_Toc449715956"/>
      <w:bookmarkStart w:id="33" w:name="_Ref536110731"/>
      <w:bookmarkStart w:id="34" w:name="_Toc130223282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Плановые сроки начала и окончания </w:t>
      </w:r>
      <w:bookmarkEnd w:id="29"/>
      <w:bookmarkEnd w:id="30"/>
      <w:bookmarkEnd w:id="31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оказания </w:t>
      </w:r>
      <w:bookmarkEnd w:id="32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услуг</w:t>
      </w:r>
      <w:bookmarkEnd w:id="33"/>
      <w:bookmarkEnd w:id="34"/>
    </w:p>
    <w:p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Услуги 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  <w:t xml:space="preserve">по обеспечению технического сопровождения и расширенной технической поддержке,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действующей в Алтайском крае региональной информационной системы «Сетевой край. Образование»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>
      <w:pPr>
        <w:tabs>
          <w:tab w:val="left" w:pos="1134"/>
        </w:tabs>
        <w:spacing w:after="0" w:line="312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Начало: с даты подписания Договора.</w:t>
      </w:r>
    </w:p>
    <w:p>
      <w:pPr>
        <w:tabs>
          <w:tab w:val="left" w:pos="1134"/>
        </w:tabs>
        <w:spacing w:after="0" w:line="312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Окончание: до 10.12.2026 (включительно).</w:t>
      </w:r>
    </w:p>
    <w:p>
      <w:pPr>
        <w:keepNext w:val="true"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after="0" w:before="120" w:line="312" w:lineRule="auto"/>
        <w:ind w:left="1429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bookmarkStart w:id="35" w:name="_Toc449715957"/>
      <w:bookmarkStart w:id="36" w:name="_Toc13022328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Место </w:t>
      </w:r>
      <w:bookmarkEnd w:id="35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оказания услуг</w:t>
      </w:r>
      <w:bookmarkEnd w:id="36"/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Услуги должны быть оказаны по адресу Заказчика: 656008, Алтайский край, г. Барнаул, ул. Партизанская, д. 195, либо удаленно, при помощи программно-технических средств видеоконференцсвязи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.</w:t>
      </w:r>
    </w:p>
    <w:p>
      <w:pPr>
        <w:keepNext w:val="true"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after="0" w:before="120" w:line="312" w:lineRule="auto"/>
        <w:ind w:left="1429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bookmarkStart w:id="37" w:name="_Toc449715959"/>
      <w:bookmarkStart w:id="38" w:name="_Toc13022328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Цель </w:t>
      </w:r>
      <w:bookmarkEnd w:id="37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оказания услуг</w:t>
      </w:r>
      <w:bookmarkEnd w:id="38"/>
    </w:p>
    <w:p>
      <w:pPr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Целью 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eastAsia="zh-CN"/>
        </w:rPr>
        <w:t xml:space="preserve">по обеспечению технического сопровождения и расширенной технической поддержки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является обеспечение корректного функционирования Системы (модуля «Общеобразовательная организация» АИС «Сетевой регион. Образование», модуля «Зачисление в общеобразовательную организацию» АИС «Е-услуги. Образование», модуля «Зачисление в Профессиональную образовательную организацию» АИС «Е-услуги. Образование», модуля «Профессиональная образовательная организация» АИС «Сетевой Регион. Образование», АИС «Аттестация педагогических работников», АИС «Учет контингента»), необходимого уровня информационной поддержки пользователей и технической поддержки Системы в части:</w:t>
      </w:r>
    </w:p>
    <w:p>
      <w:pPr>
        <w:widowControl w:val="false"/>
        <w:numPr>
          <w:ilvl w:val="0"/>
          <w:numId w:val="1"/>
        </w:numPr>
        <w:tabs>
          <w:tab w:val="left" w:pos="851"/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обеспечения доступности модулей;</w:t>
      </w:r>
    </w:p>
    <w:p>
      <w:pPr>
        <w:widowControl w:val="false"/>
        <w:numPr>
          <w:ilvl w:val="0"/>
          <w:numId w:val="1"/>
        </w:numPr>
        <w:tabs>
          <w:tab w:val="left" w:pos="851"/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консультирования и методического обеспечения;</w:t>
      </w:r>
    </w:p>
    <w:p>
      <w:pPr>
        <w:widowControl w:val="false"/>
        <w:numPr>
          <w:ilvl w:val="0"/>
          <w:numId w:val="1"/>
        </w:numPr>
        <w:tabs>
          <w:tab w:val="left" w:pos="851"/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адаптации Системы;</w:t>
      </w:r>
    </w:p>
    <w:p>
      <w:pPr>
        <w:widowControl w:val="false"/>
        <w:numPr>
          <w:ilvl w:val="0"/>
          <w:numId w:val="1"/>
        </w:numPr>
        <w:tabs>
          <w:tab w:val="left" w:pos="851"/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мониторинга работоспособности Системы и технического обслуживания.</w:t>
      </w:r>
    </w:p>
    <w:p>
      <w:pPr>
        <w:keepNext w:val="true"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after="0" w:before="120" w:line="312" w:lineRule="auto"/>
        <w:ind w:left="1429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bookmarkStart w:id="39" w:name="_Toc449715960"/>
      <w:bookmarkStart w:id="40" w:name="_Toc130223285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Описание объекта </w:t>
      </w:r>
      <w:bookmarkEnd w:id="39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оказания услуг</w:t>
      </w:r>
      <w:bookmarkEnd w:id="40"/>
    </w:p>
    <w:p>
      <w:pPr>
        <w:tabs>
          <w:tab w:val="num" w:pos="0"/>
          <w:tab w:val="left" w:pos="851"/>
        </w:tabs>
        <w:spacing w:after="0" w:line="0" w:lineRule="atLeast"/>
        <w:ind w:firstLine="567"/>
        <w:contextualSpacing w:val="true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Объектами сопровождения и технического поддержки Системы являются ее подсистемы, компоненты и модули, а также объединяющая их информационно-коммуникационная инфраструктура.</w:t>
      </w:r>
    </w:p>
    <w:p>
      <w:pPr>
        <w:tabs>
          <w:tab w:val="num" w:pos="0"/>
          <w:tab w:val="left" w:pos="851"/>
        </w:tabs>
        <w:spacing w:after="0" w:line="0" w:lineRule="atLeast"/>
        <w:ind w:firstLine="567"/>
        <w:contextualSpacing w:val="true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Система включает в себя следующие компоненты:</w:t>
      </w:r>
    </w:p>
    <w:p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 w:val="true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АИС Учета контингента;</w:t>
      </w:r>
    </w:p>
    <w:p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 w:val="true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АИС СГО;</w:t>
      </w:r>
    </w:p>
    <w:p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 w:val="true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АИС ЕУ;</w:t>
      </w:r>
    </w:p>
    <w:p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 w:val="true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АИС ПОО;</w:t>
      </w:r>
    </w:p>
    <w:p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 w:val="true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АИС Аттестация.</w:t>
      </w:r>
    </w:p>
    <w:p>
      <w:pPr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С помощью Системы создана единая информационная образовательная среда региона, позволяющая повысить качество образования, получить новые образовательные результаты, автоматизировать управление сферой образования, оказывать государственные и муниципальные услуги в электронном виде в сфере образования, организовать электронное взаимодействие всех участников образовательных отношений.</w:t>
      </w:r>
    </w:p>
    <w:p>
      <w:pPr>
        <w:keepNext w:val="true"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after="0" w:before="120" w:line="312" w:lineRule="auto"/>
        <w:ind w:left="1429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bookmarkStart w:id="41" w:name="_Toc860977"/>
      <w:bookmarkStart w:id="42" w:name="_Toc130223286"/>
      <w:bookmarkStart w:id="43" w:name="_Toc449715961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Пользователи </w:t>
      </w:r>
      <w:bookmarkEnd w:id="41"/>
      <w:bookmarkEnd w:id="42"/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Категории пользователей Системы и количество пользователей данных категорий представлены в таблице 1 настоящего ТЗ.</w:t>
      </w:r>
    </w:p>
    <w:p>
      <w:pPr>
        <w:suppressLineNumbers w:val="true"/>
        <w:spacing w:after="120" w:before="120" w:line="240" w:lineRule="auto"/>
        <w:jc w:val="both"/>
        <w:rPr>
          <w:rFonts w:ascii="Times New Roman" w:hAnsi="Times New Roman" w:eastAsia="Calibri" w:cs="Times New Roman"/>
          <w:b/>
          <w:bCs/>
          <w:i/>
          <w:iCs/>
          <w:sz w:val="28"/>
          <w:szCs w:val="28"/>
          <w:lang w:eastAsia="zh-CN"/>
        </w:rPr>
      </w:pPr>
      <w:r>
        <w:rPr>
          <w:rFonts w:ascii="Times New Roman" w:hAnsi="Times New Roman" w:eastAsia="Calibri" w:cs="Times New Roman"/>
          <w:b/>
          <w:bCs/>
          <w:i/>
          <w:iCs/>
          <w:sz w:val="28"/>
          <w:szCs w:val="28"/>
          <w:lang w:eastAsia="zh-CN"/>
        </w:rPr>
        <w:t xml:space="preserve">Таблица </w:t>
      </w:r>
      <w:r>
        <w:rPr>
          <w:rFonts w:ascii="Times New Roman" w:hAnsi="Times New Roman" w:eastAsia="Calibri" w:cs="Times New Roman"/>
          <w:b/>
          <w:bCs/>
          <w:i/>
          <w:iCs/>
          <w:sz w:val="28"/>
          <w:szCs w:val="28"/>
          <w:lang w:eastAsia="zh-CN"/>
        </w:rPr>
        <w:fldChar w:fldCharType="begin"/>
      </w:r>
      <w:r>
        <w:rPr>
          <w:rFonts w:ascii="Times New Roman" w:hAnsi="Times New Roman" w:eastAsia="Calibri" w:cs="Times New Roman"/>
          <w:b/>
          <w:bCs/>
          <w:i/>
          <w:iCs/>
          <w:sz w:val="28"/>
          <w:szCs w:val="28"/>
          <w:lang w:eastAsia="zh-CN"/>
        </w:rPr>
        <w:instrText xml:space="preserve"> SEQ Таблица \* ARABIC </w:instrText>
      </w:r>
      <w:r>
        <w:rPr>
          <w:rFonts w:ascii="Times New Roman" w:hAnsi="Times New Roman" w:eastAsia="Calibri" w:cs="Times New Roman"/>
          <w:b/>
          <w:bCs/>
          <w:i/>
          <w:iCs/>
          <w:sz w:val="28"/>
          <w:szCs w:val="28"/>
          <w:lang w:eastAsia="zh-CN"/>
        </w:rPr>
        <w:fldChar w:fldCharType="separate"/>
      </w:r>
      <w:r>
        <w:rPr>
          <w:rFonts w:ascii="Times New Roman" w:hAnsi="Times New Roman" w:eastAsia="Calibri" w:cs="Times New Roman"/>
          <w:b/>
          <w:bCs/>
          <w:i/>
          <w:iCs/>
          <w:sz w:val="28"/>
          <w:szCs w:val="28"/>
          <w:lang w:eastAsia="zh-CN"/>
        </w:rPr>
        <w:t xml:space="preserve">1</w:t>
      </w:r>
      <w:r>
        <w:rPr>
          <w:rFonts w:ascii="Times New Roman" w:hAnsi="Times New Roman" w:eastAsia="Calibri" w:cs="Times New Roman"/>
          <w:b/>
          <w:bCs/>
          <w:i/>
          <w:iCs/>
          <w:sz w:val="28"/>
          <w:szCs w:val="28"/>
          <w:lang w:eastAsia="zh-CN"/>
        </w:rPr>
        <w:fldChar w:fldCharType="end"/>
      </w:r>
      <w:r>
        <w:rPr>
          <w:rFonts w:ascii="Times New Roman" w:hAnsi="Times New Roman" w:eastAsia="Calibri" w:cs="Times New Roman"/>
          <w:b/>
          <w:bCs/>
          <w:i/>
          <w:iCs/>
          <w:sz w:val="28"/>
          <w:szCs w:val="28"/>
          <w:lang w:eastAsia="zh-CN"/>
        </w:rPr>
        <w:t xml:space="preserve"> - Категории пользователей Модулей и количество пользователей</w:t>
      </w:r>
    </w:p>
    <w:tbl>
      <w:tblPr>
        <w:tblW w:w="97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pPr w:horzAnchor="margin" w:tblpXSpec="left" w:vertAnchor="text" w:tblpY="59" w:leftFromText="180" w:rightFromText="180"/>
      </w:tblPr>
      <w:tblGrid>
        <w:gridCol w:w="700"/>
        <w:gridCol w:w="7233"/>
        <w:gridCol w:w="1806"/>
      </w:tblGrid>
      <w:tr>
        <w:trPr>
          <w:trHeight w:val="980"/>
          <w:tblHeader/>
        </w:trPr>
        <w:tc>
          <w:tcPr>
            <w:tcW w:w="700" w:type="dxa"/>
            <w:shd w:val="clear" w:color="auto" w:fill="auto"/>
            <w:vAlign w:val="center"/>
          </w:tcPr>
          <w:p>
            <w:pPr>
              <w:widowControl w:val="false"/>
              <w:spacing w:after="0" w:line="276" w:lineRule="auto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№ п/п</w:t>
            </w:r>
          </w:p>
        </w:tc>
        <w:tc>
          <w:tcPr>
            <w:tcW w:w="7233" w:type="dxa"/>
            <w:shd w:val="clear" w:color="auto" w:fill="auto"/>
            <w:vAlign w:val="center"/>
          </w:tcPr>
          <w:p>
            <w:pPr>
              <w:widowControl w:val="false"/>
              <w:spacing w:after="0" w:line="276" w:lineRule="auto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Наименование категории пользователей</w:t>
            </w:r>
          </w:p>
        </w:tc>
        <w:tc>
          <w:tcPr>
            <w:tcW w:w="1806" w:type="dxa"/>
            <w:shd w:val="clear" w:color="auto" w:fill="auto"/>
          </w:tcPr>
          <w:p>
            <w:pPr>
              <w:widowControl w:val="false"/>
              <w:spacing w:after="0" w:line="276" w:lineRule="auto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Количество пользователей</w:t>
            </w:r>
          </w:p>
        </w:tc>
      </w:tr>
      <w:tr>
        <w:tc>
          <w:tcPr>
            <w:tcW w:w="700" w:type="dxa"/>
            <w:shd w:val="clear" w:color="auto" w:fill="auto"/>
            <w:vAlign w:val="center"/>
          </w:tcPr>
          <w:p>
            <w:pPr>
              <w:widowControl w:val="false"/>
              <w:spacing w:after="0" w:line="276" w:lineRule="auto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</w:t>
            </w:r>
          </w:p>
        </w:tc>
        <w:tc>
          <w:tcPr>
            <w:tcW w:w="7233" w:type="dxa"/>
            <w:shd w:val="clear" w:color="auto" w:fill="auto"/>
          </w:tcPr>
          <w:p>
            <w:pPr>
              <w:widowControl w:val="false"/>
              <w:spacing w:after="0" w:line="240" w:lineRule="auto"/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  <w:t xml:space="preserve">Сотрудники регионального органа исполнительной власти в сфере образования</w:t>
            </w:r>
          </w:p>
        </w:tc>
        <w:tc>
          <w:tcPr>
            <w:tcW w:w="1806" w:type="dxa"/>
            <w:shd w:val="clear" w:color="auto" w:fill="auto"/>
          </w:tcPr>
          <w:p>
            <w:pPr>
              <w:widowControl w:val="false"/>
              <w:spacing w:after="0" w:line="36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w="7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 w:val="false"/>
              <w:spacing w:after="0" w:line="276" w:lineRule="auto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</w:t>
            </w:r>
          </w:p>
        </w:tc>
        <w:tc>
          <w:tcPr>
            <w:tcW w:w="7233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 w:val="false"/>
              <w:spacing w:after="0" w:line="240" w:lineRule="auto"/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  <w:t xml:space="preserve">Сотрудники муниципальных органов управления образования</w:t>
            </w:r>
          </w:p>
        </w:tc>
        <w:tc>
          <w:tcPr>
            <w:tcW w:w="1806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 w:val="false"/>
              <w:spacing w:after="0" w:line="36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  <w:t xml:space="preserve">69</w:t>
            </w:r>
          </w:p>
        </w:tc>
      </w:tr>
      <w:tr>
        <w:trPr>
          <w:trHeight w:val="426"/>
        </w:trPr>
        <w:tc>
          <w:tcPr>
            <w:tcW w:w="700" w:type="dxa"/>
            <w:shd w:val="clear" w:color="auto" w:fill="auto"/>
            <w:vAlign w:val="center"/>
          </w:tcPr>
          <w:p>
            <w:pPr>
              <w:widowControl w:val="false"/>
              <w:spacing w:after="0" w:line="276" w:lineRule="auto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</w:t>
            </w:r>
          </w:p>
        </w:tc>
        <w:tc>
          <w:tcPr>
            <w:tcW w:w="7233" w:type="dxa"/>
            <w:shd w:val="clear" w:color="auto" w:fill="auto"/>
          </w:tcPr>
          <w:p>
            <w:pPr>
              <w:widowControl w:val="false"/>
              <w:spacing w:after="0" w:line="240" w:lineRule="auto"/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  <w:t xml:space="preserve">Сотрудники дошкольных образовательных организаций </w:t>
            </w:r>
          </w:p>
        </w:tc>
        <w:tc>
          <w:tcPr>
            <w:tcW w:w="1806" w:type="dxa"/>
            <w:shd w:val="clear" w:color="auto" w:fill="auto"/>
          </w:tcPr>
          <w:p>
            <w:pPr>
              <w:widowControl w:val="false"/>
              <w:spacing w:after="0" w:line="36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  <w:lang w:val="en-US"/>
              </w:rPr>
              <w:t xml:space="preserve">~</w:t>
            </w:r>
            <w:r>
              <w:rPr>
                <w:rFonts w:ascii="Times New Roman" w:hAnsi="Times New Roman" w:eastAsia="Calibri" w:cs="Times New Roman"/>
                <w:i/>
                <w:color w:val="000000"/>
                <w:sz w:val="24"/>
                <w:szCs w:val="24"/>
              </w:rPr>
              <w:t xml:space="preserve">58000</w:t>
            </w:r>
          </w:p>
        </w:tc>
      </w:tr>
    </w:tbl>
    <w:p>
      <w:pPr>
        <w:keepNext w:val="true"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after="0" w:before="120" w:line="240" w:lineRule="auto"/>
        <w:ind w:left="1429"/>
        <w:jc w:val="both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bookmarkStart w:id="44" w:name="_Toc860982"/>
      <w:bookmarkStart w:id="45" w:name="_Toc130223287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 xml:space="preserve"> Сведения о программном и техническом обеспечении, используемом в рамках Системы</w:t>
      </w:r>
      <w:bookmarkEnd w:id="44"/>
      <w:bookmarkEnd w:id="45"/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Сведения о техническом и программном обеспечении, используемом в рамках Системы, представлены в таблице 2 настоящего ТЗ.</w:t>
      </w:r>
    </w:p>
    <w:p>
      <w:pPr>
        <w:suppressLineNumbers w:val="true"/>
        <w:spacing w:after="120" w:before="120" w:line="240" w:lineRule="auto"/>
        <w:jc w:val="both"/>
        <w:rPr>
          <w:rFonts w:ascii="Times New Roman" w:hAnsi="Times New Roman" w:eastAsia="Times New Roman" w:cs="Times New Roman"/>
          <w:b/>
          <w:i/>
          <w:i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lang w:eastAsia="zh-CN"/>
        </w:rPr>
        <w:t xml:space="preserve">Таблица </w:t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lang w:eastAsia="zh-CN"/>
        </w:rPr>
        <w:fldChar w:fldCharType="begin"/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lang w:eastAsia="zh-CN"/>
        </w:rPr>
        <w:instrText xml:space="preserve"> SEQ Таблица \* ARABIC </w:instrText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lang w:eastAsia="zh-CN"/>
        </w:rPr>
        <w:fldChar w:fldCharType="separate"/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lang w:eastAsia="zh-CN"/>
        </w:rPr>
        <w:t xml:space="preserve">2</w:t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lang w:eastAsia="zh-CN"/>
        </w:rPr>
        <w:fldChar w:fldCharType="end"/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lang w:eastAsia="zh-CN"/>
        </w:rPr>
        <w:t xml:space="preserve"> – Сведения о техническом и программном обеспечении, используемом в рамках Системы</w:t>
      </w:r>
    </w:p>
    <w:tbl>
      <w:tblPr>
        <w:jc w:val="center"/>
        <w:tblW w:w="9885" w:type="dxa"/>
        <w:tblCellMar>
          <w:left w:w="0" w:type="dxa"/>
          <w:right w:w="0" w:type="dxa"/>
        </w:tblCellMar>
        <w:tblBorders>
          <w:top w:val="single" w:color="000001" w:sz="8" w:space="0"/>
          <w:left w:val="single" w:color="000001" w:sz="8" w:space="0"/>
          <w:bottom w:val="single" w:color="000001" w:sz="8" w:space="0"/>
          <w:insideH w:val="single" w:color="000001" w:sz="8" w:space="0"/>
        </w:tblBorders>
        <w:tblLook w:val="04A0" w:firstRow="1" w:lastRow="0" w:firstColumn="1" w:lastColumn="0" w:noHBand="0" w:noVBand="1"/>
      </w:tblPr>
      <w:tblGrid>
        <w:gridCol w:w="669"/>
        <w:gridCol w:w="3114"/>
        <w:gridCol w:w="6"/>
        <w:gridCol w:w="4537"/>
        <w:gridCol w:w="709"/>
        <w:gridCol w:w="850"/>
      </w:tblGrid>
      <w:tr>
        <w:trPr>
          <w:jc w:val="center"/>
          <w:trHeight w:val="513"/>
        </w:trPr>
        <w:tc>
          <w:tcPr>
            <w:tcW w:w="66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№ п/п</w:t>
            </w:r>
          </w:p>
        </w:tc>
        <w:tc>
          <w:tcPr>
            <w:tcW w:w="3120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ind w:firstLine="114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Наименование</w:t>
            </w:r>
          </w:p>
        </w:tc>
        <w:tc>
          <w:tcPr>
            <w:tcW w:w="453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ind w:firstLine="114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Характеристики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ind w:firstLine="10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Ед. изм.</w:t>
            </w:r>
          </w:p>
        </w:tc>
        <w:tc>
          <w:tcPr>
            <w:tcW w:w="85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ind w:firstLine="10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Кол-во</w:t>
            </w:r>
          </w:p>
        </w:tc>
      </w:tr>
      <w:tr>
        <w:trPr>
          <w:jc w:val="center"/>
          <w:trHeight w:val="110"/>
        </w:trPr>
        <w:tc>
          <w:tcPr>
            <w:tcW w:w="9885" w:type="dxa"/>
            <w:gridSpan w:val="6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ffffff"/>
            <w:tcMar>
              <w:left w:w="38" w:type="dxa"/>
              <w:top w:w="0" w:type="dxa"/>
              <w:right w:w="108" w:type="dxa"/>
              <w:bottom w:w="0" w:type="dxa"/>
            </w:tcMar>
            <w:hideMark/>
          </w:tcPr>
          <w:p>
            <w:pPr>
              <w:spacing w:after="0" w:line="0" w:lineRule="atLeast"/>
              <w:ind w:firstLine="114"/>
              <w:contextualSpacing w:val="tru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Сервера БД</w:t>
            </w:r>
          </w:p>
        </w:tc>
      </w:tr>
      <w:tr>
        <w:trPr>
          <w:cantSplit/>
          <w:jc w:val="center"/>
          <w:trHeight w:val="110"/>
        </w:trPr>
        <w:tc>
          <w:tcPr>
            <w:tcW w:w="669" w:type="dxa"/>
            <w:vMerge w:val="restart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1</w:t>
            </w: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Платформа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DEPO 3500Z2R</w:t>
            </w:r>
          </w:p>
        </w:tc>
        <w:tc>
          <w:tcPr>
            <w:tcW w:w="709" w:type="dxa"/>
            <w:vMerge w:val="restart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шт.</w:t>
            </w:r>
          </w:p>
          <w:p>
            <w:pPr>
              <w:spacing w:after="0" w:line="0" w:lineRule="atLeast"/>
              <w:ind w:firstLine="114"/>
              <w:contextualSpacing w:val="tru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 </w:t>
            </w:r>
          </w:p>
        </w:tc>
        <w:tc>
          <w:tcPr>
            <w:tcW w:w="850" w:type="dxa"/>
            <w:vMerge w:val="restart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hideMark/>
          </w:tcPr>
          <w:p>
            <w:pPr>
              <w:spacing w:after="0" w:line="0" w:lineRule="atLeast"/>
              <w:ind w:firstLine="114"/>
              <w:contextualSpacing w:val="tru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2</w:t>
            </w:r>
          </w:p>
        </w:tc>
      </w:tr>
      <w:tr>
        <w:trPr>
          <w:cantSplit/>
          <w:jc w:val="center"/>
          <w:trHeight w:val="234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ОЗУ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1 Тб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>
        <w:trPr>
          <w:cantSplit/>
          <w:jc w:val="center"/>
          <w:trHeight w:val="110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Процессоры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INTEL(R) XEON(R) GOLD 6542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Y 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 2900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Ггц</w:t>
            </w:r>
          </w:p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(2 шт.)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>
        <w:trPr>
          <w:cantSplit/>
          <w:jc w:val="center"/>
          <w:trHeight w:val="110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Объём системы хранения (дисковое пространство)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4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 Тб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>
        <w:trPr>
          <w:cantSplit/>
          <w:jc w:val="center"/>
          <w:trHeight w:val="110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Сетевое подключение (количество и скорость портов LAN)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порта, скорость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25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 Гбит/сек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>
        <w:trPr>
          <w:cantSplit/>
          <w:jc w:val="center"/>
          <w:trHeight w:val="664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Программное обеспечение 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ОС Альт СП Сервер релиз 10</w:t>
            </w:r>
          </w:p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PostgreSQL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16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>
        <w:trPr>
          <w:cantSplit/>
          <w:jc w:val="center"/>
          <w:trHeight w:val="595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Физическая реализация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Физический 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>
        <w:trPr>
          <w:jc w:val="center"/>
          <w:trHeight w:val="110"/>
        </w:trPr>
        <w:tc>
          <w:tcPr>
            <w:tcW w:w="9885" w:type="dxa"/>
            <w:gridSpan w:val="6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ffffff"/>
            <w:tcMar>
              <w:left w:w="38" w:type="dxa"/>
              <w:top w:w="0" w:type="dxa"/>
              <w:right w:w="108" w:type="dxa"/>
              <w:bottom w:w="0" w:type="dxa"/>
            </w:tcMar>
            <w:hideMark/>
          </w:tcPr>
          <w:p>
            <w:pPr>
              <w:spacing w:after="0" w:line="0" w:lineRule="atLeast"/>
              <w:ind w:firstLine="114"/>
              <w:contextualSpacing w:val="tru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Веб-сервера</w:t>
            </w:r>
          </w:p>
        </w:tc>
      </w:tr>
      <w:tr>
        <w:trPr>
          <w:cantSplit/>
          <w:jc w:val="center"/>
          <w:trHeight w:val="110"/>
        </w:trPr>
        <w:tc>
          <w:tcPr>
            <w:tcW w:w="669" w:type="dxa"/>
            <w:vMerge w:val="restart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2</w:t>
            </w: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Платформа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 xml:space="preserve">DEPO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 xml:space="preserve">Storm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 xml:space="preserve"> 3500Z1R</w:t>
            </w:r>
          </w:p>
        </w:tc>
        <w:tc>
          <w:tcPr>
            <w:tcW w:w="709" w:type="dxa"/>
            <w:vMerge w:val="restart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hideMark/>
          </w:tcPr>
          <w:p>
            <w:pPr>
              <w:spacing w:after="0" w:line="0" w:lineRule="atLeast"/>
              <w:ind w:firstLine="114"/>
              <w:contextualSpacing w:val="tru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 xml:space="preserve">шт.</w:t>
            </w:r>
          </w:p>
        </w:tc>
        <w:tc>
          <w:tcPr>
            <w:tcW w:w="850" w:type="dxa"/>
            <w:vMerge w:val="restart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hideMark/>
          </w:tcPr>
          <w:p>
            <w:pPr>
              <w:spacing w:after="0" w:line="0" w:lineRule="atLeast"/>
              <w:ind w:firstLine="114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4</w:t>
            </w:r>
          </w:p>
        </w:tc>
      </w:tr>
      <w:tr>
        <w:trPr>
          <w:cantSplit/>
          <w:jc w:val="center"/>
          <w:trHeight w:val="110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ОЗУ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1 Тб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>
        <w:trPr>
          <w:cantSplit/>
          <w:jc w:val="center"/>
          <w:trHeight w:val="110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Процессоры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INTEL(R) XEON(R) GOLD 6530, 2100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Ггц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 (2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шт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en-US" w:eastAsia="zh-CN"/>
              </w:rPr>
              <w:t xml:space="preserve">.)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rPr>
          <w:cantSplit/>
          <w:jc w:val="center"/>
          <w:trHeight w:val="110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Объём системы хранения (дисковое пространство)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5.3 Тб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>
        <w:trPr>
          <w:cantSplit/>
          <w:jc w:val="center"/>
          <w:trHeight w:val="110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Сетевое подключение (количество и скорость портов LAN)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2 порта, скорость 25 Гбит/сек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>
        <w:trPr>
          <w:cantSplit/>
          <w:jc w:val="center"/>
          <w:trHeight w:val="110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Программное обеспечение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ОС Альт СП Сервер релиз 10</w:t>
            </w:r>
          </w:p>
          <w:p>
            <w:pPr>
              <w:spacing w:after="0" w:line="0" w:lineRule="atLeast"/>
              <w:contextualSpacing w:val="true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>
        <w:trPr>
          <w:cantSplit/>
          <w:jc w:val="center"/>
          <w:trHeight w:val="477"/>
        </w:trPr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ind w:firstLine="114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Физическая реализация</w:t>
            </w:r>
          </w:p>
        </w:tc>
        <w:tc>
          <w:tcPr>
            <w:tcW w:w="4543" w:type="dxa"/>
            <w:gridSpan w:val="2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shd w:val="clear" w:color="auto" w:fill="ffffff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Физический с установленной виртуализацией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  <w:t xml:space="preserve">PVE</w:t>
            </w: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nil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vAlign w:val="center"/>
            <w:hideMark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</w:pPr>
      <w:r>
        <w:rPr>
          <w:rFonts w:ascii="Times New Roman" w:hAnsi="Times New Roman" w:eastAsia="Times New Roman" w:cs="Times New Roman"/>
          <w:sz w:val="30"/>
          <w:szCs w:val="24"/>
          <w:lang w:eastAsia="zh-CN"/>
        </w:rPr>
        <w:br w:type="page" w:clear="all"/>
      </w:r>
    </w:p>
    <w:p>
      <w:pPr>
        <w:keepNext w:val="true"/>
        <w:keepLines w:val="true"/>
        <w:numPr>
          <w:ilvl w:val="0"/>
          <w:numId w:val="5"/>
        </w:numPr>
        <w:spacing w:after="200" w:before="200" w:line="240" w:lineRule="auto"/>
        <w:jc w:val="both"/>
        <w:outlineLvl w:val="0"/>
        <w:rPr>
          <w:rFonts w:ascii="Times New Roman" w:hAnsi="Times New Roman" w:eastAsia="Times New Roman" w:cs="Times New Roman"/>
          <w:caps/>
          <w:kern w:val="32"/>
          <w:sz w:val="28"/>
          <w:szCs w:val="28"/>
          <w:lang w:val="x-none" w:eastAsia="x-none"/>
        </w:rPr>
      </w:pPr>
      <w:bookmarkStart w:id="46" w:name="_Toc130223288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ТРЕБОВАНИЯ К </w:t>
      </w:r>
      <w:bookmarkEnd w:id="43"/>
      <w:bookmarkEnd w:id="46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eastAsia="x-none"/>
        </w:rPr>
        <w:t xml:space="preserve">службе технической поддержки и сопровождения системы</w:t>
      </w:r>
    </w:p>
    <w:p>
      <w:pPr>
        <w:widowControl w:val="false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оказания услуг у Исполнителя должна быть организована служба технической поддержки (далее – СТП), осуществляющая прием обращений пользователей.</w:t>
      </w:r>
    </w:p>
    <w:p>
      <w:pPr>
        <w:widowControl w:val="false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Приём обращений в СТП должен осуществляться:</w:t>
      </w:r>
    </w:p>
    <w:p>
      <w:pPr>
        <w:widowControl w:val="false"/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по электронной почте:</w:t>
      </w:r>
    </w:p>
    <w:p>
      <w:pPr>
        <w:widowControl w:val="false"/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через электронную форму подачи заявки в СТП:</w:t>
      </w:r>
    </w:p>
    <w:p>
      <w:pPr>
        <w:widowControl w:val="false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СТП Исполнителя должна производить регистрацию и обработку обращений от пользователей Системы в соответствии с режимами работы, указанными в таблице 3.</w:t>
      </w:r>
    </w:p>
    <w:p>
      <w:pPr>
        <w:widowControl w:val="false"/>
        <w:tabs>
          <w:tab w:val="left" w:pos="851"/>
        </w:tabs>
        <w:spacing w:after="0" w:line="312" w:lineRule="auto"/>
        <w:ind w:firstLine="567"/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Таблица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instrText xml:space="preserve"> SEQ Таблица \* ARABIC </w:instrTex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− Режимы работы СТП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0"/>
        <w:gridCol w:w="2316"/>
        <w:gridCol w:w="6751"/>
      </w:tblGrid>
      <w:tr>
        <w:trPr>
          <w:tblHeader/>
        </w:trPr>
        <w:tc>
          <w:tcPr>
            <w:tcW w:w="0" w:type="auto"/>
            <w:shd w:val="clear" w:color="auto" w:fill="auto"/>
            <w:vAlign w:val="center"/>
          </w:tcPr>
          <w:p>
            <w:pPr>
              <w:widowControl w:val="false"/>
              <w:spacing w:after="0" w:before="6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№</w:t>
            </w:r>
          </w:p>
          <w:p>
            <w:pPr>
              <w:widowControl w:val="false"/>
              <w:spacing w:after="0" w:before="6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п/п</w:t>
            </w:r>
          </w:p>
        </w:tc>
        <w:tc>
          <w:tcPr>
            <w:tcW w:w="2326" w:type="dxa"/>
            <w:vAlign w:val="center"/>
          </w:tcPr>
          <w:p>
            <w:pPr>
              <w:widowControl w:val="false"/>
              <w:spacing w:after="0" w:before="6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Параметр</w:t>
            </w:r>
          </w:p>
        </w:tc>
        <w:tc>
          <w:tcPr>
            <w:tcW w:w="6804" w:type="dxa"/>
            <w:shd w:val="clear" w:color="auto" w:fill="auto"/>
            <w:vAlign w:val="center"/>
          </w:tcPr>
          <w:p>
            <w:pPr>
              <w:widowControl w:val="false"/>
              <w:spacing w:after="0" w:before="6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Режимы работы</w:t>
            </w:r>
          </w:p>
        </w:tc>
      </w:tr>
      <w:tr>
        <w:tc>
          <w:tcPr>
            <w:tcW w:w="0" w:type="auto"/>
            <w:shd w:val="clear" w:color="auto" w:fill="auto"/>
          </w:tcPr>
          <w:p>
            <w:pPr>
              <w:widowControl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zh-CN"/>
              </w:rPr>
              <w:t xml:space="preserve">1.</w:t>
            </w:r>
          </w:p>
        </w:tc>
        <w:tc>
          <w:tcPr>
            <w:tcW w:w="2326" w:type="dxa"/>
          </w:tcPr>
          <w:p>
            <w:pPr>
              <w:widowControl w:val="false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zh-CN"/>
              </w:rPr>
              <w:t xml:space="preserve">Рабочие время (дни)</w:t>
            </w:r>
          </w:p>
        </w:tc>
        <w:tc>
          <w:tcPr>
            <w:tcW w:w="6804" w:type="dxa"/>
            <w:shd w:val="clear" w:color="auto" w:fill="auto"/>
          </w:tcPr>
          <w:p>
            <w:pPr>
              <w:widowControl w:val="false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  <w:t xml:space="preserve">с 9:00 до 18:00 (время московское)</w:t>
            </w:r>
          </w:p>
          <w:p>
            <w:pPr>
              <w:widowControl w:val="false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  <w:t xml:space="preserve">понедельник-пятница</w:t>
            </w:r>
          </w:p>
        </w:tc>
      </w:tr>
      <w:tr>
        <w:tc>
          <w:tcPr>
            <w:tcW w:w="0" w:type="auto"/>
            <w:shd w:val="clear" w:color="auto" w:fill="auto"/>
          </w:tcPr>
          <w:p>
            <w:pPr>
              <w:widowControl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zh-CN"/>
              </w:rPr>
              <w:t xml:space="preserve">2.</w:t>
            </w:r>
          </w:p>
        </w:tc>
        <w:tc>
          <w:tcPr>
            <w:tcW w:w="2326" w:type="dxa"/>
          </w:tcPr>
          <w:p>
            <w:pPr>
              <w:widowControl w:val="false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zh-CN"/>
              </w:rPr>
              <w:t xml:space="preserve">Нерабочее время (дни)</w:t>
            </w:r>
          </w:p>
        </w:tc>
        <w:tc>
          <w:tcPr>
            <w:tcW w:w="6804" w:type="dxa"/>
            <w:shd w:val="clear" w:color="auto" w:fill="auto"/>
          </w:tcPr>
          <w:p>
            <w:pPr>
              <w:widowControl w:val="false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  <w:t xml:space="preserve">будни с 18:00 до 9:00 (время московское)</w:t>
            </w:r>
          </w:p>
          <w:p>
            <w:pPr>
              <w:widowControl w:val="false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  <w:t xml:space="preserve">выходные дни (суббота, воскресенье)</w:t>
            </w:r>
          </w:p>
          <w:p>
            <w:pPr>
              <w:widowControl w:val="false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0"/>
                <w:lang w:eastAsia="ru-RU"/>
              </w:rPr>
              <w:t xml:space="preserve">праздничные дни</w:t>
            </w:r>
          </w:p>
        </w:tc>
      </w:tr>
    </w:tbl>
    <w:p>
      <w:pPr>
        <w:widowControl w:val="false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Поддержка работоспособности Системы осуществляется Исполнителем в части программных средств. Обеспечение работоспособности, аппаратной составляющей Системы осуществляется Заказчиком. Техническое сопровождение Системы должно оказываться на протяжении выполнения Договора в соответствии со сроками, приведенными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разделе 1.4. настоящего ТЗ.</w:t>
      </w:r>
      <w:bookmarkStart w:id="47" w:name="_Toc449715962"/>
    </w:p>
    <w:p>
      <w:pPr>
        <w:widowControl w:val="false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Срок реакции на обращение определяется в соответствии со временем оказания ТП по стандартному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SLA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>
      <w:pPr>
        <w:keepNext w:val="true"/>
        <w:widowControl w:val="false"/>
        <w:spacing w:after="0" w:line="240" w:lineRule="auto"/>
        <w:ind w:firstLine="567"/>
        <w:jc w:val="right"/>
        <w:rPr>
          <w:rFonts w:ascii="PT Astra Serif" w:hAnsi="PT Astra Serif" w:eastAsia="Times New Roman" w:cs="Times New Roman"/>
          <w:sz w:val="24"/>
          <w:szCs w:val="24"/>
          <w:lang w:eastAsia="zh-CN"/>
        </w:rPr>
      </w:pPr>
      <w:r>
        <w:rPr>
          <w:rFonts w:ascii="PT Astra Serif" w:hAnsi="PT Astra Serif" w:eastAsia="Times New Roman" w:cs="Times New Roman"/>
          <w:sz w:val="24"/>
          <w:szCs w:val="24"/>
          <w:lang w:eastAsia="zh-CN"/>
        </w:rPr>
        <w:t xml:space="preserve">Классификация заявок:</w:t>
      </w:r>
    </w:p>
    <w:tbl>
      <w:tblPr>
        <w:tblW w:w="0" w:type="auto"/>
        <w:tblLook w:val="04A0" w:firstRow="1" w:lastRow="0" w:firstColumn="1" w:lastColumn="0" w:noHBand="0" w:noVBand="1"/>
        <w:tblLayout w:type="fixed"/>
      </w:tblPr>
      <w:tblGrid>
        <w:gridCol w:w="1537"/>
        <w:gridCol w:w="7635"/>
      </w:tblGrid>
      <w:tr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Категория</w:t>
            </w:r>
          </w:p>
        </w:tc>
        <w:tc>
          <w:tcPr>
            <w:tcW w:w="7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Описание</w:t>
            </w:r>
          </w:p>
        </w:tc>
      </w:tr>
      <w:tr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Инцидент</w:t>
            </w:r>
          </w:p>
        </w:tc>
        <w:tc>
          <w:tcPr>
            <w:tcW w:w="7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both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Обращение пользователя по поводу сбоя или иного нарушения работы Системы, которое привело к отказу в предоставлении ИТ-услуги или недопустимому снижению уровня предоставления ИТ-услуги.</w:t>
            </w:r>
          </w:p>
        </w:tc>
      </w:tr>
      <w:tr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ЗНО</w:t>
            </w:r>
          </w:p>
        </w:tc>
        <w:tc>
          <w:tcPr>
            <w:tcW w:w="7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both"/>
              <w:rPr>
                <w:rFonts w:ascii="PT Astra Serif" w:hAnsi="PT Astra Serif" w:eastAsia="Times New Roman" w:cs="Times New Roman"/>
                <w:strike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Запрос пользователя на информацию, консультацию, изменение, доступ к ИТ-услуге.</w:t>
            </w:r>
          </w:p>
        </w:tc>
      </w:tr>
      <w:tr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ЗНИ</w:t>
            </w:r>
          </w:p>
        </w:tc>
        <w:tc>
          <w:tcPr>
            <w:tcW w:w="7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Модификации, требующиеся для решения инцидентов и ЗНО</w:t>
            </w:r>
          </w:p>
        </w:tc>
      </w:tr>
    </w:tbl>
    <w:p>
      <w:pPr>
        <w:widowControl w:val="false"/>
        <w:spacing w:after="0" w:line="240" w:lineRule="auto"/>
        <w:ind w:firstLine="709"/>
        <w:jc w:val="both"/>
        <w:rPr>
          <w:rFonts w:ascii="PT Astra Serif" w:hAnsi="PT Astra Serif" w:eastAsia="Times New Roman" w:cs="Times New Roman"/>
          <w:sz w:val="24"/>
          <w:szCs w:val="24"/>
          <w:lang w:eastAsia="zh-CN"/>
        </w:rPr>
      </w:pPr>
      <w:r>
        <w:rPr>
          <w:rFonts w:ascii="PT Astra Serif" w:hAnsi="PT Astra Serif" w:eastAsia="Times New Roman" w:cs="Times New Roman"/>
          <w:sz w:val="24"/>
          <w:szCs w:val="24"/>
          <w:lang w:eastAsia="zh-CN"/>
        </w:rPr>
        <w:t xml:space="preserve">Приоритет инцидента определяется Заказчиком на основании степени воздействия и срочности его решения.</w:t>
      </w:r>
    </w:p>
    <w:p>
      <w:pPr>
        <w:keepNext w:val="true"/>
        <w:widowControl w:val="false"/>
        <w:spacing w:after="0" w:line="240" w:lineRule="auto"/>
        <w:ind w:firstLine="567"/>
        <w:jc w:val="right"/>
        <w:rPr>
          <w:rFonts w:ascii="PT Astra Serif" w:hAnsi="PT Astra Serif" w:eastAsia="Times New Roman" w:cs="Times New Roman"/>
          <w:sz w:val="24"/>
          <w:szCs w:val="24"/>
          <w:lang w:eastAsia="zh-CN"/>
        </w:rPr>
      </w:pPr>
      <w:r>
        <w:rPr>
          <w:rFonts w:ascii="PT Astra Serif" w:hAnsi="PT Astra Serif" w:eastAsia="Times New Roman" w:cs="Times New Roman"/>
          <w:sz w:val="24"/>
          <w:szCs w:val="24"/>
          <w:lang w:eastAsia="zh-CN"/>
        </w:rPr>
        <w:t xml:space="preserve">Приоритеты инцидентов:</w:t>
      </w:r>
    </w:p>
    <w:tbl>
      <w:tblPr>
        <w:tblW w:w="0" w:type="auto"/>
        <w:tblLook w:val="04A0" w:firstRow="1" w:lastRow="0" w:firstColumn="1" w:lastColumn="0" w:noHBand="0" w:noVBand="1"/>
        <w:tblLayout w:type="fixed"/>
      </w:tblPr>
      <w:tblGrid>
        <w:gridCol w:w="1638"/>
        <w:gridCol w:w="7549"/>
      </w:tblGrid>
      <w:tr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Приоритет</w:t>
            </w:r>
          </w:p>
        </w:tc>
        <w:tc>
          <w:tcPr>
            <w:tcW w:w="7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Описание</w:t>
            </w:r>
          </w:p>
        </w:tc>
      </w:tr>
      <w:tr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tabs>
                <w:tab w:val="right" w:pos="9639"/>
              </w:tabs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Средний</w:t>
            </w:r>
          </w:p>
        </w:tc>
        <w:tc>
          <w:tcPr>
            <w:tcW w:w="7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tabs>
                <w:tab w:val="right" w:pos="9639"/>
              </w:tabs>
              <w:spacing w:after="0" w:line="240" w:lineRule="auto"/>
              <w:jc w:val="both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Данный статус необходимо проставлять всем заявкам, не попадающим под описание высокого приоритета (статус по умолчанию).</w:t>
            </w:r>
          </w:p>
        </w:tc>
      </w:tr>
      <w:tr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tabs>
                <w:tab w:val="right" w:pos="9639"/>
              </w:tabs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Высокий</w:t>
            </w:r>
          </w:p>
        </w:tc>
        <w:tc>
          <w:tcPr>
            <w:tcW w:w="7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tabs>
                <w:tab w:val="right" w:pos="9639"/>
              </w:tabs>
              <w:spacing w:after="0" w:line="240" w:lineRule="auto"/>
              <w:jc w:val="both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Заявка, связанная с критичными для пользователя функциями и не возможностью достижения конечного результата исполнения бизнес-процесса средствами Системы (предусмотренными текущим функционалом).</w:t>
            </w:r>
          </w:p>
        </w:tc>
      </w:tr>
      <w:tr>
        <w:tc>
          <w:tcPr>
            <w:tcW w:w="16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tabs>
                <w:tab w:val="right" w:pos="9639"/>
              </w:tabs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Наивысший</w:t>
            </w:r>
          </w:p>
        </w:tc>
        <w:tc>
          <w:tcPr>
            <w:tcW w:w="75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tabs>
                <w:tab w:val="right" w:pos="9639"/>
              </w:tabs>
              <w:spacing w:after="0" w:line="240" w:lineRule="auto"/>
              <w:jc w:val="both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Недоступность API, в том числе проблемы критически влияющие на работу связанных логически или интеграционных систем</w:t>
            </w:r>
          </w:p>
        </w:tc>
      </w:tr>
    </w:tbl>
    <w:p>
      <w:pPr>
        <w:widowControl w:val="false"/>
        <w:spacing w:after="0" w:line="240" w:lineRule="auto"/>
        <w:ind w:firstLine="709"/>
        <w:jc w:val="both"/>
        <w:rPr>
          <w:rFonts w:ascii="PT Astra Serif" w:hAnsi="PT Astra Serif" w:eastAsia="Times New Roman" w:cs="Times New Roman"/>
          <w:sz w:val="24"/>
          <w:szCs w:val="24"/>
          <w:lang w:eastAsia="zh-CN"/>
        </w:rPr>
      </w:pPr>
      <w:r>
        <w:rPr>
          <w:rFonts w:ascii="PT Astra Serif" w:hAnsi="PT Astra Serif" w:eastAsia="Times New Roman" w:cs="Times New Roman"/>
          <w:sz w:val="24"/>
          <w:szCs w:val="24"/>
          <w:lang w:eastAsia="zh-CN"/>
        </w:rPr>
        <w:t xml:space="preserve">По результатам оказания услуг Исполнитель должен обеспечить своевременную и качественную техническую поддержку, а именно обеспечить соблюдения временных рамок в решении инцидентов, ЗНО и ЗНИ, указанных ниже. </w:t>
      </w:r>
    </w:p>
    <w:p>
      <w:pPr>
        <w:keepNext w:val="true"/>
        <w:widowControl w:val="false"/>
        <w:spacing w:after="0" w:line="240" w:lineRule="auto"/>
        <w:ind w:firstLine="567"/>
        <w:jc w:val="right"/>
        <w:rPr>
          <w:rFonts w:ascii="PT Astra Serif" w:hAnsi="PT Astra Serif" w:eastAsia="Times New Roman" w:cs="Times New Roman"/>
          <w:sz w:val="24"/>
          <w:szCs w:val="24"/>
          <w:lang w:eastAsia="zh-CN"/>
        </w:rPr>
      </w:pPr>
      <w:r>
        <w:rPr>
          <w:rFonts w:ascii="PT Astra Serif" w:hAnsi="PT Astra Serif" w:eastAsia="Times New Roman" w:cs="Times New Roman"/>
          <w:sz w:val="24"/>
          <w:szCs w:val="24"/>
          <w:lang w:eastAsia="zh-CN"/>
        </w:rPr>
        <w:t xml:space="preserve">Сроки решения:</w:t>
      </w:r>
    </w:p>
    <w:p>
      <w:pPr>
        <w:widowControl w:val="false"/>
        <w:spacing w:after="0" w:line="240" w:lineRule="auto"/>
        <w:ind w:firstLine="567"/>
        <w:jc w:val="right"/>
        <w:rPr>
          <w:rFonts w:ascii="PT Astra Serif" w:hAnsi="PT Astra Serif" w:eastAsia="Times New Roman" w:cs="Times New Roman"/>
          <w:sz w:val="24"/>
          <w:szCs w:val="24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  <w:tblLayout w:type="fixed"/>
      </w:tblPr>
      <w:tblGrid>
        <w:gridCol w:w="1851"/>
        <w:gridCol w:w="1829"/>
        <w:gridCol w:w="5534"/>
      </w:tblGrid>
      <w:tr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Категория заявки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Приоритет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Максимальное время решения, в рабочих часах</w:t>
            </w:r>
          </w:p>
        </w:tc>
      </w:tr>
      <w:tr>
        <w:tc>
          <w:tcPr>
            <w:tcW w:w="1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Инцидент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Средний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  <w:t xml:space="preserve">20</w:t>
            </w:r>
          </w:p>
        </w:tc>
      </w:tr>
      <w:tr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Высокий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  <w:t xml:space="preserve">8</w:t>
            </w:r>
          </w:p>
        </w:tc>
      </w:tr>
      <w:tr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2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Наивысший</w:t>
            </w:r>
          </w:p>
        </w:tc>
        <w:tc>
          <w:tcPr>
            <w:tcW w:w="553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  <w:t xml:space="preserve">4</w:t>
            </w:r>
          </w:p>
        </w:tc>
      </w:tr>
      <w:tr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ЗНО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-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  <w:t xml:space="preserve">24</w:t>
            </w:r>
          </w:p>
        </w:tc>
      </w:tr>
      <w:tr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ЗНИ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-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  <w:lang w:eastAsia="zh-CN"/>
              </w:rPr>
              <w:t xml:space="preserve">по согласованию Сторон</w:t>
            </w:r>
          </w:p>
        </w:tc>
      </w:tr>
    </w:tbl>
    <w:p>
      <w:pPr>
        <w:widowControl w:val="false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kern w:val="32"/>
          <w:sz w:val="28"/>
          <w:szCs w:val="28"/>
          <w:lang w:eastAsia="zh-CN"/>
        </w:rPr>
      </w:pPr>
    </w:p>
    <w:p>
      <w:pPr>
        <w:keepNext w:val="true"/>
        <w:keepLines w:val="true"/>
        <w:numPr>
          <w:ilvl w:val="0"/>
          <w:numId w:val="5"/>
        </w:numPr>
        <w:spacing w:after="200" w:before="200" w:line="240" w:lineRule="auto"/>
        <w:jc w:val="both"/>
        <w:outlineLvl w:val="0"/>
        <w:rPr>
          <w:rFonts w:ascii="Times New Roman" w:hAnsi="Times New Roman" w:eastAsia="Times New Roman" w:cs="Times New Roman"/>
          <w:caps/>
          <w:kern w:val="32"/>
          <w:sz w:val="28"/>
          <w:szCs w:val="28"/>
          <w:lang w:val="x-none" w:eastAsia="x-none"/>
        </w:rPr>
      </w:pPr>
      <w:bookmarkStart w:id="48" w:name="_Toc130223289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ТРЕБОВАНИЯ К ОРГАНИЗАЦИИ </w:t>
      </w:r>
      <w:bookmarkEnd w:id="47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ОКАЗАНИЯ УСЛУ</w:t>
      </w:r>
      <w:bookmarkStart w:id="49" w:name="_GoBack"/>
      <w:bookmarkEnd w:id="49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Г</w:t>
      </w:r>
      <w:bookmarkEnd w:id="48"/>
    </w:p>
    <w:p>
      <w:pPr>
        <w:widowControl w:val="false"/>
        <w:tabs>
          <w:tab w:val="left" w:pos="851"/>
        </w:tabs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оказания услуг, предусмотренных требованиями настоящего ТЗ:</w:t>
      </w:r>
    </w:p>
    <w:p>
      <w:pPr>
        <w:widowControl w:val="false"/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Исполнитель и Заказчик, для обеспечения эффективного и оперативного взаимодействия, должны обменяться информацией о назначенных ответственных сотрудниках, с указанием данных о контактных адресах электронной почты.</w:t>
      </w:r>
    </w:p>
    <w:p>
      <w:pPr>
        <w:widowControl w:val="false"/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технических специалистов Исполнителя Заказчик должен обеспечить удаленный (дистанционный) доступ к компонентам (серверам) промышленной (и тестовой, при ее наличии) платформы Системы, с соответствующими правами доступа необходимыми для осуществления функций управления (администрирования) и тестирования (при необходимости).</w:t>
      </w:r>
    </w:p>
    <w:p>
      <w:pPr>
        <w:widowControl w:val="false"/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Доступ специалистов Исполнителя к продуктивной платформе Системы предоставляется Заказчиком в случае невозможности дистанционной диагностики проблемы при инцидентах с доступностью Модулей.</w:t>
      </w:r>
    </w:p>
    <w:p>
      <w:pPr>
        <w:widowControl w:val="false"/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Заказчик должен обеспечить доступ для специалистов Исполнителя к электронным сервисам продуктивной платформы Системы.</w:t>
      </w:r>
    </w:p>
    <w:p>
      <w:pPr>
        <w:widowControl w:val="false"/>
        <w:tabs>
          <w:tab w:val="left" w:pos="851"/>
        </w:tabs>
        <w:spacing w:after="0" w:line="312" w:lineRule="auto"/>
        <w:ind w:left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kern w:val="32"/>
          <w:sz w:val="28"/>
          <w:szCs w:val="28"/>
          <w:lang w:eastAsia="zh-CN"/>
        </w:rPr>
      </w:pPr>
      <w:bookmarkStart w:id="50" w:name="_Toc449715963"/>
      <w:r>
        <w:rPr>
          <w:rFonts w:ascii="Times New Roman" w:hAnsi="Times New Roman" w:eastAsia="Times New Roman" w:cs="Times New Roman"/>
          <w:b/>
          <w:bCs/>
          <w:kern w:val="32"/>
          <w:sz w:val="28"/>
          <w:szCs w:val="28"/>
          <w:lang w:eastAsia="zh-CN"/>
        </w:rPr>
        <w:br w:type="page" w:clear="all"/>
      </w:r>
    </w:p>
    <w:p>
      <w:pPr>
        <w:keepNext w:val="true"/>
        <w:keepLines w:val="true"/>
        <w:numPr>
          <w:ilvl w:val="0"/>
          <w:numId w:val="5"/>
        </w:numPr>
        <w:spacing w:after="200" w:before="200" w:line="240" w:lineRule="auto"/>
        <w:jc w:val="both"/>
        <w:outlineLvl w:val="0"/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</w:pPr>
      <w:bookmarkStart w:id="51" w:name="_Toc130223290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ТРЕБОВАНИЯ К </w:t>
      </w:r>
      <w:bookmarkEnd w:id="50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ОКАЗАНИЮ УСЛУГ</w:t>
      </w:r>
      <w:bookmarkEnd w:id="51"/>
    </w:p>
    <w:p>
      <w:pPr>
        <w:widowControl w:val="false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Исполнитель в рамках выполнения Договора должен обеспечить реализацию видов услуг, предусмотренных ТЗ. Описание и требования к срокам оказания услуг приведены в таблице 4.</w:t>
      </w:r>
    </w:p>
    <w:p>
      <w:pPr>
        <w:widowControl w:val="false"/>
        <w:tabs>
          <w:tab w:val="left" w:pos="851"/>
        </w:tabs>
        <w:spacing w:after="0" w:line="312" w:lineRule="auto"/>
        <w:ind w:firstLine="567"/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Таблица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instrText xml:space="preserve"> SEQ Таблица \* ARABIC </w:instrTex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 – Описание видов услуг</w:t>
      </w:r>
    </w:p>
    <w:tbl>
      <w:tblPr>
        <w:tblInd w:w="2" w:type="dxa"/>
        <w:tblW w:w="97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58"/>
        <w:gridCol w:w="2796"/>
        <w:gridCol w:w="4130"/>
        <w:gridCol w:w="2410"/>
      </w:tblGrid>
      <w:tr>
        <w:trPr>
          <w:cantSplit/>
        </w:trPr>
        <w:tc>
          <w:tcPr>
            <w:tcW w:w="458" w:type="dxa"/>
            <w:vAlign w:val="center"/>
          </w:tcPr>
          <w:p>
            <w:pPr>
              <w:widowControl w:val="false"/>
              <w:spacing w:after="20" w:before="20" w:line="264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№</w:t>
            </w:r>
          </w:p>
        </w:tc>
        <w:tc>
          <w:tcPr>
            <w:tcW w:w="2796" w:type="dxa"/>
            <w:vAlign w:val="center"/>
          </w:tcPr>
          <w:p>
            <w:pPr>
              <w:widowControl w:val="false"/>
              <w:spacing w:after="20" w:before="20" w:line="264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вида услуг</w:t>
            </w:r>
          </w:p>
        </w:tc>
        <w:tc>
          <w:tcPr>
            <w:tcW w:w="4130" w:type="dxa"/>
            <w:vAlign w:val="center"/>
          </w:tcPr>
          <w:p>
            <w:pPr>
              <w:widowControl w:val="false"/>
              <w:spacing w:after="20" w:before="20" w:line="264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 услуг по видам</w:t>
            </w:r>
          </w:p>
        </w:tc>
        <w:tc>
          <w:tcPr>
            <w:tcW w:w="2410" w:type="dxa"/>
            <w:vAlign w:val="center"/>
          </w:tcPr>
          <w:p>
            <w:pPr>
              <w:widowControl w:val="false"/>
              <w:spacing w:after="20" w:before="20" w:line="264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Срок исполнения</w:t>
            </w:r>
          </w:p>
        </w:tc>
      </w:tr>
      <w:tr>
        <w:trPr>
          <w:cantSplit/>
        </w:trPr>
        <w:tc>
          <w:tcPr>
            <w:tcW w:w="458" w:type="dxa"/>
          </w:tcPr>
          <w:p>
            <w:pPr>
              <w:widowControl w:val="false"/>
              <w:spacing w:after="20" w:before="20" w:line="264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</w:p>
        </w:tc>
        <w:tc>
          <w:tcPr>
            <w:tcW w:w="2796" w:type="dxa"/>
          </w:tcPr>
          <w:p>
            <w:pPr>
              <w:widowControl w:val="false"/>
              <w:spacing w:after="20" w:before="20" w:line="264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Техническое сопровождение, расширенная техническая поддержка Системы</w:t>
            </w:r>
          </w:p>
        </w:tc>
        <w:tc>
          <w:tcPr>
            <w:tcW w:w="4130" w:type="dxa"/>
          </w:tcPr>
          <w:p>
            <w:pPr>
              <w:widowControl w:val="false"/>
              <w:spacing w:after="20" w:before="20" w:line="264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Поддержка работоспособности Системы  и её адаптивное сопровождение</w:t>
            </w:r>
          </w:p>
        </w:tc>
        <w:tc>
          <w:tcPr>
            <w:tcW w:w="2410" w:type="dxa"/>
          </w:tcPr>
          <w:p>
            <w:pPr>
              <w:widowControl w:val="false"/>
              <w:spacing w:after="20" w:before="20" w:line="264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 даты подписания Договора до 10.12.2026 (включительно)</w:t>
            </w:r>
          </w:p>
        </w:tc>
      </w:tr>
    </w:tbl>
    <w:p>
      <w:pPr>
        <w:widowControl w:val="false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2" w:name="_Toc65907701"/>
      <w:bookmarkStart w:id="53" w:name="_Toc449715964"/>
      <w:bookmarkStart w:id="54" w:name="_Toc343530530"/>
      <w:bookmarkEnd w:id="5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оказания услуг Исполнитель должен обеспечить:</w:t>
      </w:r>
    </w:p>
    <w:p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консультирование пользователей по вопросам функционирования Системы;</w:t>
      </w:r>
    </w:p>
    <w:p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поддержание работоспособности Системы и решение инцидентов, связанных с доступностью Системы;</w:t>
      </w:r>
    </w:p>
    <w:p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проведение адаптации Системы;</w:t>
      </w:r>
    </w:p>
    <w:p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системное администрирование Системы.</w:t>
      </w:r>
    </w:p>
    <w:p>
      <w:pPr>
        <w:widowControl w:val="false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В процессе оказания услуг Исполнителем могут проводиться работы по плановому и внеплановому обслуживанию Системы на стороне Заказчика, в том числе работы по системному администрированию Системы.</w:t>
      </w:r>
    </w:p>
    <w:p>
      <w:pPr>
        <w:widowControl w:val="false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Выполнение плановых и внеплановых работ должно осуществляться в соответствии с режимом работы (доступности) Системы при условии предоставления доступа к серверам Системы со стороны Заказчика.</w:t>
      </w:r>
    </w:p>
    <w:p>
      <w:pPr>
        <w:widowControl w:val="false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К плановым работам относятся:</w:t>
      </w:r>
    </w:p>
    <w:p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системное администрирование Модулей;</w:t>
      </w:r>
    </w:p>
    <w:p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мониторинг работоспособности Системы.</w:t>
      </w:r>
    </w:p>
    <w:p>
      <w:pPr>
        <w:widowControl w:val="false"/>
        <w:spacing w:after="0" w:line="240" w:lineRule="auto"/>
        <w:ind w:firstLine="567"/>
        <w:jc w:val="both"/>
        <w:rPr>
          <w:rFonts w:ascii="Times New Roman" w:hAnsi="Times New Roman" w:eastAsia="MS Mincho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К внеплановым работам относятся любые другие работы требующие обслуживания Системы и не связанные с ее текущей работоспособностью. Выполнение работ по устранению инцидентов не является внеплановыми работами.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</w:p>
    <w:p>
      <w:pPr>
        <w:keepNext w:val="true"/>
        <w:widowControl w:val="false"/>
        <w:numPr>
          <w:ilvl w:val="1"/>
          <w:numId w:val="5"/>
        </w:numPr>
        <w:spacing w:after="0" w:before="160" w:line="240" w:lineRule="auto"/>
        <w:ind w:left="1230"/>
        <w:jc w:val="both"/>
        <w:outlineLvl w:val="1"/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55" w:name="_Toc130223291"/>
      <w:r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консультированию пользователей по вопросам функционирования </w:t>
      </w:r>
      <w:bookmarkEnd w:id="55"/>
      <w:r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Системы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оказания услуг по консультационной и методической поддержке, Исполнитель должен обеспечить:</w:t>
      </w:r>
    </w:p>
    <w:p>
      <w:pPr>
        <w:numPr>
          <w:ilvl w:val="2"/>
          <w:numId w:val="4"/>
        </w:numPr>
        <w:tabs>
          <w:tab w:val="left" w:pos="142"/>
          <w:tab w:val="left" w:pos="993"/>
          <w:tab w:val="left" w:pos="1134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дистанционные консультации и проведение инструктажа по эффективному использованию Системы посредством электронной почты, для ответственных по работе с Системой сотрудников Заказчика.</w:t>
      </w:r>
    </w:p>
    <w:p>
      <w:pPr>
        <w:keepNext w:val="true"/>
        <w:widowControl w:val="false"/>
        <w:numPr>
          <w:ilvl w:val="1"/>
          <w:numId w:val="5"/>
        </w:numPr>
        <w:spacing w:after="0" w:before="160" w:line="240" w:lineRule="auto"/>
        <w:jc w:val="both"/>
        <w:outlineLvl w:val="1"/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56" w:name="_Toc130223292"/>
      <w:r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поддержанию работоспособности и решению инцидентов, связанных с доступностью </w:t>
      </w:r>
      <w:bookmarkEnd w:id="56"/>
      <w:r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Системы </w:t>
      </w:r>
      <w:bookmarkEnd w:id="53"/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оказания услуг по поддержанию работоспособности Системы, Исполнитель должен обеспечить:</w:t>
      </w:r>
    </w:p>
    <w:p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устранение инцидентов (ошибок, сбоев), мешающих полноценному использованию Системы.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Зоны ответственности за устранение инцидентов, связанных с недоступностью Модулей указаны в таблице 5.</w:t>
      </w:r>
    </w:p>
    <w:p>
      <w:pPr>
        <w:tabs>
          <w:tab w:val="left" w:pos="142"/>
          <w:tab w:val="left" w:pos="1134"/>
          <w:tab w:val="left" w:pos="1701"/>
        </w:tabs>
        <w:spacing w:after="0" w:line="312" w:lineRule="auto"/>
        <w:ind w:left="709"/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Таблица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instrText xml:space="preserve"> SEQ Таблица \* ARABIC </w:instrTex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 – Зоны ответственности</w:t>
      </w:r>
    </w:p>
    <w:tbl>
      <w:tblPr>
        <w:jc w:val="center"/>
        <w:tblW w:w="100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792"/>
        <w:gridCol w:w="2225"/>
      </w:tblGrid>
      <w:tr>
        <w:trPr>
          <w:cantSplit/>
          <w:jc w:val="center"/>
          <w:tblHeader/>
        </w:trPr>
        <w:tc>
          <w:tcPr>
            <w:tcW w:w="7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true"/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</w:rPr>
              <w:t xml:space="preserve">Причины возникновения аварии или инцидента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true"/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</w:rPr>
              <w:t xml:space="preserve">Ответственный за устранение</w:t>
            </w:r>
          </w:p>
        </w:tc>
      </w:tr>
      <w:tr>
        <w:trPr>
          <w:cantSplit/>
          <w:jc w:val="center"/>
        </w:trPr>
        <w:tc>
          <w:tcPr>
            <w:tcW w:w="7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false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Аппаратно-программный сбой, выражающийся в недоступности серверов, на которых установлено специальное программное обеспечение Модулей (или недостаточности их отдельных системных ресурсов), локальной вычислительной сети, каналов передачи данных или средств защиты информации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Заказчик</w:t>
            </w:r>
          </w:p>
        </w:tc>
      </w:tr>
      <w:tr>
        <w:trPr>
          <w:cantSplit/>
          <w:jc w:val="center"/>
        </w:trPr>
        <w:tc>
          <w:tcPr>
            <w:tcW w:w="7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false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Сбой на уровне операционной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, сбой на уровне СУБД, сервера приложений, специального программного обеспечения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Системы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fals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Исполнитель</w:t>
            </w:r>
          </w:p>
        </w:tc>
      </w:tr>
    </w:tbl>
    <w:p>
      <w:pPr>
        <w:keepNext w:val="true"/>
        <w:widowControl w:val="false"/>
        <w:numPr>
          <w:ilvl w:val="1"/>
          <w:numId w:val="5"/>
        </w:numPr>
        <w:spacing w:after="0" w:before="160" w:line="360" w:lineRule="atLeast"/>
        <w:jc w:val="both"/>
        <w:outlineLvl w:val="1"/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57" w:name="_Toc130223293"/>
      <w:bookmarkStart w:id="58" w:name="_Toc449715966"/>
      <w:r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проведению адаптации </w:t>
      </w:r>
      <w:bookmarkEnd w:id="57"/>
      <w:r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Системы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требованиями пункта 4.1 ГОСТ Р ИСО/МЭК 14764-2002 Исполнитель должен осуществлять адаптивное сопровождение Системы, а именно - изменение (модификацию) программного продукта после поставки, обеспечивающее его работоспособность в измененных или изменяющихся условиях (среде). 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требованиями пункта 6.2 ГОСТ Р ИСО/МЭК 14764-2002 изменения, вносимые при адаптивном и полном сопровождении, модернизируют программный продукт. Данные требования вносят сверх технических требований (спецификаций), установленных при проектировании или выпуске программного средства. Изменения, вносимые при адаптивном сопровождении (адаптивные изменения), связаны с необходимостью адаптации программного продукта к изменившейся среде (условиям).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указанными выше требованиями ГОСТ, Исполнитель должен обеспечить адаптивные изменения Системы в случае изменения окружающей среды, а именно:</w:t>
      </w:r>
    </w:p>
    <w:p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разработку и установку плановых пакетов обновлений Системы (не менее одного обновления в год), по инициативе Исполнителя; </w:t>
      </w:r>
    </w:p>
    <w:p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адаптацию существующих сервисов СМЭВ, адаптеров к сервисам и видам сведений СМЭВ в соответствии с изменениями в федеральных требованиях, не расширяющими существующий функционал Системы;</w:t>
      </w:r>
    </w:p>
    <w:p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актуализацию справочников Системы, необходимых для приема заявлений с ЕПГУ.</w:t>
      </w:r>
    </w:p>
    <w:p>
      <w:pPr>
        <w:tabs>
          <w:tab w:val="left" w:pos="142"/>
          <w:tab w:val="left" w:pos="1134"/>
          <w:tab w:val="left" w:pos="1701"/>
        </w:tabs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  <w:tab w:val="left" w:pos="1134"/>
          <w:tab w:val="left" w:pos="1701"/>
        </w:tabs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  <w:tab w:val="left" w:pos="1134"/>
          <w:tab w:val="left" w:pos="1701"/>
        </w:tabs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  <w:tab w:val="left" w:pos="1134"/>
          <w:tab w:val="left" w:pos="1701"/>
        </w:tabs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  <w:tab w:val="left" w:pos="1134"/>
          <w:tab w:val="left" w:pos="1701"/>
        </w:tabs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keepNext w:val="true"/>
        <w:widowControl w:val="false"/>
        <w:numPr>
          <w:ilvl w:val="1"/>
          <w:numId w:val="5"/>
        </w:numPr>
        <w:spacing w:after="0" w:before="160" w:line="240" w:lineRule="auto"/>
        <w:jc w:val="both"/>
        <w:outlineLvl w:val="1"/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мониторингу доступности и производительности Системы 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оказания услуг по мониторингу Системы Исполнитель должен согласовать с Заказчиком возможность использования СПО мониторинга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Zabbix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и, в случае согласования, разработать и согласовать с Заказчиком Регламент мониторинга.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После утверждения Регламента мониторинга Заказчиком Исполнитель должен установить и настроить СПО для мониторинга, после чего начать осуществлять мониторинг Системы в соответствии с утверждённым Регламентом мониторинга.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СПО для мониторинга доступно по адресу: </w:t>
      </w:r>
      <w:hyperlink r:id="rId12" w:history="1">
        <w:r>
          <w:rPr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http://www.zabbix.com/download.php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случае, если Заказчик не согласовывает использование СПО для мониторинга, мониторинг осуществляется встроенными средствами операционной системы сервера, на котором расположена Система.</w:t>
      </w:r>
    </w:p>
    <w:p>
      <w:pPr>
        <w:shd w:val="clear" w:color="auto" w:fill="ffffff"/>
        <w:tabs>
          <w:tab w:val="left" w:pos="142"/>
          <w:tab w:val="left" w:pos="1134"/>
        </w:tabs>
        <w:spacing w:after="0" w:line="0" w:lineRule="atLeast"/>
        <w:ind w:firstLine="567"/>
        <w:contextualSpacing w:val="true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keepNext w:val="true"/>
        <w:widowControl w:val="false"/>
        <w:numPr>
          <w:ilvl w:val="1"/>
          <w:numId w:val="5"/>
        </w:numPr>
        <w:spacing w:after="0" w:before="160" w:line="240" w:lineRule="auto"/>
        <w:jc w:val="both"/>
        <w:outlineLvl w:val="1"/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59" w:name="_Toc130223295"/>
      <w:bookmarkStart w:id="60" w:name="_Toc449715967"/>
      <w:bookmarkEnd w:id="58"/>
      <w:r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системному администрированию</w:t>
      </w:r>
      <w:bookmarkEnd w:id="59"/>
    </w:p>
    <w:p>
      <w:pPr>
        <w:shd w:val="clear" w:color="auto" w:fill="ffffff"/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оказания услуг по системному администрированию Системы Исполнитель должен осуществлять:</w:t>
      </w:r>
    </w:p>
    <w:p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анализ целостности БД - ежедневно;</w:t>
      </w:r>
    </w:p>
    <w:p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оптимизацию БД - при необходимости;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</w:p>
    <w:p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оптимизацию индексов базы данных - при необходимости.</w:t>
      </w:r>
    </w:p>
    <w:p>
      <w:pPr>
        <w:keepNext w:val="true"/>
        <w:widowControl w:val="false"/>
        <w:numPr>
          <w:ilvl w:val="1"/>
          <w:numId w:val="5"/>
        </w:numPr>
        <w:spacing w:after="0" w:before="160" w:line="240" w:lineRule="auto"/>
        <w:jc w:val="both"/>
        <w:outlineLvl w:val="1"/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61" w:name="_Toc130223296"/>
      <w:bookmarkStart w:id="62" w:name="_Toc130223646"/>
      <w:bookmarkStart w:id="63" w:name="_Toc449715974"/>
      <w:bookmarkEnd w:id="54"/>
      <w:bookmarkEnd w:id="60"/>
      <w:r>
        <w:rPr>
          <w:rFonts w:ascii="Times New Roman" w:hAnsi="Times New Roman" w:eastAsia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резервному копированию</w:t>
      </w:r>
      <w:bookmarkEnd w:id="61"/>
      <w:bookmarkEnd w:id="62"/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Резервное копирование и проверка целостности базы данных должны осуществляться встроенными средствами резервного копирования Системы по настроенному расписанию, согласованному с Заказчиком.</w:t>
      </w:r>
    </w:p>
    <w:p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Хранение созданных резервных копий сведений Системы должно осуществляться на технических средствах Заказчика отдельно от самой Системы. Технические средства для размещения резервных копий предоставляются Заказчиком.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page" w:clear="all"/>
      </w:r>
    </w:p>
    <w:p>
      <w:pPr>
        <w:shd w:val="clear" w:color="auto" w:fill="ffffff"/>
        <w:tabs>
          <w:tab w:val="left" w:pos="142"/>
          <w:tab w:val="left" w:pos="1134"/>
        </w:tabs>
        <w:spacing w:after="0" w:line="312" w:lineRule="auto"/>
        <w:ind w:firstLine="567"/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</w:pPr>
    </w:p>
    <w:p>
      <w:pPr>
        <w:keepNext w:val="true"/>
        <w:keepLines w:val="true"/>
        <w:numPr>
          <w:ilvl w:val="0"/>
          <w:numId w:val="5"/>
        </w:numPr>
        <w:spacing w:after="200" w:before="200" w:line="240" w:lineRule="auto"/>
        <w:jc w:val="both"/>
        <w:outlineLvl w:val="0"/>
        <w:rPr>
          <w:rFonts w:ascii="Times New Roman" w:hAnsi="Times New Roman" w:eastAsia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  <w:bookmarkStart w:id="64" w:name="_Toc130223297"/>
      <w:r>
        <w:rPr>
          <w:rFonts w:ascii="Times New Roman" w:hAnsi="Times New Roman" w:eastAsia="Times New Roman" w:cs="Times New Roman"/>
          <w:b/>
          <w:bCs/>
          <w:caps/>
          <w:kern w:val="32"/>
          <w:sz w:val="28"/>
          <w:szCs w:val="28"/>
          <w:lang w:val="x-none" w:eastAsia="x-none"/>
        </w:rPr>
        <w:t xml:space="preserve">ТРЕБОВАНИЯ К ДОКУМЕНТАЦИИ</w:t>
      </w:r>
      <w:bookmarkEnd w:id="63"/>
      <w:bookmarkEnd w:id="64"/>
    </w:p>
    <w:p>
      <w:pPr>
        <w:tabs>
          <w:tab w:val="left" w:pos="993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Исполнитель по окончанию оказания услуги должен предоставить Заказчику отчет об оказании услуг и Технический акт сдачи-приемки оказанных услуг, в срок до 10.12.2026 г. (включительно). Форма Технического акта сдачи-приемки оказанных услуг представлена в Приложении № 2 к настоящему ТЗ.</w:t>
      </w:r>
    </w:p>
    <w:p>
      <w:pPr>
        <w:tabs>
          <w:tab w:val="left" w:pos="993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Вся документация должна быть представлена Заказчику на машинном носителе в 1 (одном) экземпляре. Текстовые документы, передаваемые на машинных носителях должны быть в формате 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pdf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</w:p>
    <w:p>
      <w:pPr>
        <w:tabs>
          <w:tab w:val="left" w:pos="993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Документация должна быть выполнена на русском языке, за исключением официальных наименований используемого программного и технического обеспечения, а также кодов программ.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kern w:val="32"/>
          <w:sz w:val="28"/>
          <w:szCs w:val="28"/>
          <w:lang w:eastAsia="zh-CN"/>
        </w:rPr>
      </w:pPr>
      <w:bookmarkStart w:id="65" w:name="_Toc336873833"/>
      <w:bookmarkStart w:id="66" w:name="_Ref345668277"/>
      <w:bookmarkStart w:id="67" w:name="_Toc416341423"/>
      <w:bookmarkStart w:id="68" w:name="_Toc449715975"/>
      <w:r>
        <w:rPr>
          <w:rFonts w:ascii="Times New Roman" w:hAnsi="Times New Roman" w:eastAsia="Times New Roman" w:cs="Times New Roman"/>
          <w:b/>
          <w:bCs/>
          <w:kern w:val="32"/>
          <w:sz w:val="28"/>
          <w:szCs w:val="28"/>
          <w:lang w:eastAsia="zh-CN"/>
        </w:rPr>
        <w:br w:type="page" w:clear="all"/>
      </w:r>
    </w:p>
    <w:p>
      <w:pPr>
        <w:keepNext w:val="true"/>
        <w:keepLines w:val="true"/>
        <w:numPr>
          <w:ilvl w:val="0"/>
          <w:numId w:val="5"/>
        </w:numPr>
        <w:spacing w:after="200" w:before="200" w:line="240" w:lineRule="auto"/>
        <w:jc w:val="both"/>
        <w:outlineLvl w:val="0"/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</w:pPr>
      <w:bookmarkStart w:id="69" w:name="_Toc130223298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ТРЕБОВАНИЯ К ПОРЯДКУ СДАЧИ-ПРИЕМКИ </w:t>
      </w:r>
      <w:bookmarkEnd w:id="65"/>
      <w:bookmarkEnd w:id="66"/>
      <w:bookmarkEnd w:id="67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РЕЗУЛЬТАТОВ </w:t>
      </w:r>
      <w:bookmarkEnd w:id="68"/>
      <w:r>
        <w:rPr>
          <w:rFonts w:ascii="Times New Roman" w:hAnsi="Times New Roman" w:eastAsia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оказанных услуг</w:t>
      </w:r>
      <w:bookmarkEnd w:id="69"/>
    </w:p>
    <w:p>
      <w:pPr>
        <w:tabs>
          <w:tab w:val="left" w:pos="993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Сдача-приёмка результатов Услуг, оказанных по требованиям ТЗ, проводится в следующем порядке:</w:t>
      </w:r>
    </w:p>
    <w:p>
      <w:pPr>
        <w:tabs>
          <w:tab w:val="num" w:pos="0"/>
          <w:tab w:val="left" w:pos="284"/>
          <w:tab w:val="left" w:pos="567"/>
          <w:tab w:val="left" w:pos="851"/>
          <w:tab w:val="left" w:pos="1134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Исполнитель в срок не позднее 3 (трех) рабочих дней с момента завершения услуг должен сформировать и направить Заказчику:</w:t>
      </w:r>
    </w:p>
    <w:p>
      <w:pPr>
        <w:tabs>
          <w:tab w:val="num" w:pos="0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подписанный с его Стороны «Отчет об уровне технической поддержки Системы» (далее – Отчет) по форме, приведенной в Приложении № 1 к ТЗ;</w:t>
      </w:r>
    </w:p>
    <w:p>
      <w:pPr>
        <w:tabs>
          <w:tab w:val="num" w:pos="0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подписанный Заказчиком Технический акт сдачи-приемки оказанных услуг по форме, приведенной в Приложении № 2 к Техническому заданию;</w:t>
      </w:r>
    </w:p>
    <w:p>
      <w:pPr>
        <w:tabs>
          <w:tab w:val="num" w:pos="0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- 2 (два) экземпляра подписанных с его стороны Акта сдачи – приёмки оказанных услуг;</w:t>
      </w:r>
    </w:p>
    <w:p>
      <w:pPr>
        <w:tabs>
          <w:tab w:val="num" w:pos="0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счет, счет-фактуру.</w:t>
      </w:r>
    </w:p>
    <w:p>
      <w:pPr>
        <w:tabs>
          <w:tab w:val="num" w:pos="0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Заказчик не позднее 4 (четырех) рабочих дней с даты поступления от Исполнителя документов, указанных в пункте 1 настоящего раздела, должен рассмотреть их, и при отсутствии каких-либо замечаний, подписать Акт сдачи–приёмки оказанных услуг.</w:t>
      </w:r>
    </w:p>
    <w:p>
      <w:pPr>
        <w:tabs>
          <w:tab w:val="num" w:pos="0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случае выявления Заказчиком в ходе рассмотрения документов, указанных в пункте 1 настоящего раздела, неактуальных, противоречивых либо неполных сведений Заказчик возвращает Исполнителю документы на доработку с указанием причин отказа в приемке документов. В этом случае Акт сдачи – приёмки оказанных услуг подписывается между Исполнителем и Заказчиком после полного устранения Исполнителем выявленных Заказчиком замечаний.</w:t>
      </w:r>
    </w:p>
    <w:p>
      <w:pPr>
        <w:tabs>
          <w:tab w:val="num" w:pos="0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Подписанный между Исполнителем и Заказчиком Акт сдачи – приёмки оказанных услуг является основанием для оплаты Услуг, оказанных по требованиям ТЗ.</w:t>
      </w:r>
    </w:p>
    <w:p>
      <w:pPr>
        <w:keepNext w:val="true"/>
        <w:keepLines w:val="true"/>
        <w:tabs>
          <w:tab w:val="num" w:pos="360"/>
        </w:tabs>
        <w:spacing w:after="200" w:before="200" w:line="240" w:lineRule="auto"/>
        <w:ind w:left="357"/>
        <w:jc w:val="right"/>
        <w:outlineLvl w:val="0"/>
        <w:rPr>
          <w:rFonts w:ascii="Times New Roman" w:hAnsi="Times New Roman" w:eastAsia="Times New Roman" w:cs="Times New Roman"/>
          <w:b/>
          <w:bCs/>
          <w:caps/>
          <w:kern w:val="32"/>
          <w:sz w:val="36"/>
          <w:szCs w:val="32"/>
          <w:lang w:val="x-none" w:eastAsia="x-none"/>
        </w:rPr>
      </w:pPr>
      <w:r>
        <w:rPr>
          <w:rFonts w:ascii="Times New Roman" w:hAnsi="Times New Roman" w:eastAsia="Times New Roman" w:cs="Times New Roman"/>
          <w:b/>
          <w:bCs/>
          <w:i/>
          <w:iCs/>
          <w:caps/>
          <w:kern w:val="32"/>
          <w:sz w:val="36"/>
          <w:szCs w:val="32"/>
          <w:lang w:val="x-none" w:eastAsia="x-none"/>
        </w:rPr>
        <w:br w:type="page" w:clear="all"/>
      </w:r>
    </w:p>
    <w:p>
      <w:pPr>
        <w:tabs>
          <w:tab w:val="left" w:pos="2552"/>
        </w:tabs>
        <w:spacing w:after="240" w:before="240" w:line="240" w:lineRule="auto"/>
        <w:contextualSpacing w:val="true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sectPr>
          <w:footerReference w:type="default" r:id="rId9"/>
          <w:pgSz w:h="16838" w:w="11906"/>
          <w:pgMar w:top="709" w:right="851" w:bottom="1134" w:left="1418" w:header="0" w:footer="548" w:gutter="0"/>
          <w:cols w:space="720"/>
          <w:titlePg/>
          <w:docGrid w:linePitch="360"/>
        </w:sectPr>
      </w:pPr>
    </w:p>
    <w:p>
      <w:pPr>
        <w:keepNext w:val="true"/>
        <w:keepLines w:val="true"/>
        <w:tabs>
          <w:tab w:val="num" w:pos="360"/>
        </w:tabs>
        <w:spacing w:after="200" w:before="200" w:line="240" w:lineRule="auto"/>
        <w:ind w:left="357"/>
        <w:jc w:val="right"/>
        <w:outlineLvl w:val="0"/>
        <w:rPr>
          <w:rFonts w:ascii="Times New Roman" w:hAnsi="Times New Roman" w:eastAsia="Times New Roman" w:cs="Times New Roman"/>
          <w:b/>
          <w:bCs/>
          <w:caps/>
          <w:kern w:val="32"/>
          <w:sz w:val="28"/>
          <w:szCs w:val="28"/>
          <w:lang w:eastAsia="x-none"/>
        </w:rPr>
      </w:pPr>
      <w:bookmarkStart w:id="70" w:name="_Toc130223299"/>
      <w:r>
        <w:rPr>
          <w:rFonts w:ascii="Times New Roman" w:hAnsi="Times New Roman" w:eastAsia="Times New Roman" w:cs="Times New Roman"/>
          <w:b/>
          <w:bCs/>
          <w:caps/>
          <w:kern w:val="32"/>
          <w:sz w:val="28"/>
          <w:szCs w:val="28"/>
          <w:lang w:val="x-none" w:eastAsia="x-none"/>
        </w:rPr>
        <w:t xml:space="preserve">Приложение №1</w:t>
      </w:r>
      <w:bookmarkEnd w:id="70"/>
      <w:r>
        <w:rPr>
          <w:rFonts w:ascii="Times New Roman" w:hAnsi="Times New Roman" w:eastAsia="Times New Roman" w:cs="Times New Roman"/>
          <w:b/>
          <w:bCs/>
          <w:caps/>
          <w:kern w:val="32"/>
          <w:sz w:val="28"/>
          <w:szCs w:val="28"/>
          <w:lang w:eastAsia="x-none"/>
        </w:rPr>
        <w:t xml:space="preserve">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  <w:t xml:space="preserve">Отчет об уровне технической поддержки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Системы</w:t>
      </w: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caps/>
          <w:color w:val="000000"/>
          <w:sz w:val="28"/>
          <w:szCs w:val="28"/>
          <w:lang w:eastAsia="zh-CN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  <w:t xml:space="preserve">Журнал обращений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bookmarkStart w:id="71" w:name="OLE_LINK27"/>
      <w:bookmarkStart w:id="72" w:name="OLE_LINK26"/>
      <w:bookmarkEnd w:id="71"/>
      <w:bookmarkEnd w:id="72"/>
    </w:p>
    <w:p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zh-CN"/>
        </w:rPr>
        <w:t xml:space="preserve">1. 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u w:val="single"/>
          <w:lang w:eastAsia="zh-CN"/>
        </w:rPr>
        <w:t xml:space="preserve">Наименование Исполнителя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в период с ________________ по _______________ выполнил(о) работу/услугу «Техническая поддержка» в объеме, указанном в Таблице 1.</w:t>
      </w:r>
    </w:p>
    <w:p>
      <w:pPr>
        <w:spacing w:after="0" w:line="240" w:lineRule="auto"/>
        <w:ind w:firstLine="284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Таблица 1 – Обращения в Службу технической поддержки Исполнителя </w:t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251659264" behindDoc="0" locked="0" layoutInCell="1" allowOverlap="1">
                <wp:simplePos x="0" y="0"/>
                <wp:positionH relativeFrom="page">
                  <wp:posOffset>433070</wp:posOffset>
                </wp:positionH>
                <wp:positionV relativeFrom="paragraph">
                  <wp:posOffset>40005</wp:posOffset>
                </wp:positionV>
                <wp:extent cx="9940290" cy="195643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9939600" cy="195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15645" w:type="dxa"/>
                              <w:tblCellMar>
                                <w:left w:w="52" w:type="dxa"/>
                                <w:right w:w="57" w:type="dxa"/>
                              </w:tblCellMar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694"/>
                              <w:gridCol w:w="1489"/>
                              <w:gridCol w:w="1327"/>
                              <w:gridCol w:w="1320"/>
                              <w:gridCol w:w="923"/>
                              <w:gridCol w:w="1319"/>
                              <w:gridCol w:w="1348"/>
                              <w:gridCol w:w="1551"/>
                              <w:gridCol w:w="1320"/>
                              <w:gridCol w:w="1865"/>
                              <w:gridCol w:w="2489"/>
                            </w:tblGrid>
                            <w:tr>
                              <w:trPr>
                                <w:trHeight w:val="104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</w:tcPr>
                                <w:p>
                                  <w:pPr>
                                    <w:pStyle w:val="a5"/>
                                    <w:spacing w:after="0" w:line="0" w:lineRule="atLeast"/>
                                    <w:contextualSpacing w:val="true"/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№</w:t>
                                  </w:r>
                                </w:p>
                                <w:p>
                                  <w:pPr>
                                    <w:pStyle w:val="a5"/>
                                    <w:spacing w:after="0" w:line="0" w:lineRule="atLeast"/>
                                    <w:contextualSpacing w:val="true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п/п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Дата и время регистрации обращения</w:t>
                                  </w: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Дата и время решения обращения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Тип обращения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Статус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Приоритет обращения</w:t>
                                  </w: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Краткое описание обращения</w:t>
                                  </w: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Сведения о ходе решения обращения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Способ получения обращения</w:t>
                                  </w: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ФИО и должность, обратившегося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Контакты для обратной связи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exact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40" w:hRule="exact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40" w:hRule="exact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40" w:hRule="exact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251659264;o:allowoverlap:true;o:allowincell:true;mso-position-horizontal-relative:page;margin-left:34.10pt;mso-position-horizontal:absolute;mso-position-vertical-relative:text;margin-top:3.15pt;mso-position-vertical:absolute;width:782.70pt;height:154.05pt;mso-wrap-distance-left:9.05pt;mso-wrap-distance-top:0.00pt;mso-wrap-distance-right:9.05pt;mso-wrap-distance-bottom:0.00pt;visibility:visible;" filled="f" stroked="f">
                <w10:wrap type="square"/>
                <v:textbox inset="0,0,0,0">
                  <w:txbxContent>
                    <w:tbl>
                      <w:tblPr>
                        <w:tblW w:w="15645" w:type="dxa"/>
                        <w:tblCellMar>
                          <w:left w:w="52" w:type="dxa"/>
                          <w:right w:w="57" w:type="dxa"/>
                        </w:tblCellMar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694"/>
                        <w:gridCol w:w="1489"/>
                        <w:gridCol w:w="1327"/>
                        <w:gridCol w:w="1320"/>
                        <w:gridCol w:w="923"/>
                        <w:gridCol w:w="1319"/>
                        <w:gridCol w:w="1348"/>
                        <w:gridCol w:w="1551"/>
                        <w:gridCol w:w="1320"/>
                        <w:gridCol w:w="1865"/>
                        <w:gridCol w:w="2489"/>
                      </w:tblGrid>
                      <w:tr>
                        <w:trPr>
                          <w:trHeight w:val="1042"/>
                        </w:trPr>
                        <w:tc>
                          <w:tcPr>
                            <w:tcW w:w="694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</w:tcPr>
                          <w:p>
                            <w:pPr>
                              <w:pStyle w:val="a5"/>
                              <w:spacing w:after="0" w:line="0" w:lineRule="atLeast"/>
                              <w:contextualSpacing w:val="true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№</w:t>
                            </w:r>
                          </w:p>
                          <w:p>
                            <w:pPr>
                              <w:pStyle w:val="a5"/>
                              <w:spacing w:after="0" w:line="0" w:lineRule="atLeast"/>
                              <w:contextualSpacing w:val="true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п/п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Дата и время регистрации обращения</w:t>
                            </w: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Дата и время решения обращения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Тип обращения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Статус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Приоритет обращения</w:t>
                            </w: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Краткое описание обращения</w:t>
                            </w: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Сведения о ходе решения обращения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Способ получения обращения</w:t>
                            </w: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ФИО и должность, обратившегося</w:t>
                            </w: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Контакты для обратной связи</w:t>
                            </w:r>
                          </w:p>
                        </w:tc>
                      </w:tr>
                      <w:tr>
                        <w:trPr>
                          <w:trHeight w:val="340" w:hRule="exact"/>
                        </w:trPr>
                        <w:tc>
                          <w:tcPr>
                            <w:tcW w:w="694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40" w:hRule="exact"/>
                        </w:trPr>
                        <w:tc>
                          <w:tcPr>
                            <w:tcW w:w="694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40" w:hRule="exact"/>
                        </w:trPr>
                        <w:tc>
                          <w:tcPr>
                            <w:tcW w:w="694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40" w:hRule="exact"/>
                        </w:trPr>
                        <w:tc>
                          <w:tcPr>
                            <w:tcW w:w="694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a5"/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Ind w:w="416" w:type="dxa"/>
        <w:tblW w:w="15230" w:type="dxa"/>
        <w:tblLook w:val="04A0" w:firstRow="1" w:lastRow="0" w:firstColumn="1" w:lastColumn="0" w:noHBand="0" w:noVBand="1"/>
      </w:tblPr>
      <w:tblGrid>
        <w:gridCol w:w="7616"/>
        <w:gridCol w:w="7614"/>
      </w:tblGrid>
      <w:tr>
        <w:tc>
          <w:tcPr>
            <w:tcW w:w="7615" w:type="dxa"/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ИТОГО зарегистрировано: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Всего обращений: ________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Из них инцидентов: _______</w:t>
            </w:r>
          </w:p>
        </w:tc>
        <w:tc>
          <w:tcPr>
            <w:tcW w:w="7614" w:type="dxa"/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ИТОГО решено (Статус обращения «Закрыто»):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Всего обращений: ________</w:t>
            </w:r>
          </w:p>
          <w:p>
            <w:pPr>
              <w:spacing w:after="0" w:line="240" w:lineRule="auto"/>
              <w:ind w:firstLine="1097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Из них инцидентов: _______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  <w:sectPr>
          <w:footerReference w:type="default" r:id="rId10"/>
          <w:pgSz w:h="11906" w:orient="landscape" w:w="16838"/>
          <w:pgMar w:top="1701" w:right="567" w:bottom="851" w:left="425" w:header="0" w:footer="295" w:gutter="0"/>
          <w:cols w:space="720"/>
          <w:docGrid w:linePitch="360"/>
        </w:sect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zh-CN"/>
        </w:rPr>
        <w:t xml:space="preserve">Журнал обслуживания ПО (ОПО)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  <w:t xml:space="preserve">с «_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  <w:t xml:space="preserve">_»_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zh-CN"/>
        </w:rPr>
        <w:t xml:space="preserve">_____ по «__»_______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tbl>
      <w:tblPr>
        <w:tblInd w:w="93" w:type="dxa"/>
        <w:tblW w:w="98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fixed"/>
      </w:tblPr>
      <w:tblGrid>
        <w:gridCol w:w="1887"/>
        <w:gridCol w:w="1559"/>
        <w:gridCol w:w="1276"/>
        <w:gridCol w:w="1417"/>
        <w:gridCol w:w="1843"/>
        <w:gridCol w:w="1843"/>
      </w:tblGrid>
      <w:tr>
        <w:trPr>
          <w:trHeight w:val="20"/>
        </w:trPr>
        <w:tc>
          <w:tcPr>
            <w:tcW w:w="1887" w:type="dxa"/>
            <w:shd w:val="clear" w:color="auto" w:fill="auto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Уникальный идентификатор (номер) операции.</w:t>
            </w:r>
          </w:p>
        </w:tc>
        <w:tc>
          <w:tcPr>
            <w:tcW w:w="1559" w:type="dxa"/>
            <w:shd w:val="clear" w:color="auto" w:fill="auto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Дата и время выполнения операции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Вид операции</w:t>
            </w:r>
          </w:p>
        </w:tc>
        <w:tc>
          <w:tcPr>
            <w:tcW w:w="141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Описание операции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Фамилия, имя, отчество сотрудника, выполнившего операцию</w:t>
            </w:r>
          </w:p>
        </w:tc>
        <w:tc>
          <w:tcPr>
            <w:tcW w:w="1843" w:type="dxa"/>
            <w:shd w:val="clear" w:color="auto" w:fill="auto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Уникальный идентификатор обращения, с которым связана операция (при наличии)</w:t>
            </w:r>
          </w:p>
        </w:tc>
      </w:tr>
      <w:tr>
        <w:trPr>
          <w:trHeight w:val="20"/>
        </w:trPr>
        <w:tc>
          <w:tcPr>
            <w:tcW w:w="1887" w:type="dxa"/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20"/>
        </w:trPr>
        <w:tc>
          <w:tcPr>
            <w:tcW w:w="1887" w:type="dxa"/>
            <w:shd w:val="clear" w:color="auto" w:fill="auto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Количество выполненных операций обслуживания за период:</w:t>
      </w:r>
    </w:p>
    <w:tbl>
      <w:tblPr>
        <w:tblInd w:w="108" w:type="dxa"/>
        <w:tblW w:w="98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132"/>
        <w:gridCol w:w="4694"/>
      </w:tblGrid>
      <w:tr>
        <w:tc>
          <w:tcPr>
            <w:tcW w:w="513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Вид операции</w:t>
            </w:r>
          </w:p>
        </w:tc>
        <w:tc>
          <w:tcPr>
            <w:tcW w:w="4694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Количество выполненных операций</w:t>
            </w:r>
          </w:p>
        </w:tc>
      </w:tr>
      <w:tr>
        <w:tc>
          <w:tcPr>
            <w:tcW w:w="513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установка обновлений ПО (ОПО)</w:t>
            </w:r>
          </w:p>
        </w:tc>
        <w:tc>
          <w:tcPr>
            <w:tcW w:w="4694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>
        <w:tc>
          <w:tcPr>
            <w:tcW w:w="513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внесение изменений в настройки ПО (ОПО)</w:t>
            </w:r>
          </w:p>
        </w:tc>
        <w:tc>
          <w:tcPr>
            <w:tcW w:w="4694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>
        <w:tc>
          <w:tcPr>
            <w:tcW w:w="513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адаптация Системы в связи с изменениями окружающей среды</w:t>
            </w:r>
          </w:p>
        </w:tc>
        <w:tc>
          <w:tcPr>
            <w:tcW w:w="4694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p>
      <w:pPr>
        <w:tabs>
          <w:tab w:val="left" w:pos="4245"/>
        </w:tabs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ab/>
      </w:r>
    </w:p>
    <w:tbl>
      <w:tblPr>
        <w:tblW w:w="9147" w:type="dxa"/>
        <w:tblLook w:val="04A0" w:firstRow="1" w:lastRow="0" w:firstColumn="1" w:lastColumn="0" w:noHBand="0" w:noVBand="1"/>
      </w:tblPr>
      <w:tblGrid>
        <w:gridCol w:w="3360"/>
        <w:gridCol w:w="2256"/>
        <w:gridCol w:w="3531"/>
      </w:tblGrid>
      <w:tr>
        <w:tc>
          <w:tcPr>
            <w:tcW w:w="33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Ответственное лицо Исполнителя</w:t>
            </w:r>
          </w:p>
        </w:tc>
        <w:tc>
          <w:tcPr>
            <w:tcW w:w="2256" w:type="dxa"/>
            <w:shd w:val="clear" w:color="auto" w:fill="auto"/>
          </w:tcPr>
          <w:p>
            <w:pPr>
              <w:spacing w:after="0" w:line="240" w:lineRule="auto"/>
              <w:ind w:firstLine="1027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Ответственное лицо Заказчика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  <w:tr>
        <w:tc>
          <w:tcPr>
            <w:tcW w:w="33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ФИО ____________________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Должность _______________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Подпись _________________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5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3531" w:type="dxa"/>
            <w:shd w:val="clear" w:color="auto" w:fill="auto"/>
          </w:tcPr>
          <w:p>
            <w:pPr>
              <w:spacing w:after="0" w:line="240" w:lineRule="auto"/>
              <w:ind w:firstLine="45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ФИО ____________________</w:t>
            </w:r>
          </w:p>
          <w:p>
            <w:pPr>
              <w:spacing w:after="0" w:line="240" w:lineRule="auto"/>
              <w:ind w:firstLine="45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Должность ______________</w:t>
            </w:r>
          </w:p>
          <w:p>
            <w:pPr>
              <w:spacing w:after="0" w:line="240" w:lineRule="auto"/>
              <w:ind w:firstLine="45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Подпись ________________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</w:tbl>
    <w:p>
      <w:pPr>
        <w:widowControl w:val="false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br w:type="page" w:clear="all"/>
      </w:r>
    </w:p>
    <w:p>
      <w:pPr>
        <w:spacing w:after="0" w:line="0" w:lineRule="atLeast"/>
        <w:contextualSpacing w:val="true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  <w:t xml:space="preserve">Отчет о недоступности Системы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  <w:br/>
        <w:t xml:space="preserve">с «__»______ по «__»_______</w:t>
      </w:r>
    </w:p>
    <w:p>
      <w:pPr>
        <w:spacing w:after="0" w:line="0" w:lineRule="atLeast"/>
        <w:contextualSpacing w:val="true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p>
      <w:pPr>
        <w:tabs>
          <w:tab w:val="left" w:pos="0"/>
        </w:tabs>
        <w:spacing w:after="0" w:line="0" w:lineRule="atLeast"/>
        <w:contextualSpacing w:val="true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Отчет о недоступности Системы сформирован на основе данных системы мониторинга СПО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Zabbix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.</w:t>
      </w:r>
    </w:p>
    <w:p>
      <w:pPr>
        <w:spacing w:after="0" w:line="0" w:lineRule="atLeast"/>
        <w:contextualSpacing w:val="true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tbl>
      <w:tblPr>
        <w:jc w:val="center"/>
        <w:tblW w:w="98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50"/>
        <w:gridCol w:w="2588"/>
        <w:gridCol w:w="2071"/>
        <w:gridCol w:w="2425"/>
        <w:gridCol w:w="2071"/>
      </w:tblGrid>
      <w:tr>
        <w:trPr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strike/>
                <w:color w:val="00000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п/п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Дата и время зафиксированного случая недоступности Системы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Время недоступности Системы,</w:t>
            </w:r>
          </w:p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час*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В том числе время недоступности по причинам в зоне ответственности Исполнителя, час*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Описание причины недоступности Системы</w:t>
            </w:r>
          </w:p>
        </w:tc>
      </w:tr>
      <w:tr>
        <w:trPr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1.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>
        <w:trPr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2.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>
        <w:trPr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3.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</w:tbl>
    <w:p>
      <w:pPr>
        <w:spacing w:after="0" w:line="0" w:lineRule="atLeast"/>
        <w:ind w:right="20"/>
        <w:contextualSpacing w:val="true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p>
      <w:pPr>
        <w:spacing w:after="0" w:line="0" w:lineRule="atLeast"/>
        <w:contextualSpacing w:val="true"/>
        <w:rPr>
          <w:rFonts w:ascii="Times New Roman" w:hAnsi="Times New Roman" w:eastAsia="Times New Roman" w:cs="Times New Roman"/>
          <w:i/>
          <w:iCs/>
          <w:caps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Суммарное время недоступности (часы): ______________</w:t>
      </w:r>
    </w:p>
    <w:p>
      <w:pPr>
        <w:spacing w:after="0" w:line="0" w:lineRule="atLeast"/>
        <w:contextualSpacing w:val="true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tbl>
      <w:tblPr>
        <w:tblW w:w="9147" w:type="dxa"/>
        <w:tblLook w:val="04A0" w:firstRow="1" w:lastRow="0" w:firstColumn="1" w:lastColumn="0" w:noHBand="0" w:noVBand="1"/>
      </w:tblPr>
      <w:tblGrid>
        <w:gridCol w:w="3360"/>
        <w:gridCol w:w="2256"/>
        <w:gridCol w:w="3531"/>
      </w:tblGrid>
      <w:tr>
        <w:tc>
          <w:tcPr>
            <w:tcW w:w="3360" w:type="dxa"/>
            <w:shd w:val="clear" w:color="auto" w:fill="auto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Ответственное лицо Исполнителя</w:t>
            </w:r>
          </w:p>
        </w:tc>
        <w:tc>
          <w:tcPr>
            <w:tcW w:w="2256" w:type="dxa"/>
            <w:shd w:val="clear" w:color="auto" w:fill="auto"/>
          </w:tcPr>
          <w:p>
            <w:pPr>
              <w:spacing w:after="0" w:line="0" w:lineRule="atLeast"/>
              <w:ind w:firstLine="1027"/>
              <w:contextualSpacing w:val="true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531" w:type="dxa"/>
            <w:shd w:val="clear" w:color="auto" w:fill="auto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Ответственное лицо Заказчика </w:t>
            </w:r>
          </w:p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  <w:tr>
        <w:tc>
          <w:tcPr>
            <w:tcW w:w="3360" w:type="dxa"/>
            <w:shd w:val="clear" w:color="auto" w:fill="auto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ФИО ____________________</w:t>
            </w:r>
          </w:p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Должность _______________</w:t>
            </w:r>
          </w:p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Подпись _________________</w:t>
            </w:r>
          </w:p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56" w:type="dxa"/>
            <w:shd w:val="clear" w:color="auto" w:fill="auto"/>
          </w:tcPr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i/>
                <w:color w:val="000000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3531" w:type="dxa"/>
            <w:shd w:val="clear" w:color="auto" w:fill="auto"/>
          </w:tcPr>
          <w:p>
            <w:pPr>
              <w:spacing w:after="0" w:line="0" w:lineRule="atLeast"/>
              <w:ind w:firstLine="45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ФИО ____________________</w:t>
            </w:r>
          </w:p>
          <w:p>
            <w:pPr>
              <w:spacing w:after="0" w:line="0" w:lineRule="atLeast"/>
              <w:ind w:firstLine="45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Должность ______________</w:t>
            </w:r>
          </w:p>
          <w:p>
            <w:pPr>
              <w:spacing w:after="0" w:line="0" w:lineRule="atLeast"/>
              <w:ind w:firstLine="45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  <w:t xml:space="preserve">Подпись ________________</w:t>
            </w:r>
          </w:p>
          <w:p>
            <w:pPr>
              <w:spacing w:after="0" w:line="0" w:lineRule="atLeast"/>
              <w:contextualSpacing w:val="true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</w:tbl>
    <w:p>
      <w:pPr>
        <w:widowControl w:val="false"/>
        <w:spacing w:after="0" w:line="0" w:lineRule="atLeast"/>
        <w:contextualSpacing w:val="true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</w:p>
    <w:p>
      <w:pPr>
        <w:widowControl w:val="false"/>
        <w:spacing w:after="0" w:line="0" w:lineRule="atLeast"/>
        <w:contextualSpacing w:val="true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widowControl w:val="false"/>
        <w:spacing w:after="0" w:line="0" w:lineRule="atLeast"/>
        <w:contextualSpacing w:val="true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* – При определении времени недоступности Системы учитывается только время недоступности Системы в рабочее время.</w:t>
      </w:r>
    </w:p>
    <w:p>
      <w:pPr>
        <w:spacing w:after="0" w:line="0" w:lineRule="atLeast"/>
        <w:contextualSpacing w:val="true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>
      <w:pPr>
        <w:keepNext w:val="true"/>
        <w:spacing w:after="0" w:line="0" w:lineRule="atLeast"/>
        <w:contextualSpacing w:val="true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br w:type="page" w:clear="all"/>
      </w:r>
    </w:p>
    <w:p>
      <w:pPr>
        <w:keepNext w:val="true"/>
        <w:keepLines w:val="true"/>
        <w:tabs>
          <w:tab w:val="num" w:pos="567"/>
        </w:tabs>
        <w:spacing w:after="200" w:before="200" w:line="240" w:lineRule="auto"/>
        <w:ind w:left="357"/>
        <w:jc w:val="right"/>
        <w:outlineLvl w:val="0"/>
        <w:rPr>
          <w:rFonts w:ascii="Times New Roman Полужирный" w:hAnsi="Times New Roman Полужирный" w:eastAsia="Times New Roman" w:cs="Times New Roman"/>
          <w:b/>
          <w:bCs/>
          <w:caps/>
          <w:kern w:val="32"/>
          <w:sz w:val="24"/>
          <w:szCs w:val="24"/>
          <w:lang w:val="x-none" w:eastAsia="x-none"/>
        </w:rPr>
      </w:pPr>
      <w:bookmarkStart w:id="73" w:name="_Toc436400463"/>
      <w:bookmarkStart w:id="74" w:name="_Toc449715977"/>
      <w:bookmarkStart w:id="75" w:name="_Toc130223300"/>
      <w:r>
        <w:rPr>
          <w:rFonts w:ascii="Times New Roman Полужирный" w:hAnsi="Times New Roman Полужирный" w:eastAsia="Times New Roman" w:cs="Times New Roman"/>
          <w:b/>
          <w:bCs/>
          <w:caps/>
          <w:kern w:val="32"/>
          <w:sz w:val="24"/>
          <w:szCs w:val="24"/>
          <w:lang w:val="x-none" w:eastAsia="x-none"/>
        </w:rPr>
        <w:t xml:space="preserve">Приложение </w:t>
      </w:r>
      <w:bookmarkEnd w:id="73"/>
      <w:bookmarkEnd w:id="74"/>
      <w:r>
        <w:rPr>
          <w:rFonts w:ascii="Times New Roman Полужирный" w:hAnsi="Times New Roman Полужирный" w:eastAsia="Times New Roman" w:cs="Times New Roman"/>
          <w:b/>
          <w:bCs/>
          <w:caps/>
          <w:kern w:val="32"/>
          <w:sz w:val="24"/>
          <w:szCs w:val="24"/>
          <w:lang w:val="x-none" w:eastAsia="x-none"/>
        </w:rPr>
        <w:t xml:space="preserve">№</w:t>
      </w:r>
      <w:r>
        <w:rPr>
          <w:rFonts w:ascii="Times New Roman Полужирный" w:hAnsi="Times New Roman Полужирный" w:eastAsia="Times New Roman" w:cs="Times New Roman"/>
          <w:b/>
          <w:bCs/>
          <w:caps/>
          <w:kern w:val="32"/>
          <w:sz w:val="24"/>
          <w:szCs w:val="24"/>
          <w:lang w:eastAsia="x-none"/>
        </w:rPr>
        <w:t xml:space="preserve"> </w:t>
      </w:r>
      <w:r>
        <w:rPr>
          <w:rFonts w:ascii="Times New Roman Полужирный" w:hAnsi="Times New Roman Полужирный" w:eastAsia="Times New Roman" w:cs="Times New Roman"/>
          <w:b/>
          <w:bCs/>
          <w:caps/>
          <w:kern w:val="32"/>
          <w:sz w:val="24"/>
          <w:szCs w:val="24"/>
          <w:lang w:val="x-none" w:eastAsia="x-none"/>
        </w:rPr>
        <w:t xml:space="preserve">2</w:t>
      </w:r>
      <w:bookmarkEnd w:id="75"/>
    </w:p>
    <w:p>
      <w:pPr>
        <w:spacing w:after="0" w:line="276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false"/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Технический акт сдачи-приемки оказанных услуг</w:t>
      </w:r>
    </w:p>
    <w:p>
      <w:pPr>
        <w:widowControl w:val="false"/>
        <w:spacing w:after="0" w:line="276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false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Мы, нижеподписавшиеся, от лица Исполнителя ____________________________________________________________________ </w:t>
      </w:r>
    </w:p>
    <w:p>
      <w:pPr>
        <w:widowControl w:val="false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действующ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 на основании___________________________________________ ____________________________________________________________________</w:t>
      </w:r>
    </w:p>
    <w:p>
      <w:pPr>
        <w:widowControl w:val="false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от лица Заказчика __________________________________________________ ____________________________________________________________________</w:t>
      </w:r>
    </w:p>
    <w:p>
      <w:pPr>
        <w:widowControl w:val="false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действующ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 на основании ___________________________________________ ____________________________________________________________________</w:t>
      </w:r>
    </w:p>
    <w:p>
      <w:pPr>
        <w:widowControl w:val="false"/>
        <w:tabs>
          <w:tab w:val="left" w:pos="1134"/>
        </w:tabs>
        <w:spacing w:after="20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составили настоящий технический акт сдачи-приемки оказанных услуг (далее – Акт) о нижеследующем: </w:t>
      </w:r>
    </w:p>
    <w:p>
      <w:pPr>
        <w:widowControl w:val="false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В соответствии с Договором № ________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«___» ____________ 202_г. Исполнителем оказаны, а Заказчиком приняты следующие услуги:</w:t>
      </w:r>
    </w:p>
    <w:p>
      <w:pPr>
        <w:widowControl w:val="false"/>
        <w:numPr>
          <w:ilvl w:val="0"/>
          <w:numId w:val="10"/>
        </w:numPr>
        <w:tabs>
          <w:tab w:val="left" w:pos="1134"/>
        </w:tabs>
        <w:spacing w:after="200" w:line="240" w:lineRule="auto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__________________________________________</w:t>
      </w:r>
    </w:p>
    <w:p>
      <w:pPr>
        <w:widowControl w:val="false"/>
        <w:numPr>
          <w:ilvl w:val="0"/>
          <w:numId w:val="10"/>
        </w:numPr>
        <w:tabs>
          <w:tab w:val="left" w:pos="1134"/>
        </w:tabs>
        <w:spacing w:after="200" w:line="240" w:lineRule="auto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___________________________________________</w:t>
      </w:r>
    </w:p>
    <w:p>
      <w:pPr>
        <w:widowControl w:val="false"/>
        <w:numPr>
          <w:ilvl w:val="0"/>
          <w:numId w:val="10"/>
        </w:numPr>
        <w:tabs>
          <w:tab w:val="left" w:pos="1134"/>
        </w:tabs>
        <w:spacing w:after="200" w:line="240" w:lineRule="auto"/>
        <w:jc w:val="both"/>
        <w:rPr>
          <w:rFonts w:ascii="Calibri" w:hAnsi="Calibri" w:eastAsia="Calibri" w:cs="Calibri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___________________________________________</w:t>
      </w:r>
    </w:p>
    <w:p>
      <w:pPr>
        <w:widowControl w:val="false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Услуги оказаны в полном объеме и в соответствии с требованиями, установленными Техническим заданием (Приложение № 2 к Договору).</w:t>
      </w:r>
    </w:p>
    <w:p>
      <w:pPr>
        <w:widowControl w:val="false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3. Объём оказанных услуг подтверждается следующими отчётными документами (при наличии):</w:t>
      </w:r>
    </w:p>
    <w:p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______________________________________________________________;</w:t>
      </w:r>
    </w:p>
    <w:p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______________________________________________________________.</w:t>
      </w:r>
    </w:p>
    <w:p>
      <w:pPr>
        <w:widowControl w:val="false"/>
        <w:tabs>
          <w:tab w:val="left" w:pos="851"/>
        </w:tabs>
        <w:spacing w:after="0" w:line="240" w:lineRule="auto"/>
        <w:ind w:firstLine="425" w:left="142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Стороны подтверждают, что Услуги оказаны надлежащим образом, в согласованные сроки и надлежащего качества.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Претензий друг другу Стороны не имеют. </w:t>
      </w:r>
    </w:p>
    <w:p>
      <w:pPr>
        <w:widowControl w:val="false"/>
        <w:numPr>
          <w:ilvl w:val="0"/>
          <w:numId w:val="6"/>
        </w:numPr>
        <w:tabs>
          <w:tab w:val="left" w:pos="851"/>
        </w:tabs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Особые условия ____________________________________________________________________________________________________________________________________</w:t>
      </w:r>
    </w:p>
    <w:p>
      <w:pPr>
        <w:widowControl w:val="false"/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Настоящий акт составлен в двух экземплярах, имеющих равную юридическую силу, по одному для каждой из Сторон.</w:t>
      </w:r>
    </w:p>
    <w:p>
      <w:pPr>
        <w:widowControl w:val="false"/>
        <w:spacing w:after="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jc w:val="center"/>
        <w:tblW w:w="9936" w:type="dxa"/>
        <w:tblLook w:val="0000" w:firstRow="0" w:lastRow="0" w:firstColumn="0" w:lastColumn="0" w:noHBand="0" w:noVBand="0"/>
        <w:tblLayout w:type="fixed"/>
      </w:tblPr>
      <w:tblGrid>
        <w:gridCol w:w="4644"/>
        <w:gridCol w:w="567"/>
        <w:gridCol w:w="4725"/>
      </w:tblGrid>
      <w:tr>
        <w:trPr>
          <w:jc w:val="center"/>
          <w:trHeight w:val="264"/>
        </w:trPr>
        <w:tc>
          <w:tcPr>
            <w:tcW w:w="464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Заказчик</w:t>
            </w:r>
          </w:p>
        </w:tc>
        <w:tc>
          <w:tcPr>
            <w:tcW w:w="567" w:type="dxa"/>
          </w:tcPr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725" w:type="dxa"/>
          </w:tcPr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Исполнитель</w:t>
            </w:r>
          </w:p>
        </w:tc>
      </w:tr>
      <w:tr>
        <w:trPr>
          <w:jc w:val="center"/>
          <w:trHeight w:val="567"/>
        </w:trPr>
        <w:tc>
          <w:tcPr>
            <w:tcW w:w="4644" w:type="dxa"/>
            <w:vAlign w:val="center"/>
          </w:tcPr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</w:p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_______________________ / ___________/</w:t>
            </w:r>
          </w:p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М.П.</w:t>
            </w:r>
          </w:p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725" w:type="dxa"/>
            <w:vAlign w:val="center"/>
          </w:tcPr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____________________ / ______________ /</w:t>
            </w:r>
          </w:p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М.П.</w:t>
            </w:r>
          </w:p>
        </w:tc>
      </w:tr>
      <w:tr>
        <w:trPr>
          <w:jc w:val="center"/>
          <w:trHeight w:val="417"/>
        </w:trPr>
        <w:tc>
          <w:tcPr>
            <w:tcW w:w="4644" w:type="dxa"/>
            <w:vAlign w:val="bottom"/>
          </w:tcPr>
          <w:p>
            <w:pPr>
              <w:widowControl w:val="false"/>
              <w:snapToGrid w:val="false"/>
              <w:spacing w:after="0" w:line="240" w:lineRule="auto"/>
              <w:ind w:firstLine="42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«___» __________ 2026 г.</w:t>
            </w:r>
          </w:p>
        </w:tc>
        <w:tc>
          <w:tcPr>
            <w:tcW w:w="567" w:type="dxa"/>
            <w:vAlign w:val="bottom"/>
          </w:tcPr>
          <w:p>
            <w:pPr>
              <w:widowControl w:val="false"/>
              <w:snapToGrid w:val="false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725" w:type="dxa"/>
            <w:vAlign w:val="bottom"/>
          </w:tcPr>
          <w:p>
            <w:pPr>
              <w:widowControl w:val="false"/>
              <w:snapToGrid w:val="false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  <w:t xml:space="preserve">«___» __________ 2026 г.</w:t>
            </w:r>
          </w:p>
        </w:tc>
      </w:tr>
    </w:tbl>
    <w:p>
      <w:pPr>
        <w:spacing w:after="0" w:line="240" w:lineRule="auto"/>
        <w:ind w:right="-144"/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</w:pPr>
    </w:p>
    <w:p/>
    <w:sectPr>
      <w:footerReference w:type="default" r:id="rId11"/>
      <w:type w:val="continuous"/>
      <w:pgSz w:h="16838" w:w="11906"/>
      <w:pgMar w:top="851" w:right="851" w:bottom="851" w:left="851" w:header="113" w:footer="113" w:gutter="0"/>
      <w:cols w:space="720"/>
      <w:titlePg/>
      <w:docGrid w:linePitch="60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606060505090204"/>
  </w:font>
  <w:font w:name="PT Astra Serif">
    <w:panose1 w:val="020A0603040505020204"/>
  </w:font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Times New Roman Полужирный">
    <w:panose1 w:val="02020603050405020304"/>
  </w:font>
  <w:font w:name="Symbol">
    <w:panose1 w:val="05050102010706020507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jc w:val="right"/>
    </w:pPr>
    <w:r>
      <w:fldChar w:fldCharType="begin"/>
    </w:r>
    <w:r>
      <w:instrText xml:space="preserve">PAGE</w:instrText>
    </w:r>
    <w:r>
      <w:fldChar w:fldCharType="separate"/>
    </w:r>
    <w:r>
      <w:t xml:space="preserve">13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nsid w:val="028E2046"/>
    <w:lvl w:ilvl="0">
      <w:lvlJc w:val="left"/>
      <w:lvlText w:val="%1."/>
      <w:numFmt w:val="decimal"/>
      <w:pPr>
        <w:ind w:hanging="360" w:left="927"/>
      </w:pPr>
      <w:rPr>
        <w:rFonts w:hint="default"/>
      </w:rPr>
      <w:start w:val="1"/>
    </w:lvl>
    <w:lvl w:ilvl="1">
      <w:isLgl w:val="true"/>
      <w:lvlJc w:val="left"/>
      <w:lvlText w:val="%1.%2."/>
      <w:numFmt w:val="decimal"/>
      <w:pPr>
        <w:ind w:hanging="720" w:left="1287"/>
      </w:pPr>
      <w:rPr>
        <w:rFonts w:hint="default"/>
      </w:rPr>
      <w:start w:val="1"/>
    </w:lvl>
    <w:lvl w:ilvl="2">
      <w:isLgl w:val="true"/>
      <w:lvlJc w:val="left"/>
      <w:lvlText w:val="%1.%2.%3."/>
      <w:numFmt w:val="decimal"/>
      <w:pPr>
        <w:ind w:hanging="720" w:left="1287"/>
      </w:pPr>
      <w:rPr>
        <w:rFonts w:hint="default"/>
      </w:rPr>
      <w:start w:val="1"/>
    </w:lvl>
    <w:lvl w:ilvl="3">
      <w:isLgl w:val="true"/>
      <w:lvlJc w:val="left"/>
      <w:lvlText w:val="%1.%2.%3.%4."/>
      <w:numFmt w:val="decimal"/>
      <w:pPr>
        <w:ind w:hanging="1080" w:left="1647"/>
      </w:pPr>
      <w:rPr>
        <w:rFonts w:hint="default"/>
      </w:rPr>
      <w:start w:val="1"/>
    </w:lvl>
    <w:lvl w:ilvl="4">
      <w:isLgl w:val="true"/>
      <w:lvlJc w:val="left"/>
      <w:lvlText w:val="%1.%2.%3.%4.%5."/>
      <w:numFmt w:val="decimal"/>
      <w:pPr>
        <w:ind w:hanging="1080" w:left="1647"/>
      </w:pPr>
      <w:rPr>
        <w:rFonts w:hint="default"/>
      </w:rPr>
      <w:start w:val="1"/>
    </w:lvl>
    <w:lvl w:ilvl="5">
      <w:isLgl w:val="true"/>
      <w:lvlJc w:val="left"/>
      <w:lvlText w:val="%1.%2.%3.%4.%5.%6."/>
      <w:numFmt w:val="decimal"/>
      <w:pPr>
        <w:ind w:hanging="1440" w:left="2007"/>
      </w:pPr>
      <w:rPr>
        <w:rFonts w:hint="default"/>
      </w:rPr>
      <w:start w:val="1"/>
    </w:lvl>
    <w:lvl w:ilvl="6">
      <w:isLgl w:val="true"/>
      <w:lvlJc w:val="left"/>
      <w:lvlText w:val="%1.%2.%3.%4.%5.%6.%7."/>
      <w:numFmt w:val="decimal"/>
      <w:pPr>
        <w:ind w:hanging="1800" w:left="2367"/>
      </w:pPr>
      <w:rPr>
        <w:rFonts w:hint="default"/>
      </w:rPr>
      <w:start w:val="1"/>
    </w:lvl>
    <w:lvl w:ilvl="7">
      <w:isLgl w:val="true"/>
      <w:lvlJc w:val="left"/>
      <w:lvlText w:val="%1.%2.%3.%4.%5.%6.%7.%8."/>
      <w:numFmt w:val="decimal"/>
      <w:pPr>
        <w:ind w:hanging="1800" w:left="2367"/>
      </w:pPr>
      <w:rPr>
        <w:rFonts w:hint="default"/>
      </w:rPr>
      <w:start w:val="1"/>
    </w:lvl>
    <w:lvl w:ilvl="8">
      <w:isLgl w:val="true"/>
      <w:lvlJc w:val="left"/>
      <w:lvlText w:val="%1.%2.%3.%4.%5.%6.%7.%8.%9."/>
      <w:numFmt w:val="decimal"/>
      <w:pPr>
        <w:ind w:hanging="2160" w:left="2727"/>
      </w:pPr>
      <w:rPr>
        <w:rFonts w:hint="default"/>
      </w:rPr>
      <w:start w:val="1"/>
    </w:lvl>
  </w:abstractNum>
  <w:abstractNum w:abstractNumId="1">
    <w:multiLevelType w:val="multilevel"/>
    <w:nsid w:val="0B09168C"/>
    <w:lvl w:ilvl="0">
      <w:lvlJc w:val="left"/>
      <w:lvlText w:val="%1."/>
      <w:numFmt w:val="decimal"/>
      <w:pPr>
        <w:ind w:hanging="360" w:left="360"/>
      </w:pPr>
      <w:rPr>
        <w:rFonts w:hint="default"/>
      </w:rPr>
      <w:start w:val="2"/>
    </w:lvl>
    <w:lvl w:ilvl="1">
      <w:lvlJc w:val="left"/>
      <w:lvlText w:val="%1.%2."/>
      <w:numFmt w:val="decimal"/>
      <w:pPr>
        <w:ind w:hanging="360" w:left="700"/>
      </w:pPr>
      <w:rPr>
        <w:rFonts w:hint="default"/>
      </w:rPr>
      <w:start w:val="1"/>
    </w:lvl>
    <w:lvl w:ilvl="2">
      <w:lvlJc w:val="left"/>
      <w:lvlText w:val=""/>
      <w:numFmt w:val="bullet"/>
      <w:pPr>
        <w:ind w:hanging="720" w:left="1400"/>
      </w:pPr>
      <w:rPr>
        <w:rFonts w:hint="default" w:ascii="Symbol" w:hAnsi="Symbol" w:cs="Symbol"/>
      </w:rPr>
      <w:start w:val="1"/>
    </w:lvl>
    <w:lvl w:ilvl="3">
      <w:lvlJc w:val="left"/>
      <w:lvlText w:val="%1.%2.%3.%4."/>
      <w:numFmt w:val="decimal"/>
      <w:pPr>
        <w:ind w:hanging="720" w:left="1740"/>
      </w:pPr>
      <w:rPr>
        <w:rFonts w:hint="default"/>
      </w:rPr>
      <w:start w:val="1"/>
    </w:lvl>
    <w:lvl w:ilvl="4">
      <w:lvlJc w:val="left"/>
      <w:lvlText w:val="%1.%2.%3.%4.%5."/>
      <w:numFmt w:val="decimal"/>
      <w:pPr>
        <w:ind w:hanging="1080" w:left="2440"/>
      </w:pPr>
      <w:rPr>
        <w:rFonts w:hint="default"/>
      </w:rPr>
      <w:start w:val="1"/>
    </w:lvl>
    <w:lvl w:ilvl="5">
      <w:lvlJc w:val="left"/>
      <w:lvlText w:val="%1.%2.%3.%4.%5.%6."/>
      <w:numFmt w:val="decimal"/>
      <w:pPr>
        <w:ind w:hanging="1080" w:left="2780"/>
      </w:pPr>
      <w:rPr>
        <w:rFonts w:hint="default"/>
      </w:rPr>
      <w:start w:val="1"/>
    </w:lvl>
    <w:lvl w:ilvl="6">
      <w:lvlJc w:val="left"/>
      <w:lvlText w:val="%1.%2.%3.%4.%5.%6.%7."/>
      <w:numFmt w:val="decimal"/>
      <w:pPr>
        <w:ind w:hanging="1440" w:left="3480"/>
      </w:pPr>
      <w:rPr>
        <w:rFonts w:hint="default"/>
      </w:rPr>
      <w:start w:val="1"/>
    </w:lvl>
    <w:lvl w:ilvl="7">
      <w:lvlJc w:val="left"/>
      <w:lvlText w:val="%1.%2.%3.%4.%5.%6.%7.%8."/>
      <w:numFmt w:val="decimal"/>
      <w:pPr>
        <w:ind w:hanging="1440" w:left="3820"/>
      </w:pPr>
      <w:rPr>
        <w:rFonts w:hint="default"/>
      </w:rPr>
      <w:start w:val="1"/>
    </w:lvl>
    <w:lvl w:ilvl="8">
      <w:lvlJc w:val="left"/>
      <w:lvlText w:val="%1.%2.%3.%4.%5.%6.%7.%8.%9."/>
      <w:numFmt w:val="decimal"/>
      <w:pPr>
        <w:ind w:hanging="1800" w:left="4520"/>
      </w:pPr>
      <w:rPr>
        <w:rFonts w:hint="default"/>
      </w:rPr>
      <w:start w:val="1"/>
    </w:lvl>
  </w:abstractNum>
  <w:abstractNum w:abstractNumId="2">
    <w:multiLevelType w:val="hybridMultilevel"/>
    <w:nsid w:val="15F92150"/>
    <w:lvl w:ilvl="0" w:tplc="04190001">
      <w:lvlJc w:val="left"/>
      <w:lvlText w:val=""/>
      <w:numFmt w:val="bullet"/>
      <w:pPr>
        <w:ind w:hanging="360" w:left="1506"/>
      </w:pPr>
      <w:rPr>
        <w:rFonts w:hint="default" w:ascii="Symbol" w:hAnsi="Symbol"/>
      </w:rPr>
      <w:start w:val="1"/>
    </w:lvl>
    <w:lvl w:ilvl="1" w:tentative="true" w:tplc="04190003">
      <w:lvlJc w:val="left"/>
      <w:lvlText w:val="o"/>
      <w:numFmt w:val="bullet"/>
      <w:pPr>
        <w:ind w:hanging="360" w:left="2226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946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666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386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5106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826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546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266"/>
      </w:pPr>
      <w:rPr>
        <w:rFonts w:hint="default" w:ascii="Wingdings" w:hAnsi="Wingdings"/>
      </w:rPr>
      <w:start w:val="1"/>
    </w:lvl>
  </w:abstractNum>
  <w:abstractNum w:abstractNumId="3">
    <w:multiLevelType w:val="hybridMultilevel"/>
    <w:nsid w:val="21487CD8"/>
    <w:lvl w:ilvl="0" w:tplc="9626B0C2">
      <w:lvlJc w:val="left"/>
      <w:lvlText w:val="%1."/>
      <w:numFmt w:val="decimal"/>
      <w:pPr>
        <w:ind w:hanging="360" w:left="645"/>
      </w:pPr>
      <w:rPr>
        <w:rFonts w:hint="default"/>
      </w:rPr>
      <w:start w:val="1"/>
    </w:lvl>
    <w:lvl w:ilvl="1" w:tentative="true" w:tplc="04190019">
      <w:lvlJc w:val="left"/>
      <w:lvlText w:val="%2."/>
      <w:numFmt w:val="lowerLetter"/>
      <w:pPr>
        <w:ind w:hanging="360" w:left="1365"/>
      </w:pPr>
      <w:start w:val="1"/>
    </w:lvl>
    <w:lvl w:ilvl="2" w:tentative="true" w:tplc="0419001B">
      <w:lvlJc w:val="right"/>
      <w:lvlText w:val="%3."/>
      <w:numFmt w:val="lowerRoman"/>
      <w:pPr>
        <w:ind w:hanging="180" w:left="2085"/>
      </w:pPr>
      <w:start w:val="1"/>
    </w:lvl>
    <w:lvl w:ilvl="3" w:tentative="true" w:tplc="0419000F">
      <w:lvlJc w:val="left"/>
      <w:lvlText w:val="%4."/>
      <w:numFmt w:val="decimal"/>
      <w:pPr>
        <w:ind w:hanging="360" w:left="2805"/>
      </w:pPr>
      <w:start w:val="1"/>
    </w:lvl>
    <w:lvl w:ilvl="4" w:tentative="true" w:tplc="04190019">
      <w:lvlJc w:val="left"/>
      <w:lvlText w:val="%5."/>
      <w:numFmt w:val="lowerLetter"/>
      <w:pPr>
        <w:ind w:hanging="360" w:left="3525"/>
      </w:pPr>
      <w:start w:val="1"/>
    </w:lvl>
    <w:lvl w:ilvl="5" w:tentative="true" w:tplc="0419001B">
      <w:lvlJc w:val="right"/>
      <w:lvlText w:val="%6."/>
      <w:numFmt w:val="lowerRoman"/>
      <w:pPr>
        <w:ind w:hanging="180" w:left="4245"/>
      </w:pPr>
      <w:start w:val="1"/>
    </w:lvl>
    <w:lvl w:ilvl="6" w:tentative="true" w:tplc="0419000F">
      <w:lvlJc w:val="left"/>
      <w:lvlText w:val="%7."/>
      <w:numFmt w:val="decimal"/>
      <w:pPr>
        <w:ind w:hanging="360" w:left="4965"/>
      </w:pPr>
      <w:start w:val="1"/>
    </w:lvl>
    <w:lvl w:ilvl="7" w:tentative="true" w:tplc="04190019">
      <w:lvlJc w:val="left"/>
      <w:lvlText w:val="%8."/>
      <w:numFmt w:val="lowerLetter"/>
      <w:pPr>
        <w:ind w:hanging="360" w:left="5685"/>
      </w:pPr>
      <w:start w:val="1"/>
    </w:lvl>
    <w:lvl w:ilvl="8" w:tentative="true" w:tplc="0419001B">
      <w:lvlJc w:val="right"/>
      <w:lvlText w:val="%9."/>
      <w:numFmt w:val="lowerRoman"/>
      <w:pPr>
        <w:ind w:hanging="180" w:left="6405"/>
      </w:pPr>
      <w:start w:val="1"/>
    </w:lvl>
  </w:abstractNum>
  <w:abstractNum w:abstractNumId="4">
    <w:multiLevelType w:val="hybridMultilevel"/>
    <w:nsid w:val="28CB26B3"/>
    <w:lvl w:ilvl="0" w:tplc="5ED20DCC">
      <w:lvlJc w:val="left"/>
      <w:lvlText w:val=""/>
      <w:numFmt w:val="bullet"/>
      <w:pPr>
        <w:ind w:hanging="360" w:left="720"/>
      </w:pPr>
      <w:rPr>
        <w:rFonts w:hint="default" w:ascii="Symbol" w:hAnsi="Symbol"/>
      </w:rPr>
      <w:start w:val="1"/>
    </w:lvl>
    <w:lvl w:ilvl="1" w:tentative="true" w:tplc="04190003">
      <w:lvlJc w:val="left"/>
      <w:lvlText w:val="o"/>
      <w:numFmt w:val="bullet"/>
      <w:pPr>
        <w:ind w:hanging="360" w:left="1440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160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2880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3600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4320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040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5760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6480"/>
      </w:pPr>
      <w:rPr>
        <w:rFonts w:hint="default" w:ascii="Wingdings" w:hAnsi="Wingdings"/>
      </w:rPr>
      <w:start w:val="1"/>
    </w:lvl>
  </w:abstractNum>
  <w:abstractNum w:abstractNumId="5">
    <w:multiLevelType w:val="hybridMultilevel"/>
    <w:nsid w:val="2ADF6C1C"/>
    <w:lvl w:ilvl="0" w:tplc="A06E4890">
      <w:lvlJc w:val="left"/>
      <w:lvlText w:val=""/>
      <w:numFmt w:val="bullet"/>
      <w:pPr>
        <w:ind w:hanging="360" w:left="1429"/>
      </w:pPr>
      <w:rPr>
        <w:rFonts w:hint="default" w:ascii="Symbol" w:hAnsi="Symbol" w:cs="Symbol"/>
      </w:rPr>
      <w:start w:val="1"/>
    </w:lvl>
    <w:lvl w:ilvl="1" w:tplc="04190003">
      <w:lvlJc w:val="left"/>
      <w:lvlText w:val="o"/>
      <w:numFmt w:val="bullet"/>
      <w:pPr>
        <w:ind w:hanging="360" w:left="2149"/>
      </w:pPr>
      <w:rPr>
        <w:rFonts w:hint="default" w:ascii="Courier New" w:hAnsi="Courier New" w:cs="Courier New"/>
      </w:rPr>
      <w:start w:val="1"/>
    </w:lvl>
    <w:lvl w:ilvl="2" w:tplc="04190005">
      <w:lvlJc w:val="left"/>
      <w:lvlText w:val=""/>
      <w:numFmt w:val="bullet"/>
      <w:pPr>
        <w:ind w:hanging="360" w:left="2869"/>
      </w:pPr>
      <w:rPr>
        <w:rFonts w:hint="default" w:ascii="Wingdings" w:hAnsi="Wingdings" w:cs="Wingdings"/>
      </w:rPr>
      <w:start w:val="1"/>
    </w:lvl>
    <w:lvl w:ilvl="3" w:tplc="04190001">
      <w:lvlJc w:val="left"/>
      <w:lvlText w:val=""/>
      <w:numFmt w:val="bullet"/>
      <w:pPr>
        <w:ind w:hanging="360" w:left="3589"/>
      </w:pPr>
      <w:rPr>
        <w:rFonts w:hint="default" w:ascii="Symbol" w:hAnsi="Symbol" w:cs="Symbol"/>
      </w:rPr>
      <w:start w:val="1"/>
    </w:lvl>
    <w:lvl w:ilvl="4" w:tplc="04190003">
      <w:lvlJc w:val="left"/>
      <w:lvlText w:val="o"/>
      <w:numFmt w:val="bullet"/>
      <w:pPr>
        <w:ind w:hanging="360" w:left="4309"/>
      </w:pPr>
      <w:rPr>
        <w:rFonts w:hint="default" w:ascii="Courier New" w:hAnsi="Courier New" w:cs="Courier New"/>
      </w:rPr>
      <w:start w:val="1"/>
    </w:lvl>
    <w:lvl w:ilvl="5" w:tplc="04190005">
      <w:lvlJc w:val="left"/>
      <w:lvlText w:val=""/>
      <w:numFmt w:val="bullet"/>
      <w:pPr>
        <w:ind w:hanging="360" w:left="5029"/>
      </w:pPr>
      <w:rPr>
        <w:rFonts w:hint="default" w:ascii="Wingdings" w:hAnsi="Wingdings" w:cs="Wingdings"/>
      </w:rPr>
      <w:start w:val="1"/>
    </w:lvl>
    <w:lvl w:ilvl="6" w:tplc="04190001">
      <w:lvlJc w:val="left"/>
      <w:lvlText w:val=""/>
      <w:numFmt w:val="bullet"/>
      <w:pPr>
        <w:ind w:hanging="360" w:left="5749"/>
      </w:pPr>
      <w:rPr>
        <w:rFonts w:hint="default" w:ascii="Symbol" w:hAnsi="Symbol" w:cs="Symbol"/>
      </w:rPr>
      <w:start w:val="1"/>
    </w:lvl>
    <w:lvl w:ilvl="7" w:tplc="04190003">
      <w:lvlJc w:val="left"/>
      <w:lvlText w:val="o"/>
      <w:numFmt w:val="bullet"/>
      <w:pPr>
        <w:ind w:hanging="360" w:left="6469"/>
      </w:pPr>
      <w:rPr>
        <w:rFonts w:hint="default" w:ascii="Courier New" w:hAnsi="Courier New" w:cs="Courier New"/>
      </w:rPr>
      <w:start w:val="1"/>
    </w:lvl>
    <w:lvl w:ilvl="8" w:tplc="04190005">
      <w:lvlJc w:val="left"/>
      <w:lvlText w:val=""/>
      <w:numFmt w:val="bullet"/>
      <w:pPr>
        <w:ind w:hanging="360" w:left="7189"/>
      </w:pPr>
      <w:rPr>
        <w:rFonts w:hint="default" w:ascii="Wingdings" w:hAnsi="Wingdings" w:cs="Wingdings"/>
      </w:rPr>
      <w:start w:val="1"/>
    </w:lvl>
  </w:abstractNum>
  <w:abstractNum w:abstractNumId="6">
    <w:multiLevelType w:val="hybridMultilevel"/>
    <w:nsid w:val="3DD00B6B"/>
    <w:lvl w:ilvl="0" w:tplc="31EEF018">
      <w:lvlJc w:val="left"/>
      <w:lvlText w:val=""/>
      <w:numFmt w:val="bullet"/>
      <w:pPr>
        <w:ind w:hanging="360" w:left="720"/>
      </w:pPr>
      <w:rPr>
        <w:rFonts w:hint="default" w:ascii="Symbol" w:hAnsi="Symbol" w:cs="Symbol"/>
      </w:rPr>
      <w:start w:val="1"/>
    </w:lvl>
    <w:lvl w:ilvl="1" w:tplc="04190003">
      <w:lvlJc w:val="left"/>
      <w:lvlText w:val="o"/>
      <w:numFmt w:val="bullet"/>
      <w:pPr>
        <w:ind w:hanging="360" w:left="1440"/>
      </w:pPr>
      <w:rPr>
        <w:rFonts w:hint="default" w:ascii="Courier New" w:hAnsi="Courier New" w:cs="Courier New"/>
      </w:rPr>
      <w:start w:val="1"/>
    </w:lvl>
    <w:lvl w:ilvl="2" w:tplc="04190005">
      <w:lvlJc w:val="left"/>
      <w:lvlText w:val=""/>
      <w:numFmt w:val="bullet"/>
      <w:pPr>
        <w:ind w:hanging="360" w:left="2160"/>
      </w:pPr>
      <w:rPr>
        <w:rFonts w:hint="default" w:ascii="Wingdings" w:hAnsi="Wingdings" w:cs="Wingdings"/>
      </w:rPr>
      <w:start w:val="1"/>
    </w:lvl>
    <w:lvl w:ilvl="3" w:tplc="04190001">
      <w:lvlJc w:val="left"/>
      <w:lvlText w:val=""/>
      <w:numFmt w:val="bullet"/>
      <w:pPr>
        <w:ind w:hanging="360" w:left="2880"/>
      </w:pPr>
      <w:rPr>
        <w:rFonts w:hint="default" w:ascii="Symbol" w:hAnsi="Symbol" w:cs="Symbol"/>
      </w:rPr>
      <w:start w:val="1"/>
    </w:lvl>
    <w:lvl w:ilvl="4" w:tplc="04190003">
      <w:lvlJc w:val="left"/>
      <w:lvlText w:val="o"/>
      <w:numFmt w:val="bullet"/>
      <w:pPr>
        <w:ind w:hanging="360" w:left="3600"/>
      </w:pPr>
      <w:rPr>
        <w:rFonts w:hint="default" w:ascii="Courier New" w:hAnsi="Courier New" w:cs="Courier New"/>
      </w:rPr>
      <w:start w:val="1"/>
    </w:lvl>
    <w:lvl w:ilvl="5" w:tplc="04190005">
      <w:lvlJc w:val="left"/>
      <w:lvlText w:val=""/>
      <w:numFmt w:val="bullet"/>
      <w:pPr>
        <w:ind w:hanging="360" w:left="4320"/>
      </w:pPr>
      <w:rPr>
        <w:rFonts w:hint="default" w:ascii="Wingdings" w:hAnsi="Wingdings" w:cs="Wingdings"/>
      </w:rPr>
      <w:start w:val="1"/>
    </w:lvl>
    <w:lvl w:ilvl="6" w:tplc="04190001">
      <w:lvlJc w:val="left"/>
      <w:lvlText w:val=""/>
      <w:numFmt w:val="bullet"/>
      <w:pPr>
        <w:ind w:hanging="360" w:left="5040"/>
      </w:pPr>
      <w:rPr>
        <w:rFonts w:hint="default" w:ascii="Symbol" w:hAnsi="Symbol" w:cs="Symbol"/>
      </w:rPr>
      <w:start w:val="1"/>
    </w:lvl>
    <w:lvl w:ilvl="7" w:tplc="04190003">
      <w:lvlJc w:val="left"/>
      <w:lvlText w:val="o"/>
      <w:numFmt w:val="bullet"/>
      <w:pPr>
        <w:ind w:hanging="360" w:left="5760"/>
      </w:pPr>
      <w:rPr>
        <w:rFonts w:hint="default" w:ascii="Courier New" w:hAnsi="Courier New" w:cs="Courier New"/>
      </w:rPr>
      <w:start w:val="1"/>
    </w:lvl>
    <w:lvl w:ilvl="8" w:tplc="04190005">
      <w:lvlJc w:val="left"/>
      <w:lvlText w:val=""/>
      <w:numFmt w:val="bullet"/>
      <w:pPr>
        <w:ind w:hanging="360" w:left="6480"/>
      </w:pPr>
      <w:rPr>
        <w:rFonts w:hint="default" w:ascii="Wingdings" w:hAnsi="Wingdings" w:cs="Wingdings"/>
      </w:rPr>
      <w:start w:val="1"/>
    </w:lvl>
  </w:abstractNum>
  <w:abstractNum w:abstractNumId="7">
    <w:multiLevelType w:val="hybridMultilevel"/>
    <w:nsid w:val="3FAB4DD1"/>
    <w:lvl w:ilvl="0" w:tplc="04190001">
      <w:lvlJc w:val="left"/>
      <w:lvlText w:val=""/>
      <w:numFmt w:val="bullet"/>
      <w:pPr>
        <w:ind w:hanging="360" w:left="1287"/>
      </w:pPr>
      <w:rPr>
        <w:rFonts w:hint="default" w:ascii="Symbol" w:hAnsi="Symbol"/>
      </w:rPr>
      <w:start w:val="1"/>
    </w:lvl>
    <w:lvl w:ilvl="1" w:tentative="true" w:tplc="04190003">
      <w:lvlJc w:val="left"/>
      <w:lvlText w:val="o"/>
      <w:numFmt w:val="bullet"/>
      <w:pPr>
        <w:ind w:hanging="360" w:left="2007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727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447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167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4887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607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327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047"/>
      </w:pPr>
      <w:rPr>
        <w:rFonts w:hint="default" w:ascii="Wingdings" w:hAnsi="Wingdings"/>
      </w:rPr>
      <w:start w:val="1"/>
    </w:lvl>
  </w:abstractNum>
  <w:abstractNum w:abstractNumId="8">
    <w:multiLevelType w:val="multilevel"/>
    <w:nsid w:val="436958E8"/>
    <w:lvl w:ilvl="0">
      <w:lvlJc w:val="left"/>
      <w:lvlText w:val="%1."/>
      <w:numFmt w:val="decimal"/>
      <w:pPr>
        <w:ind w:hanging="360" w:left="927"/>
      </w:pPr>
      <w:rPr>
        <w:rFonts w:hint="default"/>
        <w:color w:val="auto"/>
      </w:rPr>
      <w:start w:val="1"/>
    </w:lvl>
    <w:lvl w:ilvl="1">
      <w:isLgl w:val="true"/>
      <w:lvlJc w:val="left"/>
      <w:lvlText w:val="%1.%2."/>
      <w:numFmt w:val="decimal"/>
      <w:pPr>
        <w:ind w:hanging="720" w:left="1287"/>
      </w:pPr>
      <w:rPr>
        <w:rFonts w:hint="default"/>
      </w:rPr>
      <w:start w:val="1"/>
    </w:lvl>
    <w:lvl w:ilvl="2">
      <w:isLgl w:val="true"/>
      <w:lvlJc w:val="left"/>
      <w:lvlText w:val="%1.%2.%3."/>
      <w:numFmt w:val="decimal"/>
      <w:pPr>
        <w:ind w:hanging="720" w:left="1287"/>
      </w:pPr>
      <w:rPr>
        <w:rFonts w:hint="default"/>
      </w:rPr>
      <w:start w:val="1"/>
    </w:lvl>
    <w:lvl w:ilvl="3">
      <w:isLgl w:val="true"/>
      <w:lvlJc w:val="left"/>
      <w:lvlText w:val="%1.%2.%3.%4."/>
      <w:numFmt w:val="decimal"/>
      <w:pPr>
        <w:ind w:hanging="1080" w:left="1647"/>
      </w:pPr>
      <w:rPr>
        <w:rFonts w:hint="default"/>
      </w:rPr>
      <w:start w:val="1"/>
    </w:lvl>
    <w:lvl w:ilvl="4">
      <w:isLgl w:val="true"/>
      <w:lvlJc w:val="left"/>
      <w:lvlText w:val="%1.%2.%3.%4.%5."/>
      <w:numFmt w:val="decimal"/>
      <w:pPr>
        <w:ind w:hanging="1080" w:left="1647"/>
      </w:pPr>
      <w:rPr>
        <w:rFonts w:hint="default"/>
      </w:rPr>
      <w:start w:val="1"/>
    </w:lvl>
    <w:lvl w:ilvl="5">
      <w:isLgl w:val="true"/>
      <w:lvlJc w:val="left"/>
      <w:lvlText w:val="%1.%2.%3.%4.%5.%6."/>
      <w:numFmt w:val="decimal"/>
      <w:pPr>
        <w:ind w:hanging="1440" w:left="2007"/>
      </w:pPr>
      <w:rPr>
        <w:rFonts w:hint="default"/>
      </w:rPr>
      <w:start w:val="1"/>
    </w:lvl>
    <w:lvl w:ilvl="6">
      <w:isLgl w:val="true"/>
      <w:lvlJc w:val="left"/>
      <w:lvlText w:val="%1.%2.%3.%4.%5.%6.%7."/>
      <w:numFmt w:val="decimal"/>
      <w:pPr>
        <w:ind w:hanging="1800" w:left="2367"/>
      </w:pPr>
      <w:rPr>
        <w:rFonts w:hint="default"/>
      </w:rPr>
      <w:start w:val="1"/>
    </w:lvl>
    <w:lvl w:ilvl="7">
      <w:isLgl w:val="true"/>
      <w:lvlJc w:val="left"/>
      <w:lvlText w:val="%1.%2.%3.%4.%5.%6.%7.%8."/>
      <w:numFmt w:val="decimal"/>
      <w:pPr>
        <w:ind w:hanging="1800" w:left="2367"/>
      </w:pPr>
      <w:rPr>
        <w:rFonts w:hint="default"/>
      </w:rPr>
      <w:start w:val="1"/>
    </w:lvl>
    <w:lvl w:ilvl="8">
      <w:isLgl w:val="true"/>
      <w:lvlJc w:val="left"/>
      <w:lvlText w:val="%1.%2.%3.%4.%5.%6.%7.%8.%9."/>
      <w:numFmt w:val="decimal"/>
      <w:pPr>
        <w:ind w:hanging="2160" w:left="2727"/>
      </w:pPr>
      <w:rPr>
        <w:rFonts w:hint="default"/>
      </w:rPr>
      <w:start w:val="1"/>
    </w:lvl>
  </w:abstractNum>
  <w:abstractNum w:abstractNumId="9">
    <w:multiLevelType w:val="multilevel"/>
    <w:nsid w:val="726C6B8E"/>
    <w:lvl w:ilvl="0">
      <w:lvlJc w:val="left"/>
      <w:lvlText w:val="%1."/>
      <w:numFmt w:val="decimal"/>
      <w:pPr>
        <w:ind w:hanging="360" w:left="360"/>
      </w:pPr>
      <w:rPr>
        <w:rFonts w:hint="default"/>
      </w:rPr>
      <w:start w:val="2"/>
    </w:lvl>
    <w:lvl w:ilvl="1">
      <w:lvlJc w:val="left"/>
      <w:lvlText w:val="%1.%2."/>
      <w:numFmt w:val="decimal"/>
      <w:pPr>
        <w:ind w:hanging="360" w:left="1353"/>
      </w:pPr>
      <w:rPr>
        <w:rFonts w:hint="default"/>
      </w:rPr>
      <w:start w:val="1"/>
    </w:lvl>
    <w:lvl w:ilvl="2">
      <w:lvlJc w:val="left"/>
      <w:lvlText w:val=""/>
      <w:numFmt w:val="bullet"/>
      <w:pPr>
        <w:ind w:hanging="720" w:left="1400"/>
      </w:pPr>
      <w:rPr>
        <w:rFonts w:hint="default" w:ascii="Symbol" w:hAnsi="Symbol" w:cs="Symbol"/>
      </w:rPr>
      <w:start w:val="1"/>
    </w:lvl>
    <w:lvl w:ilvl="3">
      <w:lvlJc w:val="left"/>
      <w:lvlText w:val="%1.%2.%3.%4."/>
      <w:numFmt w:val="decimal"/>
      <w:pPr>
        <w:ind w:hanging="720" w:left="1740"/>
      </w:pPr>
      <w:rPr>
        <w:rFonts w:hint="default"/>
      </w:rPr>
      <w:start w:val="1"/>
    </w:lvl>
    <w:lvl w:ilvl="4">
      <w:lvlJc w:val="left"/>
      <w:lvlText w:val="%1.%2.%3.%4.%5."/>
      <w:numFmt w:val="decimal"/>
      <w:pPr>
        <w:ind w:hanging="1080" w:left="2440"/>
      </w:pPr>
      <w:rPr>
        <w:rFonts w:hint="default"/>
      </w:rPr>
      <w:start w:val="1"/>
    </w:lvl>
    <w:lvl w:ilvl="5">
      <w:lvlJc w:val="left"/>
      <w:lvlText w:val="%1.%2.%3.%4.%5.%6."/>
      <w:numFmt w:val="decimal"/>
      <w:pPr>
        <w:ind w:hanging="1080" w:left="2780"/>
      </w:pPr>
      <w:rPr>
        <w:rFonts w:hint="default"/>
      </w:rPr>
      <w:start w:val="1"/>
    </w:lvl>
    <w:lvl w:ilvl="6">
      <w:lvlJc w:val="left"/>
      <w:lvlText w:val="%1.%2.%3.%4.%5.%6.%7."/>
      <w:numFmt w:val="decimal"/>
      <w:pPr>
        <w:ind w:hanging="1440" w:left="3480"/>
      </w:pPr>
      <w:rPr>
        <w:rFonts w:hint="default"/>
      </w:rPr>
      <w:start w:val="1"/>
    </w:lvl>
    <w:lvl w:ilvl="7">
      <w:lvlJc w:val="left"/>
      <w:lvlText w:val="%1.%2.%3.%4.%5.%6.%7.%8."/>
      <w:numFmt w:val="decimal"/>
      <w:pPr>
        <w:ind w:hanging="1440" w:left="3820"/>
      </w:pPr>
      <w:rPr>
        <w:rFonts w:hint="default"/>
      </w:rPr>
      <w:start w:val="1"/>
    </w:lvl>
    <w:lvl w:ilvl="8">
      <w:lvlJc w:val="left"/>
      <w:lvlText w:val="%1.%2.%3.%4.%5.%6.%7.%8.%9."/>
      <w:numFmt w:val="decimal"/>
      <w:pPr>
        <w:ind w:hanging="1800" w:left="4520"/>
      </w:pPr>
      <w:rPr>
        <w:rFonts w:hint="default"/>
      </w:rPr>
      <w:start w:val="1"/>
    </w:lvl>
  </w:abstractNum>
  <w:abstractNum w:abstractNumId="10">
    <w:multiLevelType w:val="hybridMultilevel"/>
    <w:nsid w:val="7C2A1EDD"/>
    <w:lvl w:ilvl="0" w:tplc="A06E4890">
      <w:lvlJc w:val="left"/>
      <w:lvlText w:val=""/>
      <w:numFmt w:val="bullet"/>
      <w:pPr>
        <w:ind w:hanging="360" w:left="1287"/>
      </w:pPr>
      <w:rPr>
        <w:rFonts w:hint="default" w:ascii="Symbol" w:hAnsi="Symbol" w:cs="Symbol"/>
      </w:rPr>
      <w:start w:val="1"/>
    </w:lvl>
    <w:lvl w:ilvl="1" w:tentative="true" w:tplc="04190003">
      <w:lvlJc w:val="left"/>
      <w:lvlText w:val="o"/>
      <w:numFmt w:val="bullet"/>
      <w:pPr>
        <w:ind w:hanging="360" w:left="2007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727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447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167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4887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607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327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047"/>
      </w:pPr>
      <w:rPr>
        <w:rFonts w:hint="default" w:ascii="Wingdings" w:hAnsi="Wingdings"/>
      </w:rPr>
      <w:start w:val="1"/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"/>
  </w:num>
  <w:num w:numId="5">
    <w:abstractNumId w:val="0"/>
  </w:num>
  <w:num w:numId="6">
    <w:abstractNumId w:val="8"/>
  </w:num>
  <w:num w:numId="7">
    <w:abstractNumId w:val="10"/>
  </w:num>
  <w:num w:numId="8">
    <w:abstractNumId w:val="7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footer"/>
    <w:basedOn w:val="a"/>
    <w:link w:val="1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a4" w:customStyle="1">
    <w:name w:val="Нижний колонтитул Знак"/>
    <w:basedOn w:val="a0"/>
    <w:uiPriority w:val="99"/>
    <w:semiHidden/>
  </w:style>
  <w:style w:type="character" w:styleId="1" w:customStyle="1">
    <w:name w:val="Нижний колонтитул Знак1"/>
    <w:basedOn w:val="a0"/>
    <w:link w:val="a3"/>
    <w:qFormat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a5" w:customStyle="1">
    <w:name w:val="Содержимое врезки"/>
    <w:basedOn w:val="a6"/>
    <w:qFormat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a6">
    <w:name w:val="Body Text"/>
    <w:basedOn w:val="a"/>
    <w:link w:val="a7"/>
    <w:uiPriority w:val="99"/>
    <w:semiHidden/>
    <w:unhideWhenUsed/>
    <w:pPr>
      <w:spacing w:after="120"/>
    </w:pPr>
  </w:style>
  <w:style w:type="character" w:styleId="a7" w:customStyle="1">
    <w:name w:val="Основной текст Знак"/>
    <w:basedOn w:val="a0"/>
    <w:link w:val="a6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yperlink" Target="http://www.zabbix.com/download.ph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3241</Words>
  <Characters>18478</Characters>
  <CharactersWithSpaces>21676</CharactersWithSpaces>
  <Application>ONLYOFFICE/9.3.1.8</Application>
  <DocSecurity>0</DocSecurity>
  <Lines>153</Lines>
  <Paragraphs>43</Paragraphs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Парамонова Вера Максимовна</dc:creator>
  <cp:keywords/>
  <dc:description/>
  <cp:lastModifiedBy>Парамонова Вера Максимовна</cp:lastModifiedBy>
  <cp:revision>3</cp:revision>
  <dcterms:created xsi:type="dcterms:W3CDTF">2026-10-14T05:19:00Z</dcterms:created>
  <dcterms:modified xsi:type="dcterms:W3CDTF">2026-10-14T05:58:00Z</dcterms:modified>
</cp:coreProperties>
</file>