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8E242F4">
      <w:pPr>
        <w:pBdr/>
        <w:spacing/>
        <w:ind/>
        <w:jc w:val="center"/>
        <w:rPr>
          <w:rFonts w:ascii="Times New Roman" w:hAnsi="Times New Roman" w:eastAsia="Calibri" w:cs="Times New Roman"/>
          <w:b/>
          <w:bCs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b/>
          <w:bCs/>
          <w:sz w:val="20"/>
          <w:szCs w:val="20"/>
          <w:lang w:eastAsia="en-US"/>
        </w:rPr>
        <w:t xml:space="preserve">УВЕДОМЛЕНИЕ О ВНЕСЕНИИ ИЗМЕНЕНИЙ</w:t>
      </w:r>
      <w:r>
        <w:rPr>
          <w:rFonts w:ascii="Times New Roman" w:hAnsi="Times New Roman" w:eastAsia="Calibri" w:cs="Times New Roman"/>
          <w:b/>
          <w:bCs/>
          <w:sz w:val="20"/>
          <w:szCs w:val="20"/>
          <w:lang w:eastAsia="en-US"/>
        </w:rPr>
      </w:r>
      <w:r>
        <w:rPr>
          <w:rFonts w:ascii="Times New Roman" w:hAnsi="Times New Roman" w:eastAsia="Calibri" w:cs="Times New Roman"/>
          <w:b/>
          <w:bCs/>
          <w:sz w:val="20"/>
          <w:szCs w:val="20"/>
          <w:lang w:eastAsia="en-US"/>
        </w:rPr>
      </w:r>
    </w:p>
    <w:p w14:paraId="43F0AAC1">
      <w:pPr>
        <w:pBdr/>
        <w:spacing/>
        <w:ind/>
        <w:jc w:val="center"/>
        <w:rPr>
          <w:rFonts w:ascii="Times New Roman" w:hAnsi="Times New Roman" w:eastAsia="Calibri" w:cs="Times New Roman"/>
          <w:b/>
          <w:bCs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b/>
          <w:bCs/>
          <w:sz w:val="20"/>
          <w:szCs w:val="20"/>
          <w:lang w:eastAsia="en-US"/>
        </w:rPr>
        <w:t xml:space="preserve">В ИЗВЕЩЕНИЕ О ПРОВЕДЕНИИ ЗАПРОСА КОТИРОВОК В ЭЛЕКТРОННОЙ ФОРМЕ, УЧАСТНИКАМИ КОТОРОГО МОГУТ БЫТЬ ТОЛЬКО СУБЪЕКТЫ МАЛОГО И СРЕДНЕГО ПРЕДПРИНИМАТЕЛЬСТВА</w:t>
      </w:r>
      <w:r>
        <w:rPr>
          <w:rFonts w:ascii="Times New Roman" w:hAnsi="Times New Roman" w:eastAsia="Calibri" w:cs="Times New Roman"/>
          <w:b/>
          <w:bCs/>
          <w:sz w:val="20"/>
          <w:szCs w:val="20"/>
          <w:lang w:eastAsia="en-US"/>
        </w:rPr>
      </w:r>
      <w:r>
        <w:rPr>
          <w:rFonts w:ascii="Times New Roman" w:hAnsi="Times New Roman" w:eastAsia="Calibri" w:cs="Times New Roman"/>
          <w:b/>
          <w:bCs/>
          <w:sz w:val="20"/>
          <w:szCs w:val="20"/>
          <w:lang w:eastAsia="en-US"/>
        </w:rPr>
      </w:r>
    </w:p>
    <w:tbl>
      <w:tblPr>
        <w:tblInd w:w="45" w:type="dxa"/>
        <w:tblW w:w="4993" w:type="pct"/>
        <w:tblCellMar>
          <w:left w:w="15" w:type="dxa"/>
          <w:top w:w="15" w:type="dxa"/>
          <w:right w:w="15" w:type="dxa"/>
          <w:bottom w:w="15" w:type="dxa"/>
        </w:tblCellMar>
        <w:tblBorders/>
        <w:tblCellSpacing w:w="15" w:type="dxa"/>
        <w:tblLook w:val="00A0" w:firstRow="1" w:lastRow="0" w:firstColumn="1" w:lastColumn="0" w:noHBand="0" w:noVBand="0"/>
      </w:tblPr>
      <w:tblGrid>
        <w:gridCol w:w="7609"/>
        <w:gridCol w:w="1733"/>
      </w:tblGrid>
      <w:tr>
        <w:trPr>
          <w:tblCellSpacing w:w="15" w:type="dxa"/>
        </w:trPr>
        <w:tc>
          <w:tcPr>
            <w:tcBorders/>
            <w:tcW w:w="4049" w:type="pct"/>
            <w:vAlign w:val="center"/>
          </w:tcPr>
          <w:p w14:paraId="4609DB0F">
            <w:pPr>
              <w:pBdr/>
              <w:spacing/>
              <w:ind/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  <w:t xml:space="preserve">г. Барнаул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903" w:type="pct"/>
            <w:vAlign w:val="center"/>
          </w:tcPr>
          <w:p w14:paraId="11078446">
            <w:pPr>
              <w:pBdr/>
              <w:spacing/>
              <w:ind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ru-RU"/>
              </w:rPr>
              <w:t xml:space="preserve">4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ru-RU"/>
              </w:rPr>
              <w:t xml:space="preserve">окт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  <w:t xml:space="preserve">ября 202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  <w:t xml:space="preserve"> г.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  <w:lang w:eastAsia="en-US"/>
              </w:rPr>
            </w:r>
          </w:p>
        </w:tc>
      </w:tr>
      <w:tr>
        <w:trPr>
          <w:tblCellSpacing w:w="15" w:type="dxa"/>
        </w:trPr>
        <w:tc>
          <w:tcPr>
            <w:tcBorders/>
            <w:tcW w:w="4049" w:type="pct"/>
            <w:vAlign w:val="center"/>
          </w:tcPr>
          <w:p w14:paraId="1B9F945D">
            <w:pPr>
              <w:pBdr/>
              <w:spacing/>
              <w:ind/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903" w:type="pct"/>
            <w:vAlign w:val="center"/>
          </w:tcPr>
          <w:p w14:paraId="6531084D">
            <w:pPr>
              <w:pBdr/>
              <w:spacing/>
              <w:ind/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r>
          </w:p>
        </w:tc>
      </w:tr>
    </w:tbl>
    <w:p w14:paraId="27A4FB10">
      <w:pPr>
        <w:pBdr/>
        <w:spacing w:line="238" w:lineRule="auto"/>
        <w:ind/>
        <w:jc w:val="left"/>
        <w:rPr>
          <w:rFonts w:ascii="Times New Roman" w:hAnsi="Times New Roman" w:eastAsia="Times New Roman" w:cs="Times New Roman"/>
          <w:color w:val="000000"/>
          <w:sz w:val="28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en-US"/>
        </w:rPr>
        <w:t xml:space="preserve">1. </w:t>
      </w:r>
      <w:r>
        <w:rPr>
          <w:rFonts w:ascii="Times New Roman" w:hAnsi="Times New Roman" w:eastAsia="Times New Roman" w:cs="Times New Roman"/>
          <w:b/>
          <w:sz w:val="20"/>
          <w:szCs w:val="20"/>
          <w:lang w:eastAsia="en-US"/>
        </w:rPr>
        <w:t xml:space="preserve">Наименование закупки: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0"/>
          <w:szCs w:val="20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0"/>
          <w:szCs w:val="20"/>
        </w:rPr>
        <w:t xml:space="preserve">Оказание услуги по обеспечению технического сопровождения и расширенной технической поддержке модулей функциональных систем региональной информационной системы «Сетевой край. Образование»</w:t>
      </w:r>
      <w:r>
        <w:rPr>
          <w:rFonts w:ascii="Times New Roman" w:hAnsi="Times New Roman" w:eastAsia="Times New Roman" w:cs="Times New Roman"/>
          <w:b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pacing w:val="-2"/>
          <w:sz w:val="20"/>
          <w:szCs w:val="20"/>
        </w:rPr>
        <w:t xml:space="preserve">для</w:t>
      </w:r>
      <w:r>
        <w:rPr>
          <w:rFonts w:ascii="Times New Roman" w:hAnsi="Times New Roman" w:eastAsia="Times New Roman" w:cs="Times New Roman"/>
          <w:b/>
          <w:color w:val="000000"/>
          <w:spacing w:val="-2"/>
          <w:sz w:val="20"/>
          <w:szCs w:val="20"/>
        </w:rPr>
        <w:t xml:space="preserve"> ну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0"/>
          <w:szCs w:val="20"/>
          <w:lang w:val="undefined"/>
        </w:rPr>
        <w:t xml:space="preserve">жд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0"/>
          <w:szCs w:val="20"/>
          <w:lang w:val="undefined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0"/>
          <w:szCs w:val="20"/>
          <w:lang w:val="undefined"/>
        </w:rPr>
        <w:t xml:space="preserve">КАУ ДПО "АИЦТИ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0"/>
          <w:szCs w:val="20"/>
          <w:lang w:val="undefined"/>
        </w:rPr>
        <w:t xml:space="preserve">ОКО ИМ. О.Р. ЛЬВОВА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0"/>
          <w:szCs w:val="20"/>
          <w:lang w:val="undefined"/>
        </w:rPr>
        <w:t xml:space="preserve">"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0"/>
          <w:szCs w:val="20"/>
          <w:lang w:val="undefined" w:bidi="undefined"/>
        </w:rPr>
      </w:r>
      <w:r>
        <w:rPr>
          <w:rFonts w:ascii="Times New Roman" w:hAnsi="Times New Roman" w:eastAsia="Times New Roman" w:cs="Times New Roman"/>
          <w:color w:val="000000"/>
          <w:sz w:val="28"/>
        </w:rPr>
      </w:r>
    </w:p>
    <w:p w14:paraId="7B293950">
      <w:pPr>
        <w:pBdr/>
        <w:spacing/>
        <w:ind/>
        <w:contextualSpacing w:val="true"/>
        <w:jc w:val="both"/>
        <w:rPr>
          <w:rFonts w:ascii="Times New Roman" w:hAnsi="Times New Roman" w:eastAsia="Times New Roman" w:cs="Times New Roman"/>
          <w:b/>
          <w:bCs/>
          <w:color w:val="000000"/>
          <w:spacing w:val="-2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spacing w:val="-2"/>
          <w:sz w:val="20"/>
          <w:szCs w:val="20"/>
        </w:rPr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0"/>
          <w:szCs w:val="20"/>
          <w14:ligatures w14:val="none"/>
        </w:rPr>
      </w:r>
    </w:p>
    <w:p w14:paraId="0AEDEC8F">
      <w:pPr>
        <w:pBdr/>
        <w:spacing w:line="237" w:lineRule="auto"/>
        <w:ind/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en-US"/>
        </w:rPr>
        <w:t xml:space="preserve">Способ осуществления закупки: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запрос котировок в электронной форме, участниками которого могут быть только субъекты малого и среднего предп</w:t>
      </w:r>
      <w:r>
        <w:rPr>
          <w:rFonts w:ascii="Times New Roman" w:hAnsi="Times New Roman" w:eastAsia="Times New Roman" w:cs="Times New Roman"/>
          <w:sz w:val="20"/>
          <w:szCs w:val="20"/>
          <w:lang w:val="undefined" w:eastAsia="en-US"/>
        </w:rPr>
        <w:t xml:space="preserve">р</w:t>
      </w:r>
      <w:r>
        <w:rPr>
          <w:rFonts w:ascii="Times New Roman" w:hAnsi="Times New Roman" w:eastAsia="Times New Roman" w:cs="Times New Roman"/>
          <w:sz w:val="20"/>
          <w:szCs w:val="20"/>
          <w:lang w:val="undefined" w:eastAsia="en-US"/>
        </w:rPr>
        <w:t xml:space="preserve">инимательства</w:t>
      </w:r>
      <w:r>
        <w:rPr>
          <w:rFonts w:ascii="Times New Roman" w:hAnsi="Times New Roman" w:eastAsia="Times New Roman" w:cs="Times New Roman"/>
          <w:sz w:val="20"/>
          <w:szCs w:val="20"/>
          <w:lang w:val="undefined" w:eastAsia="en-US" w:bidi="undefined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val="undefined" w:eastAsia="en-US"/>
        </w:rPr>
      </w:r>
    </w:p>
    <w:p w14:paraId="22CDBCA6">
      <w:pPr>
        <w:pBdr/>
        <w:spacing w:line="237" w:lineRule="auto"/>
        <w:ind/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val="undefined"/>
        </w:rPr>
        <w:t xml:space="preserve">Номер 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val="undefined"/>
        </w:rPr>
        <w:t xml:space="preserve">закупк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val="undefined"/>
        </w:rPr>
        <w:t xml:space="preserve">и: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val="undefined"/>
        </w:rPr>
        <w:t xml:space="preserve"> </w:t>
      </w:r>
      <w:bookmarkStart w:id="0" w:name="_GoBack"/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val="undefined" w:bidi="undefined"/>
        </w:rPr>
      </w:r>
      <w:bookmarkEnd w:id="0"/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val="undefined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val="undefined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val="undefined" w:bidi="undefined"/>
        </w:rPr>
      </w:r>
      <w:hyperlink r:id="rId9" w:tooltip="https://223.gzalt.ru/Competition/Competitions#" w:history="1">
        <w:r>
          <w:rPr>
            <w:rFonts w:ascii="Times New Roman" w:hAnsi="Times New Roman" w:eastAsia="Times New Roman" w:cs="Times New Roman"/>
            <w:b/>
            <w:bCs/>
            <w:color w:val="000000"/>
            <w:sz w:val="20"/>
            <w:szCs w:val="20"/>
            <w:lang w:val="undefined"/>
          </w:rPr>
          <w:t xml:space="preserve">32616447226</w:t>
        </w:r>
      </w:hyperlink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val="undefined" w:bidi="undefined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val="undefined"/>
        </w:rPr>
      </w:r>
    </w:p>
    <w:p w14:paraId="36DD6B3D">
      <w:pPr>
        <w:pBdr/>
        <w:spacing/>
        <w:ind/>
        <w:rPr>
          <w:rFonts w:ascii="Times New Roman" w:hAnsi="Times New Roman" w:eastAsia="Calibri" w:cs="Times New Roman"/>
          <w:b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  <w:t xml:space="preserve">2. Сведения о заказчике:</w:t>
      </w: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</w: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</w:r>
    </w:p>
    <w:tbl>
      <w:tblPr>
        <w:tblW w:w="10159" w:type="dxa"/>
        <w:tblCellMar>
          <w:left w:w="0" w:type="dxa"/>
          <w:right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10159"/>
      </w:tblGrid>
      <w:tr>
        <w:trPr>
          <w:trHeight w:val="476" w:hRule="exact"/>
        </w:trPr>
        <w:tc>
          <w:tcPr>
            <w:shd w:val="clear" w:color="ffffff" w:fill="ffffff"/>
            <w:tcBorders/>
            <w:tcMar>
              <w:left w:w="29" w:type="dxa"/>
              <w:top w:w="29" w:type="dxa"/>
              <w:right w:w="72" w:type="dxa"/>
              <w:bottom w:w="0" w:type="dxa"/>
            </w:tcMar>
            <w:tcW w:w="10159" w:type="dxa"/>
          </w:tcPr>
          <w:p w14:paraId="065A4FCB"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  <w:szCs w:val="16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  <w:szCs w:val="16"/>
              </w:rPr>
              <w:t xml:space="preserve">РАЕВОЕ АВТОНОМНОЕ УЧРЕЖДЕНИЕ ДОПОЛНИТЕЛЬНОГО ПРОФЕССИОНАЛЬНОГ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  <w:szCs w:val="16"/>
              </w:rPr>
              <w:t xml:space="preserve">О ОБРАЗОВАНИЯ "АЛ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  <w:szCs w:val="16"/>
              </w:rPr>
              <w:t xml:space="preserve">ТАЙСКИЙ 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  <w:szCs w:val="16"/>
              </w:rPr>
              <w:t xml:space="preserve">НСТИТУТ ЦИФРОВЫХ ТЕХНОЛОГИЙ И ОЦЕНКИ КАЧЕСТВА ОБРАЗОВАН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  <w:szCs w:val="16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  <w:szCs w:val="16"/>
              </w:rPr>
              <w:t xml:space="preserve">Я ИМЕНИ ОЛЕГ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  <w:szCs w:val="16"/>
              </w:rPr>
              <w:t xml:space="preserve">А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  <w:szCs w:val="16"/>
              </w:rPr>
              <w:t xml:space="preserve">РОСТИСЛАВОВИЧА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  <w:szCs w:val="16"/>
              </w:rPr>
              <w:t xml:space="preserve"> ЛЬВОВА"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r>
          </w:p>
          <w:p w14:paraId="310AAEE7"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 w14:paraId="6C846B53">
            <w:pPr>
              <w:pBdr/>
              <w:spacing w:line="229" w:lineRule="auto"/>
              <w:ind/>
              <w:rPr>
                <w:rFonts w:ascii="Times New Roman" w:hAnsi="Times New Roman" w:eastAsia="Times New Roman" w:cs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pacing w:val="-2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8"/>
                <w:szCs w:val="18"/>
              </w:rPr>
            </w:r>
          </w:p>
          <w:p w14:paraId="1A37BF8F">
            <w:pPr>
              <w:pBdr/>
              <w:spacing/>
              <w:ind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</w:p>
        </w:tc>
      </w:tr>
      <w:tr>
        <w:trPr>
          <w:trHeight w:val="554" w:hRule="exact"/>
        </w:trPr>
        <w:tc>
          <w:tcPr>
            <w:shd w:val="clear" w:color="ffffff" w:fill="ffffff"/>
            <w:tcBorders/>
            <w:tcMar>
              <w:left w:w="29" w:type="dxa"/>
              <w:top w:w="29" w:type="dxa"/>
              <w:right w:w="72" w:type="dxa"/>
              <w:bottom w:w="0" w:type="dxa"/>
            </w:tcMar>
            <w:tcW w:w="10159" w:type="dxa"/>
          </w:tcPr>
          <w:p w14:paraId="2D228E06">
            <w:pPr>
              <w:pBdr/>
              <w:spacing w:line="229" w:lineRule="auto"/>
              <w:ind/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 xml:space="preserve">ИНН: </w:t>
            </w: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  <w:lang w:val="undefined"/>
              </w:rPr>
              <w:t xml:space="preserve">2223032810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</w:t>
            </w:r>
            <w:r/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  <w14:ligatures w14:val="none"/>
              </w:rPr>
            </w:r>
          </w:p>
        </w:tc>
      </w:tr>
      <w:tr>
        <w:trPr>
          <w:trHeight w:val="1248" w:hRule="exact"/>
        </w:trPr>
        <w:tc>
          <w:tcPr>
            <w:shd w:val="clear" w:color="ffffff" w:fill="ffffff"/>
            <w:tcBorders/>
            <w:tcMar>
              <w:left w:w="29" w:type="dxa"/>
              <w:top w:w="29" w:type="dxa"/>
              <w:right w:w="72" w:type="dxa"/>
              <w:bottom w:w="0" w:type="dxa"/>
            </w:tcMar>
            <w:tcW w:w="10159" w:type="dxa"/>
          </w:tcPr>
          <w:p w14:paraId="435319F1"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Почтовый адрес: 656008, г Барнаул, ул Партизанская, дом 195, офис (квартира) 206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 w14:paraId="76EB0610"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Место нахождения: 656008, АЛТАЙСКИЙ КРАЙ, Г.. БАРНАУЛ, УЛ. ПАРТИЗАНСКАЯ, Д. 195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 w14:paraId="7FA28694"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Номер контактного телефона и факса: 3852206400, 3852206425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 w14:paraId="1859B722"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Ответственное должностное лицо заказчика: Парамонова Вера Максимовна, тел.: 89130866550, Е-mail: office@cto22.ru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 w14:paraId="5E49A225"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 w14:paraId="0F0E3B8E"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 w14:paraId="7DF26983">
      <w:pPr>
        <w:pBdr/>
        <w:spacing w:line="229" w:lineRule="auto"/>
        <w:ind/>
        <w:rPr>
          <w:rFonts w:ascii="Times New Roman" w:hAnsi="Times New Roman" w:eastAsia="Times New Roman" w:cs="Times New Roman"/>
          <w:color w:val="000000"/>
          <w:spacing w:val="-2"/>
          <w:sz w:val="20"/>
          <w:szCs w:val="20"/>
          <w:lang w:eastAsia="en-US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0"/>
          <w:szCs w:val="20"/>
          <w:lang w:eastAsia="en-US"/>
        </w:rPr>
      </w:r>
      <w:r>
        <w:rPr>
          <w:rFonts w:ascii="Times New Roman" w:hAnsi="Times New Roman" w:eastAsia="Times New Roman" w:cs="Times New Roman"/>
          <w:color w:val="000000"/>
          <w:spacing w:val="-2"/>
          <w:sz w:val="20"/>
          <w:szCs w:val="20"/>
          <w:lang w:eastAsia="en-US"/>
        </w:rPr>
      </w:r>
      <w:r>
        <w:rPr>
          <w:rFonts w:ascii="Times New Roman" w:hAnsi="Times New Roman" w:eastAsia="Times New Roman" w:cs="Times New Roman"/>
          <w:color w:val="000000"/>
          <w:spacing w:val="-2"/>
          <w:sz w:val="20"/>
          <w:szCs w:val="20"/>
          <w:lang w:eastAsia="en-US"/>
        </w:rPr>
      </w:r>
    </w:p>
    <w:p w14:paraId="0AA0E2A2">
      <w:pPr>
        <w:pBdr/>
        <w:spacing w:line="229" w:lineRule="auto"/>
        <w:ind/>
        <w:rPr>
          <w:rFonts w:ascii="Times New Roman" w:hAnsi="Times New Roman" w:eastAsia="Calibri" w:cs="Times New Roman"/>
          <w:b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  <w:t xml:space="preserve">3. Сведения об уполномоченном учреждении: </w:t>
      </w: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</w: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</w:r>
    </w:p>
    <w:p w14:paraId="06BB27E3">
      <w:pPr>
        <w:pBdr/>
        <w:spacing w:line="229" w:lineRule="auto"/>
        <w:ind/>
        <w:rPr>
          <w:rFonts w:ascii="Times New Roman" w:hAnsi="Times New Roman" w:eastAsia="Times New Roman" w:cs="Times New Roman"/>
          <w:spacing w:val="-2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КГКУ «Центр государственных закупок Алтайского края» </w:t>
      </w:r>
      <w:r>
        <w:rPr>
          <w:rFonts w:ascii="Times New Roman" w:hAnsi="Times New Roman" w:eastAsia="Times New Roman" w:cs="Times New Roman"/>
          <w:spacing w:val="-2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spacing w:val="-2"/>
          <w:sz w:val="20"/>
          <w:szCs w:val="20"/>
          <w14:ligatures w14:val="none"/>
        </w:rPr>
      </w:r>
    </w:p>
    <w:p w14:paraId="2B9E9E4F">
      <w:pPr>
        <w:pBdr/>
        <w:spacing w:line="229" w:lineRule="auto"/>
        <w:ind/>
        <w:rPr>
          <w:rFonts w:ascii="Times New Roman" w:hAnsi="Times New Roman" w:eastAsia="Times New Roman" w:cs="Times New Roman"/>
          <w:spacing w:val="-2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Почтовый адрес: 656049, Алтайский край, г. Барнаул, ул. Интернациональная, 122 </w:t>
      </w:r>
      <w:r>
        <w:rPr>
          <w:rFonts w:ascii="Times New Roman" w:hAnsi="Times New Roman" w:eastAsia="Times New Roman" w:cs="Times New Roman"/>
          <w:spacing w:val="-2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spacing w:val="-2"/>
          <w:sz w:val="20"/>
          <w:szCs w:val="20"/>
          <w14:ligatures w14:val="none"/>
        </w:rPr>
      </w:r>
    </w:p>
    <w:p w14:paraId="7B2CFBAC">
      <w:pPr>
        <w:pBdr/>
        <w:spacing w:line="229" w:lineRule="auto"/>
        <w:ind/>
        <w:rPr>
          <w:rFonts w:ascii="Times New Roman" w:hAnsi="Times New Roman" w:eastAsia="Times New Roman" w:cs="Times New Roman"/>
          <w:spacing w:val="-2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Место нахождения: 656049, Алтайский край, г. Барнаул, ул. Интернациональная, 122 </w:t>
      </w:r>
      <w:r>
        <w:rPr>
          <w:rFonts w:ascii="Times New Roman" w:hAnsi="Times New Roman" w:eastAsia="Times New Roman" w:cs="Times New Roman"/>
          <w:spacing w:val="-2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spacing w:val="-2"/>
          <w:sz w:val="20"/>
          <w:szCs w:val="20"/>
          <w14:ligatures w14:val="none"/>
        </w:rPr>
      </w:r>
    </w:p>
    <w:p w14:paraId="7FA73A5E">
      <w:pPr>
        <w:pBdr/>
        <w:spacing w:line="229" w:lineRule="auto"/>
        <w:ind/>
        <w:rPr>
          <w:rFonts w:ascii="Times New Roman" w:hAnsi="Times New Roman" w:eastAsia="Times New Roman" w:cs="Times New Roman"/>
          <w:spacing w:val="-2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Контак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тное лицо: Савина Екатерина Владимировна, главный специалист по закупкам отдела закупок товаров производственного назначения КГКУ «Центр государственных закупок Алтайского края», г. Барнаул, ул. Интернациональная, 122, тел: +7(3852)-20-66-64, saev@gzalt.ru</w:t>
      </w:r>
      <w:r>
        <w:rPr>
          <w:rFonts w:ascii="Times New Roman" w:hAnsi="Times New Roman" w:eastAsia="Times New Roman" w:cs="Times New Roman"/>
          <w:spacing w:val="-2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spacing w:val="-2"/>
          <w:sz w:val="20"/>
          <w:szCs w:val="20"/>
          <w14:ligatures w14:val="none"/>
        </w:rPr>
      </w:r>
    </w:p>
    <w:p w14:paraId="426AA58D">
      <w:pPr>
        <w:pBdr/>
        <w:spacing/>
        <w:ind/>
        <w:rPr>
          <w:rFonts w:ascii="Times New Roman" w:hAnsi="Times New Roman" w:eastAsia="Times New Roman" w:cs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/>
          <w:spacing w:val="-2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/>
          <w:spacing w:val="-2"/>
          <w:sz w:val="20"/>
          <w:szCs w:val="20"/>
        </w:rPr>
      </w:r>
    </w:p>
    <w:p w14:paraId="11FE568C">
      <w:pPr>
        <w:pBdr/>
        <w:tabs>
          <w:tab w:val="left" w:leader="none" w:pos="284"/>
        </w:tabs>
        <w:spacing/>
        <w:ind/>
        <w:jc w:val="both"/>
        <w:rPr>
          <w:rFonts w:ascii="Times New Roman" w:hAnsi="Times New Roman" w:eastAsia="Calibri" w:cs="Times New Roman"/>
          <w:b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  <w:t xml:space="preserve">4. Внесены следующие изменения в Извещение о проведении запроса котировок в электронной форме участниками которого могут быть только субъекты малого и среднего предпринимательства:</w:t>
      </w: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</w: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</w:r>
    </w:p>
    <w:p w14:paraId="29E73659">
      <w:pPr>
        <w:pBdr/>
        <w:tabs>
          <w:tab w:val="left" w:leader="none" w:pos="284"/>
        </w:tabs>
        <w:spacing/>
        <w:ind/>
        <w:jc w:val="both"/>
        <w:rPr>
          <w:rFonts w:ascii="Times New Roman" w:hAnsi="Times New Roman" w:eastAsia="Calibri" w:cs="Times New Roman"/>
          <w:b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  <w:t xml:space="preserve">4.1. Пункт 21 Раздела 20 Извещения читать в следующей редакции:</w:t>
      </w: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</w: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</w:r>
    </w:p>
    <w:p w14:paraId="18112140">
      <w:pPr>
        <w:pBdr/>
        <w:spacing/>
        <w:ind/>
        <w:rPr>
          <w:rFonts w:ascii="Times New Roman" w:hAnsi="Times New Roman" w:eastAsia="Times New Roman" w:cs="Times New Roman"/>
          <w:spacing w:val="-2"/>
          <w:sz w:val="20"/>
          <w:szCs w:val="20"/>
          <w:lang w:eastAsia="en-US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  <w:lang w:eastAsia="en-US"/>
        </w:rPr>
        <w:t xml:space="preserve">Иные сведения: </w:t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eastAsia="en-US"/>
        </w:rPr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eastAsia="en-US"/>
        </w:rPr>
      </w:r>
    </w:p>
    <w:p w14:paraId="43E41F48">
      <w:pPr>
        <w:pBdr/>
        <w:spacing/>
        <w:ind/>
        <w:rPr>
          <w:rFonts w:ascii="Times New Roman" w:hAnsi="Times New Roman" w:eastAsia="Times New Roman" w:cs="Times New Roman"/>
          <w:spacing w:val="-2"/>
          <w:sz w:val="20"/>
          <w:szCs w:val="20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  <w:lang w:val="undefined" w:bidi="undefined"/>
        </w:rPr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val="undefined"/>
        </w:rPr>
        <w:t xml:space="preserve">Гарантийный срок составляет не менее 12 (двенадцати) месяцев и исчисляется со дня подписания Сторонами акта приемки оказанной услуги и распространяется на оказанные услуги в полном объеме</w:t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val="undefined" w:bidi="undefined"/>
        </w:rPr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val="undefined"/>
        </w:rPr>
      </w:r>
    </w:p>
    <w:p w14:paraId="6CA5F9E9">
      <w:pPr>
        <w:pBdr/>
        <w:spacing/>
        <w:ind/>
        <w:rPr>
          <w:rFonts w:ascii="Times New Roman" w:hAnsi="Times New Roman" w:eastAsia="Times New Roman" w:cs="Times New Roman"/>
          <w:spacing w:val="-2"/>
          <w:sz w:val="20"/>
          <w:szCs w:val="20"/>
          <w:highlight w:val="none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  <w:lang w:val="undefined"/>
        </w:rPr>
        <w:t xml:space="preserve">Техническое задание </w:t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val="undefined"/>
        </w:rPr>
        <w:t xml:space="preserve">в новой редакции, проект договора в новой редакции </w:t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val="undefined"/>
        </w:rPr>
        <w:t xml:space="preserve">наход</w:t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val="undefined"/>
        </w:rPr>
        <w:t xml:space="preserve">я</w:t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val="undefined"/>
        </w:rPr>
        <w:t xml:space="preserve">тся в списке документов закупки, доступных для загрузки на сайте www.zakupki.gov.ru.</w:t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val="undefined" w:eastAsia="en-US" w:bidi="undefined"/>
        </w:rPr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eastAsia="en-US"/>
        </w:rPr>
      </w:r>
    </w:p>
    <w:p w14:paraId="3E5613E3">
      <w:pPr>
        <w:pBdr/>
        <w:spacing/>
        <w:ind/>
        <w:rPr>
          <w:rFonts w:ascii="Times New Roman" w:hAnsi="Times New Roman" w:eastAsia="Times New Roman" w:cs="Times New Roman"/>
          <w:spacing w:val="-2"/>
          <w:sz w:val="20"/>
          <w:szCs w:val="20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  <w:lang w:eastAsia="en-US"/>
        </w:rPr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eastAsia="en-US"/>
        </w:rPr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eastAsia="en-US"/>
        </w:rPr>
      </w:r>
    </w:p>
    <w:p w14:paraId="74767E78">
      <w:pPr>
        <w:pBdr/>
        <w:spacing/>
        <w:ind/>
        <w:rPr>
          <w:rFonts w:ascii="Times New Roman" w:hAnsi="Times New Roman" w:eastAsia="Calibri" w:cs="Times New Roman"/>
          <w:b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  <w:t xml:space="preserve">5</w:t>
      </w: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  <w:t xml:space="preserve">. Внесены следующие изменения в Техническое задание:</w:t>
      </w: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</w: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</w:r>
    </w:p>
    <w:p w14:paraId="2DCD8F2C">
      <w:pPr>
        <w:pBdr/>
        <w:spacing/>
        <w:ind/>
        <w:rPr>
          <w:rFonts w:ascii="Times New Roman" w:hAnsi="Times New Roman" w:eastAsia="Calibri" w:cs="Times New Roman"/>
          <w:sz w:val="20"/>
          <w:szCs w:val="20"/>
          <w:highlight w:val="none"/>
          <w:lang w:eastAsia="en-US"/>
        </w:rPr>
      </w:pPr>
      <w:r>
        <w:rPr>
          <w:rFonts w:ascii="Times New Roman" w:hAnsi="Times New Roman" w:eastAsia="Calibri" w:cs="Times New Roman"/>
          <w:sz w:val="20"/>
          <w:szCs w:val="20"/>
          <w:lang w:eastAsia="en-US"/>
        </w:rPr>
        <w:t xml:space="preserve">Техническое задание читать в новой редакции.</w:t>
      </w:r>
      <w:r>
        <w:rPr>
          <w:rFonts w:ascii="Times New Roman" w:hAnsi="Times New Roman" w:eastAsia="Calibri" w:cs="Times New Roman"/>
          <w:sz w:val="20"/>
          <w:szCs w:val="20"/>
          <w:highlight w:val="none"/>
          <w:lang w:eastAsia="en-US"/>
        </w:rPr>
      </w:r>
      <w:r>
        <w:rPr>
          <w:rFonts w:ascii="Times New Roman" w:hAnsi="Times New Roman" w:eastAsia="Calibri" w:cs="Times New Roman"/>
          <w:sz w:val="20"/>
          <w:szCs w:val="20"/>
          <w:highlight w:val="none"/>
          <w:lang w:eastAsia="en-US"/>
        </w:rPr>
      </w:r>
    </w:p>
    <w:p w14:paraId="5D453F09">
      <w:pPr>
        <w:pBdr/>
        <w:spacing/>
        <w:ind/>
        <w:rPr>
          <w:rFonts w:ascii="Times New Roman" w:hAnsi="Times New Roman" w:eastAsia="Calibri" w:cs="Times New Roman"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sz w:val="20"/>
          <w:szCs w:val="20"/>
          <w:highlight w:val="none"/>
          <w:lang w:eastAsia="en-US"/>
        </w:rPr>
      </w:r>
      <w:r>
        <w:rPr>
          <w:rFonts w:ascii="Times New Roman" w:hAnsi="Times New Roman" w:eastAsia="Calibri" w:cs="Times New Roman"/>
          <w:sz w:val="20"/>
          <w:szCs w:val="20"/>
          <w:lang w:eastAsia="en-US"/>
        </w:rPr>
      </w:r>
      <w:r>
        <w:rPr>
          <w:rFonts w:ascii="Times New Roman" w:hAnsi="Times New Roman" w:eastAsia="Calibri" w:cs="Times New Roman"/>
          <w:sz w:val="20"/>
          <w:szCs w:val="20"/>
          <w:lang w:eastAsia="en-US"/>
        </w:rPr>
      </w:r>
    </w:p>
    <w:p w14:paraId="10B7E1C0">
      <w:pPr>
        <w:pBdr/>
        <w:spacing/>
        <w:ind/>
        <w:rPr>
          <w:rFonts w:ascii="Times New Roman" w:hAnsi="Times New Roman" w:eastAsia="Calibri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eastAsia="Calibri" w:cs="Times New Roman"/>
          <w:b/>
          <w:color w:val="000000" w:themeColor="text1"/>
          <w:sz w:val="20"/>
          <w:szCs w:val="20"/>
          <w:lang w:val="ru-RU"/>
        </w:rPr>
        <w:t xml:space="preserve">6. </w:t>
      </w:r>
      <w:r>
        <w:rPr>
          <w:rFonts w:ascii="Times New Roman" w:hAnsi="Times New Roman" w:eastAsia="Calibri" w:cs="Times New Roman"/>
          <w:b/>
          <w:color w:val="000000" w:themeColor="text1"/>
          <w:sz w:val="20"/>
          <w:szCs w:val="20"/>
          <w:lang w:eastAsia="en-US"/>
        </w:rPr>
        <w:t xml:space="preserve">Раздел 20 Извещения читать в следующей редакции:</w:t>
      </w:r>
      <w:r>
        <w:rPr>
          <w:rFonts w:ascii="Times New Roman" w:hAnsi="Times New Roman" w:eastAsia="Calibri" w:cs="Times New Roman"/>
          <w:b/>
          <w:color w:val="000000" w:themeColor="text1"/>
          <w:sz w:val="20"/>
          <w:szCs w:val="20"/>
        </w:rPr>
      </w:r>
      <w:r>
        <w:rPr>
          <w:rFonts w:ascii="Times New Roman" w:hAnsi="Times New Roman" w:eastAsia="Calibri" w:cs="Times New Roman"/>
          <w:b/>
          <w:color w:val="000000" w:themeColor="text1"/>
          <w:sz w:val="20"/>
          <w:szCs w:val="20"/>
        </w:rPr>
      </w:r>
    </w:p>
    <w:p w14:paraId="5F720225">
      <w:pPr>
        <w:pBdr/>
        <w:spacing/>
        <w:ind/>
        <w:rPr>
          <w:rFonts w:ascii="Times New Roman" w:hAnsi="Times New Roman" w:eastAsia="Times New Roman" w:cs="Times New Roman"/>
          <w:spacing w:val="-2"/>
          <w:sz w:val="20"/>
          <w:szCs w:val="20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  <w:highlight w:val="none"/>
          <w:lang w:eastAsia="en-US"/>
        </w:rPr>
      </w:r>
      <w:r>
        <w:rPr>
          <w:rFonts w:ascii="Times New Roman" w:hAnsi="Times New Roman" w:eastAsia="Times New Roman" w:cs="Times New Roman"/>
          <w:spacing w:val="-2"/>
          <w:sz w:val="20"/>
          <w:szCs w:val="20"/>
          <w:highlight w:val="none"/>
          <w:lang w:eastAsia="en-US"/>
        </w:rPr>
      </w:r>
      <w:r>
        <w:rPr>
          <w:rFonts w:ascii="Times New Roman" w:hAnsi="Times New Roman" w:eastAsia="Times New Roman" w:cs="Times New Roman"/>
          <w:spacing w:val="-2"/>
          <w:sz w:val="20"/>
          <w:szCs w:val="20"/>
          <w:highlight w:val="none"/>
          <w:lang w:eastAsia="en-US"/>
        </w:rPr>
      </w:r>
    </w:p>
    <w:tbl>
      <w:tblPr>
        <w:tblW w:w="9633" w:type="dxa"/>
        <w:tblCellMar>
          <w:left w:w="0" w:type="dxa"/>
          <w:right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845"/>
        <w:gridCol w:w="8788"/>
      </w:tblGrid>
      <w:tr>
        <w:trPr>
          <w:trHeight w:val="301"/>
        </w:trPr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top w:w="29" w:type="dxa"/>
              <w:right w:w="72" w:type="dxa"/>
              <w:bottom w:w="0" w:type="dxa"/>
            </w:tcMar>
            <w:tcW w:w="845" w:type="dxa"/>
          </w:tcPr>
          <w:p w14:paraId="2AB76A57">
            <w:pPr>
              <w:pBdr/>
              <w:spacing w:line="229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18"/>
                <w:szCs w:val="18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top w:w="29" w:type="dxa"/>
              <w:right w:w="72" w:type="dxa"/>
              <w:bottom w:w="0" w:type="dxa"/>
            </w:tcMar>
            <w:tcW w:w="8788" w:type="dxa"/>
          </w:tcPr>
          <w:p w14:paraId="585143E2"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 xml:space="preserve">Дата и время окончания срока подачи заявок (время местное):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20 октября 2026 г. до 11:00 часов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r>
          </w:p>
          <w:p w14:paraId="40B1846A">
            <w:pPr>
              <w:pBdr/>
              <w:spacing w:line="229" w:lineRule="auto"/>
              <w:ind/>
              <w:rPr>
                <w:rFonts w:ascii="Times New Roman" w:hAnsi="Times New Roman" w:eastAsia="Times New Roman" w:cs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pacing w:val="-2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8"/>
                <w:szCs w:val="18"/>
              </w:rPr>
            </w:r>
          </w:p>
          <w:p w14:paraId="23EE8F78"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rPr>
          <w:trHeight w:val="745"/>
        </w:trPr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top w:w="29" w:type="dxa"/>
              <w:right w:w="72" w:type="dxa"/>
              <w:bottom w:w="0" w:type="dxa"/>
            </w:tcMar>
            <w:tcW w:w="845" w:type="dxa"/>
          </w:tcPr>
          <w:p w14:paraId="22F7C4E0">
            <w:pPr>
              <w:pBdr/>
              <w:spacing w:line="229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18"/>
                <w:szCs w:val="18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top w:w="29" w:type="dxa"/>
              <w:right w:w="72" w:type="dxa"/>
              <w:bottom w:w="0" w:type="dxa"/>
            </w:tcMar>
            <w:tcW w:w="8788" w:type="dxa"/>
          </w:tcPr>
          <w:p w14:paraId="5256638E"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 xml:space="preserve">Дата рассмотрения заявок участников, подведения итогов запроса котировок: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r>
          </w:p>
          <w:p w14:paraId="1A213279"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 xml:space="preserve">Дата рассмотрения заявок участников запроса котировок: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21 октября 2026 г.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r>
          </w:p>
          <w:p w14:paraId="332303F6"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 xml:space="preserve">Дата подведения итогов запроса котировок: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21 октября 2026 г.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r>
          </w:p>
          <w:p w14:paraId="1903EE6D">
            <w:pPr>
              <w:pBdr/>
              <w:spacing w:line="229" w:lineRule="auto"/>
              <w:ind/>
              <w:rPr>
                <w:rFonts w:ascii="Times New Roman" w:hAnsi="Times New Roman" w:eastAsia="Times New Roman" w:cs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pacing w:val="-2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18"/>
                <w:szCs w:val="18"/>
              </w:rPr>
            </w:r>
          </w:p>
          <w:p w14:paraId="3E9A725B"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rPr>
          <w:trHeight w:val="745"/>
        </w:trPr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top w:w="29" w:type="dxa"/>
              <w:right w:w="72" w:type="dxa"/>
              <w:bottom w:w="0" w:type="dxa"/>
            </w:tcMar>
            <w:tcW w:w="845" w:type="dxa"/>
          </w:tcPr>
          <w:p w14:paraId="69052A73">
            <w:pPr>
              <w:pBdr/>
              <w:spacing w:line="229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18"/>
                <w:szCs w:val="18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top w:w="29" w:type="dxa"/>
              <w:right w:w="72" w:type="dxa"/>
              <w:bottom w:w="0" w:type="dxa"/>
            </w:tcMar>
            <w:tcW w:w="8788" w:type="dxa"/>
          </w:tcPr>
          <w:p w14:paraId="74E1FAAD"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 xml:space="preserve">Дата и время окончания срока предоставления участникам разъяснений положений извещения (время местное):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 19 октября 2026 г. 23:59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r>
          </w:p>
          <w:p w14:paraId="5D97089D">
            <w:pPr>
              <w:pBdr/>
              <w:spacing w:line="229" w:lineRule="auto"/>
              <w:ind/>
              <w:rPr>
                <w:rFonts w:ascii="Times New Roman" w:hAnsi="Times New Roman" w:eastAsia="Times New Roman" w:cs="Times New Roman"/>
                <w:b/>
                <w:spacing w:val="-2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pacing w:val="-2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spacing w:val="-2"/>
                <w:sz w:val="18"/>
                <w:szCs w:val="18"/>
              </w:rPr>
            </w:r>
          </w:p>
          <w:p w14:paraId="500E72EF">
            <w:pPr>
              <w:pBdr/>
              <w:spacing w:line="229" w:lineRule="auto"/>
              <w:ind/>
              <w:rPr>
                <w:rFonts w:ascii="Times New Roman" w:hAnsi="Times New Roman" w:eastAsia="Times New Roman" w:cs="Times New Roman"/>
                <w:b/>
                <w:spacing w:val="-2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pacing w:val="-2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spacing w:val="-2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spacing w:val="-2"/>
                <w:sz w:val="18"/>
                <w:szCs w:val="18"/>
              </w:rPr>
            </w:r>
          </w:p>
        </w:tc>
      </w:tr>
    </w:tbl>
    <w:p w14:paraId="24D4CCB1">
      <w:pPr>
        <w:pBdr/>
        <w:spacing/>
        <w:ind/>
        <w:rPr>
          <w:rFonts w:ascii="Times New Roman" w:hAnsi="Times New Roman" w:eastAsia="Calibri" w:cs="Times New Roman"/>
          <w:b/>
          <w:bCs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b/>
          <w:bCs/>
          <w:sz w:val="20"/>
          <w:szCs w:val="20"/>
          <w:lang w:eastAsia="en-US"/>
        </w:rPr>
      </w:r>
      <w:r>
        <w:rPr>
          <w:rFonts w:ascii="Times New Roman" w:hAnsi="Times New Roman" w:eastAsia="Calibri" w:cs="Times New Roman"/>
          <w:b/>
          <w:bCs/>
          <w:sz w:val="20"/>
          <w:szCs w:val="20"/>
          <w:lang w:eastAsia="en-US"/>
        </w:rPr>
      </w:r>
      <w:r>
        <w:rPr>
          <w:rFonts w:ascii="Times New Roman" w:hAnsi="Times New Roman" w:eastAsia="Calibri" w:cs="Times New Roman"/>
          <w:b/>
          <w:bCs/>
          <w:sz w:val="20"/>
          <w:szCs w:val="20"/>
          <w:lang w:eastAsia="en-US"/>
        </w:rPr>
      </w:r>
    </w:p>
    <w:p w14:paraId="00244E6C">
      <w:pPr>
        <w:pBdr/>
        <w:spacing/>
        <w:ind/>
        <w:rPr>
          <w:rFonts w:ascii="Times New Roman" w:hAnsi="Times New Roman" w:eastAsia="Calibri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eastAsia="Calibri" w:cs="Times New Roman"/>
          <w:b/>
          <w:color w:val="000000" w:themeColor="text1"/>
          <w:sz w:val="20"/>
          <w:szCs w:val="20"/>
          <w:lang w:val="ru-RU"/>
        </w:rPr>
        <w:t xml:space="preserve">7. </w:t>
      </w:r>
      <w:r>
        <w:rPr>
          <w:rFonts w:ascii="Times New Roman" w:hAnsi="Times New Roman" w:eastAsia="Calibri" w:cs="Times New Roman"/>
          <w:b/>
          <w:color w:val="000000" w:themeColor="text1"/>
          <w:sz w:val="20"/>
          <w:szCs w:val="20"/>
          <w:lang w:eastAsia="en-US"/>
        </w:rPr>
        <w:t xml:space="preserve">Внесены следующие изменения в Проект договора:</w:t>
      </w:r>
      <w:r>
        <w:rPr>
          <w:rFonts w:ascii="Times New Roman" w:hAnsi="Times New Roman" w:eastAsia="Calibri" w:cs="Times New Roman"/>
          <w:b/>
          <w:color w:val="000000" w:themeColor="text1"/>
          <w:sz w:val="20"/>
          <w:szCs w:val="20"/>
          <w:lang w:eastAsia="en-US"/>
        </w:rPr>
      </w:r>
      <w:r>
        <w:rPr>
          <w:rFonts w:ascii="Times New Roman" w:hAnsi="Times New Roman" w:eastAsia="Calibri" w:cs="Times New Roman"/>
          <w:b/>
          <w:color w:val="000000" w:themeColor="text1"/>
          <w:sz w:val="20"/>
          <w:szCs w:val="20"/>
          <w:lang w:eastAsia="en-US"/>
        </w:rPr>
      </w:r>
    </w:p>
    <w:p w14:paraId="39788326">
      <w:pPr>
        <w:pBdr/>
        <w:spacing/>
        <w:ind/>
        <w:rPr>
          <w:rFonts w:ascii="Times New Roman" w:hAnsi="Times New Roman" w:eastAsia="Calibri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eastAsia="Calibri" w:cs="Times New Roman"/>
          <w:b/>
          <w:color w:val="000000" w:themeColor="text1"/>
          <w:sz w:val="20"/>
          <w:szCs w:val="20"/>
          <w:lang w:eastAsia="en-US"/>
        </w:rPr>
        <w:t xml:space="preserve">Пункт </w:t>
      </w:r>
      <w:r>
        <w:rPr>
          <w:rFonts w:ascii="Times New Roman" w:hAnsi="Times New Roman" w:eastAsia="Calibri" w:cs="Times New Roman"/>
          <w:b/>
          <w:color w:val="000000" w:themeColor="text1"/>
          <w:sz w:val="20"/>
          <w:szCs w:val="20"/>
          <w:lang w:val="ru-RU"/>
        </w:rPr>
        <w:t xml:space="preserve">6.2</w:t>
      </w:r>
      <w:r>
        <w:rPr>
          <w:rFonts w:ascii="Times New Roman" w:hAnsi="Times New Roman" w:eastAsia="Calibri" w:cs="Times New Roman"/>
          <w:b/>
          <w:color w:val="000000" w:themeColor="text1"/>
          <w:sz w:val="20"/>
          <w:szCs w:val="20"/>
          <w:lang w:eastAsia="en-US"/>
        </w:rPr>
        <w:t xml:space="preserve"> Раздела </w:t>
      </w:r>
      <w:r>
        <w:rPr>
          <w:rFonts w:ascii="Times New Roman" w:hAnsi="Times New Roman" w:eastAsia="Calibri" w:cs="Times New Roman"/>
          <w:b/>
          <w:color w:val="000000" w:themeColor="text1"/>
          <w:sz w:val="20"/>
          <w:szCs w:val="20"/>
          <w:lang w:val="ru-RU"/>
        </w:rPr>
        <w:t xml:space="preserve">6</w:t>
      </w:r>
      <w:r>
        <w:rPr>
          <w:rFonts w:ascii="Times New Roman" w:hAnsi="Times New Roman" w:eastAsia="Calibri" w:cs="Times New Roman"/>
          <w:b/>
          <w:color w:val="000000" w:themeColor="text1"/>
          <w:sz w:val="20"/>
          <w:szCs w:val="20"/>
          <w:lang w:eastAsia="en-US"/>
        </w:rPr>
        <w:t xml:space="preserve"> Проекта договора читать в следующей редакции:</w:t>
      </w:r>
      <w:r>
        <w:rPr>
          <w:rFonts w:ascii="Times New Roman" w:hAnsi="Times New Roman" w:eastAsia="Calibri" w:cs="Times New Roman"/>
          <w:b/>
          <w:color w:val="000000" w:themeColor="text1"/>
          <w:sz w:val="20"/>
          <w:szCs w:val="20"/>
          <w:lang w:eastAsia="en-US"/>
        </w:rPr>
      </w:r>
      <w:r>
        <w:rPr>
          <w:rFonts w:ascii="Times New Roman" w:hAnsi="Times New Roman" w:eastAsia="Calibri" w:cs="Times New Roman"/>
          <w:b/>
          <w:color w:val="000000" w:themeColor="text1"/>
          <w:sz w:val="20"/>
          <w:szCs w:val="20"/>
          <w:lang w:eastAsia="en-US"/>
        </w:rPr>
      </w:r>
    </w:p>
    <w:p w14:paraId="2914F386">
      <w:pPr>
        <w:pStyle w:val="886"/>
        <w:pBdr/>
        <w:spacing/>
        <w:ind w:firstLine="709"/>
        <w:jc w:val="both"/>
        <w:rPr>
          <w:highlight w:val="none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6.2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 xml:space="preserve">Гарантийный срок составляет не менее 12 (двенадцати) месяцев и исчисляется со дня подписания Сторонами акта приемки оказанной услуги и распространяется на оказанные услуги в полном объеме.». </w:t>
      </w:r>
      <w:r/>
      <w:r>
        <w:rPr>
          <w:color w:val="000000"/>
          <w:sz w:val="28"/>
          <w:szCs w:val="28"/>
          <w:shd w:val="clear" w:color="auto" w:fill="ffffff"/>
        </w:rPr>
      </w:r>
    </w:p>
    <w:p w14:paraId="4FCFDDE1">
      <w:pPr>
        <w:pStyle w:val="886"/>
        <w:pBdr/>
        <w:spacing/>
        <w:ind w:firstLine="709"/>
        <w:jc w:val="both"/>
        <w:rPr>
          <w:color w:val="000000"/>
          <w:sz w:val="28"/>
          <w:szCs w:val="28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339BAF55">
      <w:pPr>
        <w:pStyle w:val="886"/>
        <w:pBdr/>
        <w:spacing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 приложении №2 к договору и техническом задании изложить пункт 2 «Требования к службе технической поддержки и сопровождения системы» в следующей редакции: </w:t>
      </w:r>
      <w:r>
        <w:rPr>
          <w:color w:val="000000"/>
          <w:sz w:val="28"/>
          <w:szCs w:val="28"/>
          <w:shd w:val="clear" w:color="auto" w:fill="ffffff"/>
        </w:rPr>
      </w:r>
      <w:r>
        <w:rPr>
          <w:color w:val="000000"/>
          <w:sz w:val="28"/>
          <w:szCs w:val="28"/>
          <w:shd w:val="clear" w:color="auto" w:fill="ffffff"/>
        </w:rPr>
      </w:r>
    </w:p>
    <w:p w14:paraId="0538083F">
      <w:pPr>
        <w:pStyle w:val="886"/>
        <w:keepNext w:val="true"/>
        <w:keepLines w:val="true"/>
        <w:pBdr/>
        <w:spacing w:after="200" w:before="200"/>
        <w:ind w:left="927"/>
        <w:jc w:val="both"/>
        <w:outlineLvl w:val="0"/>
        <w:rPr>
          <w:caps/>
          <w:sz w:val="28"/>
          <w:szCs w:val="28"/>
          <w:lang w:val="en-US" w:eastAsia="en-US"/>
        </w:rPr>
      </w:pPr>
      <w:r/>
      <w:bookmarkStart w:id="3" w:name="_Toc130223288"/>
      <w:r>
        <w:rPr>
          <w:b/>
          <w:bCs/>
          <w:caps/>
          <w:sz w:val="30"/>
          <w:szCs w:val="32"/>
          <w:lang w:eastAsia="en-US"/>
        </w:rPr>
        <w:t xml:space="preserve">2.</w:t>
      </w:r>
      <w:r>
        <w:rPr>
          <w:b/>
          <w:bCs/>
          <w:caps/>
          <w:sz w:val="30"/>
          <w:szCs w:val="32"/>
          <w:lang w:val="en-US" w:eastAsia="en-US"/>
        </w:rPr>
        <w:t xml:space="preserve">ТРЕБОВАНИЯ К </w:t>
      </w:r>
      <w:bookmarkEnd w:id="3"/>
      <w:r>
        <w:rPr>
          <w:b/>
          <w:bCs/>
          <w:caps/>
          <w:sz w:val="30"/>
          <w:szCs w:val="32"/>
          <w:lang w:eastAsia="en-US"/>
        </w:rPr>
        <w:t xml:space="preserve">службе технической поддержки и сопровождения системы</w:t>
      </w:r>
      <w:r>
        <w:rPr>
          <w:caps/>
          <w:sz w:val="28"/>
          <w:szCs w:val="28"/>
          <w:lang w:val="en-US" w:eastAsia="en-US"/>
        </w:rPr>
      </w:r>
      <w:r>
        <w:rPr>
          <w:caps/>
          <w:sz w:val="28"/>
          <w:szCs w:val="28"/>
          <w:lang w:val="en-US" w:eastAsia="en-US"/>
        </w:rPr>
      </w:r>
    </w:p>
    <w:p w14:paraId="79570D9F">
      <w:pPr>
        <w:pStyle w:val="886"/>
        <w:widowControl w:val="false"/>
        <w:pBdr/>
        <w:tabs>
          <w:tab w:val="left" w:leader="none" w:pos="851"/>
        </w:tabs>
        <w:spacing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Для оказания услуг у Исполнителя должна быть организована служба технической поддержки (далее – СТП), осуществляющая прием обращений пользователей.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 w14:paraId="59EFD84B">
      <w:pPr>
        <w:pStyle w:val="886"/>
        <w:widowControl w:val="false"/>
        <w:pBdr/>
        <w:tabs>
          <w:tab w:val="left" w:leader="none" w:pos="851"/>
        </w:tabs>
        <w:spacing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Приём обращений в СТП должен осуществляться: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 w14:paraId="02F6CB44">
      <w:pPr>
        <w:pStyle w:val="886"/>
        <w:widowControl w:val="false"/>
        <w:numPr>
          <w:ilvl w:val="0"/>
          <w:numId w:val="1"/>
        </w:numPr>
        <w:pBdr/>
        <w:tabs>
          <w:tab w:val="left" w:leader="none" w:pos="851"/>
        </w:tabs>
        <w:spacing/>
        <w:ind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по электронной почте:</w:t>
      </w:r>
      <w:r>
        <w:rPr>
          <w:rFonts w:eastAsia="Calibri"/>
          <w:sz w:val="28"/>
          <w:szCs w:val="28"/>
          <w:lang w:eastAsia="ru-RU"/>
        </w:rPr>
      </w:r>
      <w:r>
        <w:rPr>
          <w:rFonts w:eastAsia="Calibri"/>
          <w:sz w:val="28"/>
          <w:szCs w:val="28"/>
          <w:lang w:eastAsia="ru-RU"/>
        </w:rPr>
      </w:r>
    </w:p>
    <w:p w14:paraId="457BEA3C">
      <w:pPr>
        <w:pStyle w:val="886"/>
        <w:widowControl w:val="false"/>
        <w:numPr>
          <w:ilvl w:val="0"/>
          <w:numId w:val="1"/>
        </w:numPr>
        <w:pBdr/>
        <w:tabs>
          <w:tab w:val="left" w:leader="none" w:pos="851"/>
        </w:tabs>
        <w:spacing/>
        <w:ind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через электронную форму подачи заявки в СТП:</w:t>
      </w:r>
      <w:r>
        <w:rPr>
          <w:rFonts w:eastAsia="Calibri"/>
          <w:sz w:val="28"/>
          <w:szCs w:val="28"/>
          <w:lang w:eastAsia="ru-RU"/>
        </w:rPr>
      </w:r>
      <w:r>
        <w:rPr>
          <w:rFonts w:eastAsia="Calibri"/>
          <w:sz w:val="28"/>
          <w:szCs w:val="28"/>
          <w:lang w:eastAsia="ru-RU"/>
        </w:rPr>
      </w:r>
    </w:p>
    <w:p w14:paraId="71CA8E6C">
      <w:pPr>
        <w:pStyle w:val="886"/>
        <w:widowControl w:val="false"/>
        <w:pBdr/>
        <w:tabs>
          <w:tab w:val="left" w:leader="none" w:pos="851"/>
        </w:tabs>
        <w:spacing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СТП Исполнителя должна производить регистрацию и обработку обращений от пользователей Системы в соответствии с режимами работы, указанными в таблице 3.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 w14:paraId="76E0F284">
      <w:pPr>
        <w:pStyle w:val="886"/>
        <w:widowControl w:val="false"/>
        <w:pBdr/>
        <w:tabs>
          <w:tab w:val="left" w:leader="none" w:pos="851"/>
        </w:tabs>
        <w:spacing w:line="312" w:lineRule="auto"/>
        <w:ind w:firstLine="567"/>
        <w:rPr>
          <w:b/>
          <w:i/>
          <w:sz w:val="28"/>
          <w:szCs w:val="28"/>
          <w:lang w:eastAsia="ru-RU"/>
        </w:rPr>
      </w:pPr>
      <w:r>
        <w:rPr>
          <w:b/>
          <w:i/>
          <w:sz w:val="28"/>
          <w:szCs w:val="28"/>
          <w:lang w:eastAsia="ru-RU"/>
        </w:rPr>
        <w:t xml:space="preserve">Таблица </w:t>
      </w:r>
      <w:r>
        <w:rPr>
          <w:b/>
          <w:i/>
          <w:sz w:val="28"/>
          <w:szCs w:val="28"/>
          <w:lang w:eastAsia="ru-RU"/>
        </w:rPr>
        <w:fldChar w:fldCharType="begin"/>
      </w:r>
      <w:r>
        <w:rPr>
          <w:b/>
          <w:i/>
          <w:sz w:val="28"/>
          <w:szCs w:val="28"/>
          <w:lang w:eastAsia="ru-RU"/>
        </w:rPr>
        <w:instrText xml:space="preserve"> SEQ Таблица \* ARABIC </w:instrText>
      </w:r>
      <w:r>
        <w:rPr>
          <w:b/>
          <w:i/>
          <w:sz w:val="28"/>
          <w:szCs w:val="28"/>
          <w:lang w:eastAsia="ru-RU"/>
        </w:rPr>
        <w:fldChar w:fldCharType="separate"/>
      </w:r>
      <w:r>
        <w:rPr>
          <w:b/>
          <w:i/>
          <w:sz w:val="28"/>
          <w:szCs w:val="28"/>
          <w:lang w:eastAsia="ru-RU"/>
        </w:rPr>
        <w:t xml:space="preserve">3</w:t>
      </w:r>
      <w:r>
        <w:rPr>
          <w:b/>
          <w:i/>
          <w:sz w:val="28"/>
          <w:szCs w:val="28"/>
          <w:lang w:eastAsia="ru-RU"/>
        </w:rPr>
        <w:fldChar w:fldCharType="end"/>
      </w:r>
      <w:r>
        <w:rPr>
          <w:b/>
          <w:i/>
          <w:sz w:val="28"/>
          <w:szCs w:val="28"/>
          <w:lang w:eastAsia="ru-RU"/>
        </w:rPr>
        <w:t xml:space="preserve">− Режимы работы СТП</w:t>
      </w:r>
      <w:r>
        <w:rPr>
          <w:b/>
          <w:i/>
          <w:sz w:val="28"/>
          <w:szCs w:val="28"/>
          <w:lang w:eastAsia="ru-RU"/>
        </w:rPr>
      </w:r>
      <w:r>
        <w:rPr>
          <w:b/>
          <w:i/>
          <w:sz w:val="28"/>
          <w:szCs w:val="28"/>
          <w:lang w:eastAsia="ru-RU"/>
        </w:rPr>
      </w:r>
    </w:p>
    <w:tbl>
      <w:tblPr>
        <w:tblInd w:w="0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62"/>
        <w:gridCol w:w="2304"/>
        <w:gridCol w:w="6703"/>
      </w:tblGrid>
      <w:tr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</w:tcPr>
          <w:p w14:paraId="319BABC9">
            <w:pPr>
              <w:pStyle w:val="886"/>
              <w:widowControl w:val="false"/>
              <w:pBdr/>
              <w:spacing w:before="60"/>
              <w:ind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 xml:space="preserve">№</w:t>
            </w:r>
            <w:r>
              <w:rPr>
                <w:b/>
                <w:color w:val="000000"/>
                <w:sz w:val="24"/>
                <w:szCs w:val="24"/>
                <w:lang w:eastAsia="zh-CN"/>
              </w:rPr>
            </w:r>
            <w:r>
              <w:rPr>
                <w:b/>
                <w:color w:val="000000"/>
                <w:sz w:val="24"/>
                <w:szCs w:val="24"/>
                <w:lang w:eastAsia="zh-CN"/>
              </w:rPr>
            </w:r>
          </w:p>
          <w:p w14:paraId="3D83885F">
            <w:pPr>
              <w:pStyle w:val="886"/>
              <w:widowControl w:val="false"/>
              <w:pBdr/>
              <w:spacing w:before="60"/>
              <w:ind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 xml:space="preserve">п/п</w:t>
            </w:r>
            <w:r>
              <w:rPr>
                <w:color w:val="000000"/>
                <w:sz w:val="24"/>
                <w:szCs w:val="24"/>
                <w:lang w:eastAsia="zh-CN"/>
              </w:rPr>
            </w:r>
            <w:r>
              <w:rPr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6" w:type="dxa"/>
            <w:vAlign w:val="center"/>
            <w:textDirection w:val="lrTb"/>
          </w:tcPr>
          <w:p w14:paraId="22DB4FBF">
            <w:pPr>
              <w:pStyle w:val="886"/>
              <w:widowControl w:val="false"/>
              <w:pBdr/>
              <w:spacing w:before="60"/>
              <w:ind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 xml:space="preserve">Параметр</w:t>
            </w:r>
            <w:r>
              <w:rPr>
                <w:b/>
                <w:color w:val="000000"/>
                <w:sz w:val="24"/>
                <w:szCs w:val="24"/>
                <w:lang w:eastAsia="zh-CN"/>
              </w:rPr>
            </w:r>
            <w:r>
              <w:rPr>
                <w:b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center"/>
            <w:textDirection w:val="lrTb"/>
          </w:tcPr>
          <w:p w14:paraId="39E795F4">
            <w:pPr>
              <w:pStyle w:val="886"/>
              <w:widowControl w:val="false"/>
              <w:pBdr/>
              <w:spacing w:before="60"/>
              <w:ind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 xml:space="preserve">Режимы работы</w:t>
            </w:r>
            <w:r>
              <w:rPr>
                <w:b/>
                <w:color w:val="000000"/>
                <w:sz w:val="24"/>
                <w:szCs w:val="24"/>
                <w:lang w:eastAsia="zh-CN"/>
              </w:rPr>
            </w:r>
            <w:r>
              <w:rPr>
                <w:b/>
                <w:color w:val="000000"/>
                <w:sz w:val="24"/>
                <w:szCs w:val="24"/>
                <w:lang w:eastAsia="zh-C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 w14:paraId="4DE8F1C3">
            <w:pPr>
              <w:pStyle w:val="886"/>
              <w:widowControl w:val="false"/>
              <w:pBdr/>
              <w:spacing/>
              <w:ind/>
              <w:jc w:val="center"/>
              <w:rPr>
                <w:color w:val="000000"/>
                <w:sz w:val="28"/>
                <w:szCs w:val="24"/>
                <w:lang w:eastAsia="zh-CN"/>
              </w:rPr>
            </w:pPr>
            <w:r>
              <w:rPr>
                <w:color w:val="000000"/>
                <w:sz w:val="28"/>
                <w:szCs w:val="24"/>
                <w:lang w:eastAsia="zh-CN"/>
              </w:rPr>
              <w:t xml:space="preserve">1.</w:t>
            </w:r>
            <w:r>
              <w:rPr>
                <w:color w:val="000000"/>
                <w:sz w:val="28"/>
                <w:szCs w:val="24"/>
                <w:lang w:eastAsia="zh-CN"/>
              </w:rPr>
            </w:r>
            <w:r>
              <w:rPr>
                <w:color w:val="000000"/>
                <w:sz w:val="28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6" w:type="dxa"/>
            <w:vAlign w:val="top"/>
            <w:textDirection w:val="lrTb"/>
          </w:tcPr>
          <w:p w14:paraId="18AC3726">
            <w:pPr>
              <w:pStyle w:val="886"/>
              <w:widowControl w:val="false"/>
              <w:pBdr/>
              <w:spacing/>
              <w:ind/>
              <w:rPr>
                <w:color w:val="000000"/>
                <w:sz w:val="28"/>
                <w:szCs w:val="24"/>
                <w:lang w:eastAsia="zh-CN"/>
              </w:rPr>
            </w:pPr>
            <w:r>
              <w:rPr>
                <w:color w:val="000000"/>
                <w:sz w:val="28"/>
                <w:szCs w:val="24"/>
                <w:lang w:eastAsia="zh-CN"/>
              </w:rPr>
              <w:t xml:space="preserve">Рабочие время (дни)</w:t>
            </w:r>
            <w:r>
              <w:rPr>
                <w:color w:val="000000"/>
                <w:sz w:val="28"/>
                <w:szCs w:val="24"/>
                <w:lang w:eastAsia="zh-CN"/>
              </w:rPr>
            </w:r>
            <w:r>
              <w:rPr>
                <w:color w:val="000000"/>
                <w:sz w:val="28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</w:tcPr>
          <w:p w14:paraId="3D9B97BB">
            <w:pPr>
              <w:pStyle w:val="886"/>
              <w:widowControl w:val="false"/>
              <w:numPr>
                <w:ilvl w:val="0"/>
                <w:numId w:val="2"/>
              </w:numPr>
              <w:pBdr/>
              <w:spacing/>
              <w:ind/>
              <w:jc w:val="both"/>
              <w:rPr>
                <w:rFonts w:eastAsia="Calibri"/>
                <w:color w:val="000000"/>
                <w:sz w:val="28"/>
                <w:lang w:eastAsia="ru-RU"/>
              </w:rPr>
            </w:pPr>
            <w:r>
              <w:rPr>
                <w:rFonts w:eastAsia="Calibri"/>
                <w:color w:val="000000"/>
                <w:sz w:val="28"/>
                <w:lang w:eastAsia="ru-RU"/>
              </w:rPr>
              <w:t xml:space="preserve">с 9:00 до 18:00 (время московское)</w:t>
            </w:r>
            <w:r>
              <w:rPr>
                <w:rFonts w:eastAsia="Calibri"/>
                <w:color w:val="000000"/>
                <w:sz w:val="28"/>
                <w:lang w:eastAsia="ru-RU"/>
              </w:rPr>
            </w:r>
            <w:r>
              <w:rPr>
                <w:rFonts w:eastAsia="Calibri"/>
                <w:color w:val="000000"/>
                <w:sz w:val="28"/>
                <w:lang w:eastAsia="ru-RU"/>
              </w:rPr>
            </w:r>
          </w:p>
          <w:p w14:paraId="4434EC02">
            <w:pPr>
              <w:pStyle w:val="886"/>
              <w:widowControl w:val="false"/>
              <w:numPr>
                <w:ilvl w:val="0"/>
                <w:numId w:val="2"/>
              </w:numPr>
              <w:pBdr/>
              <w:spacing/>
              <w:ind/>
              <w:jc w:val="both"/>
              <w:rPr>
                <w:rFonts w:eastAsia="Calibri"/>
                <w:color w:val="000000"/>
                <w:sz w:val="28"/>
                <w:lang w:eastAsia="ru-RU"/>
              </w:rPr>
            </w:pPr>
            <w:r>
              <w:rPr>
                <w:rFonts w:eastAsia="Calibri"/>
                <w:color w:val="000000"/>
                <w:sz w:val="28"/>
                <w:lang w:eastAsia="ru-RU"/>
              </w:rPr>
              <w:t xml:space="preserve">понедельник-пятница</w:t>
            </w:r>
            <w:r>
              <w:rPr>
                <w:rFonts w:eastAsia="Calibri"/>
                <w:color w:val="000000"/>
                <w:sz w:val="28"/>
                <w:lang w:eastAsia="ru-RU"/>
              </w:rPr>
            </w:r>
            <w:r>
              <w:rPr>
                <w:rFonts w:eastAsia="Calibri"/>
                <w:color w:val="000000"/>
                <w:sz w:val="28"/>
                <w:lang w:eastAsia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 w14:paraId="5BE5957A">
            <w:pPr>
              <w:pStyle w:val="886"/>
              <w:widowControl w:val="false"/>
              <w:pBdr/>
              <w:spacing/>
              <w:ind/>
              <w:jc w:val="center"/>
              <w:rPr>
                <w:color w:val="000000"/>
                <w:sz w:val="28"/>
                <w:szCs w:val="24"/>
                <w:lang w:eastAsia="zh-CN"/>
              </w:rPr>
            </w:pPr>
            <w:r>
              <w:rPr>
                <w:color w:val="000000"/>
                <w:sz w:val="28"/>
                <w:szCs w:val="24"/>
                <w:lang w:eastAsia="zh-CN"/>
              </w:rPr>
              <w:t xml:space="preserve">2.</w:t>
            </w:r>
            <w:r>
              <w:rPr>
                <w:color w:val="000000"/>
                <w:sz w:val="28"/>
                <w:szCs w:val="24"/>
                <w:lang w:eastAsia="zh-CN"/>
              </w:rPr>
            </w:r>
            <w:r>
              <w:rPr>
                <w:color w:val="000000"/>
                <w:sz w:val="28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6" w:type="dxa"/>
            <w:vAlign w:val="top"/>
            <w:textDirection w:val="lrTb"/>
          </w:tcPr>
          <w:p w14:paraId="262FE987">
            <w:pPr>
              <w:pStyle w:val="886"/>
              <w:widowControl w:val="false"/>
              <w:pBdr/>
              <w:spacing/>
              <w:ind/>
              <w:rPr>
                <w:color w:val="000000"/>
                <w:sz w:val="28"/>
                <w:szCs w:val="24"/>
                <w:lang w:eastAsia="zh-CN"/>
              </w:rPr>
            </w:pPr>
            <w:r>
              <w:rPr>
                <w:color w:val="000000"/>
                <w:sz w:val="28"/>
                <w:szCs w:val="24"/>
                <w:lang w:eastAsia="zh-CN"/>
              </w:rPr>
              <w:t xml:space="preserve">Нерабочее время (дни)</w:t>
            </w:r>
            <w:r>
              <w:rPr>
                <w:color w:val="000000"/>
                <w:sz w:val="28"/>
                <w:szCs w:val="24"/>
                <w:lang w:eastAsia="zh-CN"/>
              </w:rPr>
            </w:r>
            <w:r>
              <w:rPr>
                <w:color w:val="000000"/>
                <w:sz w:val="28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</w:tcPr>
          <w:p w14:paraId="5D37E408">
            <w:pPr>
              <w:pStyle w:val="886"/>
              <w:widowControl w:val="false"/>
              <w:numPr>
                <w:ilvl w:val="0"/>
                <w:numId w:val="2"/>
              </w:numPr>
              <w:pBdr/>
              <w:spacing/>
              <w:ind/>
              <w:jc w:val="both"/>
              <w:rPr>
                <w:rFonts w:eastAsia="Calibri"/>
                <w:color w:val="000000"/>
                <w:sz w:val="28"/>
                <w:lang w:eastAsia="ru-RU"/>
              </w:rPr>
            </w:pPr>
            <w:r>
              <w:rPr>
                <w:rFonts w:eastAsia="Calibri"/>
                <w:color w:val="000000"/>
                <w:sz w:val="28"/>
                <w:lang w:eastAsia="ru-RU"/>
              </w:rPr>
              <w:t xml:space="preserve">будни с 18:00 до 9:00 (время московское)</w:t>
            </w:r>
            <w:r>
              <w:rPr>
                <w:rFonts w:eastAsia="Calibri"/>
                <w:color w:val="000000"/>
                <w:sz w:val="28"/>
                <w:lang w:eastAsia="ru-RU"/>
              </w:rPr>
            </w:r>
            <w:r>
              <w:rPr>
                <w:rFonts w:eastAsia="Calibri"/>
                <w:color w:val="000000"/>
                <w:sz w:val="28"/>
                <w:lang w:eastAsia="ru-RU"/>
              </w:rPr>
            </w:r>
          </w:p>
          <w:p w14:paraId="4F010BDA">
            <w:pPr>
              <w:pStyle w:val="886"/>
              <w:widowControl w:val="false"/>
              <w:numPr>
                <w:ilvl w:val="0"/>
                <w:numId w:val="2"/>
              </w:numPr>
              <w:pBdr/>
              <w:spacing/>
              <w:ind/>
              <w:jc w:val="both"/>
              <w:rPr>
                <w:rFonts w:eastAsia="Calibri"/>
                <w:color w:val="000000"/>
                <w:sz w:val="28"/>
                <w:lang w:eastAsia="ru-RU"/>
              </w:rPr>
            </w:pPr>
            <w:r>
              <w:rPr>
                <w:rFonts w:eastAsia="Calibri"/>
                <w:color w:val="000000"/>
                <w:sz w:val="28"/>
                <w:lang w:eastAsia="ru-RU"/>
              </w:rPr>
              <w:t xml:space="preserve">выходные дни (суббота, воскресенье)</w:t>
            </w:r>
            <w:r>
              <w:rPr>
                <w:rFonts w:eastAsia="Calibri"/>
                <w:color w:val="000000"/>
                <w:sz w:val="28"/>
                <w:lang w:eastAsia="ru-RU"/>
              </w:rPr>
            </w:r>
            <w:r>
              <w:rPr>
                <w:rFonts w:eastAsia="Calibri"/>
                <w:color w:val="000000"/>
                <w:sz w:val="28"/>
                <w:lang w:eastAsia="ru-RU"/>
              </w:rPr>
            </w:r>
          </w:p>
          <w:p w14:paraId="2E835278">
            <w:pPr>
              <w:pStyle w:val="886"/>
              <w:widowControl w:val="false"/>
              <w:numPr>
                <w:ilvl w:val="0"/>
                <w:numId w:val="2"/>
              </w:numPr>
              <w:pBdr/>
              <w:spacing/>
              <w:ind/>
              <w:jc w:val="both"/>
              <w:rPr>
                <w:rFonts w:eastAsia="Calibri"/>
                <w:color w:val="000000"/>
                <w:sz w:val="28"/>
                <w:lang w:eastAsia="ru-RU"/>
              </w:rPr>
            </w:pPr>
            <w:r>
              <w:rPr>
                <w:rFonts w:eastAsia="Calibri"/>
                <w:color w:val="000000"/>
                <w:sz w:val="28"/>
                <w:lang w:eastAsia="ru-RU"/>
              </w:rPr>
              <w:t xml:space="preserve">праздничные дни</w:t>
            </w:r>
            <w:r>
              <w:rPr>
                <w:rFonts w:eastAsia="Calibri"/>
                <w:color w:val="000000"/>
                <w:sz w:val="28"/>
                <w:lang w:eastAsia="ru-RU"/>
              </w:rPr>
            </w:r>
            <w:r>
              <w:rPr>
                <w:rFonts w:eastAsia="Calibri"/>
                <w:color w:val="000000"/>
                <w:sz w:val="28"/>
                <w:lang w:eastAsia="ru-RU"/>
              </w:rPr>
            </w:r>
          </w:p>
        </w:tc>
      </w:tr>
    </w:tbl>
    <w:p w14:paraId="137E91F4">
      <w:pPr>
        <w:pStyle w:val="886"/>
        <w:widowControl w:val="false"/>
        <w:pBdr/>
        <w:tabs>
          <w:tab w:val="left" w:leader="none" w:pos="851"/>
        </w:tabs>
        <w:spacing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Поддержка работоспособности </w:t>
      </w:r>
      <w:r>
        <w:rPr>
          <w:sz w:val="28"/>
          <w:szCs w:val="28"/>
          <w:lang w:eastAsia="ru-RU"/>
        </w:rPr>
        <w:t xml:space="preserve">Системы осуществляется Исполнителем в части программных</w:t>
      </w:r>
      <w:r>
        <w:rPr>
          <w:sz w:val="28"/>
          <w:szCs w:val="28"/>
          <w:lang w:eastAsia="ru-RU"/>
        </w:rPr>
        <w:t xml:space="preserve"> средств. Обеспечение работоспособности, аппаратной составляющей Системы осуществляется Заказчиком. Техническое сопровождение Системы должно оказываться на протяжении выполнения Договора в соответствии со сроками, приведенными в разделе 1.4. настоящего ТЗ.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 w14:paraId="7014119B">
      <w:pPr>
        <w:pStyle w:val="886"/>
        <w:widowControl w:val="false"/>
        <w:pBdr/>
        <w:tabs>
          <w:tab w:val="left" w:leader="none" w:pos="851"/>
        </w:tabs>
        <w:spacing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Срок реакции на обращение определяется в соответствии со временем оказания ТП по стандартному </w:t>
      </w:r>
      <w:r>
        <w:rPr>
          <w:sz w:val="28"/>
          <w:szCs w:val="28"/>
          <w:lang w:val="en-US" w:eastAsia="ru-RU"/>
        </w:rPr>
        <w:t xml:space="preserve">SLA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 w14:paraId="1A6296F2">
      <w:pPr>
        <w:pStyle w:val="886"/>
        <w:keepNext w:val="true"/>
        <w:widowControl w:val="false"/>
        <w:pBdr/>
        <w:spacing/>
        <w:ind w:firstLine="567"/>
        <w:jc w:val="right"/>
        <w:rPr>
          <w:rFonts w:ascii="PT Astra Serif" w:hAnsi="PT Astra Serif"/>
          <w:sz w:val="24"/>
          <w:szCs w:val="24"/>
          <w:lang w:eastAsia="zh-CN"/>
        </w:rPr>
      </w:pPr>
      <w:r>
        <w:rPr>
          <w:rFonts w:ascii="PT Astra Serif" w:hAnsi="PT Astra Serif"/>
          <w:sz w:val="24"/>
          <w:szCs w:val="24"/>
          <w:lang w:eastAsia="zh-CN"/>
        </w:rPr>
        <w:t xml:space="preserve">Классификация заявок:</w:t>
      </w:r>
      <w:r>
        <w:rPr>
          <w:rFonts w:ascii="PT Astra Serif" w:hAnsi="PT Astra Serif"/>
          <w:sz w:val="24"/>
          <w:szCs w:val="24"/>
          <w:lang w:eastAsia="zh-CN"/>
        </w:rPr>
      </w:r>
      <w:r>
        <w:rPr>
          <w:rFonts w:ascii="PT Astra Serif" w:hAnsi="PT Astra Serif"/>
          <w:sz w:val="24"/>
          <w:szCs w:val="24"/>
          <w:lang w:eastAsia="zh-CN"/>
        </w:rPr>
      </w:r>
    </w:p>
    <w:tbl>
      <w:tblPr>
        <w:tblInd w:w="0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1537"/>
        <w:gridCol w:w="7635"/>
      </w:tblGrid>
      <w:tr>
        <w:trPr/>
        <w:tc>
          <w:tcPr>
            <w:shd w:val="clear" w:color="ffffff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7" w:type="dxa"/>
            <w:vAlign w:val="center"/>
            <w:textDirection w:val="lrTb"/>
          </w:tcPr>
          <w:p w14:paraId="45C72A30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 xml:space="preserve">Категория</w:t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</w:p>
        </w:tc>
        <w:tc>
          <w:tcPr>
            <w:shd w:val="clear" w:color="ffffff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5" w:type="dxa"/>
            <w:vAlign w:val="center"/>
            <w:textDirection w:val="lrTb"/>
          </w:tcPr>
          <w:p w14:paraId="4BF31AF3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 xml:space="preserve">Описание</w:t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7" w:type="dxa"/>
            <w:vAlign w:val="center"/>
            <w:textDirection w:val="lrTb"/>
          </w:tcPr>
          <w:p w14:paraId="523F92C9">
            <w:pPr>
              <w:pStyle w:val="886"/>
              <w:widowControl w:val="false"/>
              <w:pBdr/>
              <w:spacing/>
              <w:ind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 xml:space="preserve">Инцидент</w:t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5" w:type="dxa"/>
            <w:vAlign w:val="center"/>
            <w:textDirection w:val="lrTb"/>
          </w:tcPr>
          <w:p w14:paraId="41B72E79">
            <w:pPr>
              <w:pStyle w:val="886"/>
              <w:widowControl w:val="false"/>
              <w:pBdr/>
              <w:spacing/>
              <w:ind/>
              <w:jc w:val="both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Обращение пользователя по поводу сбоя или иного нарушения работы Системы, которое привело к отказу в предоставлении ИТ-услуги или недопустимому снижению уровня предоставления ИТ-услуги.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7" w:type="dxa"/>
            <w:vAlign w:val="center"/>
            <w:textDirection w:val="lrTb"/>
          </w:tcPr>
          <w:p w14:paraId="5BB5F356">
            <w:pPr>
              <w:pStyle w:val="886"/>
              <w:widowControl w:val="false"/>
              <w:pBdr/>
              <w:spacing/>
              <w:ind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 xml:space="preserve">ЗНО</w:t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5" w:type="dxa"/>
            <w:vAlign w:val="center"/>
            <w:textDirection w:val="lrTb"/>
          </w:tcPr>
          <w:p w14:paraId="26B6F5C2">
            <w:pPr>
              <w:pStyle w:val="886"/>
              <w:widowControl w:val="false"/>
              <w:pBdr/>
              <w:spacing/>
              <w:ind/>
              <w:jc w:val="both"/>
              <w:rPr>
                <w:rFonts w:ascii="PT Astra Serif" w:hAnsi="PT Astra Serif"/>
                <w:strike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Запрос пользователя на информацию, консультацию, изменение, доступ к ИТ-услуге.</w:t>
            </w:r>
            <w:r>
              <w:rPr>
                <w:rFonts w:ascii="PT Astra Serif" w:hAnsi="PT Astra Serif"/>
                <w:strike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strike/>
                <w:sz w:val="24"/>
                <w:szCs w:val="24"/>
                <w:lang w:eastAsia="zh-C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7" w:type="dxa"/>
            <w:vAlign w:val="center"/>
            <w:textDirection w:val="lrTb"/>
          </w:tcPr>
          <w:p w14:paraId="09BE1657">
            <w:pPr>
              <w:pStyle w:val="886"/>
              <w:widowControl w:val="false"/>
              <w:pBdr/>
              <w:spacing/>
              <w:ind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 xml:space="preserve">ЗНИ</w:t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5" w:type="dxa"/>
            <w:vAlign w:val="center"/>
            <w:textDirection w:val="lrTb"/>
          </w:tcPr>
          <w:p w14:paraId="0892B940">
            <w:pPr>
              <w:pStyle w:val="886"/>
              <w:widowControl w:val="false"/>
              <w:pBdr/>
              <w:spacing/>
              <w:ind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Модификации, требующиеся для решения инцидентов и ЗНО</w:t>
            </w:r>
            <w:r>
              <w:rPr>
                <w:sz w:val="24"/>
                <w:szCs w:val="24"/>
                <w:lang w:eastAsia="zh-CN"/>
              </w:rPr>
            </w:r>
            <w:r>
              <w:rPr>
                <w:sz w:val="24"/>
                <w:szCs w:val="24"/>
                <w:lang w:eastAsia="zh-CN"/>
              </w:rPr>
            </w:r>
          </w:p>
        </w:tc>
      </w:tr>
    </w:tbl>
    <w:p w14:paraId="33DFC034">
      <w:pPr>
        <w:pStyle w:val="886"/>
        <w:widowControl w:val="false"/>
        <w:pBdr/>
        <w:spacing/>
        <w:ind w:firstLine="709"/>
        <w:jc w:val="both"/>
        <w:rPr>
          <w:rFonts w:ascii="PT Astra Serif" w:hAnsi="PT Astra Serif"/>
          <w:sz w:val="24"/>
          <w:szCs w:val="24"/>
          <w:lang w:eastAsia="zh-CN"/>
        </w:rPr>
      </w:pPr>
      <w:r>
        <w:rPr>
          <w:rFonts w:ascii="PT Astra Serif" w:hAnsi="PT Astra Serif"/>
          <w:sz w:val="24"/>
          <w:szCs w:val="24"/>
          <w:lang w:eastAsia="zh-CN"/>
        </w:rPr>
        <w:t xml:space="preserve">Приоритет инцидента определяется Заказчиком на основании степени воздействия и срочности его решения.</w:t>
      </w:r>
      <w:r>
        <w:rPr>
          <w:rFonts w:ascii="PT Astra Serif" w:hAnsi="PT Astra Serif"/>
          <w:sz w:val="24"/>
          <w:szCs w:val="24"/>
          <w:lang w:eastAsia="zh-CN"/>
        </w:rPr>
      </w:r>
      <w:r>
        <w:rPr>
          <w:rFonts w:ascii="PT Astra Serif" w:hAnsi="PT Astra Serif"/>
          <w:sz w:val="24"/>
          <w:szCs w:val="24"/>
          <w:lang w:eastAsia="zh-CN"/>
        </w:rPr>
      </w:r>
    </w:p>
    <w:p w14:paraId="78313D86">
      <w:pPr>
        <w:pStyle w:val="886"/>
        <w:keepNext w:val="true"/>
        <w:widowControl w:val="false"/>
        <w:pBdr/>
        <w:spacing/>
        <w:ind w:firstLine="567"/>
        <w:jc w:val="right"/>
        <w:rPr>
          <w:rFonts w:ascii="PT Astra Serif" w:hAnsi="PT Astra Serif"/>
          <w:sz w:val="24"/>
          <w:szCs w:val="24"/>
          <w:lang w:eastAsia="zh-CN"/>
        </w:rPr>
      </w:pPr>
      <w:r>
        <w:rPr>
          <w:rFonts w:ascii="PT Astra Serif" w:hAnsi="PT Astra Serif"/>
          <w:sz w:val="24"/>
          <w:szCs w:val="24"/>
          <w:lang w:eastAsia="zh-CN"/>
        </w:rPr>
        <w:t xml:space="preserve">Приоритеты инцидентов:</w:t>
      </w:r>
      <w:r>
        <w:rPr>
          <w:rFonts w:ascii="PT Astra Serif" w:hAnsi="PT Astra Serif"/>
          <w:sz w:val="24"/>
          <w:szCs w:val="24"/>
          <w:lang w:eastAsia="zh-CN"/>
        </w:rPr>
      </w:r>
      <w:r>
        <w:rPr>
          <w:rFonts w:ascii="PT Astra Serif" w:hAnsi="PT Astra Serif"/>
          <w:sz w:val="24"/>
          <w:szCs w:val="24"/>
          <w:lang w:eastAsia="zh-CN"/>
        </w:rPr>
      </w:r>
    </w:p>
    <w:tbl>
      <w:tblPr>
        <w:tblInd w:w="0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1638"/>
        <w:gridCol w:w="7549"/>
      </w:tblGrid>
      <w:tr>
        <w:trPr/>
        <w:tc>
          <w:tcPr>
            <w:shd w:val="clear" w:color="ffffff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center"/>
            <w:textDirection w:val="lrTb"/>
          </w:tcPr>
          <w:p w14:paraId="16D63AF6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 xml:space="preserve">Приоритет</w:t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</w:p>
        </w:tc>
        <w:tc>
          <w:tcPr>
            <w:shd w:val="clear" w:color="ffffff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9" w:type="dxa"/>
            <w:vAlign w:val="center"/>
            <w:textDirection w:val="lrTb"/>
          </w:tcPr>
          <w:p w14:paraId="0ADD4E5A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 xml:space="preserve">Описание</w:t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center"/>
            <w:textDirection w:val="lrTb"/>
          </w:tcPr>
          <w:p w14:paraId="5DDF603C">
            <w:pPr>
              <w:pStyle w:val="886"/>
              <w:widowControl w:val="false"/>
              <w:pBdr/>
              <w:tabs>
                <w:tab w:val="right" w:leader="none" w:pos="9639"/>
              </w:tabs>
              <w:spacing/>
              <w:ind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 xml:space="preserve">Средний</w:t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9" w:type="dxa"/>
            <w:vAlign w:val="center"/>
            <w:textDirection w:val="lrTb"/>
          </w:tcPr>
          <w:p w14:paraId="57447D6A">
            <w:pPr>
              <w:pStyle w:val="886"/>
              <w:widowControl w:val="false"/>
              <w:pBdr/>
              <w:tabs>
                <w:tab w:val="right" w:leader="none" w:pos="9639"/>
              </w:tabs>
              <w:spacing/>
              <w:ind/>
              <w:jc w:val="both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Данный статус необходимо проставлять всем заявкам, не попадающим под описание высокого приоритета (статус по умолчанию).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center"/>
            <w:textDirection w:val="lrTb"/>
          </w:tcPr>
          <w:p w14:paraId="118FDA00">
            <w:pPr>
              <w:pStyle w:val="886"/>
              <w:widowControl w:val="false"/>
              <w:pBdr/>
              <w:tabs>
                <w:tab w:val="right" w:leader="none" w:pos="9639"/>
              </w:tabs>
              <w:spacing/>
              <w:ind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 xml:space="preserve">Высокий</w:t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9" w:type="dxa"/>
            <w:vAlign w:val="center"/>
            <w:textDirection w:val="lrTb"/>
          </w:tcPr>
          <w:p w14:paraId="64BCFADE">
            <w:pPr>
              <w:pStyle w:val="886"/>
              <w:widowControl w:val="false"/>
              <w:pBdr/>
              <w:tabs>
                <w:tab w:val="right" w:leader="none" w:pos="9639"/>
              </w:tabs>
              <w:spacing/>
              <w:ind/>
              <w:jc w:val="both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Заявка, связанная с критичными для пользователя функциями и не возможностью достижения конечного результата исполнения бизнес-процесса средствами Системы (предусмотренными текущим функционалом).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center"/>
            <w:textDirection w:val="lrTb"/>
          </w:tcPr>
          <w:p w14:paraId="49BCF6DC">
            <w:pPr>
              <w:pStyle w:val="886"/>
              <w:widowControl w:val="false"/>
              <w:pBdr/>
              <w:tabs>
                <w:tab w:val="right" w:leader="none" w:pos="9639"/>
              </w:tabs>
              <w:spacing/>
              <w:ind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 xml:space="preserve">Наивысший</w:t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9" w:type="dxa"/>
            <w:vAlign w:val="center"/>
            <w:textDirection w:val="lrTb"/>
          </w:tcPr>
          <w:p w14:paraId="19B996F0">
            <w:pPr>
              <w:pStyle w:val="886"/>
              <w:widowControl w:val="false"/>
              <w:pBdr/>
              <w:tabs>
                <w:tab w:val="right" w:leader="none" w:pos="9639"/>
              </w:tabs>
              <w:spacing/>
              <w:ind/>
              <w:jc w:val="both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Недоступность API, в том числе проблемы критически влияющие на работу связанных логически или интеграционных систем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</w:p>
        </w:tc>
      </w:tr>
    </w:tbl>
    <w:p w14:paraId="6C9CBABA">
      <w:pPr>
        <w:pStyle w:val="886"/>
        <w:widowControl w:val="false"/>
        <w:pBdr/>
        <w:spacing/>
        <w:ind w:firstLine="709"/>
        <w:jc w:val="both"/>
        <w:rPr>
          <w:rFonts w:ascii="PT Astra Serif" w:hAnsi="PT Astra Serif"/>
          <w:sz w:val="24"/>
          <w:szCs w:val="24"/>
          <w:lang w:eastAsia="zh-CN"/>
        </w:rPr>
      </w:pPr>
      <w:r>
        <w:rPr>
          <w:rFonts w:ascii="PT Astra Serif" w:hAnsi="PT Astra Serif"/>
          <w:sz w:val="24"/>
          <w:szCs w:val="24"/>
          <w:lang w:eastAsia="zh-CN"/>
        </w:rPr>
        <w:t xml:space="preserve">По результатам оказания услуг Исполнитель должен обеспечить своевременную и качественную техническую поддержку, а именно обеспечить соблюдения временных рамок в решении инцидентов, ЗНО и ЗНИ, указанных ниже. </w:t>
      </w:r>
      <w:r>
        <w:rPr>
          <w:rFonts w:ascii="PT Astra Serif" w:hAnsi="PT Astra Serif"/>
          <w:sz w:val="24"/>
          <w:szCs w:val="24"/>
          <w:lang w:eastAsia="zh-CN"/>
        </w:rPr>
      </w:r>
      <w:r>
        <w:rPr>
          <w:rFonts w:ascii="PT Astra Serif" w:hAnsi="PT Astra Serif"/>
          <w:sz w:val="24"/>
          <w:szCs w:val="24"/>
          <w:lang w:eastAsia="zh-CN"/>
        </w:rPr>
      </w:r>
    </w:p>
    <w:p w14:paraId="76891D07">
      <w:pPr>
        <w:pStyle w:val="886"/>
        <w:keepNext w:val="true"/>
        <w:widowControl w:val="false"/>
        <w:pBdr/>
        <w:spacing/>
        <w:ind w:firstLine="567"/>
        <w:jc w:val="right"/>
        <w:rPr>
          <w:rFonts w:ascii="PT Astra Serif" w:hAnsi="PT Astra Serif"/>
          <w:sz w:val="24"/>
          <w:szCs w:val="24"/>
          <w:lang w:eastAsia="zh-CN"/>
        </w:rPr>
      </w:pPr>
      <w:r>
        <w:rPr>
          <w:rFonts w:ascii="PT Astra Serif" w:hAnsi="PT Astra Serif"/>
          <w:sz w:val="24"/>
          <w:szCs w:val="24"/>
          <w:lang w:eastAsia="zh-CN"/>
        </w:rPr>
        <w:t xml:space="preserve">Сроки решения:</w:t>
      </w:r>
      <w:r>
        <w:rPr>
          <w:rFonts w:ascii="PT Astra Serif" w:hAnsi="PT Astra Serif"/>
          <w:sz w:val="24"/>
          <w:szCs w:val="24"/>
          <w:lang w:eastAsia="zh-CN"/>
        </w:rPr>
      </w:r>
      <w:r>
        <w:rPr>
          <w:rFonts w:ascii="PT Astra Serif" w:hAnsi="PT Astra Serif"/>
          <w:sz w:val="24"/>
          <w:szCs w:val="24"/>
          <w:lang w:eastAsia="zh-CN"/>
        </w:rPr>
      </w:r>
    </w:p>
    <w:tbl>
      <w:tblPr>
        <w:tblInd w:w="0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1851"/>
        <w:gridCol w:w="1829"/>
        <w:gridCol w:w="5534"/>
      </w:tblGrid>
      <w:tr>
        <w:trPr/>
        <w:tc>
          <w:tcPr>
            <w:shd w:val="clear" w:color="ffffff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51" w:type="dxa"/>
            <w:vAlign w:val="center"/>
            <w:textDirection w:val="lrTb"/>
          </w:tcPr>
          <w:p w14:paraId="0862BB6B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 xml:space="preserve">Категория заявки</w:t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</w:p>
        </w:tc>
        <w:tc>
          <w:tcPr>
            <w:shd w:val="clear" w:color="ffffff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29" w:type="dxa"/>
            <w:vAlign w:val="center"/>
            <w:textDirection w:val="lrTb"/>
          </w:tcPr>
          <w:p w14:paraId="5D75B625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 xml:space="preserve">Приоритет</w:t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</w:p>
        </w:tc>
        <w:tc>
          <w:tcPr>
            <w:shd w:val="clear" w:color="ffffff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34" w:type="dxa"/>
            <w:vAlign w:val="center"/>
            <w:textDirection w:val="lrTb"/>
          </w:tcPr>
          <w:p w14:paraId="150A2A4A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 xml:space="preserve">Максимальное время решения, в рабочих часах</w:t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51" w:type="dxa"/>
            <w:vAlign w:val="center"/>
            <w:vMerge w:val="restart"/>
            <w:textDirection w:val="lrTb"/>
          </w:tcPr>
          <w:p w14:paraId="49D7CA91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Инцидент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29" w:type="dxa"/>
            <w:vAlign w:val="center"/>
            <w:textDirection w:val="lrTb"/>
          </w:tcPr>
          <w:p w14:paraId="06A98483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Средний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34" w:type="dxa"/>
            <w:vAlign w:val="center"/>
            <w:textDirection w:val="lrTb"/>
          </w:tcPr>
          <w:p w14:paraId="528DE610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 xml:space="preserve">20</w:t>
            </w:r>
            <w: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51" w:type="dxa"/>
            <w:vAlign w:val="center"/>
            <w:vMerge w:val="continue"/>
            <w:textDirection w:val="lrTb"/>
          </w:tcPr>
          <w:p w14:paraId="071E73D6">
            <w:pPr>
              <w:pStyle w:val="886"/>
              <w:pBdr/>
              <w:spacing/>
              <w:ind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</w:r>
            <w:r>
              <w:rPr>
                <w:sz w:val="24"/>
                <w:szCs w:val="24"/>
                <w:lang w:eastAsia="zh-CN"/>
              </w:rPr>
            </w:r>
            <w:r>
              <w:rPr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29" w:type="dxa"/>
            <w:vAlign w:val="center"/>
            <w:textDirection w:val="lrTb"/>
          </w:tcPr>
          <w:p w14:paraId="4A9F1407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Высокий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34" w:type="dxa"/>
            <w:vAlign w:val="center"/>
            <w:textDirection w:val="lrTb"/>
          </w:tcPr>
          <w:p w14:paraId="6D1BDF6D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 xml:space="preserve">8</w:t>
            </w:r>
            <w: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51" w:type="dxa"/>
            <w:vAlign w:val="center"/>
            <w:vMerge w:val="continue"/>
            <w:textDirection w:val="lrTb"/>
          </w:tcPr>
          <w:p w14:paraId="22F5414D">
            <w:pPr>
              <w:pStyle w:val="886"/>
              <w:pBdr/>
              <w:spacing/>
              <w:ind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</w:r>
            <w:r>
              <w:rPr>
                <w:sz w:val="24"/>
                <w:szCs w:val="24"/>
                <w:lang w:eastAsia="zh-CN"/>
              </w:rPr>
            </w:r>
            <w:r>
              <w:rPr>
                <w:sz w:val="24"/>
                <w:szCs w:val="24"/>
                <w:lang w:eastAsia="zh-CN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29" w:type="dxa"/>
            <w:vAlign w:val="center"/>
            <w:textDirection w:val="lrTb"/>
          </w:tcPr>
          <w:p w14:paraId="0C16880A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Наивысший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34" w:type="dxa"/>
            <w:vAlign w:val="center"/>
            <w:textDirection w:val="lrTb"/>
          </w:tcPr>
          <w:p w14:paraId="1E1183E9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 xml:space="preserve">4</w:t>
            </w:r>
            <w: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51" w:type="dxa"/>
            <w:vAlign w:val="center"/>
            <w:textDirection w:val="lrTb"/>
          </w:tcPr>
          <w:p w14:paraId="440ABBCD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ЗНО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29" w:type="dxa"/>
            <w:vAlign w:val="center"/>
            <w:textDirection w:val="lrTb"/>
          </w:tcPr>
          <w:p w14:paraId="2793EC8F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34" w:type="dxa"/>
            <w:vAlign w:val="center"/>
            <w:textDirection w:val="lrTb"/>
          </w:tcPr>
          <w:p w14:paraId="48D9BAE9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 xml:space="preserve">24</w:t>
            </w:r>
            <w: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51" w:type="dxa"/>
            <w:vAlign w:val="center"/>
            <w:textDirection w:val="lrTb"/>
          </w:tcPr>
          <w:p w14:paraId="0B3CA366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ЗНИ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29" w:type="dxa"/>
            <w:vAlign w:val="center"/>
            <w:textDirection w:val="lrTb"/>
          </w:tcPr>
          <w:p w14:paraId="7DDDD775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34" w:type="dxa"/>
            <w:vAlign w:val="center"/>
            <w:textDirection w:val="lrTb"/>
          </w:tcPr>
          <w:p w14:paraId="3ADBE8CE">
            <w:pPr>
              <w:pStyle w:val="886"/>
              <w:widowControl w:val="false"/>
              <w:pBdr/>
              <w:spacing/>
              <w:ind/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 xml:space="preserve">по согласованию Сторон</w:t>
            </w:r>
            <w: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r>
          </w:p>
        </w:tc>
      </w:tr>
    </w:tbl>
    <w:p w14:paraId="03976932">
      <w:pPr>
        <w:pStyle w:val="1_285"/>
        <w:pBdr/>
        <w:shd w:val="clear" w:color="auto" w:fill="ffffff"/>
        <w:spacing w:after="150" w:afterAutospacing="0" w:before="0" w:beforeAutospacing="0"/>
        <w:ind/>
        <w:jc w:val="both"/>
        <w:rPr/>
      </w:pPr>
      <w:r/>
      <w:r/>
      <w:r/>
    </w:p>
    <w:p w14:paraId="6AB993A7">
      <w:pPr>
        <w:pBdr/>
        <w:spacing/>
        <w:ind/>
        <w:rPr>
          <w:rFonts w:ascii="Times New Roman" w:hAnsi="Times New Roman" w:eastAsia="Times New Roman" w:cs="Times New Roman"/>
          <w:bCs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color w:val="ff0000"/>
          <w:sz w:val="20"/>
          <w:szCs w:val="20"/>
        </w:rPr>
      </w:r>
      <w:r>
        <w:rPr>
          <w:rFonts w:ascii="Times New Roman" w:hAnsi="Times New Roman" w:eastAsia="Times New Roman" w:cs="Times New Roman"/>
          <w:bCs/>
          <w:color w:val="ff0000"/>
          <w:sz w:val="20"/>
          <w:szCs w:val="20"/>
        </w:rPr>
      </w:r>
    </w:p>
    <w:p w14:paraId="4B6EABC6">
      <w:pPr>
        <w:pBdr/>
        <w:spacing/>
        <w:ind/>
        <w:rPr>
          <w:rFonts w:ascii="Times New Roman" w:hAnsi="Times New Roman" w:eastAsia="Calibri" w:cs="Times New Roman"/>
          <w:b/>
          <w:bCs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b/>
          <w:sz w:val="20"/>
          <w:szCs w:val="20"/>
          <w:highlight w:val="none"/>
          <w:lang w:eastAsia="en-US"/>
        </w:rPr>
      </w:r>
      <w:r>
        <w:rPr>
          <w:rFonts w:ascii="Times New Roman" w:hAnsi="Times New Roman" w:eastAsia="Calibri" w:cs="Times New Roman"/>
          <w:b/>
          <w:sz w:val="20"/>
          <w:szCs w:val="20"/>
          <w:highlight w:val="none"/>
          <w:lang w:eastAsia="en-US"/>
        </w:rPr>
      </w:r>
    </w:p>
    <w:p w14:paraId="56818F91">
      <w:pPr>
        <w:pBdr/>
        <w:tabs>
          <w:tab w:val="left" w:leader="none" w:pos="284"/>
        </w:tabs>
        <w:spacing/>
        <w:ind/>
        <w:jc w:val="both"/>
        <w:rPr>
          <w:rFonts w:ascii="Times New Roman" w:hAnsi="Times New Roman" w:eastAsia="Calibri" w:cs="Times New Roman"/>
          <w:b/>
          <w:bCs/>
          <w:sz w:val="20"/>
          <w:szCs w:val="20"/>
          <w:highlight w:val="none"/>
          <w:lang w:eastAsia="en-US"/>
        </w:rPr>
      </w:pPr>
      <w:r>
        <w:rPr>
          <w:rFonts w:ascii="Times New Roman" w:hAnsi="Times New Roman" w:eastAsia="Calibri" w:cs="Times New Roman"/>
          <w:b/>
          <w:bCs/>
          <w:sz w:val="20"/>
          <w:szCs w:val="20"/>
          <w:highlight w:val="none"/>
          <w:lang w:eastAsia="en-US"/>
        </w:rPr>
      </w:r>
      <w:r>
        <w:rPr>
          <w:rFonts w:ascii="Times New Roman" w:hAnsi="Times New Roman" w:eastAsia="Calibri" w:cs="Times New Roman"/>
          <w:b/>
          <w:bCs/>
          <w:sz w:val="20"/>
          <w:szCs w:val="20"/>
          <w:highlight w:val="none"/>
          <w:lang w:eastAsia="en-US"/>
        </w:rPr>
      </w:r>
    </w:p>
    <w:p w14:paraId="1998FF4E">
      <w:pPr>
        <w:pBdr/>
        <w:spacing/>
        <w:ind/>
        <w:rPr/>
      </w:pPr>
      <w:r/>
      <w:r/>
    </w:p>
    <w:p w14:paraId="7EF9425C">
      <w:pPr>
        <w:pBdr/>
        <w:tabs>
          <w:tab w:val="left" w:leader="none" w:pos="284"/>
        </w:tabs>
        <w:spacing/>
        <w:ind/>
        <w:jc w:val="both"/>
        <w:rPr>
          <w:rFonts w:ascii="Times New Roman" w:hAnsi="Times New Roman" w:eastAsia="Calibri" w:cs="Times New Roman"/>
          <w:b/>
          <w:bCs/>
          <w:sz w:val="20"/>
          <w:szCs w:val="20"/>
          <w:highlight w:val="none"/>
          <w:lang w:eastAsia="en-US"/>
        </w:rPr>
      </w:pPr>
      <w:r>
        <w:rPr>
          <w:rFonts w:ascii="Times New Roman" w:hAnsi="Times New Roman" w:eastAsia="Calibri" w:cs="Times New Roman"/>
          <w:b/>
          <w:bCs/>
          <w:sz w:val="20"/>
          <w:szCs w:val="20"/>
          <w:highlight w:val="none"/>
          <w:lang w:eastAsia="en-US"/>
        </w:rPr>
      </w:r>
      <w:r>
        <w:rPr>
          <w:rFonts w:ascii="Times New Roman" w:hAnsi="Times New Roman" w:eastAsia="Calibri" w:cs="Times New Roman"/>
          <w:b/>
          <w:bCs/>
          <w:sz w:val="20"/>
          <w:szCs w:val="20"/>
          <w:highlight w:val="none"/>
          <w:lang w:eastAsia="en-US"/>
        </w:rPr>
      </w:r>
      <w:r>
        <w:rPr>
          <w:rFonts w:ascii="Times New Roman" w:hAnsi="Times New Roman" w:eastAsia="Calibri" w:cs="Times New Roman"/>
          <w:b/>
          <w:bCs/>
          <w:sz w:val="20"/>
          <w:szCs w:val="20"/>
          <w:highlight w:val="none"/>
          <w:lang w:eastAsia="en-US"/>
        </w:rPr>
      </w:r>
    </w:p>
    <w:p w14:paraId="27ADA018">
      <w:pPr>
        <w:pBdr/>
        <w:tabs>
          <w:tab w:val="left" w:leader="none" w:pos="284"/>
        </w:tabs>
        <w:spacing/>
        <w:ind/>
        <w:jc w:val="both"/>
        <w:rPr>
          <w:rFonts w:ascii="Times New Roman" w:hAnsi="Times New Roman" w:eastAsia="Calibri" w:cs="Times New Roman"/>
          <w:b/>
          <w:bCs/>
          <w:sz w:val="20"/>
          <w:szCs w:val="20"/>
          <w:highlight w:val="none"/>
          <w:lang w:eastAsia="en-US"/>
        </w:rPr>
      </w:pPr>
      <w:r>
        <w:rPr>
          <w:rFonts w:ascii="Times New Roman" w:hAnsi="Times New Roman" w:eastAsia="Calibri" w:cs="Times New Roman"/>
          <w:b/>
          <w:bCs/>
          <w:sz w:val="20"/>
          <w:szCs w:val="20"/>
          <w:highlight w:val="none"/>
          <w:lang w:eastAsia="en-US"/>
        </w:rPr>
      </w:r>
      <w:r>
        <w:rPr>
          <w:rFonts w:ascii="Times New Roman" w:hAnsi="Times New Roman" w:eastAsia="Calibri" w:cs="Times New Roman"/>
          <w:b/>
          <w:bCs/>
          <w:sz w:val="20"/>
          <w:szCs w:val="20"/>
          <w:highlight w:val="none"/>
          <w:lang w:eastAsia="en-US"/>
        </w:rPr>
      </w:r>
      <w:r>
        <w:rPr>
          <w:rFonts w:ascii="Times New Roman" w:hAnsi="Times New Roman" w:eastAsia="Calibri" w:cs="Times New Roman"/>
          <w:b/>
          <w:bCs/>
          <w:sz w:val="20"/>
          <w:szCs w:val="20"/>
          <w:highlight w:val="none"/>
          <w:lang w:eastAsia="en-US"/>
        </w:rPr>
      </w:r>
    </w:p>
    <w:p>
      <w:pPr>
        <w:pBdr/>
        <w:spacing/>
        <w:ind/>
        <w:rPr/>
        <w:sectPr>
          <w:footnotePr/>
          <w:endnotePr/>
          <w:type w:val="nextPage"/>
          <w:pgSz w:h="16848" w:orient="portrait" w:w="11906"/>
          <w:pgMar w:top="567" w:right="567" w:bottom="517" w:left="1417" w:header="226" w:footer="206" w:gutter="0"/>
          <w:cols w:num="1" w:sep="0" w:space="1701" w:equalWidth="1"/>
        </w:sectPr>
      </w:pPr>
      <w:r/>
      <w:r/>
    </w:p>
    <w:p w14:paraId="3F088E2F">
      <w:pPr>
        <w:pBdr/>
        <w:spacing/>
        <w:ind/>
        <w:rPr/>
      </w:pPr>
      <w:r/>
      <w:r/>
    </w:p>
    <w:sectPr>
      <w:footnotePr/>
      <w:endnotePr/>
      <w:type w:val="nextPage"/>
      <w:pgSz w:h="11909" w:orient="landscape" w:w="16838"/>
      <w:pgMar w:top="567" w:right="567" w:bottom="517" w:left="567" w:header="226" w:footer="206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AB4DD1"/>
    <w:lvl w:ilvl="0">
      <w:isLgl w:val="false"/>
      <w:lvlJc w:val="left"/>
      <w:lvlText w:val=""/>
      <w:numFmt w:val="bullet"/>
      <w:pPr>
        <w:pBdr/>
        <w:spacing/>
        <w:ind w:hanging="360" w:left="1287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007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727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447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67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887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607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327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047"/>
      </w:pPr>
      <w:rPr>
        <w:rFonts w:ascii="Wingdings" w:hAnsi="Wingdings"/>
      </w:rPr>
      <w:start w:val="1"/>
      <w:suff w:val="tab"/>
    </w:lvl>
  </w:abstractNum>
  <w:abstractNum w:abstractNumId="1">
    <w:nsid w:val="28CB26B3"/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>
    <w:name w:val="Heading 1 Char"/>
    <w:basedOn w:val="887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7">
    <w:name w:val="Heading 2 Char"/>
    <w:basedOn w:val="887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8">
    <w:name w:val="Heading 3 Char"/>
    <w:basedOn w:val="887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9">
    <w:name w:val="Heading 4 Char"/>
    <w:basedOn w:val="887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0">
    <w:name w:val="Heading 5 Char"/>
    <w:basedOn w:val="887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1">
    <w:name w:val="Heading 6 Char"/>
    <w:basedOn w:val="887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2">
    <w:name w:val="Heading 7 Char"/>
    <w:basedOn w:val="887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3">
    <w:name w:val="Heading 8 Char"/>
    <w:basedOn w:val="887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4">
    <w:name w:val="Heading 9 Char"/>
    <w:basedOn w:val="887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5">
    <w:name w:val="Title"/>
    <w:basedOn w:val="886"/>
    <w:next w:val="886"/>
    <w:link w:val="84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6">
    <w:name w:val="Title Char"/>
    <w:basedOn w:val="887"/>
    <w:link w:val="84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7">
    <w:name w:val="Subtitle"/>
    <w:basedOn w:val="886"/>
    <w:next w:val="886"/>
    <w:link w:val="84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8">
    <w:name w:val="Subtitle Char"/>
    <w:basedOn w:val="887"/>
    <w:link w:val="84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9">
    <w:name w:val="Quote"/>
    <w:basedOn w:val="886"/>
    <w:next w:val="886"/>
    <w:link w:val="85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0">
    <w:name w:val="Quote Char"/>
    <w:basedOn w:val="887"/>
    <w:link w:val="84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1">
    <w:name w:val="List Paragraph"/>
    <w:basedOn w:val="886"/>
    <w:uiPriority w:val="34"/>
    <w:qFormat/>
    <w:pPr>
      <w:pBdr/>
      <w:spacing/>
      <w:ind w:left="720"/>
      <w:contextualSpacing w:val="true"/>
    </w:pPr>
  </w:style>
  <w:style w:type="character" w:styleId="852">
    <w:name w:val="Intense Emphasis"/>
    <w:basedOn w:val="88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87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8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6">
    <w:name w:val="No Spacing"/>
    <w:basedOn w:val="886"/>
    <w:uiPriority w:val="1"/>
    <w:qFormat/>
    <w:pPr>
      <w:pBdr/>
      <w:spacing w:after="0" w:line="240" w:lineRule="auto"/>
      <w:ind/>
    </w:pPr>
  </w:style>
  <w:style w:type="character" w:styleId="857">
    <w:name w:val="Subtle Emphasis"/>
    <w:basedOn w:val="88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8">
    <w:name w:val="Emphasis"/>
    <w:basedOn w:val="887"/>
    <w:uiPriority w:val="20"/>
    <w:qFormat/>
    <w:pPr>
      <w:pBdr/>
      <w:spacing/>
      <w:ind/>
    </w:pPr>
    <w:rPr>
      <w:i/>
      <w:iCs/>
    </w:rPr>
  </w:style>
  <w:style w:type="character" w:styleId="859">
    <w:name w:val="Strong"/>
    <w:basedOn w:val="887"/>
    <w:uiPriority w:val="22"/>
    <w:qFormat/>
    <w:pPr>
      <w:pBdr/>
      <w:spacing/>
      <w:ind/>
    </w:pPr>
    <w:rPr>
      <w:b/>
      <w:bCs/>
    </w:rPr>
  </w:style>
  <w:style w:type="character" w:styleId="860">
    <w:name w:val="Subtle Reference"/>
    <w:basedOn w:val="88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1">
    <w:name w:val="Book Title"/>
    <w:basedOn w:val="88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62">
    <w:name w:val="Header Char"/>
    <w:basedOn w:val="887"/>
    <w:link w:val="890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87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87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87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87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87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8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8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87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 w:after="0" w:line="240" w:lineRule="auto"/>
      <w:ind/>
    </w:pPr>
    <w:rPr>
      <w:sz w:val="2"/>
    </w:rPr>
  </w:style>
  <w:style w:type="character" w:styleId="887" w:default="1">
    <w:name w:val="Default Paragraph Font"/>
    <w:uiPriority w:val="1"/>
    <w:semiHidden/>
    <w:unhideWhenUsed/>
    <w:pPr>
      <w:pBdr/>
      <w:spacing/>
      <w:ind/>
    </w:pPr>
  </w:style>
  <w:style w:type="table" w:styleId="888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9" w:default="1">
    <w:name w:val="No List"/>
    <w:uiPriority w:val="99"/>
    <w:semiHidden/>
    <w:unhideWhenUsed/>
    <w:pPr>
      <w:pBdr/>
      <w:spacing/>
      <w:ind/>
    </w:pPr>
  </w:style>
  <w:style w:type="paragraph" w:styleId="890">
    <w:name w:val="Header"/>
    <w:basedOn w:val="886"/>
    <w:uiPriority w:val="99"/>
    <w:unhideWhenUsed/>
    <w:pPr>
      <w:pBdr/>
      <w:spacing/>
      <w:ind/>
    </w:pPr>
  </w:style>
  <w:style w:type="paragraph" w:styleId="1_285" w:customStyle="1">
    <w:name w:val="Обычный (веб)"/>
    <w:basedOn w:val="717"/>
    <w:next w:val="757"/>
    <w:link w:val="717"/>
    <w:uiPriority w:val="99"/>
    <w:unhideWhenUsed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223.gzalt.ru/Competition/Competitions#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Stimulsoft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Izv_ZKe_(Sti)</dc:title>
  <dc:subject>Izv_ZKe_(Sti)</dc:subject>
  <dc:creator>gba</dc:creator>
  <cp:keywords/>
  <dc:description>Извещение ЗКе</dc:description>
  <cp:revision>6</cp:revision>
  <dcterms:created xsi:type="dcterms:W3CDTF">2026-09-10T04:16:11Z</dcterms:created>
  <dcterms:modified xsi:type="dcterms:W3CDTF">2026-10-14T08:50:09Z</dcterms:modified>
</cp:coreProperties>
</file>