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text" w:tblpX="250" w:vertAnchor="text" w:tblpY="1" w:leftFromText="180" w:topFromText="0" w:rightFromText="180" w:bottomFromText="0"/>
        <w:tblW w:w="9889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70"/>
        <w:gridCol w:w="4819"/>
      </w:tblGrid>
      <w:tr>
        <w:tblPrEx/>
        <w:trPr>
          <w:trHeight w:val="211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70" w:type="dxa"/>
            <w:vAlign w:val="top"/>
            <w:textDirection w:val="lrTb"/>
            <w:noWrap w:val="false"/>
          </w:tcPr>
          <w:p>
            <w:pPr>
              <w:pStyle w:val="933"/>
              <w:rPr>
                <w:bCs/>
                <w:color w:val="000000"/>
              </w:rPr>
              <w:framePr w:hSpace="180" w:wrap="around" w:vAnchor="text" w:hAnchor="text" w:x="250" w:y="1"/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vAlign w:val="top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«УТВЕРЖ</w:t>
            </w:r>
            <w:r>
              <w:rPr>
                <w:color w:val="000000"/>
              </w:rPr>
              <w:t xml:space="preserve">ДЕНО</w:t>
            </w:r>
            <w:r>
              <w:rPr>
                <w:color w:val="000000"/>
              </w:rPr>
              <w:t xml:space="preserve">»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заседании Закупочной комиссии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«___» октября 2026</w:t>
            </w:r>
            <w:r>
              <w:rPr>
                <w:color w:val="000000"/>
              </w:rPr>
              <w:t xml:space="preserve"> г.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33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933"/>
              <w:jc w:val="right"/>
              <w:rPr>
                <w:bCs/>
                <w:color w:val="000000"/>
              </w:rPr>
              <w:framePr w:hSpace="180" w:wrap="around" w:vAnchor="text" w:hAnchor="text" w:x="250" w:y="1"/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  <w:p>
            <w:pPr>
              <w:pStyle w:val="933"/>
              <w:rPr>
                <w:bCs/>
                <w:color w:val="000000"/>
              </w:rPr>
              <w:framePr w:hSpace="180" w:wrap="around" w:vAnchor="text" w:hAnchor="text" w:x="250" w:y="1"/>
            </w:pP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  <w:r>
              <w:rPr>
                <w:bCs/>
                <w:color w:val="000000"/>
              </w:rPr>
            </w:r>
          </w:p>
        </w:tc>
      </w:tr>
    </w:tbl>
    <w:p>
      <w:pPr>
        <w:pStyle w:val="933"/>
        <w:ind w:firstLine="709"/>
        <w:jc w:val="center"/>
        <w:tabs>
          <w:tab w:val="left" w:pos="0" w:leader="none"/>
        </w:tabs>
        <w:rPr>
          <w:b/>
        </w:rPr>
        <w:outlineLvl w:val="0"/>
      </w:pPr>
      <w:r>
        <w:rPr>
          <w:b/>
        </w:rPr>
        <w:t xml:space="preserve">Извещение о проведении </w:t>
      </w:r>
      <w:r>
        <w:rPr>
          <w:b/>
        </w:rPr>
        <w:t xml:space="preserve">запроса предложений</w:t>
      </w:r>
      <w:r>
        <w:rPr>
          <w:b/>
        </w:rPr>
        <w:t xml:space="preserve"> в электронной форме</w:t>
      </w:r>
      <w:r>
        <w:rPr>
          <w:b/>
        </w:rPr>
      </w:r>
      <w:r>
        <w:rPr>
          <w:b/>
        </w:rPr>
      </w:r>
    </w:p>
    <w:p>
      <w:pPr>
        <w:pStyle w:val="933"/>
        <w:ind w:firstLine="709"/>
        <w:jc w:val="center"/>
        <w:tabs>
          <w:tab w:val="left" w:pos="851" w:leader="none"/>
          <w:tab w:val="left" w:pos="1134" w:leader="none"/>
        </w:tabs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33"/>
        <w:jc w:val="both"/>
        <w:shd w:val="clear" w:color="auto" w:fill="ffffff"/>
        <w:rPr>
          <w:b/>
          <w:sz w:val="24"/>
          <w:szCs w:val="24"/>
        </w:rPr>
        <w:pBdr>
          <w:bottom w:val="single" w:color="000000" w:sz="12" w:space="1"/>
        </w:pBdr>
        <w:outlineLvl w:val="1"/>
      </w:pPr>
      <w:r>
        <w:t xml:space="preserve">Публичное акционерное общество «</w:t>
      </w:r>
      <w:r>
        <w:t xml:space="preserve">Россети Северо-Запад</w:t>
      </w:r>
      <w:r>
        <w:t xml:space="preserve">» (далее - ПАО «</w:t>
      </w:r>
      <w:r>
        <w:t xml:space="preserve">Россети Северо-Запад</w:t>
      </w:r>
      <w:r>
        <w:t xml:space="preserve">», </w:t>
      </w:r>
      <w:r>
        <w:t xml:space="preserve">З</w:t>
      </w:r>
      <w:r>
        <w:t xml:space="preserve">аказчик</w:t>
      </w:r>
      <w:r>
        <w:t xml:space="preserve">), </w:t>
      </w:r>
      <w:r>
        <w:t xml:space="preserve">в лице </w:t>
      </w:r>
      <w:r>
        <w:t xml:space="preserve">Организатор</w:t>
      </w:r>
      <w:r>
        <w:t xml:space="preserve">а</w:t>
      </w:r>
      <w:r>
        <w:t xml:space="preserve"> закупки, </w:t>
      </w:r>
      <w:r>
        <w:t xml:space="preserve">настоящим приглашает к участию в </w:t>
      </w:r>
      <w:r>
        <w:t xml:space="preserve">запросе предложений</w:t>
      </w:r>
      <w:r>
        <w:t xml:space="preserve"> </w:t>
      </w:r>
      <w:r>
        <w:t xml:space="preserve">в электронной форме н</w:t>
      </w:r>
      <w:r>
        <w:t xml:space="preserve">а право заключения договора</w:t>
      </w:r>
      <w:r>
        <w:t xml:space="preserve"> </w:t>
      </w:r>
      <w:r>
        <w:t xml:space="preserve">на</w:t>
      </w:r>
      <w:r>
        <w:rPr>
          <w:b/>
        </w:rPr>
        <w:t xml:space="preserve"> </w:t>
      </w:r>
      <w:r>
        <w:rPr>
          <w:b/>
          <w:bCs/>
          <w:sz w:val="26"/>
          <w:szCs w:val="26"/>
        </w:rPr>
        <w:t xml:space="preserve">26Т0410050.0011. Оказание услуг по поддержанию работоспособности систем видеонаблюдения и контроля доступа на объектах ПО «СЭС» Мурманского филиала ПАО «Россети Северо-Запад»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80"/>
        <w:ind w:left="-142"/>
        <w:jc w:val="both"/>
        <w:spacing w:after="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508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328"/>
        <w:gridCol w:w="58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center"/>
            <w:textDirection w:val="lrTb"/>
            <w:noWrap w:val="false"/>
          </w:tcPr>
          <w:p>
            <w:pPr>
              <w:pStyle w:val="933"/>
              <w:ind w:hanging="13"/>
              <w:jc w:val="center"/>
              <w:tabs>
                <w:tab w:val="num" w:pos="630" w:leader="none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Наименование</w:t>
            </w:r>
            <w:r>
              <w:rPr>
                <w:b/>
                <w:sz w:val="23"/>
                <w:szCs w:val="23"/>
              </w:rPr>
            </w:r>
            <w:r>
              <w:rPr>
                <w:b/>
                <w:sz w:val="23"/>
                <w:szCs w:val="23"/>
              </w:rPr>
            </w:r>
          </w:p>
        </w:tc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Информация</w:t>
            </w:r>
            <w:r>
              <w:rPr>
                <w:b/>
                <w:sz w:val="23"/>
                <w:szCs w:val="23"/>
              </w:rPr>
            </w:r>
            <w:r>
              <w:rPr>
                <w:b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3"/>
              <w:ind w:hanging="13"/>
              <w:tabs>
                <w:tab w:val="num" w:pos="205" w:leader="none"/>
              </w:tabs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Способ закупки, номер позиции Плана закупки</w:t>
            </w:r>
            <w:r>
              <w:rPr>
                <w:b/>
                <w:sz w:val="23"/>
                <w:szCs w:val="23"/>
              </w:rPr>
            </w:r>
            <w:r>
              <w:rPr>
                <w:b/>
                <w:sz w:val="23"/>
                <w:szCs w:val="23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pStyle w:val="933"/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1" w:name="Par50"/>
            <w:r>
              <w:rPr>
                <w:sz w:val="24"/>
                <w:szCs w:val="24"/>
                <w:lang w:eastAsia="en-US"/>
              </w:rPr>
              <w:t xml:space="preserve">Запрос предложений в электронной форме.</w:t>
            </w:r>
            <w:bookmarkEnd w:id="1"/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Номер позиции Плана закупки </w:t>
            </w:r>
            <w:r>
              <w:rPr>
                <w:sz w:val="24"/>
                <w:szCs w:val="24"/>
              </w:rPr>
              <w:t xml:space="preserve">ПАО «Россети Северо-Запад» на 2026</w:t>
            </w:r>
            <w:r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  <w:lang w:eastAsia="en-US"/>
              </w:rPr>
              <w:t xml:space="preserve">: </w:t>
            </w:r>
            <w:r>
              <w:rPr>
                <w:sz w:val="24"/>
                <w:szCs w:val="24"/>
                <w:lang w:eastAsia="en-US"/>
              </w:rPr>
              <w:t xml:space="preserve">5152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ind w:hanging="13"/>
              <w:tabs>
                <w:tab w:val="num" w:pos="630" w:leader="none"/>
              </w:tabs>
              <w:rPr>
                <w:b/>
                <w:bCs/>
                <w:sz w:val="23"/>
                <w:szCs w:val="23"/>
              </w:rPr>
              <w:outlineLvl w:val="2"/>
            </w:pPr>
            <w:r>
              <w:rPr>
                <w:b/>
                <w:sz w:val="23"/>
                <w:szCs w:val="23"/>
              </w:rPr>
              <w:t xml:space="preserve">Наименование, место нахождения, </w:t>
            </w:r>
            <w:r>
              <w:rPr>
                <w:b/>
                <w:bCs/>
                <w:sz w:val="23"/>
                <w:szCs w:val="23"/>
              </w:rPr>
              <w:t xml:space="preserve">почтовый </w:t>
            </w:r>
            <w:r>
              <w:rPr>
                <w:b/>
                <w:sz w:val="23"/>
                <w:szCs w:val="23"/>
              </w:rPr>
              <w:t xml:space="preserve">адрес, адрес электронной почты, номер контактного телефона Заказчика и стороннего Организатора закупки (в случае его привлечения), ответственный за заключение договора</w:t>
            </w:r>
            <w:r>
              <w:rPr>
                <w:b/>
                <w:bCs/>
                <w:sz w:val="23"/>
                <w:szCs w:val="23"/>
              </w:rPr>
            </w: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Наименование Заказчика: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 «Россети Северо-Запад»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Адрес местонахождения Заказчика: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196247, Россия, г. Санкт-Петербург, пл. Конституции д.3, литер А, пом. 16Н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Почтовый адрес Заказчика: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196247, Россия, г. Санкт-Петербург, площадь Конституции д.3, литер А, помещение 16Н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Контактное лицо: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  <w:t xml:space="preserve">ФИО </w:t>
            </w:r>
            <w:r>
              <w:rPr>
                <w:b w:val="0"/>
                <w:bCs w:val="0"/>
              </w:rPr>
              <w:t xml:space="preserve">Чернова Елена Владимировна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  <w:lang w:val="en-US"/>
              </w:rPr>
            </w:pPr>
            <w:r>
              <w:rPr>
                <w:b/>
              </w:rPr>
              <w:t xml:space="preserve">Тел</w:t>
            </w:r>
            <w:r>
              <w:rPr>
                <w:b/>
                <w:lang w:val="en-US"/>
              </w:rPr>
              <w:t xml:space="preserve">:</w:t>
            </w:r>
            <w:r>
              <w:rPr>
                <w:lang w:val="en-US"/>
              </w:rPr>
              <w:t xml:space="preserve"> (8152) 48-20-00 доб. 21-13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  <w:p>
            <w:pPr>
              <w:spacing w:after="0"/>
              <w:rPr>
                <w:rStyle w:val="915"/>
                <w:lang w:val="en-US"/>
                <w14:ligatures w14:val="none"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  <w:lang w:val="en-US"/>
              </w:rPr>
              <w:t xml:space="preserve">-</w:t>
            </w:r>
            <w:r>
              <w:rPr>
                <w:b/>
                <w:lang w:val="en-US"/>
              </w:rPr>
              <w:t xml:space="preserve">mail</w:t>
            </w:r>
            <w:r>
              <w:rPr>
                <w:b/>
                <w:lang w:val="en-US"/>
              </w:rPr>
              <w:t xml:space="preserve">: </w:t>
            </w:r>
            <w:r>
              <w:rPr>
                <w:rStyle w:val="915"/>
                <w:lang w:val="en-US"/>
              </w:rPr>
              <w:t xml:space="preserve">evchernova</w:t>
            </w:r>
            <w:hyperlink r:id="rId11" w:tooltip="mailto:earhangelyskaya@kolenergo.ru" w:history="1">
              <w:r>
                <w:rPr>
                  <w:rStyle w:val="915"/>
                  <w:lang w:val="en-US"/>
                </w:rPr>
              </w:r>
              <w:r>
                <w:rPr>
                  <w:rStyle w:val="915"/>
                  <w:lang w:val="en-US"/>
                </w:rPr>
                <w:t xml:space="preserve">@</w:t>
              </w:r>
              <w:r>
                <w:rPr>
                  <w:rStyle w:val="915"/>
                  <w:lang w:val="en-US"/>
                </w:rPr>
                <w:t xml:space="preserve">kolenergo</w:t>
              </w:r>
              <w:r>
                <w:rPr>
                  <w:rStyle w:val="915"/>
                  <w:lang w:val="en-US"/>
                </w:rPr>
                <w:t xml:space="preserve">.</w:t>
              </w:r>
              <w:r>
                <w:rPr>
                  <w:rStyle w:val="915"/>
                  <w:lang w:val="en-US"/>
                </w:rPr>
                <w:t xml:space="preserve">ru</w:t>
              </w:r>
            </w:hyperlink>
            <w:r>
              <w:rPr>
                <w:rStyle w:val="915"/>
                <w:lang w:val="en-US"/>
                <w14:ligatures w14:val="none"/>
              </w:rPr>
            </w:r>
            <w:r>
              <w:rPr>
                <w:rStyle w:val="915"/>
                <w:lang w:val="en-US"/>
                <w14:ligatures w14:val="none"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  <w:t xml:space="preserve">Ответственный</w:t>
            </w:r>
            <w:r>
              <w:rPr>
                <w:b/>
              </w:rPr>
              <w:t xml:space="preserve"> за заключение договора: 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r>
              <w:rPr>
                <w:b/>
                <w:bCs/>
              </w:rPr>
              <w:t xml:space="preserve">ФИО </w:t>
            </w:r>
            <w:r>
              <w:rPr>
                <w:b/>
                <w:bCs/>
              </w:rPr>
              <w:t xml:space="preserve">Начаров Олег Михайлович</w:t>
            </w:r>
            <w:r/>
          </w:p>
          <w:p>
            <w:pPr>
              <w:rPr>
                <w14:ligatures w14:val="none"/>
              </w:rPr>
            </w:pPr>
            <w:r>
              <w:t xml:space="preserve">Те</w:t>
            </w:r>
            <w:r>
              <w:t xml:space="preserve">л</w:t>
            </w:r>
            <w:r>
              <w:rPr>
                <w:lang w:val="en-US"/>
              </w:rPr>
              <w:t xml:space="preserve">: </w:t>
            </w:r>
            <w:r>
              <w:t xml:space="preserve">+7 (8152) 48-20-00 доб. 22-99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spacing w:after="0"/>
              <w:rPr>
                <w:lang w:val="en-US"/>
                <w14:ligatures w14:val="none"/>
              </w:rPr>
            </w:pPr>
            <w:r>
              <w:rPr>
                <w:lang w:val="en-US"/>
              </w:rPr>
              <w:t xml:space="preserve">e-mail:</w:t>
            </w:r>
            <w:r>
              <w:rPr>
                <w:rStyle w:val="915"/>
                <w:lang w:val="en-US"/>
              </w:rPr>
              <w:t xml:space="preserve"> </w:t>
            </w:r>
            <w:hyperlink r:id="rId12" w:tooltip="mailto:omnacharov@kolenergo.ru" w:history="1">
              <w:r>
                <w:rPr>
                  <w:rStyle w:val="915"/>
                  <w:lang w:val="en-US"/>
                </w:rPr>
                <w:t xml:space="preserve">omnacharov@kolenergo.ru</w:t>
              </w:r>
            </w:hyperlink>
            <w:r>
              <w:rPr>
                <w:lang w:val="en-US"/>
                <w14:ligatures w14:val="none"/>
              </w:rPr>
            </w:r>
            <w:r>
              <w:rPr>
                <w:lang w:val="en-US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3"/>
              <w:ind w:hanging="13"/>
              <w:tabs>
                <w:tab w:val="num" w:pos="630" w:leader="none"/>
              </w:tabs>
              <w:rPr>
                <w:b/>
                <w:bCs/>
                <w:sz w:val="23"/>
                <w:szCs w:val="23"/>
              </w:rPr>
              <w:outlineLvl w:val="2"/>
            </w:pPr>
            <w:r>
              <w:rPr>
                <w:b/>
                <w:sz w:val="23"/>
                <w:szCs w:val="23"/>
              </w:rPr>
              <w:t xml:space="preserve">Предмет договора с указанием количества поставляемого товара/ объема выполняемой работы/ объема оказываемой услуги, а также краткое описание предмета закупки</w:t>
            </w:r>
            <w:r>
              <w:rPr>
                <w:b/>
                <w:bCs/>
                <w:sz w:val="23"/>
                <w:szCs w:val="23"/>
              </w:rPr>
            </w:r>
            <w:r>
              <w:rPr>
                <w:b/>
                <w:bCs/>
                <w:sz w:val="23"/>
                <w:szCs w:val="23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Предмет договора: </w:t>
            </w:r>
            <w:r>
              <w:rPr>
                <w:sz w:val="24"/>
                <w:szCs w:val="24"/>
              </w:rPr>
              <w:t xml:space="preserve">26Т0410050.0011. Оказание услуг по поддержанию работоспособности систем видеонаблюдения и контроля доступа на объектах ПО «СЭС» Мурманского филиала ПАО «Россети Северо-Запад»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after="0"/>
              <w:rPr>
                <w:b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поставляемого товара/объем выполняемой работы/объем оказываемой услуги и описание предмета закупки в соответствии с </w:t>
            </w:r>
            <w:hyperlink r:id="rId13" w:tooltip="https://www.consultant.ru/document/cons_doc_LAW_116964/fddec0f5c16a67f6fca41f9e31dfb0dcc72cc49a/" w:history="1">
              <w:r>
                <w:rPr>
                  <w:color w:val="0000ff"/>
                  <w:sz w:val="24"/>
                  <w:szCs w:val="24"/>
                  <w:u w:val="single"/>
                </w:rPr>
                <w:t xml:space="preserve">частью 6.1 статьи 3 </w:t>
              </w:r>
              <w:r>
                <w:rPr>
                  <w:color w:val="0000ff"/>
                  <w:sz w:val="24"/>
                  <w:szCs w:val="24"/>
                  <w:u w:val="single"/>
                </w:rPr>
                <w:t xml:space="preserve">Закона 223-ФЗ</w:t>
              </w:r>
            </w:hyperlink>
            <w:r>
              <w:rPr>
                <w:sz w:val="24"/>
                <w:szCs w:val="24"/>
              </w:rPr>
              <w:t xml:space="preserve"> установлено в части</w:t>
            </w:r>
            <w:r>
              <w:rPr>
                <w:sz w:val="24"/>
                <w:szCs w:val="24"/>
              </w:rPr>
              <w:t xml:space="preserve"> </w:t>
            </w:r>
            <w:hyperlink w:tooltip="#_ТЕХНИЧЕСКАЯ_ЧАСТЬ" w:anchor="_ТЕХНИЧЕСКАЯ_ЧАСТЬ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 xml:space="preserve">V</w:t>
              </w:r>
              <w:r>
                <w:rPr>
                  <w:color w:val="0000ff"/>
                  <w:sz w:val="24"/>
                  <w:szCs w:val="24"/>
                  <w:u w:val="single"/>
                </w:rPr>
                <w:t xml:space="preserve"> «Техническая часть»</w:t>
              </w:r>
            </w:hyperlink>
            <w:r>
              <w:rPr>
                <w:sz w:val="24"/>
                <w:szCs w:val="24"/>
              </w:rPr>
              <w:t xml:space="preserve"> извещения о закупке. Все указания в настоящем извещении о закупке на товарные знаки, знаки обслуживания, фирменные наименования, патенты, полезные модели, промышленные образцы, наименование страны происхождения товара читать со словами «или эквивалент».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/>
                <w:sz w:val="23"/>
                <w:szCs w:val="23"/>
                <w:lang w:val="ru-RU" w:eastAsia="ru-RU"/>
                <w14:ligatures w14:val="none"/>
              </w:rPr>
            </w:pPr>
            <w:r>
              <w:rPr>
                <w:rFonts w:ascii="Times New Roman" w:hAnsi="Times New Roman"/>
                <w:sz w:val="23"/>
                <w:szCs w:val="23"/>
                <w:lang w:val="ru-RU" w:eastAsia="ru-RU"/>
              </w:rPr>
            </w:r>
            <w:bookmarkStart w:id="0" w:name="undefined"/>
            <w:r>
              <w:rPr>
                <w:rFonts w:ascii="Times New Roman" w:hAnsi="Times New Roman"/>
                <w:sz w:val="23"/>
                <w:szCs w:val="23"/>
                <w:lang w:val="ru-RU" w:eastAsia="ru-RU"/>
              </w:rPr>
            </w:r>
            <w:bookmarkEnd w:id="0"/>
            <w:r>
              <w:rPr>
                <w:rFonts w:ascii="Times New Roman" w:hAnsi="Times New Roman"/>
                <w:sz w:val="23"/>
                <w:szCs w:val="23"/>
                <w:lang w:val="ru-RU" w:eastAsia="ru-RU"/>
              </w:rPr>
              <w:t xml:space="preserve">Место поставки товара/ выполнения работы/ оказания услуги</w:t>
            </w:r>
            <w:r>
              <w:rPr>
                <w:rFonts w:ascii="Times New Roman" w:hAnsi="Times New Roman"/>
                <w:sz w:val="23"/>
                <w:szCs w:val="23"/>
                <w:lang w:val="ru-RU" w:eastAsia="ru-RU"/>
                <w14:ligatures w14:val="none"/>
              </w:rPr>
            </w:r>
            <w:r>
              <w:rPr>
                <w:rFonts w:ascii="Times New Roman" w:hAnsi="Times New Roman"/>
                <w:sz w:val="23"/>
                <w:szCs w:val="23"/>
                <w:lang w:val="ru-RU" w:eastAsia="ru-RU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rPr>
                <w:b/>
                <w:highlight w:val="yellow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 xml:space="preserve">частью</w:t>
            </w:r>
            <w:r>
              <w:rPr>
                <w:sz w:val="24"/>
                <w:szCs w:val="24"/>
              </w:rP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915"/>
                  <w:sz w:val="24"/>
                  <w:szCs w:val="24"/>
                </w:rPr>
                <w:t xml:space="preserve">IV «Проект договора»</w:t>
              </w:r>
            </w:hyperlink>
            <w:r>
              <w:rPr>
                <w:sz w:val="24"/>
                <w:szCs w:val="24"/>
              </w:rPr>
              <w:t xml:space="preserve"> настоящей документации</w:t>
            </w:r>
            <w:r>
              <w:rPr>
                <w:sz w:val="24"/>
                <w:szCs w:val="24"/>
              </w:rPr>
              <w:t xml:space="preserve"> о закупке.</w:t>
            </w: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vMerge w:val="restart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bookmarkStart w:id="0" w:name="undefined"/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bookmarkEnd w:id="0"/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Сроки поставки товара/ выполнения работ/оказания услуг</w:t>
            </w:r>
            <w:r>
              <w:rPr>
                <w:rFonts w:ascii="Times New Roman" w:hAnsi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/>
                <w:sz w:val="22"/>
                <w:szCs w:val="22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vMerge w:val="restart"/>
            <w:textDirection w:val="lrTb"/>
            <w:noWrap w:val="false"/>
          </w:tcPr>
          <w:p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>
              <w:rPr>
                <w:sz w:val="24"/>
                <w:szCs w:val="24"/>
              </w:rPr>
              <w:t xml:space="preserve">частью</w:t>
            </w:r>
            <w:r>
              <w:rPr>
                <w:sz w:val="24"/>
                <w:szCs w:val="24"/>
              </w:rP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915"/>
                  <w:sz w:val="24"/>
                  <w:szCs w:val="24"/>
                </w:rPr>
                <w:t xml:space="preserve">IV «Проект договора»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 xml:space="preserve">частью</w:t>
            </w:r>
            <w:r>
              <w:rPr>
                <w:sz w:val="24"/>
                <w:szCs w:val="24"/>
              </w:rPr>
              <w:t xml:space="preserve"> </w:t>
            </w:r>
            <w:hyperlink w:tooltip="#_ТЕХНИЧЕСКАЯ_ЧАСТЬ" w:anchor="_ТЕХНИЧЕСКАЯ_ЧАСТЬ" w:history="1">
              <w:r>
                <w:rPr>
                  <w:rStyle w:val="915"/>
                  <w:sz w:val="24"/>
                  <w:szCs w:val="24"/>
                </w:rPr>
                <w:t xml:space="preserve">V «Техническая часть»</w:t>
              </w:r>
            </w:hyperlink>
            <w:r>
              <w:rPr>
                <w:rStyle w:val="9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настоящей документации</w:t>
            </w:r>
            <w:r>
              <w:rPr>
                <w:sz w:val="24"/>
                <w:szCs w:val="24"/>
              </w:rPr>
              <w:t xml:space="preserve"> о закупке.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bookmarkStart w:id="0" w:name="undefined"/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</w:r>
            <w:bookmarkEnd w:id="0"/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Форма, сроки и порядок оплаты товара, работы, услуги</w:t>
            </w:r>
            <w:r>
              <w:rPr>
                <w:rFonts w:ascii="Times New Roman" w:hAnsi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/>
                <w:sz w:val="22"/>
                <w:szCs w:val="22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частью</w:t>
            </w:r>
            <w:r>
              <w:rPr>
                <w:sz w:val="24"/>
                <w:szCs w:val="24"/>
              </w:rPr>
              <w:t xml:space="preserve"> </w:t>
            </w:r>
            <w:hyperlink w:tooltip="#_ФОРМА__Коммерческое" w:anchor="_ФОРМА__Коммерческое" w:history="1">
              <w:r>
                <w:rPr>
                  <w:rStyle w:val="915"/>
                  <w:sz w:val="24"/>
                  <w:szCs w:val="24"/>
                </w:rPr>
                <w:t xml:space="preserve">IV «Проект договора»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настоящей документации о закупке.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0" w:firstLine="0"/>
              <w:rPr>
                <w:color w:val="ff0000"/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eastAsia="Calibri"/>
                <w:i/>
                <w:iCs/>
                <w:color w:val="ff0000"/>
                <w:sz w:val="24"/>
                <w:szCs w:val="24"/>
                <w:highlight w:val="green"/>
                <w:lang w:eastAsia="en-US"/>
              </w:rPr>
              <w:t xml:space="preserve">*</w:t>
            </w:r>
            <w:r>
              <w:rPr>
                <w:i/>
                <w:color w:val="ff0000"/>
                <w:sz w:val="24"/>
                <w:szCs w:val="24"/>
                <w:highlight w:val="gree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Обращаем внимание, что цена, указанная в заявке должна включать в себя НДС по ставке 22%, независимо от того,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какую систему налогообложения применяет участник закупки.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 Обязательное включение в цену договора НДС в размере 22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% 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предусмотрено проектом договора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Данное положение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 договора не подлежит изменению независимо от системы налогообложения участника, т.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е. от цены, предложенной участником, будет выделен НДС 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в размере 22%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color w:val="ff0000"/>
                <w:highlight w:val="green"/>
              </w:rPr>
            </w:r>
            <w:r>
              <w:rPr>
                <w:color w:val="ff0000"/>
                <w:highlight w:val="green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При этом, проект договора предусматривает возможность Поставщика/Исполнителя/П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одрядчика отказаться от выставления счета-фактуры с выделением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 НДС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(если участник освобожден от уплаты НДС/не является плательщиком НДС) или выставить счет-фактуру с указанием в нем ставки НДС в применяемом Поставщиком/Исполнителем/Подрядчиком размере (например, 5% или 7% ( п. 8 ст. 164 НК РФ)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Тогда сумма к уплате по договору будет рассчитана от цены договора/еди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ницы продукции за вычетом НДС в размере 22% (если счет-фактура не выставлен)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ли от цены договора с учетом уменьшенной ставки НДС, указанной в счет-фактуре (если счет-фактура выставлен с указанием ставки НДС в меньшем размере, т.е. в размере, применяемом Поставщиком/Исполнителем/Подрядчиком (например, 5% или 7% (п. 8 ст. 164 НК РФ).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color w:val="ff0000"/>
                <w:sz w:val="24"/>
                <w:szCs w:val="24"/>
                <w:highlight w:val="green"/>
                <w14:ligatures w14:val="none"/>
              </w:rPr>
            </w:r>
          </w:p>
          <w:p>
            <w:pPr>
              <w:ind w:left="0" w:right="0" w:firstLine="0"/>
              <w:rPr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Освобождение от исполнения обязанностей налогоплательщика НДС в установленном законом порядке или применение упрощенной системы налогообложения (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когда Поставщик/Исполнитель/Подрядчик не  является плательщиком НДС)</w:t>
            </w:r>
            <w:r>
              <w:rPr>
                <w:rFonts w:ascii="Times New Roman" w:hAnsi="Times New Roman" w:eastAsia="Times New Roman" w:cs="Times New Roman"/>
                <w:i/>
                <w:iCs/>
                <w:color w:val="ff0000"/>
                <w:sz w:val="24"/>
                <w:szCs w:val="24"/>
                <w:highlight w:val="green"/>
              </w:rPr>
              <w:t xml:space="preserve"> не отменяет право выставления счета фактуры с выделенны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4"/>
                <w:szCs w:val="24"/>
                <w:highlight w:val="green"/>
              </w:rPr>
              <w:t xml:space="preserve">м НДС согласно пункту 5 статьи 173 НК РФ.</w:t>
            </w:r>
            <w:r>
              <w:rPr>
                <w:highlight w:val="green"/>
              </w:rPr>
            </w:r>
            <w:r>
              <w:rPr>
                <w:highlight w:val="green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ind w:hanging="13"/>
              <w:tabs>
                <w:tab w:val="num" w:pos="630" w:leader="none"/>
              </w:tabs>
              <w:rPr>
                <w:b/>
                <w:bCs/>
                <w:sz w:val="23"/>
                <w:szCs w:val="23"/>
                <w14:ligatures w14:val="none"/>
              </w:rPr>
            </w:pPr>
            <w:r>
              <w:rPr>
                <w:b/>
                <w:bCs/>
                <w:sz w:val="23"/>
                <w:szCs w:val="23"/>
              </w:rPr>
            </w:r>
            <w:bookmarkStart w:id="0" w:name="undefined"/>
            <w:r>
              <w:rPr>
                <w:b/>
                <w:bCs/>
                <w:sz w:val="23"/>
                <w:szCs w:val="23"/>
              </w:rPr>
            </w:r>
            <w:bookmarkEnd w:id="0"/>
            <w:r>
              <w:rPr>
                <w:b/>
                <w:bCs/>
                <w:sz w:val="23"/>
                <w:szCs w:val="23"/>
              </w:rPr>
              <w:t xml:space="preserve">Сведения о начальной (максимальной) цене договора (цене лота), либо формула</w:t>
            </w:r>
            <w:r>
              <w:rPr>
                <w:b/>
                <w:bCs/>
                <w:sz w:val="23"/>
                <w:szCs w:val="23"/>
              </w:rPr>
              <w:t xml:space="preserve">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b/>
                <w:bCs/>
                <w:sz w:val="23"/>
                <w:szCs w:val="23"/>
                <w14:ligatures w14:val="none"/>
              </w:rPr>
            </w:r>
            <w:r>
              <w:rPr>
                <w:b/>
                <w:bCs/>
                <w:sz w:val="23"/>
                <w:szCs w:val="23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tabs>
                <w:tab w:val="left" w:pos="708" w:leader="none"/>
              </w:tabs>
            </w:pPr>
            <w:r>
              <w:t xml:space="preserve">Обоснование начальной (максимальной) ц</w:t>
            </w:r>
            <w:r>
              <w:t xml:space="preserve">ены договора приведено в части </w:t>
            </w:r>
            <w:r>
              <w:rPr>
                <w:color w:val="0000ff"/>
                <w:u w:val="single"/>
              </w:rPr>
              <w:fldChar w:fldCharType="begin"/>
              <w:instrText xml:space="preserve"> REF _Ref535962936  \h</w:instrText>
              <w:fldChar w:fldCharType="separate"/>
            </w:r>
            <w:r>
              <w:rPr>
                <w:color w:val="0000ff"/>
                <w:u w:val="single"/>
              </w:rPr>
              <w:t xml:space="preserve">VI</w:t>
            </w:r>
            <w:r>
              <w:rPr>
                <w:color w:val="0000ff"/>
                <w:u w:val="single"/>
              </w:rPr>
              <w:t xml:space="preserve"> </w:t>
            </w:r>
            <w:r>
              <w:rPr>
                <w:color w:val="0000ff"/>
                <w:u w:val="single"/>
              </w:rPr>
              <w:t xml:space="preserve">Обоснование начальной (максимальной) цены договора</w:t>
            </w:r>
            <w:r>
              <w:rPr>
                <w:color w:val="0000ff"/>
                <w:u w:val="single"/>
              </w:rPr>
              <w:fldChar w:fldCharType="end"/>
            </w:r>
            <w:r>
              <w:t xml:space="preserve"> </w:t>
            </w:r>
            <w:r>
              <w:t xml:space="preserve">настоящей документации о закупке.</w:t>
            </w:r>
            <w:r/>
          </w:p>
          <w:p>
            <w:pPr>
              <w:spacing w:after="0"/>
              <w:tabs>
                <w:tab w:val="left" w:pos="708" w:leader="none"/>
              </w:tabs>
            </w:pPr>
            <w:r>
              <w:t xml:space="preserve">Начальная (максимальная) цена договора (цена лота) составляет:</w:t>
            </w:r>
            <w:r/>
          </w:p>
          <w:p>
            <w:pPr>
              <w:spacing w:after="0"/>
              <w:rPr>
                <w:b/>
                <w:color w:val="000000"/>
                <w:shd w:val="clear" w:color="auto" w:fill="deeaf6"/>
              </w:rPr>
            </w:pPr>
            <w:r>
              <w:rPr>
                <w:b/>
              </w:rPr>
            </w:r>
            <w:r>
              <w:rPr>
                <w:b/>
                <w:color w:val="000000"/>
                <w:sz w:val="24"/>
                <w:szCs w:val="24"/>
              </w:rPr>
              <w:t xml:space="preserve">2 892 864,00</w:t>
            </w:r>
            <w:r>
              <w:rPr>
                <w:b/>
              </w:rPr>
              <w:t xml:space="preserve"> руб.</w:t>
            </w:r>
            <w:r>
              <w:rPr>
                <w:b/>
                <w:color w:val="000000"/>
                <w:shd w:val="clear" w:color="auto" w:fill="deeaf6"/>
              </w:rPr>
            </w:r>
            <w:r>
              <w:rPr>
                <w:b/>
                <w:color w:val="000000"/>
                <w:shd w:val="clear" w:color="auto" w:fill="deeaf6"/>
              </w:rPr>
            </w:r>
          </w:p>
          <w:p>
            <w:pPr>
              <w:spacing w:after="0"/>
              <w:tabs>
                <w:tab w:val="left" w:pos="708" w:leader="none"/>
              </w:tabs>
              <w:rPr>
                <w:shd w:val="clear" w:color="auto" w:fill="deeaf6"/>
              </w:rPr>
            </w:pPr>
            <w:r>
              <w:rPr>
                <w:shd w:val="clear" w:color="auto" w:fill="deeaf6"/>
              </w:rPr>
            </w:r>
            <w:r>
              <w:rPr>
                <w:shd w:val="clear" w:color="auto" w:fill="deeaf6"/>
              </w:rPr>
            </w:r>
            <w:r>
              <w:rPr>
                <w:shd w:val="clear" w:color="auto" w:fill="deeaf6"/>
              </w:rPr>
            </w:r>
          </w:p>
          <w:p>
            <w:pPr>
              <w:spacing w:after="0"/>
              <w:rPr>
                <w:rFonts w:eastAsiaTheme="minorHAnsi"/>
                <w:b/>
              </w:rPr>
            </w:pPr>
            <w:r>
              <w:rPr>
                <w:rFonts w:eastAsia="Calibri"/>
              </w:rPr>
              <w:t xml:space="preserve">Начальная (максимальная) цена договора включает в себя: все затраты, накладные расходы, налоги, пошлины, таможенные платежи, с</w:t>
            </w:r>
            <w:r>
              <w:rPr>
                <w:rFonts w:eastAsia="Calibri"/>
              </w:rPr>
              <w:t xml:space="preserve">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основаниях. Все расходы должны быть включены в расценки и общую цену заявки, представленной участником закупки.</w:t>
            </w:r>
            <w:r>
              <w:rPr>
                <w:rFonts w:eastAsiaTheme="minorHAnsi"/>
                <w:b/>
              </w:rPr>
            </w:r>
            <w:r>
              <w:rPr>
                <w:rFonts w:eastAsiaTheme="minorHAnsi"/>
                <w:b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ind w:hanging="13"/>
              <w:tabs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b/>
                <w:bCs/>
                <w:sz w:val="23"/>
                <w:szCs w:val="23"/>
              </w:rPr>
              <w:t xml:space="preserve">Срок, место и порядок предоста</w:t>
            </w:r>
            <w:r>
              <w:rPr>
                <w:b/>
                <w:bCs/>
                <w:sz w:val="23"/>
                <w:szCs w:val="23"/>
              </w:rPr>
              <w:t xml:space="preserve">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pStyle w:val="759"/>
              <w:ind w:left="0"/>
              <w:keepNext w:val="0"/>
              <w:spacing w:before="0" w:after="0"/>
              <w:tabs>
                <w:tab w:val="clear" w:pos="312" w:leader="none"/>
                <w:tab w:val="left" w:pos="708" w:leader="none"/>
              </w:tabs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</w:t>
            </w:r>
            <w:hyperlink r:id="rId14" w:tooltip="https://zakupki.gov.ru/epz/main/public/home.html" w:history="1">
              <w:r>
                <w:rPr>
                  <w:rStyle w:val="915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en-US"/>
                </w:rPr>
                <w:t xml:space="preserve">www.zakupki.gov.ru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, а также на сайте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ЭТП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, указанном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hyperlink w:tooltip="#_Адрес_электронной_площадки" w:anchor="_Адрес_электронной_площадки" w:history="1">
              <w:r>
                <w:rPr>
                  <w:rStyle w:val="915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en-US"/>
                </w:rPr>
              </w:r>
              <w:bookmarkStart w:id="0" w:name="undefined"/>
              <w:r>
                <w:rPr>
                  <w:rStyle w:val="915"/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en-US"/>
                </w:rPr>
                <w:t xml:space="preserve">п. 10 настоящей информационной карты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.</w:t>
            </w:r>
            <w:bookmarkEnd w:id="0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  <w:instrText xml:space="preserve"> REF _Ref535962939  \h</w:instrText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 xml:space="preserve">Срок начала предоставления документации о закупке с момента публикации извещения.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ind w:hanging="13"/>
              <w:tabs>
                <w:tab w:val="num" w:pos="630" w:leader="none"/>
              </w:tabs>
              <w:rPr>
                <w:b w:val="0"/>
                <w:bCs w:val="0"/>
                <w14:ligatures w14:val="none"/>
              </w:rPr>
            </w:pPr>
            <w:r>
              <w:rPr>
                <w:b/>
                <w:bCs/>
                <w:sz w:val="23"/>
                <w:szCs w:val="23"/>
              </w:rPr>
            </w:r>
            <w:bookmarkStart w:id="0" w:name="undefined"/>
            <w:r>
              <w:rPr>
                <w:b/>
                <w:bCs/>
                <w:sz w:val="23"/>
                <w:szCs w:val="23"/>
              </w:rPr>
            </w:r>
            <w:bookmarkEnd w:id="0"/>
            <w:r>
              <w:rPr>
                <w:b/>
                <w:bCs/>
                <w:sz w:val="23"/>
                <w:szCs w:val="23"/>
              </w:rPr>
              <w:t xml:space="preserve">Порядок, дата начала, дата и время окончания срока подачи </w:t>
            </w:r>
            <w:r>
              <w:rPr>
                <w:b/>
                <w:bCs/>
                <w:sz w:val="23"/>
                <w:szCs w:val="23"/>
              </w:rPr>
              <w:t xml:space="preserve">заявок на участие в закупке (этапах закупки) и порядок подведения итогов закупки (этапов закупки).</w:t>
            </w:r>
            <w:r>
              <w:rPr>
                <w:b w:val="0"/>
                <w:bCs w:val="0"/>
                <w14:ligatures w14:val="none"/>
              </w:rPr>
            </w:r>
            <w:r>
              <w:rPr>
                <w:b w:val="0"/>
                <w:bCs w:val="0"/>
                <w14:ligatures w14:val="none"/>
              </w:rPr>
            </w:r>
          </w:p>
          <w:p>
            <w:pPr>
              <w:ind w:hanging="13"/>
              <w:tabs>
                <w:tab w:val="num" w:pos="630" w:leader="none"/>
              </w:tabs>
              <w:rPr>
                <w:b w:val="0"/>
                <w:bCs w:val="0"/>
                <w14:ligatures w14:val="none"/>
              </w:rPr>
            </w:pPr>
            <w:r>
              <w:rPr>
                <w:b/>
                <w:bCs/>
                <w:sz w:val="23"/>
                <w:szCs w:val="23"/>
              </w:rPr>
            </w:r>
            <w:bookmarkStart w:id="0" w:name="undefined"/>
            <w:r>
              <w:rPr>
                <w:b/>
                <w:bCs/>
                <w:sz w:val="23"/>
                <w:szCs w:val="23"/>
              </w:rPr>
            </w:r>
            <w:bookmarkEnd w:id="0"/>
            <w:r>
              <w:rPr>
                <w:b/>
                <w:bCs/>
                <w:sz w:val="23"/>
                <w:szCs w:val="23"/>
              </w:rPr>
              <w:t xml:space="preserve">Дата рассмотрения предложений участников такой закупки и подведения итогов такой закупки, Дата и время окончания срока предоставления участникам закупки разъяснений положений документации о закупке</w:t>
            </w:r>
            <w:r>
              <w:rPr>
                <w:b w:val="0"/>
                <w:bCs w:val="0"/>
                <w14:ligatures w14:val="none"/>
              </w:rPr>
            </w:r>
            <w:r>
              <w:rPr>
                <w:b w:val="0"/>
                <w:bCs w:val="0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pStyle w:val="773"/>
              <w:ind w:left="0"/>
              <w:jc w:val="both"/>
              <w:rPr>
                <w:highlight w:val="none"/>
              </w:rPr>
            </w:pPr>
            <w:r>
              <w:t xml:space="preserve">При</w:t>
            </w:r>
            <w:r>
              <w:rPr>
                <w:highlight w:val="none"/>
              </w:rPr>
              <w:t xml:space="preserve">меняются следующие этапы: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73"/>
              <w:numPr>
                <w:ilvl w:val="0"/>
                <w:numId w:val="32"/>
              </w:numPr>
              <w:ind w:left="0" w:firstLine="0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Р</w:t>
            </w:r>
            <w:r>
              <w:rPr>
                <w:highlight w:val="none"/>
              </w:rPr>
              <w:t xml:space="preserve">ассмотрение </w:t>
            </w:r>
            <w:r>
              <w:rPr>
                <w:highlight w:val="none"/>
              </w:rPr>
              <w:t xml:space="preserve">общих</w:t>
            </w:r>
            <w:r>
              <w:rPr>
                <w:highlight w:val="none"/>
              </w:rPr>
              <w:t xml:space="preserve"> частей заяв</w:t>
            </w:r>
            <w:r>
              <w:rPr>
                <w:highlight w:val="none"/>
              </w:rPr>
              <w:t xml:space="preserve">ок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73"/>
              <w:numPr>
                <w:ilvl w:val="0"/>
                <w:numId w:val="32"/>
              </w:numPr>
              <w:ind w:left="0" w:firstLine="0"/>
              <w:jc w:val="both"/>
              <w:rPr>
                <w:highlight w:val="none"/>
              </w:rPr>
            </w:pPr>
            <w:r>
              <w:rPr>
                <w:highlight w:val="none"/>
              </w:rPr>
              <w:t xml:space="preserve">П</w:t>
            </w:r>
            <w:r>
              <w:rPr>
                <w:highlight w:val="none"/>
              </w:rPr>
              <w:t xml:space="preserve">одведение итогов</w:t>
            </w:r>
            <w:r>
              <w:rPr>
                <w:b/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highlight w:val="non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b/>
                <w:highlight w:val="none"/>
              </w:rPr>
              <w:t xml:space="preserve">Дата начала срока подачи заявок</w:t>
            </w:r>
            <w:r>
              <w:rPr>
                <w:highlight w:val="none"/>
              </w:rPr>
              <w:t xml:space="preserve">: </w:t>
            </w:r>
            <w:r>
              <w:rPr>
                <w:highlight w:val="none"/>
              </w:rPr>
              <w:t xml:space="preserve">«08» октября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b/>
                <w:highlight w:val="none"/>
              </w:rPr>
            </w:r>
            <w:r>
              <w:rPr>
                <w:b/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highlight w:val="none"/>
              </w:rPr>
              <w:t xml:space="preserve">«19» октября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 17</w:t>
            </w:r>
            <w:r>
              <w:rPr>
                <w:highlight w:val="none"/>
              </w:rPr>
              <w:t xml:space="preserve">:00</w:t>
            </w:r>
            <w:r>
              <w:rPr>
                <w:highlight w:val="none"/>
              </w:rPr>
              <w:t xml:space="preserve"> (время московское)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b/>
                <w:bCs/>
                <w:color w:val="ff0000"/>
                <w:highlight w:val="none"/>
              </w:rPr>
            </w:pPr>
            <w:r>
              <w:rPr>
                <w:b/>
                <w:bCs/>
                <w:color w:val="ff0000"/>
                <w:highlight w:val="none"/>
              </w:rPr>
              <w:t xml:space="preserve">Дата и время окончания срока, последний день срока подачи Заявок</w:t>
            </w:r>
            <w:r>
              <w:rPr>
                <w:b/>
                <w:bCs/>
                <w:color w:val="ff0000"/>
                <w:highlight w:val="none"/>
              </w:rPr>
              <w:t xml:space="preserve">:</w:t>
            </w:r>
            <w:r>
              <w:rPr>
                <w:b/>
                <w:bCs/>
                <w:color w:val="ff0000"/>
                <w:highlight w:val="none"/>
              </w:rPr>
            </w:r>
            <w:r>
              <w:rPr>
                <w:b/>
                <w:bCs/>
                <w:color w:val="ff0000"/>
                <w:highlight w:val="none"/>
              </w:rPr>
            </w:r>
          </w:p>
          <w:p>
            <w:pPr>
              <w:pStyle w:val="973"/>
              <w:rPr>
                <w:b/>
                <w:bCs/>
                <w:color w:val="ff0000"/>
                <w:highlight w:val="none"/>
              </w:rPr>
            </w:pPr>
            <w:r>
              <w:rPr>
                <w:b/>
                <w:bCs/>
                <w:color w:val="ff0000"/>
                <w:highlight w:val="none"/>
              </w:rPr>
              <w:t xml:space="preserve">«20» </w:t>
            </w:r>
            <w:r>
              <w:rPr>
                <w:b/>
                <w:bCs/>
                <w:color w:val="ff0000"/>
                <w:highlight w:val="none"/>
              </w:rPr>
              <w:t xml:space="preserve">октября </w:t>
            </w:r>
            <w:r>
              <w:rPr>
                <w:b/>
                <w:bCs/>
                <w:color w:val="ff0000"/>
                <w:highlight w:val="none"/>
              </w:rPr>
              <w:t xml:space="preserve">2026</w:t>
            </w:r>
            <w:r>
              <w:rPr>
                <w:b/>
                <w:bCs/>
                <w:color w:val="ff0000"/>
                <w:highlight w:val="none"/>
              </w:rPr>
              <w:t xml:space="preserve"> года</w:t>
            </w:r>
            <w:r>
              <w:rPr>
                <w:b/>
                <w:bCs/>
                <w:color w:val="ff0000"/>
                <w:highlight w:val="none"/>
              </w:rPr>
              <w:t xml:space="preserve"> 11</w:t>
            </w:r>
            <w:r>
              <w:rPr>
                <w:b/>
                <w:bCs/>
                <w:color w:val="ff0000"/>
                <w:highlight w:val="none"/>
              </w:rPr>
              <w:t xml:space="preserve">:00</w:t>
            </w:r>
            <w:r>
              <w:rPr>
                <w:b/>
                <w:bCs/>
                <w:color w:val="ff0000"/>
                <w:highlight w:val="none"/>
              </w:rPr>
              <w:t xml:space="preserve"> (время московское)</w:t>
            </w:r>
            <w:r>
              <w:rPr>
                <w:b/>
                <w:bCs/>
                <w:color w:val="ff0000"/>
                <w:highlight w:val="none"/>
              </w:rPr>
            </w:r>
            <w:r>
              <w:rPr>
                <w:b/>
                <w:bCs/>
                <w:color w:val="ff0000"/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b/>
                <w:highlight w:val="none"/>
              </w:rPr>
              <w:t xml:space="preserve">Рассмотрение общих частей заявок</w:t>
            </w:r>
            <w:r>
              <w:rPr>
                <w:highlight w:val="none"/>
              </w:rPr>
              <w:t xml:space="preserve">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highlight w:val="none"/>
              </w:rPr>
              <w:t xml:space="preserve">Дата нач</w:t>
            </w:r>
            <w:r>
              <w:rPr>
                <w:highlight w:val="none"/>
              </w:rPr>
              <w:t xml:space="preserve">ала проведения этапа: </w:t>
            </w:r>
            <w:r>
              <w:rPr>
                <w:highlight w:val="none"/>
              </w:rPr>
              <w:t xml:space="preserve">с момента </w:t>
            </w:r>
            <w:r>
              <w:rPr>
                <w:highlight w:val="none"/>
              </w:rPr>
              <w:t xml:space="preserve">направления оператором ЭТП заказчику</w:t>
            </w:r>
            <w:r>
              <w:rPr>
                <w:highlight w:val="none"/>
              </w:rPr>
              <w:t xml:space="preserve"> общих</w:t>
            </w:r>
            <w:r>
              <w:rPr>
                <w:highlight w:val="none"/>
              </w:rPr>
              <w:t xml:space="preserve"> частей</w:t>
            </w:r>
            <w:r>
              <w:rPr>
                <w:highlight w:val="none"/>
              </w:rPr>
              <w:t xml:space="preserve"> заявок;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3"/>
              <w:rPr>
                <w:highlight w:val="none"/>
              </w:rPr>
            </w:pPr>
            <w:r>
              <w:rPr>
                <w:highlight w:val="none"/>
              </w:rPr>
              <w:t xml:space="preserve">Дата проведения этапа: </w:t>
            </w:r>
            <w:r>
              <w:rPr>
                <w:highlight w:val="none"/>
              </w:rPr>
              <w:t xml:space="preserve">«27» </w:t>
            </w:r>
            <w:r>
              <w:rPr>
                <w:highlight w:val="none"/>
              </w:rPr>
              <w:t xml:space="preserve">октября</w:t>
            </w:r>
            <w:r>
              <w:rPr>
                <w:highlight w:val="none"/>
              </w:rPr>
              <w:t xml:space="preserve"> </w:t>
            </w:r>
            <w:r>
              <w:rPr>
                <w:highlight w:val="none"/>
              </w:rPr>
              <w:t xml:space="preserve">2026</w:t>
            </w:r>
            <w:r>
              <w:rPr>
                <w:highlight w:val="none"/>
              </w:rPr>
              <w:t xml:space="preserve"> года</w:t>
            </w:r>
            <w:r>
              <w:rPr>
                <w:highlight w:val="none"/>
              </w:rPr>
              <w:t xml:space="preserve">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 w:after="0"/>
              <w:rPr>
                <w:b/>
                <w:bCs/>
                <w:highlight w:val="none"/>
              </w:rPr>
            </w:pPr>
            <w:r>
              <w:rPr>
                <w:b/>
                <w:highlight w:val="none"/>
              </w:rPr>
              <w:t xml:space="preserve">Переторжка </w:t>
            </w:r>
            <w:r>
              <w:rPr>
                <w:b/>
                <w:i/>
                <w:iCs/>
                <w:highlight w:val="none"/>
              </w:rPr>
              <w:t xml:space="preserve">(в случае ее проведения)</w:t>
            </w:r>
            <w:r>
              <w:rPr>
                <w:b/>
                <w:highlight w:val="none"/>
              </w:rPr>
              <w:t xml:space="preserve">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rPr>
                <w:color w:val="000000"/>
                <w:highlight w:val="none"/>
              </w:rPr>
            </w:pPr>
            <w:r>
              <w:rPr>
                <w:color w:val="000000"/>
                <w:highlight w:val="none"/>
                <w:lang w:eastAsia="en-US"/>
              </w:rPr>
              <w:t xml:space="preserve">Срок проведения переторжки: </w:t>
            </w:r>
            <w:r>
              <w:rPr>
                <w:i/>
                <w:iCs/>
                <w:color w:val="000000"/>
                <w:highlight w:val="none"/>
                <w:lang w:eastAsia="en-US"/>
              </w:rPr>
              <w:t xml:space="preserve">не менее 1 (одного) часа.</w:t>
            </w:r>
            <w:r>
              <w:rPr>
                <w:color w:val="000000"/>
                <w:highlight w:val="none"/>
              </w:rPr>
            </w:r>
            <w:r>
              <w:rPr>
                <w:color w:val="000000"/>
                <w:highlight w:val="none"/>
              </w:rPr>
            </w:r>
          </w:p>
          <w:p>
            <w:pPr>
              <w:rPr>
                <w:highlight w:val="white"/>
              </w:rPr>
            </w:pPr>
            <w:r>
              <w:rPr>
                <w:b/>
              </w:rPr>
              <w:t xml:space="preserve">Шаг переторжки</w:t>
            </w:r>
            <w:r>
              <w:t xml:space="preserve">:</w:t>
            </w:r>
            <w:r>
              <w:rPr>
                <w:highlight w:val="white"/>
                <w:lang w:eastAsia="en-US"/>
              </w:rPr>
              <w:t xml:space="preserve"> до 10 млн. руб.(включительно)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after="0"/>
              <w:rPr>
                <w:shd w:val="clear" w:color="auto" w:fill="ffffff"/>
                <w:lang w:eastAsia="en-US"/>
              </w:rPr>
            </w:pPr>
            <w:r>
              <w:rPr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highlight w:val="white"/>
                <w:shd w:val="clear" w:color="auto" w:fill="ffffff"/>
                <w:lang w:eastAsia="en-US"/>
              </w:rPr>
              <w:t xml:space="preserve"> </w:t>
            </w:r>
            <w:r>
              <w:rPr>
                <w:shd w:val="clear" w:color="auto" w:fill="ffffff"/>
                <w:lang w:eastAsia="en-US"/>
              </w:rPr>
              <w:t xml:space="preserve">от начальной (максимальной) цены договора(лота).</w:t>
            </w:r>
            <w:r>
              <w:rPr>
                <w:shd w:val="clear" w:color="auto" w:fill="ffffff"/>
                <w:lang w:eastAsia="en-US"/>
              </w:rPr>
            </w:r>
            <w:r>
              <w:rPr>
                <w:shd w:val="clear" w:color="auto" w:fill="ffffff"/>
                <w:lang w:eastAsia="en-US"/>
              </w:rPr>
            </w:r>
          </w:p>
          <w:p>
            <w:pPr>
              <w:pStyle w:val="973"/>
            </w:pPr>
            <w:r>
              <w:rPr>
                <w:b/>
              </w:rPr>
              <w:t xml:space="preserve">Подведение итогов</w:t>
            </w:r>
            <w:r>
              <w:t xml:space="preserve">:</w:t>
            </w:r>
            <w:r/>
          </w:p>
          <w:p>
            <w:pPr>
              <w:pStyle w:val="973"/>
              <w:rPr>
                <w:b/>
              </w:rPr>
            </w:pPr>
            <w:r>
              <w:t xml:space="preserve">Дата проведения этапа: </w:t>
            </w:r>
            <w:r>
              <w:t xml:space="preserve">«30» октября</w:t>
            </w:r>
            <w:r>
              <w:t xml:space="preserve"> </w:t>
            </w:r>
            <w:r>
              <w:t xml:space="preserve">2026</w:t>
            </w:r>
            <w:r>
              <w:t xml:space="preserve"> года</w:t>
            </w:r>
            <w:r>
              <w:t xml:space="preserve">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/>
                <w:bCs w:val="0"/>
                <w:sz w:val="23"/>
                <w:szCs w:val="23"/>
              </w:rPr>
            </w:pPr>
            <w:r>
              <w:rPr>
                <w:rFonts w:ascii="Times New Roman" w:hAnsi="Times New Roman"/>
                <w:bCs w:val="0"/>
                <w:sz w:val="23"/>
                <w:szCs w:val="23"/>
              </w:rPr>
              <w:t xml:space="preserve">Адрес электронной площадки в информационно-телекоммуникационной сети «Интернет»</w:t>
            </w:r>
            <w:r>
              <w:rPr>
                <w:rFonts w:ascii="Times New Roman" w:hAnsi="Times New Roman"/>
                <w:bCs w:val="0"/>
                <w:sz w:val="23"/>
                <w:szCs w:val="23"/>
              </w:rPr>
            </w:r>
            <w:r>
              <w:rPr>
                <w:rFonts w:ascii="Times New Roman" w:hAnsi="Times New Roman"/>
                <w:bCs w:val="0"/>
                <w:sz w:val="23"/>
                <w:szCs w:val="23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pStyle w:val="9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электронной торговой площадки: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33"/>
              <w:rPr>
                <w:b/>
                <w:sz w:val="24"/>
                <w:szCs w:val="24"/>
              </w:rPr>
            </w:pPr>
            <w:r>
              <w:rPr>
                <w:rStyle w:val="940"/>
                <w:color w:val="0000ff"/>
                <w:sz w:val="24"/>
                <w:szCs w:val="24"/>
                <w:u w:val="single"/>
              </w:rPr>
              <w:t xml:space="preserve">https://rosseti.roseltorg.ru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/>
                <w:b w:val="0"/>
                <w:bCs w:val="0"/>
                <w:sz w:val="23"/>
                <w:szCs w:val="23"/>
                <w14:ligatures w14:val="none"/>
              </w:rPr>
            </w:pPr>
            <w:r>
              <w:rPr>
                <w:rFonts w:ascii="Times New Roman" w:hAnsi="Times New Roman"/>
                <w:sz w:val="23"/>
                <w:szCs w:val="23"/>
              </w:rPr>
            </w:r>
            <w:bookmarkStart w:id="0" w:name="undefined"/>
            <w:r>
              <w:rPr>
                <w:rFonts w:ascii="Times New Roman" w:hAnsi="Times New Roman"/>
                <w:sz w:val="23"/>
                <w:szCs w:val="23"/>
              </w:rPr>
            </w:r>
            <w:bookmarkEnd w:id="0"/>
            <w:r>
              <w:rPr>
                <w:rFonts w:ascii="Times New Roman" w:hAnsi="Times New Roman"/>
                <w:sz w:val="23"/>
                <w:szCs w:val="23"/>
              </w:rPr>
              <w:t xml:space="preserve">Размер обеспечения заявок на участие в закупке, порядок, срок и случаи возврата такого обеспечения и иные требования к такому обеспечению, в том числе условия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независимой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гарантии</w:t>
            </w:r>
            <w:r>
              <w:rPr>
                <w:rFonts w:ascii="Times New Roman" w:hAnsi="Times New Roman"/>
                <w:b w:val="0"/>
                <w:bCs w:val="0"/>
                <w:sz w:val="23"/>
                <w:szCs w:val="23"/>
                <w14:ligatures w14:val="none"/>
              </w:rPr>
            </w:r>
            <w:r>
              <w:rPr>
                <w:rFonts w:ascii="Times New Roman" w:hAnsi="Times New Roman"/>
                <w:b w:val="0"/>
                <w:bCs w:val="0"/>
                <w:sz w:val="23"/>
                <w:szCs w:val="23"/>
                <w14:ligatures w14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Не установлено.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</w:r>
            <w:bookmarkStart w:id="0" w:name="undefined"/>
            <w:r>
              <w:rPr>
                <w:highlight w:val="none"/>
              </w:rPr>
            </w:r>
            <w:bookmarkStart w:id="0" w:name="undefined"/>
            <w:r>
              <w:rPr>
                <w:highlight w:val="none"/>
              </w:rPr>
            </w:r>
            <w:bookmarkEnd w:id="0"/>
            <w:r>
              <w:rPr>
                <w:highlight w:val="none"/>
              </w:rPr>
              <w:t xml:space="preserve">Информация об установлении запрета / ограничения закупки работ, услуг, соответственно выполняемых, оказываемых иностранными лицами установлены в соответствии с </w:t>
            </w:r>
            <w:hyperlink r:id="rId15" w:tooltip="https://www.consultant.ru/document/cons_doc_LAW_494318/92d969e26a4326c5d02fa79b8f9cf4994ee5633b/" w:history="1">
              <w:r>
                <w:rPr>
                  <w:rStyle w:val="915"/>
                  <w:highlight w:val="none"/>
                </w:rPr>
                <w:t xml:space="preserve">постановлением Правительства РФ от 23.12.2024 № 1875</w:t>
              </w:r>
            </w:hyperlink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rPr>
                <w:highlight w:val="none"/>
              </w:rPr>
              <w:t xml:space="preserve">Информация об установлении запрета или ограничения в соответствии с требованиями </w:t>
            </w:r>
            <w:hyperlink r:id="rId16" w:tooltip="https://www.consultant.ru/document/cons_doc_LAW_494318/92d969e26a4326c5d02fa79b8f9cf4994ee5633b/" w:history="1">
              <w:r>
                <w:rPr>
                  <w:rStyle w:val="915"/>
                  <w:highlight w:val="none"/>
                </w:rPr>
                <w:t xml:space="preserve">постановления Правительства РФ от 23.12.2024 № 1875</w:t>
              </w:r>
            </w:hyperlink>
            <w:r>
              <w:rPr>
                <w:highlight w:val="none"/>
                <w:u w:val="single"/>
              </w:rPr>
              <w:t xml:space="preserve"> </w:t>
            </w:r>
            <w:r>
              <w:rPr>
                <w:highlight w:val="none"/>
              </w:rPr>
              <w:t xml:space="preserve">указана</w:t>
            </w:r>
            <w:r>
              <w:rPr>
                <w:highlight w:val="none"/>
                <w:u w:val="single"/>
              </w:rPr>
              <w:t xml:space="preserve"> в части</w:t>
            </w:r>
            <w:r>
              <w:rPr>
                <w:highlight w:val="none"/>
              </w:rPr>
              <w:t xml:space="preserve"> </w:t>
            </w:r>
            <w:hyperlink w:tooltip="#_ТЕХНИЧЕСКАЯ_ЧАСТЬ" w:anchor="_ТЕХНИЧЕСКАЯ_ЧАСТЬ" w:history="1">
              <w:r>
                <w:rPr>
                  <w:rStyle w:val="915"/>
                  <w:highlight w:val="none"/>
                </w:rPr>
                <w:t xml:space="preserve">V «Техническая часть»</w:t>
              </w:r>
            </w:hyperlink>
            <w:r>
              <w:rPr>
                <w:highlight w:val="none"/>
                <w:u w:val="single"/>
              </w:rPr>
              <w:t xml:space="preserve"> </w:t>
            </w:r>
            <w:r>
              <w:rPr>
                <w:highlight w:val="none"/>
              </w:rPr>
              <w:t xml:space="preserve">настоящей документации о закупке.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36"/>
              <w:ind w:hanging="13"/>
              <w:keepNext w:val="0"/>
              <w:spacing w:before="0" w:after="0"/>
              <w:tabs>
                <w:tab w:val="num" w:pos="630" w:leader="none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Информация о возможности изменения сроков проведения этапов закупки, осуществляемых после окончания срока подачи заявок</w:t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решению Закупочной комиссии после окончания срока подачи заявок Организатор закупки вправе изменить сроки проведения последующих этапов закупки.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f2f2f2"/>
            <w:tcMar>
              <w:left w:w="108" w:type="dxa"/>
              <w:top w:w="28" w:type="dxa"/>
              <w:right w:w="108" w:type="dxa"/>
              <w:bottom w:w="28" w:type="dxa"/>
            </w:tcMar>
            <w:tcW w:w="2127" w:type="pct"/>
            <w:vAlign w:val="top"/>
            <w:textDirection w:val="lrTb"/>
            <w:noWrap w:val="false"/>
          </w:tcPr>
          <w:p>
            <w:pPr>
              <w:pStyle w:val="973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Иные сведения</w:t>
            </w:r>
            <w:r>
              <w:rPr>
                <w:b/>
                <w:sz w:val="23"/>
                <w:szCs w:val="23"/>
              </w:rPr>
            </w:r>
            <w:r>
              <w:rPr>
                <w:b/>
                <w:sz w:val="23"/>
                <w:szCs w:val="23"/>
              </w:rPr>
            </w:r>
          </w:p>
        </w:tc>
        <w:tc>
          <w:tcPr>
            <w:tcMar>
              <w:left w:w="108" w:type="dxa"/>
              <w:top w:w="28" w:type="dxa"/>
              <w:right w:w="108" w:type="dxa"/>
              <w:bottom w:w="28" w:type="dxa"/>
            </w:tcMar>
            <w:tcW w:w="2873" w:type="pct"/>
            <w:vAlign w:val="top"/>
            <w:textDirection w:val="lrTb"/>
            <w:noWrap w:val="false"/>
          </w:tcPr>
          <w:p>
            <w:pPr>
              <w:pStyle w:val="973"/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Остальные и более подробные условия проведения закупки содержатся в документации о закупке.</w:t>
            </w:r>
            <w:r>
              <w:rPr>
                <w:b/>
                <w:color w:val="ff0000"/>
                <w:sz w:val="24"/>
                <w:szCs w:val="24"/>
              </w:rPr>
            </w:r>
            <w:r>
              <w:rPr>
                <w:b/>
                <w:color w:val="ff0000"/>
                <w:sz w:val="24"/>
                <w:szCs w:val="24"/>
              </w:rPr>
            </w:r>
          </w:p>
        </w:tc>
      </w:tr>
    </w:tbl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851" w:right="850" w:bottom="851" w:left="1276" w:header="709" w:footer="546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Verdan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rPr>
        <w:rStyle w:val="947"/>
      </w:rPr>
      <w:framePr w:wrap="around" w:vAnchor="text" w:hAnchor="margin" w:xAlign="right" w:y="1"/>
    </w:pPr>
    <w:r>
      <w:rPr>
        <w:rStyle w:val="947"/>
      </w:rPr>
      <w:fldChar w:fldCharType="begin"/>
    </w:r>
    <w:r>
      <w:rPr>
        <w:rStyle w:val="947"/>
      </w:rPr>
      <w:instrText xml:space="preserve">PAGE  </w:instrText>
    </w:r>
    <w:r>
      <w:rPr>
        <w:rStyle w:val="947"/>
      </w:rPr>
      <w:fldChar w:fldCharType="separate"/>
    </w:r>
    <w:r>
      <w:rPr>
        <w:rStyle w:val="947"/>
      </w:rPr>
      <w:t xml:space="preserve">1</w:t>
    </w:r>
    <w:r>
      <w:rPr>
        <w:rStyle w:val="947"/>
      </w:rPr>
      <w:fldChar w:fldCharType="end"/>
    </w:r>
    <w:r>
      <w:rPr>
        <w:rStyle w:val="947"/>
      </w:rPr>
    </w:r>
    <w:r>
      <w:rPr>
        <w:rStyle w:val="947"/>
      </w:rPr>
    </w:r>
  </w:p>
  <w:p>
    <w:pPr>
      <w:pStyle w:val="946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6"/>
      <w:rPr>
        <w:rStyle w:val="947"/>
      </w:rPr>
      <w:framePr w:wrap="around" w:vAnchor="text" w:hAnchor="margin" w:xAlign="right" w:y="1"/>
    </w:pPr>
    <w:r>
      <w:rPr>
        <w:rStyle w:val="947"/>
      </w:rPr>
      <w:fldChar w:fldCharType="begin"/>
    </w:r>
    <w:r>
      <w:rPr>
        <w:rStyle w:val="947"/>
      </w:rPr>
      <w:instrText xml:space="preserve">PAGE  </w:instrText>
    </w:r>
    <w:r>
      <w:rPr>
        <w:rStyle w:val="947"/>
      </w:rPr>
      <w:fldChar w:fldCharType="end"/>
    </w:r>
    <w:r>
      <w:rPr>
        <w:rStyle w:val="947"/>
      </w:rPr>
    </w:r>
    <w:r>
      <w:rPr>
        <w:rStyle w:val="947"/>
      </w:rPr>
    </w:r>
  </w:p>
  <w:p>
    <w:pPr>
      <w:pStyle w:val="946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ascii="Symbol" w:hAnsi="Symbol"/>
        <w:b w:val="0"/>
        <w:i w:val="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ascii="Symbol" w:hAnsi="Symbol"/>
        <w:b w:val="0"/>
        <w:i w:val="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92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401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566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766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967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132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3329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976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  <w:rPr>
        <w:b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92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38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54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73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924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8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2720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280" w:hanging="180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b w:val="0"/>
        <w:i w:val="0"/>
        <w:color w:val="000000"/>
        <w:sz w:val="24"/>
        <w:szCs w:val="24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0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3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</w:lvl>
    <w:lvl w:ilvl="4">
      <w:start w:val="1"/>
      <w:numFmt w:val="thaiNumbers"/>
      <w:isLgl w:val="false"/>
      <w:suff w:val="tab"/>
      <w:lvlText w:val="%5)"/>
      <w:lvlJc w:val="left"/>
      <w:pPr>
        <w:ind w:left="228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60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22" w:hanging="180"/>
      </w:pPr>
    </w:lvl>
  </w:abstractNum>
  <w:abstractNum w:abstractNumId="1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9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38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3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23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280" w:hanging="180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567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56" w:hanging="708"/>
        <w:tabs>
          <w:tab w:val="num" w:pos="708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64" w:hanging="708"/>
        <w:tabs>
          <w:tab w:val="num" w:pos="70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72" w:hanging="708"/>
        <w:tabs>
          <w:tab w:val="num" w:pos="70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080" w:hanging="708"/>
        <w:tabs>
          <w:tab w:val="num" w:pos="708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ascii="Symbol" w:hAnsi="Symbol"/>
        <w:b w:val="0"/>
        <w:i w:val="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3556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4832" w:hanging="720"/>
      </w:pPr>
      <w:rPr>
        <w:i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483" w:hanging="1080"/>
      </w:pPr>
      <w:rPr>
        <w:i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7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49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2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67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440" w:hanging="2160"/>
      </w:pPr>
    </w:lvl>
  </w:abstractNum>
  <w:abstractNum w:abstractNumId="15">
    <w:multiLevelType w:val="hybridMultilevel"/>
    <w:lvl w:ilvl="0">
      <w:start w:val="1"/>
      <w:numFmt w:val="decimal"/>
      <w:pStyle w:val="934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</w:lvl>
    <w:lvl w:ilvl="1">
      <w:start w:val="1"/>
      <w:numFmt w:val="decimal"/>
      <w:pStyle w:val="935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</w:lvl>
    <w:lvl w:ilvl="2">
      <w:start w:val="1"/>
      <w:numFmt w:val="decimal"/>
      <w:pStyle w:val="942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b w:val="0"/>
        <w:i w:val="0"/>
      </w:rPr>
    </w:lvl>
    <w:lvl w:ilvl="3">
      <w:start w:val="1"/>
      <w:numFmt w:val="decimal"/>
      <w:pStyle w:val="943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b w:val="0"/>
        <w:i w:val="0"/>
      </w:rPr>
    </w:lvl>
    <w:lvl w:ilvl="4">
      <w:start w:val="1"/>
      <w:numFmt w:val="lowerLetter"/>
      <w:pStyle w:val="944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thaiNumbers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4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2007" w:hanging="360"/>
        <w:tabs>
          <w:tab w:val="num" w:pos="0" w:leader="none"/>
        </w:tabs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  <w:tabs>
          <w:tab w:val="num" w:pos="927" w:leader="none"/>
        </w:tabs>
      </w:pPr>
      <w:rPr>
        <w:rFonts w:ascii="Symbol" w:hAnsi="Symbol"/>
        <w:b w:val="0"/>
        <w:i w:val="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i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2"/>
      </w:rPr>
    </w:lvl>
    <w:lvl w:ilvl="1">
      <w:start w:val="1"/>
      <w:numFmt w:val="thaiNumbers"/>
      <w:isLgl w:val="false"/>
      <w:suff w:val="tab"/>
      <w:lvlText w:val="%2)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885" w:hanging="885"/>
      </w:pPr>
    </w:lvl>
    <w:lvl w:ilvl="1">
      <w:start w:val="1"/>
      <w:numFmt w:val="decimal"/>
      <w:isLgl w:val="false"/>
      <w:suff w:val="tab"/>
      <w:lvlText w:val="%1.%2."/>
      <w:lvlJc w:val="left"/>
      <w:pPr>
        <w:ind w:left="1005" w:hanging="88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25" w:hanging="885"/>
      </w:pPr>
    </w:lvl>
    <w:lvl w:ilvl="3">
      <w:start w:val="1"/>
      <w:numFmt w:val="thaiNumbers"/>
      <w:isLgl w:val="false"/>
      <w:suff w:val="tab"/>
      <w:lvlText w:val="%4)"/>
      <w:lvlJc w:val="left"/>
      <w:pPr>
        <w:ind w:left="2215" w:hanging="1080"/>
      </w:pPr>
      <w:rPr>
        <w:rFonts w:cs="Times New Roman"/>
      </w:rPr>
    </w:lvl>
    <w:lvl w:ilvl="4">
      <w:start w:val="1"/>
      <w:numFmt w:val="thaiNumbers"/>
      <w:isLgl w:val="false"/>
      <w:suff w:val="tab"/>
      <w:lvlText w:val="%5)"/>
      <w:lvlJc w:val="left"/>
      <w:pPr>
        <w:ind w:left="156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6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120" w:hanging="216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  <w:tabs>
          <w:tab w:val="num" w:pos="15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  <w:tabs>
          <w:tab w:val="num" w:pos="22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  <w:tabs>
          <w:tab w:val="num" w:pos="29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  <w:tabs>
          <w:tab w:val="num" w:pos="36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  <w:tabs>
          <w:tab w:val="num" w:pos="43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  <w:tabs>
          <w:tab w:val="num" w:pos="51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  <w:tabs>
          <w:tab w:val="num" w:pos="58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  <w:tabs>
          <w:tab w:val="num" w:pos="654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5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4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decimal"/>
      <w:pStyle w:val="969"/>
      <w:isLgl w:val="false"/>
      <w:suff w:val="tab"/>
      <w:lvlText w:val="%1."/>
      <w:lvlJc w:val="center"/>
      <w:pPr>
        <w:tabs>
          <w:tab w:val="num" w:pos="2977" w:leader="none"/>
        </w:tabs>
      </w:pPr>
      <w:rPr>
        <w:rFonts w:cs="Times New Roman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971"/>
      <w:isLgl w:val="false"/>
      <w:suff w:val="tab"/>
      <w:lvlText w:val="%1.%2"/>
      <w:lvlJc w:val="left"/>
      <w:pPr>
        <w:ind w:firstLine="567"/>
        <w:tabs>
          <w:tab w:val="num" w:pos="4680" w:leader="none"/>
        </w:tabs>
      </w:pPr>
      <w:rPr>
        <w:rFonts w:cs="Times New Roman"/>
        <w:bCs/>
        <w:iCs w:val="0"/>
        <w: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970"/>
      <w:isLgl w:val="false"/>
      <w:suff w:val="tab"/>
      <w:lvlText w:val="%1.%2.%3"/>
      <w:lvlJc w:val="left"/>
      <w:pPr>
        <w:ind w:firstLine="567"/>
        <w:tabs>
          <w:tab w:val="num" w:pos="4399" w:leader="none"/>
        </w:tabs>
      </w:pPr>
      <w:rPr>
        <w:rFonts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isLgl w:val="false"/>
      <w:suff w:val="tab"/>
      <w:lvlText w:val="%1.%2.%3.%4"/>
      <w:lvlJc w:val="left"/>
      <w:pPr>
        <w:ind w:firstLine="567"/>
        <w:tabs>
          <w:tab w:val="num" w:pos="1985" w:leader="none"/>
        </w:tabs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thaiNumbers"/>
      <w:pStyle w:val="972"/>
      <w:isLgl w:val="false"/>
      <w:suff w:val="tab"/>
      <w:lvlText w:val="%5)"/>
      <w:lvlJc w:val="left"/>
      <w:pPr>
        <w:ind w:firstLine="567"/>
        <w:tabs>
          <w:tab w:val="num" w:pos="1703" w:leader="none"/>
        </w:tabs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isLgl w:val="false"/>
      <w:suff w:val="tab"/>
      <w:lvlText w:val="%6)"/>
      <w:lvlJc w:val="left"/>
      <w:pPr>
        <w:ind w:left="2551" w:hanging="567"/>
        <w:tabs>
          <w:tab w:val="num" w:pos="2551" w:leader="none"/>
        </w:tabs>
      </w:pPr>
      <w:rPr>
        <w:rFonts w:cs="Times New Roman"/>
      </w:rPr>
    </w:lvl>
    <w:lvl w:ilvl="6">
      <w:start w:val="1"/>
      <w:numFmt w:val="lowerRoman"/>
      <w:isLgl w:val="false"/>
      <w:suff w:val="tab"/>
      <w:lvlText w:val="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1448" w:hanging="567"/>
        <w:tabs>
          <w:tab w:val="num" w:pos="144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6" w:hanging="1440"/>
        <w:tabs>
          <w:tab w:val="num" w:pos="4166" w:leader="none"/>
        </w:tabs>
      </w:pPr>
      <w:rPr>
        <w:rFonts w:cs="Times New Roman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578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29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1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3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5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7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9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1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38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5"/>
  </w:num>
  <w:num w:numId="2">
    <w:abstractNumId w:val="7"/>
  </w:num>
  <w:num w:numId="3">
    <w:abstractNumId w:val="18"/>
  </w:num>
  <w:num w:numId="4">
    <w:abstractNumId w:val="23"/>
  </w:num>
  <w:num w:numId="5">
    <w:abstractNumId w:val="1"/>
  </w:num>
  <w:num w:numId="6">
    <w:abstractNumId w:val="2"/>
  </w:num>
  <w:num w:numId="7">
    <w:abstractNumId w:val="19"/>
  </w:num>
  <w:num w:numId="8">
    <w:abstractNumId w:val="13"/>
  </w:num>
  <w:num w:numId="9">
    <w:abstractNumId w:val="3"/>
  </w:num>
  <w:num w:numId="10">
    <w:abstractNumId w:val="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1"/>
  </w:num>
  <w:num w:numId="14">
    <w:abstractNumId w:val="7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27"/>
  </w:num>
  <w:num w:numId="17">
    <w:abstractNumId w:val="14"/>
  </w:num>
  <w:num w:numId="18">
    <w:abstractNumId w:val="9"/>
  </w:num>
  <w:num w:numId="19">
    <w:abstractNumId w:val="16"/>
  </w:num>
  <w:num w:numId="20">
    <w:abstractNumId w:val="4"/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20"/>
  </w:num>
  <w:num w:numId="24">
    <w:abstractNumId w:val="25"/>
  </w:num>
  <w:num w:numId="25">
    <w:abstractNumId w:val="5"/>
  </w:num>
  <w:num w:numId="26">
    <w:abstractNumId w:val="17"/>
  </w:num>
  <w:num w:numId="27">
    <w:abstractNumId w:val="26"/>
  </w:num>
  <w:num w:numId="28">
    <w:abstractNumId w:val="28"/>
  </w:num>
  <w:num w:numId="29">
    <w:abstractNumId w:val="24"/>
  </w:num>
  <w:num w:numId="30">
    <w:abstractNumId w:val="8"/>
  </w:num>
  <w:num w:numId="31">
    <w:abstractNumId w:val="2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33"/>
    <w:next w:val="933"/>
    <w:link w:val="7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6">
    <w:name w:val="Heading 1 Char"/>
    <w:link w:val="755"/>
    <w:uiPriority w:val="9"/>
    <w:rPr>
      <w:rFonts w:ascii="Arial" w:hAnsi="Arial" w:eastAsia="Arial" w:cs="Arial"/>
      <w:sz w:val="40"/>
      <w:szCs w:val="40"/>
    </w:rPr>
  </w:style>
  <w:style w:type="paragraph" w:styleId="757">
    <w:name w:val="Heading 2"/>
    <w:basedOn w:val="933"/>
    <w:next w:val="933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8">
    <w:name w:val="Heading 2 Char"/>
    <w:link w:val="757"/>
    <w:uiPriority w:val="9"/>
    <w:rPr>
      <w:rFonts w:ascii="Arial" w:hAnsi="Arial" w:eastAsia="Arial" w:cs="Arial"/>
      <w:sz w:val="34"/>
    </w:rPr>
  </w:style>
  <w:style w:type="paragraph" w:styleId="759">
    <w:name w:val="Heading 3"/>
    <w:basedOn w:val="933"/>
    <w:next w:val="933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0">
    <w:name w:val="Heading 3 Char"/>
    <w:link w:val="759"/>
    <w:uiPriority w:val="9"/>
    <w:rPr>
      <w:rFonts w:ascii="Arial" w:hAnsi="Arial" w:eastAsia="Arial" w:cs="Arial"/>
      <w:sz w:val="30"/>
      <w:szCs w:val="30"/>
    </w:rPr>
  </w:style>
  <w:style w:type="paragraph" w:styleId="761">
    <w:name w:val="Heading 4"/>
    <w:basedOn w:val="933"/>
    <w:next w:val="933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4 Char"/>
    <w:link w:val="761"/>
    <w:uiPriority w:val="9"/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933"/>
    <w:next w:val="933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4">
    <w:name w:val="Heading 5 Char"/>
    <w:link w:val="763"/>
    <w:uiPriority w:val="9"/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933"/>
    <w:next w:val="933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6">
    <w:name w:val="Heading 6 Char"/>
    <w:link w:val="765"/>
    <w:uiPriority w:val="9"/>
    <w:rPr>
      <w:rFonts w:ascii="Arial" w:hAnsi="Arial" w:eastAsia="Arial" w:cs="Arial"/>
      <w:b/>
      <w:bCs/>
      <w:sz w:val="22"/>
      <w:szCs w:val="22"/>
    </w:rPr>
  </w:style>
  <w:style w:type="paragraph" w:styleId="767">
    <w:name w:val="Heading 7"/>
    <w:basedOn w:val="933"/>
    <w:next w:val="933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7 Char"/>
    <w:link w:val="7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933"/>
    <w:next w:val="933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8 Char"/>
    <w:link w:val="769"/>
    <w:uiPriority w:val="9"/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933"/>
    <w:next w:val="933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>
    <w:name w:val="Heading 9 Char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933"/>
    <w:uiPriority w:val="34"/>
    <w:qFormat/>
    <w:pPr>
      <w:contextualSpacing/>
      <w:ind w:left="720"/>
    </w:pPr>
  </w:style>
  <w:style w:type="paragraph" w:styleId="774">
    <w:name w:val="No Spacing"/>
    <w:uiPriority w:val="1"/>
    <w:qFormat/>
    <w:pPr>
      <w:spacing w:before="0" w:after="0" w:line="240" w:lineRule="auto"/>
    </w:pPr>
  </w:style>
  <w:style w:type="paragraph" w:styleId="775">
    <w:name w:val="Title"/>
    <w:basedOn w:val="933"/>
    <w:next w:val="933"/>
    <w:link w:val="7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6">
    <w:name w:val="Title Char"/>
    <w:link w:val="775"/>
    <w:uiPriority w:val="10"/>
    <w:rPr>
      <w:sz w:val="48"/>
      <w:szCs w:val="48"/>
    </w:rPr>
  </w:style>
  <w:style w:type="paragraph" w:styleId="777">
    <w:name w:val="Subtitle"/>
    <w:basedOn w:val="933"/>
    <w:next w:val="933"/>
    <w:link w:val="778"/>
    <w:uiPriority w:val="11"/>
    <w:qFormat/>
    <w:pPr>
      <w:spacing w:before="200" w:after="200"/>
    </w:pPr>
    <w:rPr>
      <w:sz w:val="24"/>
      <w:szCs w:val="24"/>
    </w:rPr>
  </w:style>
  <w:style w:type="character" w:styleId="778">
    <w:name w:val="Subtitle Char"/>
    <w:link w:val="777"/>
    <w:uiPriority w:val="11"/>
    <w:rPr>
      <w:sz w:val="24"/>
      <w:szCs w:val="24"/>
    </w:rPr>
  </w:style>
  <w:style w:type="paragraph" w:styleId="779">
    <w:name w:val="Quote"/>
    <w:basedOn w:val="933"/>
    <w:next w:val="933"/>
    <w:link w:val="780"/>
    <w:uiPriority w:val="29"/>
    <w:qFormat/>
    <w:pPr>
      <w:ind w:left="720" w:right="720"/>
    </w:pPr>
    <w:rPr>
      <w:i/>
    </w:rPr>
  </w:style>
  <w:style w:type="character" w:styleId="780">
    <w:name w:val="Quote Char"/>
    <w:link w:val="779"/>
    <w:uiPriority w:val="29"/>
    <w:rPr>
      <w:i/>
    </w:rPr>
  </w:style>
  <w:style w:type="paragraph" w:styleId="781">
    <w:name w:val="Intense Quote"/>
    <w:basedOn w:val="933"/>
    <w:next w:val="933"/>
    <w:link w:val="7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2">
    <w:name w:val="Intense Quote Char"/>
    <w:link w:val="781"/>
    <w:uiPriority w:val="30"/>
    <w:rPr>
      <w:i/>
    </w:rPr>
  </w:style>
  <w:style w:type="paragraph" w:styleId="783">
    <w:name w:val="Header"/>
    <w:basedOn w:val="933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Header Char"/>
    <w:link w:val="783"/>
    <w:uiPriority w:val="99"/>
  </w:style>
  <w:style w:type="paragraph" w:styleId="785">
    <w:name w:val="Footer"/>
    <w:basedOn w:val="933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6">
    <w:name w:val="Footer Char"/>
    <w:link w:val="785"/>
    <w:uiPriority w:val="99"/>
  </w:style>
  <w:style w:type="paragraph" w:styleId="787">
    <w:name w:val="Caption"/>
    <w:basedOn w:val="933"/>
    <w:next w:val="933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link w:val="787"/>
    <w:uiPriority w:val="35"/>
    <w:rPr>
      <w:b/>
      <w:bCs/>
      <w:color w:val="4f81bd" w:themeColor="accent1"/>
      <w:sz w:val="18"/>
      <w:szCs w:val="18"/>
    </w:rPr>
  </w:style>
  <w:style w:type="table" w:styleId="7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5">
    <w:name w:val="Hyperlink"/>
    <w:uiPriority w:val="99"/>
    <w:unhideWhenUsed/>
    <w:rPr>
      <w:color w:val="0000ff" w:themeColor="hyperlink"/>
      <w:u w:val="single"/>
    </w:rPr>
  </w:style>
  <w:style w:type="paragraph" w:styleId="916">
    <w:name w:val="footnote text"/>
    <w:basedOn w:val="933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>
    <w:name w:val="Footnote Text Char"/>
    <w:link w:val="916"/>
    <w:uiPriority w:val="99"/>
    <w:rPr>
      <w:sz w:val="18"/>
    </w:rPr>
  </w:style>
  <w:style w:type="character" w:styleId="918">
    <w:name w:val="footnote reference"/>
    <w:uiPriority w:val="99"/>
    <w:unhideWhenUsed/>
    <w:rPr>
      <w:vertAlign w:val="superscript"/>
    </w:rPr>
  </w:style>
  <w:style w:type="paragraph" w:styleId="919">
    <w:name w:val="endnote text"/>
    <w:basedOn w:val="933"/>
    <w:link w:val="920"/>
    <w:uiPriority w:val="99"/>
    <w:semiHidden/>
    <w:unhideWhenUsed/>
    <w:pPr>
      <w:spacing w:after="0" w:line="240" w:lineRule="auto"/>
    </w:pPr>
    <w:rPr>
      <w:sz w:val="20"/>
    </w:rPr>
  </w:style>
  <w:style w:type="character" w:styleId="920">
    <w:name w:val="Endnote Text Char"/>
    <w:link w:val="919"/>
    <w:uiPriority w:val="99"/>
    <w:rPr>
      <w:sz w:val="20"/>
    </w:rPr>
  </w:style>
  <w:style w:type="character" w:styleId="921">
    <w:name w:val="endnote reference"/>
    <w:uiPriority w:val="99"/>
    <w:semiHidden/>
    <w:unhideWhenUsed/>
    <w:rPr>
      <w:vertAlign w:val="superscript"/>
    </w:rPr>
  </w:style>
  <w:style w:type="paragraph" w:styleId="922">
    <w:name w:val="toc 1"/>
    <w:basedOn w:val="933"/>
    <w:next w:val="933"/>
    <w:uiPriority w:val="39"/>
    <w:unhideWhenUsed/>
    <w:pPr>
      <w:ind w:left="0" w:right="0" w:firstLine="0"/>
      <w:spacing w:after="57"/>
    </w:pPr>
  </w:style>
  <w:style w:type="paragraph" w:styleId="923">
    <w:name w:val="toc 2"/>
    <w:basedOn w:val="933"/>
    <w:next w:val="933"/>
    <w:uiPriority w:val="39"/>
    <w:unhideWhenUsed/>
    <w:pPr>
      <w:ind w:left="283" w:right="0" w:firstLine="0"/>
      <w:spacing w:after="57"/>
    </w:pPr>
  </w:style>
  <w:style w:type="paragraph" w:styleId="924">
    <w:name w:val="toc 3"/>
    <w:basedOn w:val="933"/>
    <w:next w:val="933"/>
    <w:uiPriority w:val="39"/>
    <w:unhideWhenUsed/>
    <w:pPr>
      <w:ind w:left="567" w:right="0" w:firstLine="0"/>
      <w:spacing w:after="57"/>
    </w:pPr>
  </w:style>
  <w:style w:type="paragraph" w:styleId="925">
    <w:name w:val="toc 4"/>
    <w:basedOn w:val="933"/>
    <w:next w:val="933"/>
    <w:uiPriority w:val="39"/>
    <w:unhideWhenUsed/>
    <w:pPr>
      <w:ind w:left="850" w:right="0" w:firstLine="0"/>
      <w:spacing w:after="57"/>
    </w:pPr>
  </w:style>
  <w:style w:type="paragraph" w:styleId="926">
    <w:name w:val="toc 5"/>
    <w:basedOn w:val="933"/>
    <w:next w:val="933"/>
    <w:uiPriority w:val="39"/>
    <w:unhideWhenUsed/>
    <w:pPr>
      <w:ind w:left="1134" w:right="0" w:firstLine="0"/>
      <w:spacing w:after="57"/>
    </w:pPr>
  </w:style>
  <w:style w:type="paragraph" w:styleId="927">
    <w:name w:val="toc 6"/>
    <w:basedOn w:val="933"/>
    <w:next w:val="933"/>
    <w:uiPriority w:val="39"/>
    <w:unhideWhenUsed/>
    <w:pPr>
      <w:ind w:left="1417" w:right="0" w:firstLine="0"/>
      <w:spacing w:after="57"/>
    </w:pPr>
  </w:style>
  <w:style w:type="paragraph" w:styleId="928">
    <w:name w:val="toc 7"/>
    <w:basedOn w:val="933"/>
    <w:next w:val="933"/>
    <w:uiPriority w:val="39"/>
    <w:unhideWhenUsed/>
    <w:pPr>
      <w:ind w:left="1701" w:right="0" w:firstLine="0"/>
      <w:spacing w:after="57"/>
    </w:pPr>
  </w:style>
  <w:style w:type="paragraph" w:styleId="929">
    <w:name w:val="toc 8"/>
    <w:basedOn w:val="933"/>
    <w:next w:val="933"/>
    <w:uiPriority w:val="39"/>
    <w:unhideWhenUsed/>
    <w:pPr>
      <w:ind w:left="1984" w:right="0" w:firstLine="0"/>
      <w:spacing w:after="57"/>
    </w:pPr>
  </w:style>
  <w:style w:type="paragraph" w:styleId="930">
    <w:name w:val="toc 9"/>
    <w:basedOn w:val="933"/>
    <w:next w:val="933"/>
    <w:uiPriority w:val="39"/>
    <w:unhideWhenUsed/>
    <w:pPr>
      <w:ind w:left="2268" w:right="0" w:firstLine="0"/>
      <w:spacing w:after="57"/>
    </w:pPr>
  </w:style>
  <w:style w:type="paragraph" w:styleId="931">
    <w:name w:val="TOC Heading"/>
    <w:uiPriority w:val="39"/>
    <w:unhideWhenUsed/>
  </w:style>
  <w:style w:type="paragraph" w:styleId="932">
    <w:name w:val="table of figures"/>
    <w:basedOn w:val="933"/>
    <w:next w:val="933"/>
    <w:uiPriority w:val="99"/>
    <w:unhideWhenUsed/>
    <w:pPr>
      <w:spacing w:after="0" w:afterAutospacing="0"/>
    </w:pPr>
  </w:style>
  <w:style w:type="paragraph" w:styleId="933" w:default="1">
    <w:name w:val="Normal"/>
    <w:next w:val="933"/>
    <w:link w:val="933"/>
    <w:qFormat/>
    <w:rPr>
      <w:sz w:val="24"/>
      <w:szCs w:val="24"/>
      <w:lang w:val="ru-RU" w:eastAsia="ru-RU" w:bidi="ar-SA"/>
    </w:rPr>
  </w:style>
  <w:style w:type="paragraph" w:styleId="934">
    <w:name w:val="Заголовок 1,Document Header1,H1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Ðàçäåë"/>
    <w:basedOn w:val="933"/>
    <w:next w:val="933"/>
    <w:link w:val="933"/>
    <w:qFormat/>
    <w:pPr>
      <w:numPr>
        <w:ilvl w:val="0"/>
        <w:numId w:val="1"/>
      </w:numPr>
      <w:keepLines/>
      <w:keepNext/>
      <w:pageBreakBefore/>
      <w:spacing w:before="480" w:after="240"/>
      <w:outlineLvl w:val="0"/>
    </w:pPr>
    <w:rPr>
      <w:rFonts w:ascii="Arial" w:hAnsi="Arial"/>
      <w:b/>
      <w:sz w:val="40"/>
      <w:szCs w:val="20"/>
    </w:rPr>
  </w:style>
  <w:style w:type="paragraph" w:styleId="935">
    <w:name w:val="Заголовок 2,Заголовок 2 Знак,H2,H2 Знак,Заголовок 21,2,h2,Б2,RTC,iz2,Numbered text 3,HD2,heading 2,Heading 2 Hidden,Раздел Знак"/>
    <w:basedOn w:val="933"/>
    <w:next w:val="933"/>
    <w:link w:val="933"/>
    <w:qFormat/>
    <w:pPr>
      <w:numPr>
        <w:ilvl w:val="1"/>
        <w:numId w:val="1"/>
      </w:numPr>
      <w:keepNext/>
      <w:spacing w:before="360" w:after="120"/>
      <w:outlineLvl w:val="1"/>
    </w:pPr>
    <w:rPr>
      <w:b/>
      <w:sz w:val="32"/>
      <w:szCs w:val="20"/>
    </w:rPr>
  </w:style>
  <w:style w:type="paragraph" w:styleId="936">
    <w:name w:val="Заголовок 3"/>
    <w:basedOn w:val="933"/>
    <w:next w:val="933"/>
    <w:link w:val="974"/>
    <w:uiPriority w:val="99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character" w:styleId="937">
    <w:name w:val="Основной шрифт абзаца, Знак2"/>
    <w:next w:val="937"/>
    <w:link w:val="933"/>
    <w:semiHidden/>
  </w:style>
  <w:style w:type="table" w:styleId="938">
    <w:name w:val="Обычная таблица"/>
    <w:next w:val="938"/>
    <w:link w:val="933"/>
    <w:semiHidden/>
    <w:tblPr/>
  </w:style>
  <w:style w:type="numbering" w:styleId="939">
    <w:name w:val="Нет списка"/>
    <w:next w:val="939"/>
    <w:link w:val="933"/>
    <w:semiHidden/>
  </w:style>
  <w:style w:type="character" w:styleId="940">
    <w:name w:val="Гиперссылка"/>
    <w:next w:val="940"/>
    <w:link w:val="933"/>
    <w:uiPriority w:val="99"/>
    <w:rPr>
      <w:color w:val="336699"/>
      <w:u w:val="none"/>
    </w:rPr>
  </w:style>
  <w:style w:type="character" w:styleId="941">
    <w:name w:val="Просмотренная гиперссылка"/>
    <w:next w:val="941"/>
    <w:link w:val="933"/>
    <w:rPr>
      <w:color w:val="800080"/>
      <w:u w:val="single"/>
    </w:rPr>
  </w:style>
  <w:style w:type="paragraph" w:styleId="942">
    <w:name w:val="Пункт"/>
    <w:basedOn w:val="933"/>
    <w:next w:val="942"/>
    <w:link w:val="933"/>
    <w:pPr>
      <w:numPr>
        <w:ilvl w:val="2"/>
        <w:numId w:val="1"/>
      </w:numPr>
      <w:jc w:val="both"/>
      <w:spacing w:line="360" w:lineRule="auto"/>
    </w:pPr>
    <w:rPr>
      <w:sz w:val="28"/>
      <w:szCs w:val="20"/>
    </w:rPr>
  </w:style>
  <w:style w:type="paragraph" w:styleId="943">
    <w:name w:val="Подпункт"/>
    <w:basedOn w:val="942"/>
    <w:next w:val="943"/>
    <w:link w:val="933"/>
    <w:pPr>
      <w:numPr>
        <w:ilvl w:val="3"/>
        <w:numId w:val="1"/>
      </w:numPr>
    </w:pPr>
  </w:style>
  <w:style w:type="paragraph" w:styleId="944">
    <w:name w:val="Подподпункт"/>
    <w:basedOn w:val="943"/>
    <w:next w:val="944"/>
    <w:link w:val="933"/>
    <w:pPr>
      <w:numPr>
        <w:ilvl w:val="4"/>
        <w:numId w:val="1"/>
      </w:numPr>
    </w:pPr>
  </w:style>
  <w:style w:type="character" w:styleId="945">
    <w:name w:val="Основной текст Знак"/>
    <w:next w:val="945"/>
    <w:link w:val="978"/>
    <w:uiPriority w:val="99"/>
    <w:rPr>
      <w:sz w:val="28"/>
      <w:szCs w:val="28"/>
      <w:lang w:val="ru-RU" w:eastAsia="ru-RU"/>
    </w:rPr>
  </w:style>
  <w:style w:type="paragraph" w:styleId="946">
    <w:name w:val="Нижний колонтитул"/>
    <w:basedOn w:val="933"/>
    <w:next w:val="946"/>
    <w:link w:val="933"/>
    <w:pPr>
      <w:tabs>
        <w:tab w:val="center" w:pos="4677" w:leader="none"/>
        <w:tab w:val="right" w:pos="9355" w:leader="none"/>
      </w:tabs>
    </w:pPr>
  </w:style>
  <w:style w:type="character" w:styleId="947">
    <w:name w:val="Номер страницы"/>
    <w:basedOn w:val="937"/>
    <w:next w:val="947"/>
    <w:link w:val="933"/>
  </w:style>
  <w:style w:type="paragraph" w:styleId="948">
    <w:name w:val="3"/>
    <w:basedOn w:val="933"/>
    <w:next w:val="948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49">
    <w:name w:val=" Знак"/>
    <w:basedOn w:val="933"/>
    <w:next w:val="949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0">
    <w:name w:val=" Знак1"/>
    <w:basedOn w:val="933"/>
    <w:next w:val="950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1">
    <w:name w:val=" Знак Знак Знак Знак Знак"/>
    <w:basedOn w:val="933"/>
    <w:next w:val="951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2">
    <w:name w:val=" Знак Знак Знак1 Знак Знак"/>
    <w:basedOn w:val="933"/>
    <w:next w:val="952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3">
    <w:name w:val=" Знак Знак Знак Знак Знак Знак"/>
    <w:basedOn w:val="933"/>
    <w:next w:val="953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4">
    <w:name w:val="Нумерованный список"/>
    <w:basedOn w:val="933"/>
    <w:next w:val="954"/>
    <w:link w:val="933"/>
    <w:pPr>
      <w:jc w:val="both"/>
      <w:spacing w:before="60" w:line="360" w:lineRule="auto"/>
    </w:pPr>
    <w:rPr>
      <w:sz w:val="28"/>
    </w:rPr>
  </w:style>
  <w:style w:type="paragraph" w:styleId="955">
    <w:name w:val="Верхний колонтитул"/>
    <w:basedOn w:val="933"/>
    <w:next w:val="955"/>
    <w:link w:val="933"/>
    <w:pPr>
      <w:tabs>
        <w:tab w:val="center" w:pos="4677" w:leader="none"/>
        <w:tab w:val="right" w:pos="9355" w:leader="none"/>
      </w:tabs>
    </w:pPr>
  </w:style>
  <w:style w:type="paragraph" w:styleId="956">
    <w:name w:val="Стиль1 Знак"/>
    <w:basedOn w:val="943"/>
    <w:next w:val="956"/>
    <w:link w:val="957"/>
    <w:pPr>
      <w:numPr>
        <w:ilvl w:val="0"/>
        <w:numId w:val="0"/>
      </w:numPr>
      <w:spacing w:line="240" w:lineRule="auto"/>
    </w:pPr>
    <w:rPr>
      <w:szCs w:val="28"/>
    </w:rPr>
  </w:style>
  <w:style w:type="character" w:styleId="957">
    <w:name w:val="Стиль1 Знак Знак"/>
    <w:next w:val="957"/>
    <w:link w:val="956"/>
    <w:rPr>
      <w:sz w:val="28"/>
      <w:szCs w:val="28"/>
      <w:lang w:val="ru-RU" w:eastAsia="ru-RU" w:bidi="ar-SA"/>
    </w:rPr>
  </w:style>
  <w:style w:type="paragraph" w:styleId="958">
    <w:name w:val="Стиль1"/>
    <w:basedOn w:val="943"/>
    <w:next w:val="958"/>
    <w:link w:val="933"/>
    <w:pPr>
      <w:numPr>
        <w:ilvl w:val="0"/>
        <w:numId w:val="0"/>
      </w:numPr>
      <w:spacing w:line="240" w:lineRule="auto"/>
    </w:pPr>
    <w:rPr>
      <w:szCs w:val="28"/>
    </w:rPr>
  </w:style>
  <w:style w:type="character" w:styleId="959">
    <w:name w:val="заменить"/>
    <w:next w:val="959"/>
    <w:link w:val="933"/>
    <w:rPr>
      <w:i/>
      <w:u w:val="none"/>
      <w:shd w:val="clear" w:color="auto" w:fill="ffcc99"/>
    </w:rPr>
  </w:style>
  <w:style w:type="paragraph" w:styleId="960">
    <w:name w:val="Служебный"/>
    <w:basedOn w:val="933"/>
    <w:next w:val="960"/>
    <w:link w:val="933"/>
    <w:semiHidden/>
    <w:pPr>
      <w:pageBreakBefore/>
      <w:spacing w:before="480" w:after="240"/>
      <w:tabs>
        <w:tab w:val="left" w:pos="851" w:leader="none"/>
      </w:tabs>
      <w:outlineLvl w:val="0"/>
    </w:pPr>
    <w:rPr>
      <w:rFonts w:ascii="Arial" w:hAnsi="Arial" w:cs="Arial"/>
      <w:b/>
      <w:bCs/>
      <w:sz w:val="36"/>
      <w:szCs w:val="36"/>
    </w:rPr>
  </w:style>
  <w:style w:type="paragraph" w:styleId="961">
    <w:name w:val="ConsPlusNormal"/>
    <w:next w:val="961"/>
    <w:link w:val="933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62">
    <w:name w:val="Схема документа"/>
    <w:basedOn w:val="933"/>
    <w:next w:val="962"/>
    <w:link w:val="933"/>
    <w:semiHidden/>
    <w:pPr>
      <w:shd w:val="clear" w:color="auto" w:fill="000080"/>
    </w:pPr>
    <w:rPr>
      <w:rFonts w:ascii="Tahoma" w:hAnsi="Tahoma" w:cs="Tahoma"/>
    </w:rPr>
  </w:style>
  <w:style w:type="paragraph" w:styleId="963">
    <w:name w:val="Обычный (веб)"/>
    <w:basedOn w:val="933"/>
    <w:next w:val="963"/>
    <w:link w:val="933"/>
    <w:pPr>
      <w:spacing w:before="100" w:beforeAutospacing="1" w:after="100" w:afterAutospacing="1"/>
    </w:pPr>
  </w:style>
  <w:style w:type="character" w:styleId="964">
    <w:name w:val="Выделение"/>
    <w:next w:val="964"/>
    <w:link w:val="933"/>
    <w:qFormat/>
    <w:rPr>
      <w:i/>
      <w:iCs/>
    </w:rPr>
  </w:style>
  <w:style w:type="paragraph" w:styleId="965">
    <w:name w:val="Текст выноски"/>
    <w:basedOn w:val="933"/>
    <w:next w:val="965"/>
    <w:link w:val="933"/>
    <w:semiHidden/>
    <w:rPr>
      <w:rFonts w:ascii="Tahoma" w:hAnsi="Tahoma" w:cs="Tahoma"/>
      <w:sz w:val="16"/>
      <w:szCs w:val="16"/>
    </w:rPr>
  </w:style>
  <w:style w:type="paragraph" w:styleId="966">
    <w:name w:val="1 Знак"/>
    <w:basedOn w:val="933"/>
    <w:next w:val="966"/>
    <w:link w:val="9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7">
    <w:name w:val="Знак"/>
    <w:basedOn w:val="933"/>
    <w:next w:val="967"/>
    <w:link w:val="937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8">
    <w:name w:val="1"/>
    <w:basedOn w:val="933"/>
    <w:next w:val="968"/>
    <w:link w:val="933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9">
    <w:name w:val="Заголовок_1"/>
    <w:basedOn w:val="933"/>
    <w:next w:val="969"/>
    <w:link w:val="933"/>
    <w:uiPriority w:val="99"/>
    <w:pPr>
      <w:numPr>
        <w:ilvl w:val="0"/>
        <w:numId w:val="16"/>
      </w:numPr>
      <w:jc w:val="center"/>
      <w:keepLines/>
      <w:keepNext/>
      <w:spacing w:before="360" w:after="120"/>
      <w:outlineLvl w:val="0"/>
    </w:pPr>
    <w:rPr>
      <w:rFonts w:ascii="Arial" w:hAnsi="Arial" w:cs="Arial"/>
      <w:b/>
      <w:bCs/>
      <w:caps/>
      <w:sz w:val="36"/>
      <w:szCs w:val="28"/>
    </w:rPr>
  </w:style>
  <w:style w:type="paragraph" w:styleId="970">
    <w:name w:val="Пункт_3"/>
    <w:basedOn w:val="933"/>
    <w:next w:val="970"/>
    <w:link w:val="933"/>
    <w:uiPriority w:val="99"/>
    <w:pPr>
      <w:numPr>
        <w:ilvl w:val="2"/>
        <w:numId w:val="16"/>
      </w:numPr>
      <w:jc w:val="both"/>
    </w:pPr>
    <w:rPr>
      <w:sz w:val="28"/>
      <w:szCs w:val="28"/>
    </w:rPr>
  </w:style>
  <w:style w:type="paragraph" w:styleId="971">
    <w:name w:val="Пункт_2"/>
    <w:basedOn w:val="933"/>
    <w:next w:val="971"/>
    <w:link w:val="933"/>
    <w:uiPriority w:val="99"/>
    <w:pPr>
      <w:numPr>
        <w:ilvl w:val="1"/>
        <w:numId w:val="16"/>
      </w:numPr>
      <w:jc w:val="both"/>
    </w:pPr>
    <w:rPr>
      <w:sz w:val="28"/>
      <w:szCs w:val="20"/>
    </w:rPr>
  </w:style>
  <w:style w:type="paragraph" w:styleId="972">
    <w:name w:val="Пункт_5"/>
    <w:basedOn w:val="970"/>
    <w:next w:val="972"/>
    <w:link w:val="933"/>
    <w:uiPriority w:val="99"/>
    <w:pPr>
      <w:numPr>
        <w:ilvl w:val="4"/>
        <w:numId w:val="16"/>
      </w:numPr>
    </w:pPr>
  </w:style>
  <w:style w:type="paragraph" w:styleId="973">
    <w:name w:val="Default"/>
    <w:next w:val="973"/>
    <w:link w:val="982"/>
    <w:rPr>
      <w:color w:val="000000"/>
      <w:sz w:val="24"/>
      <w:szCs w:val="24"/>
      <w:lang w:val="ru-RU" w:eastAsia="ru-RU" w:bidi="ar-SA"/>
    </w:rPr>
  </w:style>
  <w:style w:type="character" w:styleId="974">
    <w:name w:val="Заголовок 3 Знак"/>
    <w:next w:val="974"/>
    <w:link w:val="936"/>
    <w:uiPriority w:val="99"/>
    <w:rPr>
      <w:rFonts w:ascii="Arial" w:hAnsi="Arial" w:cs="Arial"/>
      <w:b/>
      <w:bCs/>
      <w:sz w:val="26"/>
      <w:szCs w:val="26"/>
    </w:rPr>
  </w:style>
  <w:style w:type="paragraph" w:styleId="975">
    <w:name w:val="Абзац списка,Маркер,List Paragraph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Абзац маркированнный"/>
    <w:basedOn w:val="933"/>
    <w:next w:val="975"/>
    <w:link w:val="976"/>
    <w:uiPriority w:val="34"/>
    <w:qFormat/>
    <w:pPr>
      <w:ind w:left="720"/>
    </w:pPr>
    <w:rPr>
      <w:lang w:val="en-US" w:eastAsia="en-US"/>
    </w:rPr>
  </w:style>
  <w:style w:type="character" w:styleId="976">
    <w:name w:val="Абзац списка Знак,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"/>
    <w:next w:val="976"/>
    <w:link w:val="975"/>
    <w:uiPriority w:val="34"/>
    <w:qFormat/>
    <w:rPr>
      <w:sz w:val="24"/>
      <w:szCs w:val="24"/>
    </w:rPr>
  </w:style>
  <w:style w:type="character" w:styleId="977">
    <w:name w:val="Неразрешенное упоминание"/>
    <w:next w:val="977"/>
    <w:link w:val="933"/>
    <w:uiPriority w:val="99"/>
    <w:semiHidden/>
    <w:unhideWhenUsed/>
    <w:rPr>
      <w:color w:val="605e5c"/>
      <w:shd w:val="clear" w:color="auto" w:fill="e1dfdd"/>
    </w:rPr>
  </w:style>
  <w:style w:type="paragraph" w:styleId="978">
    <w:name w:val="Основной текст"/>
    <w:basedOn w:val="933"/>
    <w:next w:val="978"/>
    <w:link w:val="945"/>
    <w:uiPriority w:val="99"/>
    <w:pPr>
      <w:jc w:val="both"/>
      <w:spacing w:after="120"/>
    </w:pPr>
    <w:rPr>
      <w:sz w:val="28"/>
      <w:szCs w:val="28"/>
    </w:rPr>
  </w:style>
  <w:style w:type="character" w:styleId="979">
    <w:name w:val="Основной текст Знак1"/>
    <w:next w:val="979"/>
    <w:link w:val="933"/>
    <w:rPr>
      <w:sz w:val="24"/>
      <w:szCs w:val="24"/>
    </w:rPr>
  </w:style>
  <w:style w:type="paragraph" w:styleId="980">
    <w:name w:val="Основной текст с отступом 3"/>
    <w:basedOn w:val="933"/>
    <w:next w:val="980"/>
    <w:link w:val="981"/>
    <w:pPr>
      <w:ind w:left="283"/>
      <w:spacing w:after="120"/>
    </w:pPr>
    <w:rPr>
      <w:sz w:val="16"/>
      <w:szCs w:val="16"/>
      <w:lang w:val="en-US" w:eastAsia="en-US"/>
    </w:rPr>
  </w:style>
  <w:style w:type="character" w:styleId="981">
    <w:name w:val="Основной текст с отступом 3 Знак"/>
    <w:next w:val="981"/>
    <w:link w:val="980"/>
    <w:rPr>
      <w:sz w:val="16"/>
      <w:szCs w:val="16"/>
    </w:rPr>
  </w:style>
  <w:style w:type="character" w:styleId="982">
    <w:name w:val="Default Знак"/>
    <w:next w:val="982"/>
    <w:link w:val="973"/>
    <w:rPr>
      <w:color w:val="000000"/>
      <w:sz w:val="24"/>
      <w:szCs w:val="24"/>
      <w:lang w:bidi="ar-SA"/>
    </w:rPr>
  </w:style>
  <w:style w:type="character" w:styleId="983">
    <w:name w:val="Font Style13"/>
    <w:next w:val="983"/>
    <w:link w:val="933"/>
    <w:uiPriority w:val="99"/>
    <w:rPr>
      <w:rFonts w:ascii="Times New Roman" w:hAnsi="Times New Roman" w:cs="Times New Roman"/>
      <w:sz w:val="24"/>
      <w:szCs w:val="24"/>
    </w:rPr>
  </w:style>
  <w:style w:type="paragraph" w:styleId="984">
    <w:name w:val="Оглавление 1"/>
    <w:basedOn w:val="933"/>
    <w:next w:val="933"/>
    <w:link w:val="933"/>
    <w:uiPriority w:val="39"/>
    <w:pPr>
      <w:spacing w:before="120" w:after="120"/>
      <w:tabs>
        <w:tab w:val="left" w:pos="480" w:leader="none"/>
        <w:tab w:val="left" w:pos="720" w:leader="none"/>
        <w:tab w:val="right" w:pos="10196" w:leader="dot"/>
      </w:tabs>
    </w:pPr>
    <w:rPr>
      <w:b/>
      <w:bCs/>
      <w:caps/>
      <w:sz w:val="20"/>
      <w:szCs w:val="20"/>
    </w:rPr>
  </w:style>
  <w:style w:type="character" w:styleId="985" w:default="1">
    <w:name w:val="Default Paragraph Font"/>
    <w:uiPriority w:val="1"/>
    <w:semiHidden/>
    <w:unhideWhenUsed/>
  </w:style>
  <w:style w:type="numbering" w:styleId="986" w:default="1">
    <w:name w:val="No List"/>
    <w:uiPriority w:val="99"/>
    <w:semiHidden/>
    <w:unhideWhenUsed/>
  </w:style>
  <w:style w:type="table" w:styleId="98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mailto:earhangelyskaya@kolenergo.ru" TargetMode="External"/><Relationship Id="rId12" Type="http://schemas.openxmlformats.org/officeDocument/2006/relationships/hyperlink" Target="mailto:omnacharov@kolenergo.ru" TargetMode="External"/><Relationship Id="rId13" Type="http://schemas.openxmlformats.org/officeDocument/2006/relationships/hyperlink" Target="https://www.consultant.ru/document/cons_doc_LAW_116964/fddec0f5c16a67f6fca41f9e31dfb0dcc72cc49a/" TargetMode="External"/><Relationship Id="rId14" Type="http://schemas.openxmlformats.org/officeDocument/2006/relationships/hyperlink" Target="https://zakupki.gov.ru/epz/main/public/home.html" TargetMode="External"/><Relationship Id="rId15" Type="http://schemas.openxmlformats.org/officeDocument/2006/relationships/hyperlink" Target="https://www.consultant.ru/document/cons_doc_LAW_494318/92d969e26a4326c5d02fa79b8f9cf4994ee5633b/" TargetMode="External"/><Relationship Id="rId16" Type="http://schemas.openxmlformats.org/officeDocument/2006/relationships/hyperlink" Target="https://www.consultant.ru/document/cons_doc_LAW_494318/92d969e26a4326c5d02fa79b8f9cf4994ee5633b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ОАО "МРСК Северо-Запада"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конкурса</dc:title>
  <dc:creator>Борисов Юрий Александрович</dc:creator>
  <cp:lastModifiedBy>kolu1025</cp:lastModifiedBy>
  <cp:revision>54</cp:revision>
  <dcterms:created xsi:type="dcterms:W3CDTF">2023-07-17T11:33:00Z</dcterms:created>
  <dcterms:modified xsi:type="dcterms:W3CDTF">2026-10-08T10:56:42Z</dcterms:modified>
  <cp:version>917504</cp:version>
</cp:coreProperties>
</file>