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pPr w:horzAnchor="margin" w:tblpXSpec="center" w:vertAnchor="page" w:tblpY="710" w:leftFromText="180" w:topFromText="0" w:rightFromText="180" w:bottomFromText="0"/>
        <w:tblW w:w="988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3510"/>
        <w:gridCol w:w="6379"/>
      </w:tblGrid>
      <w:tr>
        <w:tblPrEx/>
        <w:trPr>
          <w:trHeight w:val="1418"/>
        </w:trPr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9889" w:type="dxa"/>
            <w:textDirection w:val="lrTb"/>
            <w:noWrap w:val="false"/>
          </w:tcPr>
          <w:p>
            <w:pPr>
              <w:jc w:val="center"/>
            </w:pPr>
            <w:r>
              <w:t xml:space="preserve">ИЗВЕЩЕНИЕ</w:t>
            </w:r>
            <w:r/>
          </w:p>
          <w:p>
            <w:pPr>
              <w:jc w:val="center"/>
            </w:pPr>
            <w:r>
              <w:t xml:space="preserve">о проведении конкурса в электронной форме</w:t>
            </w:r>
            <w:r/>
          </w:p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jc w:val="center"/>
            </w:pPr>
            <w:r>
              <w:t xml:space="preserve">Публичное акционерное общество «Россети Ленэнерго» (далее - ПАО «Россети Ленэнерго», Заказчик), являющееся также Организатором закупки, настоящим приглашает к участию в конкурсе в электронной форме (далее – конкурс, закупка)</w:t>
            </w:r>
            <w:r/>
          </w:p>
          <w:p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513"/>
        </w:trPr>
        <w:tc>
          <w:tcPr>
            <w:tcBorders>
              <w:top w:val="single" w:color="000000" w:sz="4" w:space="0"/>
            </w:tcBorders>
            <w:tcW w:w="3510" w:type="dxa"/>
            <w:vAlign w:val="center"/>
            <w:textDirection w:val="lrTb"/>
            <w:noWrap w:val="false"/>
          </w:tcPr>
          <w:p>
            <w:r>
              <w:t xml:space="preserve">Способ осуществления закупки</w:t>
            </w:r>
            <w:r/>
          </w:p>
        </w:tc>
        <w:tc>
          <w:tcPr>
            <w:tcBorders>
              <w:top w:val="single" w:color="000000" w:sz="4" w:space="0"/>
            </w:tcBorders>
            <w:tcW w:w="6379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Конкурс  в электронной форме </w:t>
            </w:r>
            <w:r/>
          </w:p>
        </w:tc>
      </w:tr>
      <w:tr>
        <w:tblPrEx/>
        <w:trPr>
          <w:trHeight w:val="2830"/>
        </w:trPr>
        <w:tc>
          <w:tcPr>
            <w:tcBorders>
              <w:top w:val="single" w:color="000000" w:sz="4" w:space="0"/>
            </w:tcBorders>
            <w:tcW w:w="3510" w:type="dxa"/>
            <w:vAlign w:val="center"/>
            <w:textDirection w:val="lrTb"/>
            <w:noWrap w:val="false"/>
          </w:tcPr>
          <w:p>
            <w:r>
              <w:t xml:space="preserve">Наименование, место нахождения, почтовый адрес, адрес электронной почты, номер контактного телефона Заказчика</w:t>
            </w:r>
            <w:r/>
          </w:p>
        </w:tc>
        <w:tc>
          <w:tcPr>
            <w:tcBorders>
              <w:top w:val="single" w:color="000000" w:sz="4" w:space="0"/>
            </w:tcBorders>
            <w:tcW w:w="6379" w:type="dxa"/>
            <w:vAlign w:val="center"/>
            <w:textDirection w:val="lrTb"/>
            <w:noWrap w:val="false"/>
          </w:tcPr>
          <w:p>
            <w:r>
              <w:t xml:space="preserve">Наименование Заказчика: ПАО «Россети Ленэнерго»</w:t>
            </w:r>
            <w:r/>
          </w:p>
          <w:p>
            <w:r>
              <w:t xml:space="preserve">Место нахождения и почтовый адрес Заказчика: 197349, г. Санкт-Петербург, вн. тер. г. Муниципальный округ озеро Долгое, ул. Гаккелевская, д. 21, лит. А.</w:t>
            </w:r>
            <w:r/>
          </w:p>
          <w:p>
            <w:r>
              <w:t xml:space="preserve">Контактное лицо Заказчика: </w:t>
            </w:r>
            <w:r/>
          </w:p>
          <w:p>
            <w:r>
              <w:t xml:space="preserve">Главный специалист отдела подготовки и проведения конкурсов Салей Анастасия Олеговна, тел. (812) 493-93-45, </w:t>
            </w:r>
            <w:r>
              <w:rPr>
                <w:lang w:val="en-US"/>
              </w:rPr>
              <w:t xml:space="preserve">E</w:t>
            </w:r>
            <w:r>
              <w:t xml:space="preserve">-</w:t>
            </w:r>
            <w:r>
              <w:rPr>
                <w:lang w:val="en-US"/>
              </w:rPr>
              <w:t xml:space="preserve">mail</w:t>
            </w:r>
            <w:r>
              <w:t xml:space="preserve">: </w:t>
            </w:r>
            <w:hyperlink r:id="rId10" w:tooltip="mailto:Salei.AO@lenenergo.ru" w:history="1">
              <w:r>
                <w:rPr>
                  <w:rStyle w:val="851"/>
                  <w:lang w:val="en-US"/>
                </w:rPr>
                <w:t xml:space="preserve">Salei</w:t>
              </w:r>
              <w:r>
                <w:rPr>
                  <w:rStyle w:val="851"/>
                </w:rPr>
                <w:t xml:space="preserve">.</w:t>
              </w:r>
              <w:r>
                <w:rPr>
                  <w:rStyle w:val="851"/>
                  <w:lang w:val="en-US"/>
                </w:rPr>
                <w:t xml:space="preserve">AO</w:t>
              </w:r>
              <w:r>
                <w:rPr>
                  <w:rStyle w:val="851"/>
                </w:rPr>
                <w:t xml:space="preserve">@</w:t>
              </w:r>
              <w:r>
                <w:rPr>
                  <w:rStyle w:val="851"/>
                  <w:lang w:val="en-US"/>
                </w:rPr>
                <w:t xml:space="preserve">lenenergo</w:t>
              </w:r>
              <w:r>
                <w:rPr>
                  <w:rStyle w:val="851"/>
                </w:rPr>
                <w:t xml:space="preserve">.</w:t>
              </w:r>
              <w:r>
                <w:rPr>
                  <w:rStyle w:val="851"/>
                  <w:lang w:val="en-US"/>
                </w:rPr>
                <w:t xml:space="preserve">ru</w:t>
              </w:r>
            </w:hyperlink>
            <w:r>
              <w:t xml:space="preserve">;</w:t>
            </w:r>
            <w:r/>
            <w:r/>
          </w:p>
          <w:p>
            <w:pPr>
              <w:tabs>
                <w:tab w:val="left" w:pos="851" w:leader="none"/>
                <w:tab w:val="left" w:pos="1134" w:leader="none"/>
              </w:tabs>
            </w:pPr>
            <w:r>
              <w:t xml:space="preserve">Начальник отдела подготовки и проведения конкурсов Парфенов Николай Николаевич, тел. (812) 494-32-93,</w:t>
            </w:r>
            <w:r>
              <w:rPr>
                <w:lang w:val="en-US"/>
              </w:rPr>
              <w:t xml:space="preserve"> E</w:t>
            </w:r>
            <w:r>
              <w:t xml:space="preserve">-</w:t>
            </w:r>
            <w:r>
              <w:rPr>
                <w:lang w:val="en-US"/>
              </w:rPr>
              <w:t xml:space="preserve">mail</w:t>
            </w:r>
            <w:r>
              <w:t xml:space="preserve">: </w:t>
            </w:r>
            <w:hyperlink r:id="rId11" w:tooltip="mailto:Parfenov.NN@lenenergo.ru" w:history="1">
              <w:r>
                <w:rPr>
                  <w:rStyle w:val="851"/>
                </w:rPr>
                <w:t xml:space="preserve">Parfenov.NN@</w:t>
              </w:r>
              <w:r>
                <w:rPr>
                  <w:rStyle w:val="851"/>
                  <w:lang w:val="en-US"/>
                </w:rPr>
                <w:t xml:space="preserve">len</w:t>
              </w:r>
              <w:r>
                <w:rPr>
                  <w:rStyle w:val="851"/>
                </w:rPr>
                <w:t xml:space="preserve">energo.</w:t>
              </w:r>
              <w:r>
                <w:rPr>
                  <w:rStyle w:val="851"/>
                  <w:lang w:val="en-US"/>
                </w:rPr>
                <w:t xml:space="preserve">ru</w:t>
              </w:r>
            </w:hyperlink>
            <w:r/>
            <w:r/>
            <w:r/>
          </w:p>
        </w:tc>
      </w:tr>
      <w:tr>
        <w:tblPrEx/>
        <w:trPr>
          <w:trHeight w:val="0"/>
        </w:trPr>
        <w:tc>
          <w:tcPr>
            <w:tcW w:w="3510" w:type="dxa"/>
            <w:vAlign w:val="center"/>
            <w:textDirection w:val="lrTb"/>
            <w:noWrap w:val="false"/>
          </w:tcPr>
          <w:p>
            <w:r>
              <w:t xml:space="preserve">Номер закупки в Плане закупки</w:t>
            </w:r>
            <w:r/>
          </w:p>
        </w:tc>
        <w:tc>
          <w:tcPr>
            <w:tcW w:w="6379" w:type="dxa"/>
            <w:vAlign w:val="center"/>
            <w:textDirection w:val="lrTb"/>
            <w:noWrap w:val="false"/>
          </w:tcPr>
          <w:p>
            <w:r>
              <w:t xml:space="preserve">261</w:t>
            </w:r>
            <w:r>
              <w:t xml:space="preserve">679</w:t>
            </w:r>
            <w:r/>
          </w:p>
        </w:tc>
      </w:tr>
      <w:tr>
        <w:tblPrEx/>
        <w:trPr>
          <w:trHeight w:val="1613"/>
        </w:trPr>
        <w:tc>
          <w:tcPr>
            <w:tcW w:w="3510" w:type="dxa"/>
            <w:vAlign w:val="center"/>
            <w:textDirection w:val="lrTb"/>
            <w:noWrap w:val="false"/>
          </w:tcPr>
          <w:p>
            <w:r>
              <w:t xml:space="preserve">Предмет договора с указанием объема оказываемой услуги</w:t>
            </w:r>
            <w:r/>
          </w:p>
        </w:tc>
        <w:tc>
          <w:tcPr>
            <w:tcW w:w="6379" w:type="dxa"/>
            <w:vAlign w:val="center"/>
            <w:textDirection w:val="lrTb"/>
            <w:noWrap w:val="false"/>
          </w:tcPr>
          <w:p>
            <w:pPr>
              <w:keepLines/>
              <w:keepNext/>
              <w:widowControl w:val="off"/>
              <w:rPr>
                <w:b/>
              </w:rPr>
              <w:suppressLineNumbers/>
            </w:pPr>
            <w:r>
              <w:rPr>
                <w:b/>
              </w:rPr>
            </w:r>
            <w:r>
              <w:rPr>
                <w:b/>
              </w:rPr>
              <w:t xml:space="preserve">Оказание услуг по доработке систем на базе ПО "1С:Предприятие 8" (261679)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r/>
            <w:r/>
          </w:p>
          <w:p>
            <w:pPr>
              <w:jc w:val="both"/>
            </w:pPr>
            <w:r>
              <w:t xml:space="preserve">Более подробно информация об объеме оказываемых услуг, определены Техническом задании (Раздел №</w:t>
            </w:r>
            <w:r>
              <w:rPr>
                <w:lang w:val="en-US"/>
              </w:rPr>
              <w:t xml:space="preserve">V</w:t>
            </w:r>
            <w:r>
              <w:t xml:space="preserve"> к документации о закупке) и/или Проекте договора (Раздел №</w:t>
            </w:r>
            <w:r>
              <w:rPr>
                <w:lang w:val="en-US"/>
              </w:rPr>
              <w:t xml:space="preserve">IV</w:t>
            </w:r>
            <w:r>
              <w:t xml:space="preserve"> к документации о закупке).</w:t>
            </w:r>
            <w:r/>
          </w:p>
        </w:tc>
      </w:tr>
      <w:tr>
        <w:tblPrEx/>
        <w:trPr>
          <w:trHeight w:val="0"/>
        </w:trPr>
        <w:tc>
          <w:tcPr>
            <w:tcW w:w="3510" w:type="dxa"/>
            <w:vAlign w:val="center"/>
            <w:textDirection w:val="lrTb"/>
            <w:noWrap w:val="false"/>
          </w:tcPr>
          <w:p>
            <w:r>
              <w:t xml:space="preserve">Краткое описание</w:t>
            </w:r>
            <w:r/>
          </w:p>
        </w:tc>
        <w:tc>
          <w:tcPr>
            <w:tcW w:w="6379" w:type="dxa"/>
            <w:vAlign w:val="center"/>
            <w:textDirection w:val="lrTb"/>
            <w:noWrap w:val="false"/>
          </w:tcPr>
          <w:p>
            <w:pPr>
              <w:jc w:val="both"/>
            </w:pPr>
            <w:r/>
            <w:r>
              <w:t xml:space="preserve">Оказание услуг по доработке систем на базе ПО "1С:Предприятие 8"</w:t>
            </w:r>
            <w:r/>
            <w:r/>
          </w:p>
        </w:tc>
      </w:tr>
      <w:tr>
        <w:tblPrEx/>
        <w:trPr>
          <w:trHeight w:val="5815"/>
        </w:trPr>
        <w:tc>
          <w:tcPr>
            <w:tcW w:w="3510" w:type="dxa"/>
            <w:vAlign w:val="center"/>
            <w:textDirection w:val="lrTb"/>
            <w:noWrap w:val="false"/>
          </w:tcPr>
          <w:p>
            <w:r>
              <w:t xml:space="preserve">Сведения о начальной (максимальной) цене договора (цена закупки),  конкретный размер начальной (максимальной) цены договора, либо формула цены, указание максимального значения цены договора, либо цены единицы услуги и максимального значения цены договора</w:t>
            </w:r>
            <w:r/>
          </w:p>
        </w:tc>
        <w:tc>
          <w:tcPr>
            <w:tcW w:w="6379" w:type="dxa"/>
            <w:textDirection w:val="lrTb"/>
            <w:noWrap w:val="false"/>
          </w:tcPr>
          <w:p>
            <w:r>
              <w:t xml:space="preserve">Начальная (максимальная) цена договора (цена закупки):</w:t>
            </w:r>
            <w:r/>
          </w:p>
          <w:p>
            <w:r/>
            <w:r/>
          </w:p>
          <w:p>
            <w:pPr>
              <w:rPr>
                <w:b/>
              </w:rPr>
            </w:pPr>
            <w:r>
              <w:rPr>
                <w:b/>
              </w:rPr>
              <w:t xml:space="preserve">153 720 000,00 руб. c НДС;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r>
              <w:t xml:space="preserve">27 720 000,00</w:t>
            </w:r>
            <w:r>
              <w:t xml:space="preserve"> руб. НДС-22%;</w:t>
            </w:r>
            <w:r/>
            <w:r/>
          </w:p>
          <w:p>
            <w:r/>
            <w:r/>
            <w:r/>
          </w:p>
          <w:p>
            <w:r>
              <w:t xml:space="preserve">126 000 000,00 руб. без НДС. </w:t>
            </w:r>
            <w:r/>
            <w:r/>
            <w:r>
              <w:rPr>
                <w:b/>
              </w:rPr>
              <w:t xml:space="preserve">  </w:t>
            </w:r>
            <w:r/>
          </w:p>
          <w:p>
            <w:r/>
            <w:r/>
          </w:p>
          <w:p>
            <w:r>
              <w:t xml:space="preserve">Цена договора, предлагаемая участником закупки, не может превышать начальную (максимальную) цену договора (цену закупки), указанную в извещении о проведении конкурса и п.п. 1.3.1, 3.5.1 части </w:t>
            </w:r>
            <w:r>
              <w:rPr>
                <w:lang w:val="en-US"/>
              </w:rPr>
              <w:t xml:space="preserve">I</w:t>
            </w:r>
            <w:r>
              <w:t xml:space="preserve"> «ОБЩИЕ УСЛОВИЯ ПРОВЕДЕНИЯ ЗАКУПКИ» документации о закупке</w:t>
            </w:r>
            <w:r>
              <w:t xml:space="preserve">.</w:t>
            </w:r>
            <w:r/>
          </w:p>
          <w:p>
            <w:r/>
            <w:r/>
          </w:p>
          <w:p>
            <w:r>
              <w:t xml:space="preserve">Начальная (максимальная) цена договора включает в себя: все затраты, накладные расходы, налоги, пошлины, таможенные платежи,</w:t>
            </w:r>
            <w:r>
              <w:t xml:space="preserve"> страхование и прочие сборы, которые исполнитель договора должен оплачивать в соответствии с условиями договора или на иных основаниях (обоснование НМЦ указано в Приложении №3 к документации о закупке – «Обоснование начальной (максимальной) цены закупки»).</w:t>
            </w:r>
            <w:r/>
          </w:p>
        </w:tc>
      </w:tr>
      <w:tr>
        <w:tblPrEx/>
        <w:trPr>
          <w:trHeight w:val="1280"/>
        </w:trPr>
        <w:tc>
          <w:tcPr>
            <w:tcW w:w="3510" w:type="dxa"/>
            <w:vAlign w:val="center"/>
            <w:textDirection w:val="lrTb"/>
            <w:noWrap w:val="false"/>
          </w:tcPr>
          <w:p>
            <w:r>
              <w:t xml:space="preserve">Место оказания услуг</w:t>
            </w:r>
            <w:r/>
          </w:p>
          <w:p>
            <w:r/>
            <w:r/>
          </w:p>
          <w:p>
            <w:r/>
            <w:r/>
          </w:p>
          <w:p>
            <w:r/>
            <w:r/>
          </w:p>
          <w:p>
            <w:r>
              <w:t xml:space="preserve">Сроки оказания услуг</w:t>
            </w:r>
            <w:r/>
          </w:p>
        </w:tc>
        <w:tc>
          <w:tcPr>
            <w:tcW w:w="6379" w:type="dxa"/>
            <w:vAlign w:val="center"/>
            <w:textDirection w:val="lrTb"/>
            <w:noWrap w:val="false"/>
          </w:tcPr>
          <w:p>
            <w:r>
              <w:t xml:space="preserve">Место оказания услуг: Санкт – Петербург</w:t>
            </w:r>
            <w:r/>
          </w:p>
          <w:p>
            <w:r>
              <w:t xml:space="preserve">Более подробная информация о месте, условиях и сроках (периодах) оказания услуг указана в Техническом задании (Раздел №V к документации о закупке) и/или Проекте договора (Раздел №IV к документации о закупке).</w:t>
            </w:r>
            <w:r/>
          </w:p>
          <w:p>
            <w:r/>
            <w:r/>
          </w:p>
          <w:p>
            <w:r>
              <w:t xml:space="preserve">Сроки оказания услуг: </w:t>
            </w:r>
            <w:r>
              <w:t xml:space="preserve">01.12.2026 - 30.11.2028.</w:t>
            </w:r>
            <w:r/>
            <w:r/>
          </w:p>
          <w:p>
            <w:r/>
            <w:r/>
          </w:p>
          <w:p>
            <w:r>
              <w:t xml:space="preserve">Условия оказания услуг указаны в разделе IV «Проект договора» настоящей документации о закупке.</w:t>
            </w:r>
            <w:r/>
          </w:p>
        </w:tc>
      </w:tr>
      <w:tr>
        <w:tblPrEx/>
        <w:trPr>
          <w:trHeight w:val="69"/>
        </w:trPr>
        <w:tc>
          <w:tcPr>
            <w:tcW w:w="3510" w:type="dxa"/>
            <w:vAlign w:val="center"/>
            <w:textDirection w:val="lrTb"/>
            <w:noWrap w:val="false"/>
          </w:tcPr>
          <w:p>
            <w:r>
              <w:t xml:space="preserve">Форма, сроки и порядок оплаты услуги</w:t>
            </w:r>
            <w:r/>
          </w:p>
        </w:tc>
        <w:tc>
          <w:tcPr>
            <w:tcW w:w="6379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Форма, сроки и порядок оплаты услуги установлены в разделе V «Техническое задание» и разделе IV «Проект договора» настоящей документации о закупке.</w:t>
            </w:r>
            <w:r/>
          </w:p>
        </w:tc>
      </w:tr>
      <w:tr>
        <w:tblPrEx/>
        <w:trPr>
          <w:trHeight w:val="2349"/>
        </w:trPr>
        <w:tc>
          <w:tcPr>
            <w:tcW w:w="3510" w:type="dxa"/>
            <w:vAlign w:val="center"/>
            <w:textDirection w:val="lrTb"/>
            <w:noWrap w:val="false"/>
          </w:tcPr>
          <w:p>
            <w:pPr>
              <w:rPr>
                <w:rFonts w:eastAsia="Calibri"/>
              </w:rPr>
            </w:pPr>
            <w:r>
              <w:t xml:space="preserve">Срок, место и порядок предоставления документации о закупке</w:t>
            </w:r>
            <w:r>
              <w:rPr>
                <w:rFonts w:eastAsia="Calibri"/>
              </w:rPr>
            </w:r>
          </w:p>
        </w:tc>
        <w:tc>
          <w:tcPr>
            <w:tcW w:w="6379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Срок предоставления документации о закупке: </w:t>
            </w:r>
            <w:r/>
          </w:p>
          <w:p>
            <w:pPr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с </w:t>
            </w:r>
            <w:r>
              <w:rPr>
                <w:highlight w:val="white"/>
              </w:rPr>
              <w:t xml:space="preserve">08.10.2026</w:t>
            </w:r>
            <w:r>
              <w:rPr>
                <w:highlight w:val="white"/>
              </w:rPr>
              <w:t xml:space="preserve"> по 26.10</w:t>
            </w:r>
            <w:r>
              <w:rPr>
                <w:highlight w:val="white"/>
              </w:rPr>
              <w:t xml:space="preserve">.2026</w:t>
            </w:r>
            <w:r>
              <w:rPr>
                <w:highlight w:val="white"/>
              </w:rPr>
              <w:t xml:space="preserve">.</w:t>
            </w:r>
            <w:r>
              <w:rPr>
                <w:highlight w:val="white"/>
              </w:rPr>
            </w:r>
          </w:p>
          <w:p>
            <w:pPr>
              <w:jc w:val="both"/>
            </w:pPr>
            <w:r>
              <w:t xml:space="preserve">Документация о закупке в полном объеме в электронном виде безвозмездно доступна для ознакомления на официальном сайте Единой информационной системы в сфере закупок (далее - ЕИС) </w:t>
            </w:r>
            <w:hyperlink r:id="rId12" w:tooltip="http://www.zakupki.gov.ru" w:history="1">
              <w:r>
                <w:t xml:space="preserve">www.zakupki.gov.ru</w:t>
              </w:r>
            </w:hyperlink>
            <w:r>
              <w:t xml:space="preserve">, а также на сайте электронной торговой площадки (далее – ЭТП) </w:t>
            </w:r>
            <w:r>
              <w:rPr>
                <w:rStyle w:val="872"/>
              </w:rPr>
              <w:t xml:space="preserve"> </w:t>
            </w:r>
            <w:hyperlink r:id="rId13" w:tooltip="https://tender.lot-online.ru/" w:history="1">
              <w:r>
                <w:rPr>
                  <w:rStyle w:val="851"/>
                </w:rPr>
                <w:t xml:space="preserve">https://tender.lot-online.ru/</w:t>
              </w:r>
            </w:hyperlink>
            <w:r>
              <w:t xml:space="preserve"> со дня размещения документации о закупке и настоящего извещения на вышеуказанных сайтах и в вышеуказанные сроки</w:t>
            </w:r>
            <w:r>
              <w:rPr>
                <w:color w:val="000000"/>
              </w:rPr>
              <w:t xml:space="preserve">.</w:t>
            </w:r>
            <w:r/>
          </w:p>
        </w:tc>
      </w:tr>
      <w:tr>
        <w:tblPrEx/>
        <w:trPr>
          <w:trHeight w:val="7091"/>
        </w:trPr>
        <w:tc>
          <w:tcPr>
            <w:tcW w:w="3510" w:type="dxa"/>
            <w:vAlign w:val="center"/>
            <w:textDirection w:val="lrTb"/>
            <w:noWrap w:val="false"/>
          </w:tcPr>
          <w:p>
            <w:r>
              <w:t xml:space="preserve">Порядок, дата начала, дата и время окончания срока подачи заявок на участие в закупке (этапах закупки) и порядок подведения итогов закупки (этапов закупки)</w:t>
            </w:r>
            <w:r/>
          </w:p>
        </w:tc>
        <w:tc>
          <w:tcPr>
            <w:tcW w:w="6379" w:type="dxa"/>
            <w:textDirection w:val="lrTb"/>
            <w:noWrap w:val="false"/>
          </w:tcPr>
          <w:p>
            <w:pPr>
              <w:jc w:val="both"/>
            </w:pPr>
            <w:r>
              <w:t xml:space="preserve">Заявка подается в электронной форме с использованием функционала и в соответствии с Регламентом работы ЭТП.</w:t>
            </w:r>
            <w:r/>
          </w:p>
          <w:p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pStyle w:val="902"/>
              <w:jc w:val="both"/>
            </w:pPr>
            <w:r>
              <w:t xml:space="preserve">Дата </w:t>
            </w:r>
            <w:r>
              <w:t xml:space="preserve">начала срока подачи заявок: 08.10.2026;</w:t>
            </w:r>
            <w:r/>
            <w:r/>
          </w:p>
          <w:p>
            <w:pPr>
              <w:pStyle w:val="902"/>
              <w:jc w:val="both"/>
            </w:pPr>
            <w:r>
              <w:t xml:space="preserve">Дата и время окончания срока, последний день срока подачи Заявок:</w:t>
            </w:r>
            <w:r/>
            <w:r/>
          </w:p>
          <w:p>
            <w:pPr>
              <w:spacing w:after="0"/>
            </w:pPr>
            <w:r>
              <w:t xml:space="preserve">26.10.2026 11:00 (время московское)</w:t>
            </w:r>
            <w:r/>
            <w:r/>
          </w:p>
          <w:p>
            <w:pPr>
              <w:spacing w:after="0"/>
            </w:pPr>
            <w:r/>
            <w:r/>
            <w:r/>
          </w:p>
          <w:p>
            <w:pPr>
              <w:pStyle w:val="902"/>
              <w:jc w:val="both"/>
            </w:pPr>
            <w:r>
              <w:t xml:space="preserve">Этап «Рассмотрение заявок участников»: </w:t>
            </w:r>
            <w:r/>
            <w:r/>
          </w:p>
          <w:p>
            <w:pPr>
              <w:pStyle w:val="902"/>
              <w:jc w:val="both"/>
            </w:pPr>
            <w:r>
              <w:t xml:space="preserve">дата начала этапа - 26.10.2026.</w:t>
            </w:r>
            <w:r/>
            <w:r/>
          </w:p>
          <w:p>
            <w:pPr>
              <w:pStyle w:val="902"/>
              <w:jc w:val="both"/>
            </w:pPr>
            <w:r>
              <w:t xml:space="preserve">дата окончания этапа - 03.11.2026.</w:t>
            </w:r>
            <w:r/>
            <w:r/>
          </w:p>
          <w:p>
            <w:pPr>
              <w:pStyle w:val="902"/>
              <w:jc w:val="both"/>
            </w:pPr>
            <w:r/>
            <w:r/>
            <w:r/>
          </w:p>
          <w:p>
            <w:pPr>
              <w:spacing w:after="0"/>
            </w:pPr>
            <w:r>
              <w:t xml:space="preserve">Этап «Переторжка»:</w:t>
            </w:r>
            <w:r/>
            <w:r/>
          </w:p>
          <w:p>
            <w:pPr>
              <w:spacing w:after="0"/>
            </w:pPr>
            <w:r>
              <w:t xml:space="preserve">дата начала этапа – 05.11.2026.</w:t>
            </w:r>
            <w:r/>
            <w:r/>
          </w:p>
          <w:p>
            <w:pPr>
              <w:spacing w:after="0"/>
            </w:pPr>
            <w:r>
              <w:t xml:space="preserve">дата окончания этапа – 05.11.2026.</w:t>
            </w:r>
            <w:r/>
            <w:r/>
          </w:p>
          <w:p>
            <w:pPr>
              <w:pStyle w:val="902"/>
              <w:jc w:val="both"/>
            </w:pPr>
            <w:r>
              <w:t xml:space="preserve">шаг переторжки – 0,08 % от НМЦ закупки.</w:t>
            </w:r>
            <w:r/>
            <w:r/>
          </w:p>
          <w:p>
            <w:pPr>
              <w:pStyle w:val="902"/>
              <w:jc w:val="both"/>
            </w:pPr>
            <w:r/>
            <w:r/>
            <w:r/>
          </w:p>
          <w:p>
            <w:pPr>
              <w:pStyle w:val="882"/>
              <w:jc w:val="both"/>
              <w:spacing w:after="0"/>
            </w:pPr>
            <w:r>
              <w:rPr>
                <w:color w:val="000000"/>
              </w:rPr>
              <w:t xml:space="preserve">Этап «Подведение итогов закупки, в рамках которых осуществляется оценка и сопоставление заявок участников, допущенных до участия в закупке по результатам рассмотрения заявок»:</w:t>
            </w:r>
            <w:r>
              <w:t xml:space="preserve"> </w:t>
            </w:r>
            <w:r/>
            <w:r/>
          </w:p>
          <w:p>
            <w:pPr>
              <w:pStyle w:val="902"/>
              <w:jc w:val="both"/>
            </w:pPr>
            <w:r>
              <w:t xml:space="preserve">дата начала этапа – 0</w:t>
            </w:r>
            <w:r>
              <w:t xml:space="preserve">5</w:t>
            </w:r>
            <w:r>
              <w:t xml:space="preserve">.11.2026.</w:t>
            </w:r>
            <w:r/>
            <w:r/>
          </w:p>
          <w:p>
            <w:pPr>
              <w:pStyle w:val="902"/>
              <w:jc w:val="both"/>
            </w:pPr>
            <w:r>
              <w:t xml:space="preserve">дата окончания этапа – 05.11.2026.</w:t>
            </w:r>
            <w:r/>
            <w:r/>
          </w:p>
          <w:p>
            <w:pPr>
              <w:jc w:val="both"/>
            </w:pPr>
            <w:r/>
            <w:r/>
          </w:p>
          <w:p>
            <w:pPr>
              <w:pStyle w:val="882"/>
              <w:jc w:val="both"/>
              <w:spacing w:after="0"/>
            </w:pPr>
            <w:r>
              <w:rPr>
                <w:color w:val="000000"/>
              </w:rPr>
              <w:t xml:space="preserve">По решению Закупочной комиссии после окончания срока подачи заявок Заказчик вправе изменить сроки проведения последующих этапов закупки. Вносимые изменения оформляются путем подписания соответствующего Протокола</w:t>
            </w:r>
            <w:r>
              <w:t xml:space="preserve">.</w:t>
            </w:r>
            <w:r/>
          </w:p>
        </w:tc>
      </w:tr>
      <w:tr>
        <w:tblPrEx/>
        <w:trPr>
          <w:trHeight w:val="5532"/>
        </w:trPr>
        <w:tc>
          <w:tcPr>
            <w:tcW w:w="3510" w:type="dxa"/>
            <w:vAlign w:val="center"/>
            <w:textDirection w:val="lrTb"/>
            <w:noWrap w:val="false"/>
          </w:tcPr>
          <w:p>
            <w:r>
              <w:t xml:space="preserve">Требования к участникам конкурса</w:t>
            </w:r>
            <w:r/>
          </w:p>
        </w:tc>
        <w:tc>
          <w:tcPr>
            <w:tcW w:w="6379" w:type="dxa"/>
            <w:textDirection w:val="lrTb"/>
            <w:noWrap w:val="false"/>
          </w:tcPr>
          <w:p>
            <w:pPr>
              <w:jc w:val="both"/>
            </w:pPr>
            <w:r>
              <w:t xml:space="preserve">Участником закупки может быть любое юридическое лицо или несколько юридических лиц, выступающих на стороне од</w:t>
            </w:r>
            <w:r>
              <w:t xml:space="preserve">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14.07.2022 </w:t>
            </w:r>
            <w:r>
              <w:br w:type="textWrapping" w:clear="all"/>
              <w:t xml:space="preserve">№ 255-ФЗ "О</w:t>
            </w:r>
            <w:r>
              <w:t xml:space="preserve"> контроле за деятельностью лиц, находящихся под иностранным влиянием,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</w:t>
            </w:r>
            <w:r>
              <w:t xml:space="preserve">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14.07.2022 № 255-ФЗ "О контроле за деятельностью лиц, находящихся под иностранным влиянием".</w:t>
            </w:r>
            <w:r/>
          </w:p>
          <w:p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jc w:val="both"/>
            </w:pPr>
            <w:r>
              <w:t xml:space="preserve">Более подробные требования к Участникам, а также требования к порядку подтверждения соответствия этим требованиям, содержатся в документации о закупке.</w:t>
            </w:r>
            <w:r/>
          </w:p>
        </w:tc>
      </w:tr>
      <w:tr>
        <w:tblPrEx/>
        <w:trPr>
          <w:trHeight w:val="1385"/>
        </w:trPr>
        <w:tc>
          <w:tcPr>
            <w:tcW w:w="3510" w:type="dxa"/>
            <w:vAlign w:val="center"/>
            <w:textDirection w:val="lrTb"/>
            <w:noWrap w:val="false"/>
          </w:tcPr>
          <w:p>
            <w:pPr>
              <w:pStyle w:val="902"/>
              <w:jc w:val="both"/>
            </w:pPr>
            <w:r>
              <w:t xml:space="preserve">Предоставление национального режима при осуществлении закупок товаров, работ, услуг: </w:t>
            </w:r>
            <w:r/>
          </w:p>
        </w:tc>
        <w:tc>
          <w:tcPr>
            <w:tcW w:w="6379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В соответствии с Постановлен</w:t>
            </w:r>
            <w:r>
              <w:t xml:space="preserve">ием Правительства РФ от 23.12.2024 N 1875"О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лиц".</w:t>
            </w:r>
            <w:r/>
          </w:p>
        </w:tc>
      </w:tr>
      <w:tr>
        <w:tblPrEx/>
        <w:trPr>
          <w:trHeight w:val="2837"/>
        </w:trPr>
        <w:tc>
          <w:tcPr>
            <w:tcW w:w="3510" w:type="dxa"/>
            <w:vAlign w:val="center"/>
            <w:textDirection w:val="lrTb"/>
            <w:noWrap w:val="false"/>
          </w:tcPr>
          <w:p>
            <w:r>
              <w:t xml:space="preserve">Запрет закупок товаров (в том числе поставляемых при в</w:t>
            </w:r>
            <w:r>
              <w:t xml:space="preserve">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</w:t>
            </w:r>
            <w:hyperlink w:tooltip="ПЕРЕЧЕНЬ" w:anchor="P174" w:history="1">
              <w:r>
                <w:t xml:space="preserve">приложению N 1</w:t>
              </w:r>
            </w:hyperlink>
            <w:r>
              <w:t xml:space="preserve">.</w:t>
            </w:r>
            <w:r/>
          </w:p>
        </w:tc>
        <w:tc>
          <w:tcPr>
            <w:tcW w:w="6379" w:type="dxa"/>
            <w:vAlign w:val="center"/>
            <w:textDirection w:val="lrTb"/>
            <w:noWrap w:val="false"/>
          </w:tcPr>
          <w:p>
            <w:pPr>
              <w:jc w:val="both"/>
              <w:rPr>
                <w:bCs/>
              </w:rPr>
            </w:pPr>
            <w:r>
              <w:rPr>
                <w:bCs/>
              </w:rPr>
              <w:t xml:space="preserve">Требование установлено.</w:t>
            </w:r>
            <w:r>
              <w:rPr>
                <w:bCs/>
              </w:rPr>
            </w:r>
          </w:p>
        </w:tc>
      </w:tr>
      <w:tr>
        <w:tblPrEx/>
        <w:trPr>
          <w:trHeight w:val="1403"/>
        </w:trPr>
        <w:tc>
          <w:tcPr>
            <w:tcW w:w="3510" w:type="dxa"/>
            <w:vAlign w:val="center"/>
            <w:textDirection w:val="lrTb"/>
            <w:noWrap w:val="false"/>
          </w:tcPr>
          <w:p>
            <w:r>
              <w:t xml:space="preserve"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</w:t>
            </w:r>
            <w:hyperlink w:tooltip="ПЕРЕЧЕНЬ" w:anchor="P661" w:history="1">
              <w:r>
                <w:t xml:space="preserve">приложению N 2</w:t>
              </w:r>
            </w:hyperlink>
            <w:r>
              <w:t xml:space="preserve">.</w:t>
            </w:r>
            <w:r/>
          </w:p>
        </w:tc>
        <w:tc>
          <w:tcPr>
            <w:tcW w:w="6379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Требование не установлено.</w:t>
            </w:r>
            <w:r/>
          </w:p>
        </w:tc>
      </w:tr>
      <w:tr>
        <w:tblPrEx/>
        <w:trPr>
          <w:trHeight w:val="4"/>
        </w:trPr>
        <w:tc>
          <w:tcPr>
            <w:tcW w:w="3510" w:type="dxa"/>
            <w:vAlign w:val="center"/>
            <w:textDirection w:val="lrTb"/>
            <w:noWrap w:val="false"/>
          </w:tcPr>
          <w:p>
            <w:r>
              <w:t xml:space="preserve"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      </w:r>
            <w:r/>
          </w:p>
        </w:tc>
        <w:tc>
          <w:tcPr>
            <w:tcW w:w="6379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Требование не установлено.</w:t>
            </w:r>
            <w:r/>
          </w:p>
        </w:tc>
      </w:tr>
      <w:tr>
        <w:tblPrEx/>
        <w:trPr>
          <w:trHeight w:val="2135"/>
        </w:trPr>
        <w:tc>
          <w:tcPr>
            <w:tcW w:w="3510" w:type="dxa"/>
            <w:vAlign w:val="center"/>
            <w:textDirection w:val="lrTb"/>
            <w:noWrap w:val="false"/>
          </w:tcPr>
          <w:p>
            <w:r>
              <w:t xml:space="preserve">Разъяснение положений закупочной документации</w:t>
            </w:r>
            <w:r/>
          </w:p>
        </w:tc>
        <w:tc>
          <w:tcPr>
            <w:tcW w:w="6379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Любой участник закупки вправе направить Заказчику (Организатору закупки) в порядке, предусмот</w:t>
            </w:r>
            <w:r>
              <w:t xml:space="preserve">ренном Законом 223-ФЗ и документацией о закупке, запрос о даче разъяснений положений извещения о закупке и (или) документации о закупке. При проведении закупки в электронной форме запрос направляется участником посредством функционала электронной площадки.</w:t>
            </w:r>
            <w:r/>
          </w:p>
          <w:p>
            <w:r/>
            <w:r/>
          </w:p>
          <w:p>
            <w:pPr>
              <w:jc w:val="both"/>
            </w:pPr>
            <w:r>
              <w:t xml:space="preserve">Более подробная информация о порядке направления участниками запросов о даче разъяснений содержится в документации о закупке.</w:t>
            </w:r>
            <w:r/>
          </w:p>
        </w:tc>
      </w:tr>
      <w:tr>
        <w:tblPrEx/>
        <w:trPr>
          <w:trHeight w:val="1410"/>
        </w:trPr>
        <w:tc>
          <w:tcPr>
            <w:tcW w:w="3510" w:type="dxa"/>
            <w:vAlign w:val="center"/>
            <w:textDirection w:val="lrTb"/>
            <w:noWrap w:val="false"/>
          </w:tcPr>
          <w:p>
            <w:r>
              <w:t xml:space="preserve">Адрес электронной площадки в информационно-телекоммуникационной сети «Интернет»</w:t>
            </w:r>
            <w:r/>
          </w:p>
        </w:tc>
        <w:tc>
          <w:tcPr>
            <w:tcW w:w="6379" w:type="dxa"/>
            <w:textDirection w:val="lrTb"/>
            <w:noWrap w:val="false"/>
          </w:tcPr>
          <w:p>
            <w:pPr>
              <w:jc w:val="both"/>
            </w:pPr>
            <w:r/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>
              <w:rPr>
                <w:rStyle w:val="851"/>
              </w:rPr>
              <w:t xml:space="preserve">https://tender.lot-online.ru/</w:t>
            </w:r>
            <w:r/>
          </w:p>
        </w:tc>
      </w:tr>
      <w:tr>
        <w:tblPrEx/>
        <w:trPr>
          <w:trHeight w:val="7307"/>
        </w:trPr>
        <w:tc>
          <w:tcPr>
            <w:tcW w:w="3510" w:type="dxa"/>
            <w:vAlign w:val="center"/>
            <w:textDirection w:val="lrTb"/>
            <w:noWrap w:val="false"/>
          </w:tcPr>
          <w:p>
            <w:r>
              <w:t xml:space="preserve">Обеспечение заявок на участие в закупке</w:t>
            </w:r>
            <w:r/>
          </w:p>
          <w:p>
            <w:r/>
            <w:r/>
          </w:p>
          <w:p>
            <w:r>
              <w:t xml:space="preserve">Размер, порядок предоставления обеспечения заявок на участие в закупке</w:t>
            </w:r>
            <w:r/>
          </w:p>
        </w:tc>
        <w:tc>
          <w:tcPr>
            <w:tcW w:w="6379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Обеспечение заявок на участие в закупке предусмотрено в размере 3% от начальной (максимальной) цены договора, что </w:t>
            </w:r>
            <w:r>
              <w:rPr>
                <w:highlight w:val="yellow"/>
              </w:rPr>
              <w:t xml:space="preserve">составляет </w:t>
            </w:r>
            <w:r>
              <w:rPr>
                <w:highlight w:val="yellow"/>
              </w:rPr>
            </w:r>
            <w:r>
              <w:rPr>
                <w:highlight w:val="yellow"/>
              </w:rPr>
              <w:t xml:space="preserve">4 611 600,00</w:t>
            </w:r>
            <w:r>
              <w:rPr>
                <w:highlight w:val="yellow"/>
              </w:rPr>
            </w:r>
            <w:r>
              <w:rPr>
                <w:highlight w:val="yellow"/>
              </w:rPr>
              <w:t xml:space="preserve"> руб.</w:t>
            </w:r>
            <w:bookmarkStart w:id="0" w:name="_GoBack"/>
            <w:r/>
            <w:bookmarkEnd w:id="0"/>
            <w:r>
              <w:rPr>
                <w:highlight w:val="yellow"/>
              </w:rPr>
              <w:t xml:space="preserve">, НДС не облагается.</w:t>
            </w:r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>
              <w:t xml:space="preserve">Срок предоставления обеспечения заявки на участие в закупке: не позднее д</w:t>
            </w:r>
            <w:r>
              <w:t xml:space="preserve">аты и времени окончания срока подачи заявок на участие в закупке, установленные в п. 8 раздела 1 части II «ИНФОРМАЦИОННАЯ КАРТА ЗАКУПКИ. ОТБОРОЧНЫЕ КРИТЕРИИ (ТРЕБОВАНИЯ). ДОКУМЕНТЫ, СОДЕРЖАЩИЕ СВЕДЕНИЯ ДЛЯ РАССМОТРЕНИЯ И ОЦЕНКИ ПО КРИТЕРИЮ. СОСТАВ ЗАЯВКИ».</w:t>
            </w:r>
            <w:r/>
          </w:p>
          <w:p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jc w:val="both"/>
            </w:pPr>
            <w:r>
              <w:t xml:space="preserve">Счет Заказчика для перечисления обеспечительного платежа, внесенных в качестве обеспечения заявки:</w:t>
            </w:r>
            <w:r/>
          </w:p>
          <w:p>
            <w:pPr>
              <w:jc w:val="both"/>
            </w:pPr>
            <w:r>
              <w:t xml:space="preserve">Реквизиты счета:</w:t>
            </w:r>
            <w:r/>
          </w:p>
          <w:p>
            <w:pPr>
              <w:jc w:val="both"/>
            </w:pPr>
            <w:r>
              <w:t xml:space="preserve">Получатель платежа – ПАО «Россети Ленэнерго»,</w:t>
            </w:r>
            <w:r/>
          </w:p>
          <w:p>
            <w:pPr>
              <w:jc w:val="both"/>
            </w:pPr>
            <w:r>
              <w:t xml:space="preserve">ИНН 7803002209, КПП 997650001,</w:t>
            </w:r>
            <w:r/>
          </w:p>
          <w:p>
            <w:pPr>
              <w:jc w:val="both"/>
            </w:pPr>
            <w:r>
              <w:t xml:space="preserve">№ 40702810468000006106</w:t>
            </w:r>
            <w:r/>
          </w:p>
          <w:p>
            <w:pPr>
              <w:jc w:val="both"/>
            </w:pPr>
            <w:r>
              <w:t xml:space="preserve">Ф. ОПЕРУ Банка ВТБ (ПАО) в Санкт-Петербурге</w:t>
            </w:r>
            <w:r/>
          </w:p>
          <w:p>
            <w:pPr>
              <w:jc w:val="both"/>
            </w:pPr>
            <w:r>
              <w:t xml:space="preserve">к/сч 30101810200000000704</w:t>
            </w:r>
            <w:r/>
          </w:p>
          <w:p>
            <w:pPr>
              <w:jc w:val="both"/>
            </w:pPr>
            <w:r>
              <w:t xml:space="preserve">БИК 044030704.</w:t>
            </w:r>
            <w:r/>
          </w:p>
          <w:p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  <w:p>
            <w:pPr>
              <w:jc w:val="both"/>
            </w:pPr>
            <w:r>
              <w:t xml:space="preserve">Порядок внесения обеспечительного платежа и условия независимой гарантии, а также срок и случаи возврата обеспечения заявок установлены в разделе 3 части I «ОБЩИЕ УСЛОВИЯ ПРОВЕДЕНИЯ ЗАКУПКИ» документации о закупке.</w:t>
            </w:r>
            <w:r/>
          </w:p>
        </w:tc>
      </w:tr>
      <w:tr>
        <w:tblPrEx/>
        <w:trPr>
          <w:trHeight w:val="9492"/>
        </w:trPr>
        <w:tc>
          <w:tcPr>
            <w:tcW w:w="3510" w:type="dxa"/>
            <w:vAlign w:val="center"/>
            <w:textDirection w:val="lrTb"/>
            <w:noWrap w:val="false"/>
          </w:tcPr>
          <w:p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Обеспечение исполнения договора</w:t>
            </w:r>
            <w:r>
              <w:rPr>
                <w:lang w:eastAsia="en-US"/>
              </w:rPr>
            </w:r>
          </w:p>
          <w:p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  <w:p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Размер, порядок предоставления  обеспечения  исполнения договора</w:t>
            </w:r>
            <w:r>
              <w:rPr>
                <w:lang w:eastAsia="en-US"/>
              </w:rPr>
            </w:r>
          </w:p>
        </w:tc>
        <w:tc>
          <w:tcPr>
            <w:tcW w:w="6379" w:type="dxa"/>
            <w:vAlign w:val="center"/>
            <w:textDirection w:val="lrTb"/>
            <w:noWrap w:val="false"/>
          </w:tcPr>
          <w:p>
            <w:pPr>
              <w:jc w:val="both"/>
            </w:pPr>
            <w:r>
              <w:t xml:space="preserve">Заказчик устанавливает требование о предоставлении обеспечения исполнения обязательств Исполнителя. Обеспечение исполнения обязательств Исполнителя может быть представлено в форме внесения обеспечительного платежа или в форме</w:t>
            </w:r>
            <w:r>
              <w:t xml:space="preserve"> независимой гарантии. Выбор способа обеспечения исполнения обязательств Исполнителя осуществляется участником, признанным Победителем закупки, самостоятельно. Предоставление обеспечения иным, не указанным в документации о закупке способом не допускается. </w:t>
            </w:r>
            <w:r/>
          </w:p>
          <w:p>
            <w:pPr>
              <w:jc w:val="both"/>
            </w:pPr>
            <w:r/>
            <w:r/>
          </w:p>
          <w:p>
            <w:pPr>
              <w:jc w:val="both"/>
            </w:pPr>
            <w:r>
              <w:t xml:space="preserve">Размер обеспечения исполнения обязательств Исполнителя составляет 10% от начальной (максимальной) цены договора (цены лота).</w:t>
            </w:r>
            <w:r/>
          </w:p>
          <w:p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</w:r>
            <w:r>
              <w:rPr>
                <w:lang w:eastAsia="en-US"/>
              </w:rPr>
            </w:r>
          </w:p>
          <w:p>
            <w:pPr>
              <w:jc w:val="both"/>
            </w:pPr>
            <w:r>
              <w:t xml:space="preserve">Срок предоставления обеспечения исполнение договора:</w:t>
            </w:r>
            <w:r/>
          </w:p>
          <w:p>
            <w:pPr>
              <w:ind w:firstLine="284"/>
              <w:jc w:val="both"/>
            </w:pPr>
            <w:r>
              <w:t xml:space="preserve">– обеспечительный платеж предоставляется до даты заключения договора;</w:t>
            </w:r>
            <w:r/>
          </w:p>
          <w:p>
            <w:pPr>
              <w:pStyle w:val="904"/>
              <w:ind w:left="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копия независимой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гарантии должна быть представлена контрагентом на согласование не позднее чем через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десять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рабочих дней после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вступления в силу протокола подведения итогов закупки, на основании которого контрагент признан победителем закупочной процедуры, либо 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акупка признана несостоявшейся, и закупочной комиссией принято решение заключить договор с единственным участником, оригинал согласованной независимой гарантии должен быть представлен контрагентом не позднее чем за один рабочий день до заключения договора.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</w:pPr>
            <w:r/>
            <w:r/>
          </w:p>
          <w:p>
            <w:pPr>
              <w:jc w:val="both"/>
            </w:pPr>
            <w:r>
              <w:t xml:space="preserve">Порядок предоставления обеспечения исполнения  обязательств Исполнителя установлен в п.6.2. раздела 6 части I «ОБЩИЕ УСЛОВИЯ ПРОВЕДЕНИЯ ЗАКУПКИ» документации о закупке.</w:t>
            </w:r>
            <w:r/>
          </w:p>
        </w:tc>
      </w:tr>
      <w:tr>
        <w:tblPrEx/>
        <w:trPr>
          <w:trHeight w:val="1257"/>
        </w:trPr>
        <w:tc>
          <w:tcPr>
            <w:tcW w:w="3510" w:type="dxa"/>
            <w:vAlign w:val="center"/>
            <w:textDirection w:val="lrTb"/>
            <w:noWrap w:val="false"/>
          </w:tcPr>
          <w:p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Отказ от проведения конкурса </w:t>
            </w:r>
            <w:r>
              <w:rPr>
                <w:lang w:eastAsia="en-US"/>
              </w:rPr>
            </w:r>
          </w:p>
        </w:tc>
        <w:tc>
          <w:tcPr>
            <w:tcW w:w="6379" w:type="dxa"/>
            <w:vAlign w:val="center"/>
            <w:textDirection w:val="lrTb"/>
            <w:noWrap w:val="false"/>
          </w:tcPr>
          <w:p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Заказчик вправе отказаться  от проведения закупки после объявления по одному и более предмету закупки (лоту) до наступления даты и времени окончания срока подачи заявок на участие в конкурентной закупке.</w:t>
            </w:r>
            <w:r>
              <w:rPr>
                <w:lang w:eastAsia="en-US"/>
              </w:rPr>
            </w:r>
          </w:p>
        </w:tc>
      </w:tr>
      <w:tr>
        <w:tblPrEx/>
        <w:trPr>
          <w:trHeight w:val="966"/>
        </w:trPr>
        <w:tc>
          <w:tcPr>
            <w:tcW w:w="3510" w:type="dxa"/>
            <w:vAlign w:val="center"/>
            <w:textDirection w:val="lrTb"/>
            <w:noWrap w:val="false"/>
          </w:tcPr>
          <w:p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Иная информация</w:t>
            </w:r>
            <w:r>
              <w:rPr>
                <w:lang w:eastAsia="en-US"/>
              </w:rPr>
            </w:r>
          </w:p>
        </w:tc>
        <w:tc>
          <w:tcPr>
            <w:tcW w:w="6379" w:type="dxa"/>
            <w:textDirection w:val="lrTb"/>
            <w:noWrap w:val="false"/>
          </w:tcPr>
          <w:p>
            <w:pPr>
              <w:jc w:val="both"/>
            </w:pPr>
            <w:r>
              <w:t xml:space="preserve">Остальные и более подробные условия конкурса содержатся в документации о закупке, являющейся неотъемлемым приложением к данному Извещению.</w:t>
            </w:r>
            <w:r/>
          </w:p>
        </w:tc>
      </w:tr>
    </w:tbl>
    <w:p>
      <w:pPr>
        <w:jc w:val="both"/>
        <w:rPr>
          <w:sz w:val="30"/>
          <w:szCs w:val="30"/>
        </w:rPr>
      </w:pPr>
      <w:r>
        <w:rPr>
          <w:sz w:val="30"/>
          <w:szCs w:val="30"/>
        </w:rPr>
      </w:r>
      <w:r>
        <w:rPr>
          <w:sz w:val="30"/>
          <w:szCs w:val="30"/>
        </w:rPr>
      </w:r>
    </w:p>
    <w:p>
      <w:pPr>
        <w:jc w:val="both"/>
      </w:pPr>
      <w:r>
        <w:t xml:space="preserve">Председатель закупочной комиссии -</w:t>
      </w:r>
      <w:r/>
    </w:p>
    <w:p>
      <w:pPr>
        <w:jc w:val="both"/>
        <w:tabs>
          <w:tab w:val="left" w:pos="7371" w:leader="none"/>
          <w:tab w:val="left" w:pos="7513" w:leader="none"/>
          <w:tab w:val="left" w:pos="7797" w:leader="none"/>
        </w:tabs>
      </w:pPr>
      <w:r>
        <w:t xml:space="preserve">Исполняющий обязанности начальника департамента </w:t>
      </w:r>
      <w:r/>
    </w:p>
    <w:p>
      <w:pPr>
        <w:jc w:val="both"/>
        <w:tabs>
          <w:tab w:val="left" w:pos="7371" w:leader="none"/>
          <w:tab w:val="left" w:pos="7513" w:leader="none"/>
          <w:tab w:val="left" w:pos="7797" w:leader="none"/>
        </w:tabs>
      </w:pPr>
      <w:r>
        <w:t xml:space="preserve">логистики и МТО ПАО «Россети Ленэнерго»        </w:t>
      </w:r>
      <w:r>
        <w:tab/>
        <w:t xml:space="preserve">       Н.Н. Парфенов</w:t>
      </w:r>
      <w:r/>
    </w:p>
    <w:p>
      <w:pPr>
        <w:jc w:val="both"/>
        <w:rPr>
          <w:sz w:val="36"/>
          <w:szCs w:val="36"/>
        </w:rPr>
      </w:pPr>
      <w:r>
        <w:rPr>
          <w:sz w:val="36"/>
          <w:szCs w:val="36"/>
        </w:rPr>
      </w:r>
      <w:r>
        <w:rPr>
          <w:sz w:val="36"/>
          <w:szCs w:val="36"/>
        </w:rPr>
      </w:r>
    </w:p>
    <w:p>
      <w:r>
        <w:t xml:space="preserve">Ответственный секретарь -</w:t>
      </w:r>
      <w:r/>
    </w:p>
    <w:p>
      <w:r>
        <w:t xml:space="preserve">Главный специалист отдела подготовки </w:t>
      </w:r>
      <w:r/>
    </w:p>
    <w:p>
      <w:pPr>
        <w:jc w:val="both"/>
      </w:pPr>
      <w:r>
        <w:t xml:space="preserve">и проведения конкурсов ПАО «Россети Ленэнерго»  </w:t>
      </w:r>
      <w:r>
        <w:tab/>
      </w:r>
      <w:r>
        <w:tab/>
      </w:r>
      <w:r>
        <w:tab/>
        <w:t xml:space="preserve">           </w:t>
      </w:r>
      <w:r>
        <w:t xml:space="preserve">А.О. Салей</w:t>
      </w:r>
      <w:r/>
    </w:p>
    <w:p>
      <w:r/>
      <w:r/>
    </w:p>
    <w:sectPr>
      <w:footerReference w:type="default" r:id="rId9"/>
      <w:footnotePr/>
      <w:endnotePr/>
      <w:type w:val="nextPage"/>
      <w:pgSz w:w="11906" w:h="16838" w:orient="portrait"/>
      <w:pgMar w:top="988" w:right="850" w:bottom="851" w:left="1701" w:header="708" w:footer="223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">
    <w:panose1 w:val="02020603050405020304"/>
  </w:font>
  <w:font w:name="Symbol">
    <w:panose1 w:val="05010000000000000000"/>
  </w:font>
  <w:font w:name="Courier New">
    <w:panose1 w:val="02070309020205020404"/>
  </w:font>
  <w:font w:name="Tahoma">
    <w:panose1 w:val="020B0604030504040204"/>
  </w:font>
  <w:font w:name="Cambria">
    <w:panose1 w:val="02040503050406030204"/>
  </w:font>
  <w:font w:name="Arial">
    <w:panose1 w:val="020B0604020202020204"/>
  </w:font>
  <w:font w:name="Wingdings">
    <w:panose1 w:val="05010000000000000000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1"/>
      <w:jc w:val="center"/>
      <w:rPr>
        <w:rFonts w:ascii="Times" w:hAnsi="Times"/>
      </w:rPr>
    </w:pPr>
    <w:r>
      <w:rPr>
        <w:rFonts w:ascii="Times" w:hAnsi="Times"/>
      </w:rPr>
      <w:t xml:space="preserve">Страница </w:t>
    </w:r>
    <w:r>
      <w:rPr>
        <w:rFonts w:ascii="Times" w:hAnsi="Times"/>
      </w:rPr>
      <w:fldChar w:fldCharType="begin"/>
    </w:r>
    <w:r>
      <w:rPr>
        <w:rFonts w:ascii="Times" w:hAnsi="Times"/>
      </w:rPr>
      <w:instrText xml:space="preserve">PAGE</w:instrText>
    </w:r>
    <w:r>
      <w:rPr>
        <w:rFonts w:ascii="Times" w:hAnsi="Times"/>
      </w:rPr>
      <w:fldChar w:fldCharType="separate"/>
    </w:r>
    <w:r>
      <w:rPr>
        <w:rFonts w:ascii="Times" w:hAnsi="Times"/>
      </w:rPr>
      <w:t xml:space="preserve">5</w:t>
    </w:r>
    <w:r>
      <w:rPr>
        <w:rFonts w:ascii="Times" w:hAnsi="Times"/>
      </w:rPr>
      <w:fldChar w:fldCharType="end"/>
    </w:r>
    <w:r>
      <w:rPr>
        <w:rFonts w:ascii="Times" w:hAnsi="Times"/>
      </w:rPr>
      <w:t xml:space="preserve"> из </w:t>
    </w:r>
    <w:r>
      <w:rPr>
        <w:rFonts w:ascii="Times" w:hAnsi="Times"/>
      </w:rPr>
      <w:fldChar w:fldCharType="begin"/>
    </w:r>
    <w:r>
      <w:rPr>
        <w:rFonts w:ascii="Times" w:hAnsi="Times"/>
      </w:rPr>
      <w:instrText xml:space="preserve">NUMPAGES</w:instrText>
    </w:r>
    <w:r>
      <w:rPr>
        <w:rFonts w:ascii="Times" w:hAnsi="Times"/>
      </w:rPr>
      <w:fldChar w:fldCharType="separate"/>
    </w:r>
    <w:r>
      <w:rPr>
        <w:rFonts w:ascii="Times" w:hAnsi="Times"/>
      </w:rPr>
      <w:t xml:space="preserve">6</w:t>
    </w:r>
    <w:r>
      <w:rPr>
        <w:rFonts w:ascii="Times" w:hAnsi="Times"/>
      </w:rPr>
      <w:fldChar w:fldCharType="end"/>
    </w:r>
    <w:r>
      <w:rPr>
        <w:rFonts w:ascii="Times" w:hAnsi="Times"/>
      </w:rPr>
    </w:r>
  </w:p>
  <w:p>
    <w:pPr>
      <w:pStyle w:val="721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</w:lvl>
    <w:lvl w:ilvl="1">
      <w:start w:val="1"/>
      <w:numFmt w:val="decimal"/>
      <w:isLgl w:val="false"/>
      <w:suff w:val="tab"/>
      <w:lvlText w:val="%1.%2"/>
      <w:lvlJc w:val="left"/>
      <w:pPr>
        <w:ind w:left="576" w:hanging="576"/>
        <w:tabs>
          <w:tab w:val="num" w:pos="576" w:leader="none"/>
        </w:tabs>
      </w:pPr>
    </w:lvl>
    <w:lvl w:ilvl="2">
      <w:start w:val="1"/>
      <w:numFmt w:val="decimal"/>
      <w:pStyle w:val="869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pStyle w:val="870"/>
      <w:isLgl w:val="false"/>
      <w:suff w:val="tab"/>
      <w:lvlText w:val="%1.%2.%3.%4"/>
      <w:lvlJc w:val="left"/>
      <w:pPr>
        <w:ind w:left="1664" w:hanging="864"/>
        <w:tabs>
          <w:tab w:val="num" w:pos="1664" w:leader="none"/>
        </w:tabs>
      </w:pPr>
    </w:lvl>
    <w:lvl w:ilvl="4">
      <w:start w:val="1"/>
      <w:numFmt w:val="decimal"/>
      <w:pStyle w:val="871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</w:lvl>
    <w:lvl w:ilvl="5">
      <w:start w:val="1"/>
      <w:numFmt w:val="decimal"/>
      <w:pStyle w:val="693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</w:lvl>
    <w:lvl w:ilvl="6">
      <w:start w:val="1"/>
      <w:numFmt w:val="decimal"/>
      <w:pStyle w:val="694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</w:lvl>
    <w:lvl w:ilvl="7">
      <w:start w:val="1"/>
      <w:numFmt w:val="decimal"/>
      <w:pStyle w:val="695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pStyle w:val="696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9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11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33" w:hanging="180"/>
      </w:pPr>
    </w:lvl>
    <w:lvl w:ilvl="3">
      <w:start w:val="1"/>
      <w:numFmt w:val="decimal"/>
      <w:pStyle w:val="885"/>
      <w:isLgl w:val="false"/>
      <w:suff w:val="tab"/>
      <w:lvlText w:val="%4."/>
      <w:lvlJc w:val="left"/>
      <w:pPr>
        <w:ind w:left="255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7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9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71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3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53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80" w:hanging="360"/>
      </w:pPr>
      <w:rPr>
        <w:rFonts w:ascii="Symbol" w:hAnsi="Symbol"/>
        <w:strike w:val="0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ascii="Symbol" w:hAnsi="Symbol"/>
      </w:rPr>
    </w:lvl>
    <w:lvl w:ilvl="4">
      <w:start w:val="1"/>
      <w:numFmt w:val="bullet"/>
      <w:pStyle w:val="886"/>
      <w:isLgl w:val="false"/>
      <w:suff w:val="tab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ascii="Wingdings" w:hAnsi="Wingdings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6">
    <w:name w:val="Heading 1 Char"/>
    <w:basedOn w:val="697"/>
    <w:link w:val="688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20">
    <w:name w:val="Heading 3 Char"/>
    <w:basedOn w:val="697"/>
    <w:link w:val="690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2">
    <w:name w:val="Heading 4 Char"/>
    <w:basedOn w:val="697"/>
    <w:link w:val="69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4">
    <w:name w:val="Heading 5 Char"/>
    <w:basedOn w:val="697"/>
    <w:link w:val="69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37">
    <w:name w:val="Title Char"/>
    <w:basedOn w:val="697"/>
    <w:link w:val="711"/>
    <w:uiPriority w:val="10"/>
    <w:rPr>
      <w:sz w:val="48"/>
      <w:szCs w:val="48"/>
    </w:rPr>
  </w:style>
  <w:style w:type="character" w:styleId="39">
    <w:name w:val="Subtitle Char"/>
    <w:basedOn w:val="697"/>
    <w:link w:val="713"/>
    <w:uiPriority w:val="11"/>
    <w:rPr>
      <w:sz w:val="24"/>
      <w:szCs w:val="24"/>
    </w:rPr>
  </w:style>
  <w:style w:type="character" w:styleId="41">
    <w:name w:val="Quote Char"/>
    <w:link w:val="715"/>
    <w:uiPriority w:val="29"/>
    <w:rPr>
      <w:i/>
    </w:rPr>
  </w:style>
  <w:style w:type="character" w:styleId="43">
    <w:name w:val="Intense Quote Char"/>
    <w:link w:val="717"/>
    <w:uiPriority w:val="30"/>
    <w:rPr>
      <w:i/>
    </w:rPr>
  </w:style>
  <w:style w:type="character" w:styleId="49">
    <w:name w:val="Caption Char"/>
    <w:basedOn w:val="697"/>
    <w:link w:val="723"/>
    <w:uiPriority w:val="35"/>
    <w:rPr>
      <w:b/>
      <w:bCs/>
      <w:color w:val="4f81bd" w:themeColor="accent1"/>
      <w:sz w:val="18"/>
      <w:szCs w:val="18"/>
    </w:rPr>
  </w:style>
  <w:style w:type="character" w:styleId="178">
    <w:name w:val="Footnote Text Char"/>
    <w:link w:val="852"/>
    <w:uiPriority w:val="99"/>
    <w:rPr>
      <w:sz w:val="18"/>
    </w:rPr>
  </w:style>
  <w:style w:type="character" w:styleId="181">
    <w:name w:val="Endnote Text Char"/>
    <w:link w:val="855"/>
    <w:uiPriority w:val="99"/>
    <w:rPr>
      <w:sz w:val="20"/>
    </w:rPr>
  </w:style>
  <w:style w:type="paragraph" w:styleId="687" w:default="1">
    <w:name w:val="Normal"/>
    <w:qFormat/>
    <w:rPr>
      <w:rFonts w:ascii="Times New Roman" w:hAnsi="Times New Roman" w:eastAsia="Times New Roman"/>
      <w:sz w:val="24"/>
      <w:szCs w:val="24"/>
      <w:lang w:eastAsia="ru-RU"/>
    </w:rPr>
  </w:style>
  <w:style w:type="paragraph" w:styleId="688">
    <w:name w:val="Heading 1"/>
    <w:basedOn w:val="687"/>
    <w:next w:val="687"/>
    <w:link w:val="70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89">
    <w:name w:val="Heading 2"/>
    <w:basedOn w:val="687"/>
    <w:next w:val="687"/>
    <w:link w:val="872"/>
    <w:uiPriority w:val="9"/>
    <w:unhideWhenUsed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690">
    <w:name w:val="Heading 3"/>
    <w:basedOn w:val="687"/>
    <w:next w:val="687"/>
    <w:link w:val="70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1">
    <w:name w:val="Heading 4"/>
    <w:basedOn w:val="687"/>
    <w:next w:val="687"/>
    <w:link w:val="70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2">
    <w:name w:val="Heading 5"/>
    <w:basedOn w:val="687"/>
    <w:next w:val="687"/>
    <w:link w:val="70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693">
    <w:name w:val="Heading 6"/>
    <w:basedOn w:val="687"/>
    <w:next w:val="687"/>
    <w:link w:val="876"/>
    <w:uiPriority w:val="9"/>
    <w:qFormat/>
    <w:pPr>
      <w:numPr>
        <w:ilvl w:val="5"/>
        <w:numId w:val="1"/>
      </w:numPr>
      <w:jc w:val="both"/>
      <w:spacing w:before="240" w:after="60"/>
      <w:outlineLvl w:val="5"/>
    </w:pPr>
    <w:rPr>
      <w:i/>
      <w:sz w:val="20"/>
      <w:szCs w:val="20"/>
      <w:lang w:val="en-US"/>
    </w:rPr>
  </w:style>
  <w:style w:type="paragraph" w:styleId="694">
    <w:name w:val="Heading 7"/>
    <w:basedOn w:val="687"/>
    <w:next w:val="687"/>
    <w:link w:val="877"/>
    <w:uiPriority w:val="9"/>
    <w:qFormat/>
    <w:pPr>
      <w:numPr>
        <w:ilvl w:val="6"/>
        <w:numId w:val="1"/>
      </w:numPr>
      <w:jc w:val="both"/>
      <w:spacing w:before="240" w:after="60"/>
      <w:outlineLvl w:val="6"/>
    </w:pPr>
    <w:rPr>
      <w:rFonts w:ascii="Arial" w:hAnsi="Arial"/>
      <w:sz w:val="20"/>
      <w:szCs w:val="20"/>
      <w:lang w:val="en-US" w:eastAsia="en-US"/>
    </w:rPr>
  </w:style>
  <w:style w:type="paragraph" w:styleId="695">
    <w:name w:val="Heading 8"/>
    <w:basedOn w:val="687"/>
    <w:next w:val="687"/>
    <w:link w:val="878"/>
    <w:uiPriority w:val="9"/>
    <w:qFormat/>
    <w:pPr>
      <w:numPr>
        <w:ilvl w:val="7"/>
        <w:numId w:val="1"/>
      </w:numPr>
      <w:jc w:val="both"/>
      <w:spacing w:before="240" w:after="60"/>
      <w:outlineLvl w:val="7"/>
    </w:pPr>
    <w:rPr>
      <w:rFonts w:ascii="Arial" w:hAnsi="Arial"/>
      <w:i/>
      <w:sz w:val="20"/>
      <w:szCs w:val="20"/>
      <w:lang w:val="en-US"/>
    </w:rPr>
  </w:style>
  <w:style w:type="paragraph" w:styleId="696">
    <w:name w:val="Heading 9"/>
    <w:basedOn w:val="687"/>
    <w:next w:val="687"/>
    <w:link w:val="879"/>
    <w:uiPriority w:val="9"/>
    <w:qFormat/>
    <w:pPr>
      <w:numPr>
        <w:ilvl w:val="8"/>
        <w:numId w:val="1"/>
      </w:numPr>
      <w:jc w:val="both"/>
      <w:spacing w:before="240" w:after="60"/>
      <w:outlineLvl w:val="8"/>
    </w:pPr>
    <w:rPr>
      <w:rFonts w:ascii="Arial" w:hAnsi="Arial"/>
      <w:b/>
      <w:i/>
      <w:sz w:val="18"/>
      <w:szCs w:val="20"/>
      <w:lang w:val="en-US"/>
    </w:rPr>
  </w:style>
  <w:style w:type="character" w:styleId="697" w:default="1">
    <w:name w:val="Default Paragraph Font"/>
    <w:uiPriority w:val="1"/>
    <w:semiHidden/>
    <w:unhideWhenUsed/>
  </w:style>
  <w:style w:type="table" w:styleId="69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9" w:default="1">
    <w:name w:val="No List"/>
    <w:uiPriority w:val="99"/>
    <w:semiHidden/>
    <w:unhideWhenUsed/>
  </w:style>
  <w:style w:type="character" w:styleId="700" w:customStyle="1">
    <w:name w:val="Заголовок 1 Знак"/>
    <w:link w:val="688"/>
    <w:uiPriority w:val="9"/>
    <w:rPr>
      <w:rFonts w:ascii="Arial" w:hAnsi="Arial" w:eastAsia="Arial" w:cs="Arial"/>
      <w:sz w:val="40"/>
      <w:szCs w:val="40"/>
    </w:rPr>
  </w:style>
  <w:style w:type="character" w:styleId="701" w:customStyle="1">
    <w:name w:val="Heading 2 Char"/>
    <w:uiPriority w:val="9"/>
    <w:rPr>
      <w:rFonts w:ascii="Arial" w:hAnsi="Arial" w:eastAsia="Arial" w:cs="Arial"/>
      <w:sz w:val="34"/>
    </w:rPr>
  </w:style>
  <w:style w:type="character" w:styleId="702" w:customStyle="1">
    <w:name w:val="Заголовок 3 Знак1"/>
    <w:link w:val="690"/>
    <w:uiPriority w:val="9"/>
    <w:rPr>
      <w:rFonts w:ascii="Arial" w:hAnsi="Arial" w:eastAsia="Arial" w:cs="Arial"/>
      <w:sz w:val="30"/>
      <w:szCs w:val="30"/>
    </w:rPr>
  </w:style>
  <w:style w:type="character" w:styleId="703" w:customStyle="1">
    <w:name w:val="Заголовок 4 Знак1"/>
    <w:link w:val="691"/>
    <w:uiPriority w:val="9"/>
    <w:rPr>
      <w:rFonts w:ascii="Arial" w:hAnsi="Arial" w:eastAsia="Arial" w:cs="Arial"/>
      <w:b/>
      <w:bCs/>
      <w:sz w:val="26"/>
      <w:szCs w:val="26"/>
    </w:rPr>
  </w:style>
  <w:style w:type="character" w:styleId="704" w:customStyle="1">
    <w:name w:val="Заголовок 5 Знак1"/>
    <w:link w:val="692"/>
    <w:uiPriority w:val="9"/>
    <w:rPr>
      <w:rFonts w:ascii="Arial" w:hAnsi="Arial" w:eastAsia="Arial" w:cs="Arial"/>
      <w:b/>
      <w:bCs/>
      <w:sz w:val="24"/>
      <w:szCs w:val="24"/>
    </w:rPr>
  </w:style>
  <w:style w:type="character" w:styleId="705" w:customStyle="1">
    <w:name w:val="Heading 6 Char"/>
    <w:uiPriority w:val="9"/>
    <w:rPr>
      <w:rFonts w:ascii="Arial" w:hAnsi="Arial" w:eastAsia="Arial" w:cs="Arial"/>
      <w:b/>
      <w:bCs/>
      <w:sz w:val="22"/>
      <w:szCs w:val="22"/>
    </w:rPr>
  </w:style>
  <w:style w:type="character" w:styleId="706" w:customStyle="1">
    <w:name w:val="Heading 7 Char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7" w:customStyle="1">
    <w:name w:val="Heading 8 Char"/>
    <w:uiPriority w:val="9"/>
    <w:rPr>
      <w:rFonts w:ascii="Arial" w:hAnsi="Arial" w:eastAsia="Arial" w:cs="Arial"/>
      <w:i/>
      <w:iCs/>
      <w:sz w:val="22"/>
      <w:szCs w:val="22"/>
    </w:rPr>
  </w:style>
  <w:style w:type="character" w:styleId="708" w:customStyle="1">
    <w:name w:val="Heading 9 Char"/>
    <w:uiPriority w:val="9"/>
    <w:rPr>
      <w:rFonts w:ascii="Arial" w:hAnsi="Arial" w:eastAsia="Arial" w:cs="Arial"/>
      <w:i/>
      <w:iCs/>
      <w:sz w:val="21"/>
      <w:szCs w:val="21"/>
    </w:rPr>
  </w:style>
  <w:style w:type="paragraph" w:styleId="709">
    <w:name w:val="List Paragraph"/>
    <w:basedOn w:val="687"/>
    <w:uiPriority w:val="34"/>
    <w:qFormat/>
    <w:pPr>
      <w:contextualSpacing/>
      <w:ind w:left="720"/>
    </w:pPr>
  </w:style>
  <w:style w:type="paragraph" w:styleId="710">
    <w:name w:val="No Spacing"/>
    <w:uiPriority w:val="1"/>
    <w:qFormat/>
  </w:style>
  <w:style w:type="paragraph" w:styleId="711">
    <w:name w:val="Title"/>
    <w:basedOn w:val="687"/>
    <w:next w:val="687"/>
    <w:link w:val="71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2" w:customStyle="1">
    <w:name w:val="Заголовок Знак"/>
    <w:link w:val="711"/>
    <w:uiPriority w:val="10"/>
    <w:rPr>
      <w:sz w:val="48"/>
      <w:szCs w:val="48"/>
    </w:rPr>
  </w:style>
  <w:style w:type="paragraph" w:styleId="713">
    <w:name w:val="Subtitle"/>
    <w:basedOn w:val="687"/>
    <w:next w:val="687"/>
    <w:link w:val="714"/>
    <w:uiPriority w:val="11"/>
    <w:qFormat/>
    <w:pPr>
      <w:spacing w:before="200" w:after="200"/>
    </w:pPr>
  </w:style>
  <w:style w:type="character" w:styleId="714" w:customStyle="1">
    <w:name w:val="Подзаголовок Знак"/>
    <w:link w:val="713"/>
    <w:uiPriority w:val="11"/>
    <w:rPr>
      <w:sz w:val="24"/>
      <w:szCs w:val="24"/>
    </w:rPr>
  </w:style>
  <w:style w:type="paragraph" w:styleId="715">
    <w:name w:val="Quote"/>
    <w:basedOn w:val="687"/>
    <w:next w:val="687"/>
    <w:link w:val="716"/>
    <w:uiPriority w:val="29"/>
    <w:qFormat/>
    <w:pPr>
      <w:ind w:left="720" w:right="720"/>
    </w:pPr>
    <w:rPr>
      <w:i/>
    </w:rPr>
  </w:style>
  <w:style w:type="character" w:styleId="716" w:customStyle="1">
    <w:name w:val="Цитата 2 Знак"/>
    <w:link w:val="715"/>
    <w:uiPriority w:val="29"/>
    <w:rPr>
      <w:i/>
    </w:rPr>
  </w:style>
  <w:style w:type="paragraph" w:styleId="717">
    <w:name w:val="Intense Quote"/>
    <w:basedOn w:val="687"/>
    <w:next w:val="687"/>
    <w:link w:val="71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8" w:customStyle="1">
    <w:name w:val="Выделенная цитата Знак"/>
    <w:link w:val="717"/>
    <w:uiPriority w:val="30"/>
    <w:rPr>
      <w:i/>
    </w:rPr>
  </w:style>
  <w:style w:type="paragraph" w:styleId="719">
    <w:name w:val="Header"/>
    <w:basedOn w:val="687"/>
    <w:link w:val="891"/>
    <w:uiPriority w:val="99"/>
    <w:unhideWhenUsed/>
    <w:pPr>
      <w:tabs>
        <w:tab w:val="center" w:pos="4677" w:leader="none"/>
        <w:tab w:val="right" w:pos="9355" w:leader="none"/>
      </w:tabs>
    </w:pPr>
    <w:rPr>
      <w:sz w:val="20"/>
      <w:szCs w:val="20"/>
      <w:lang w:val="en-US" w:eastAsia="en-US"/>
    </w:rPr>
  </w:style>
  <w:style w:type="character" w:styleId="720" w:customStyle="1">
    <w:name w:val="Header Char"/>
    <w:uiPriority w:val="99"/>
  </w:style>
  <w:style w:type="paragraph" w:styleId="721">
    <w:name w:val="Footer"/>
    <w:basedOn w:val="687"/>
    <w:link w:val="892"/>
    <w:uiPriority w:val="99"/>
    <w:unhideWhenUsed/>
    <w:pPr>
      <w:tabs>
        <w:tab w:val="center" w:pos="4677" w:leader="none"/>
        <w:tab w:val="right" w:pos="9355" w:leader="none"/>
      </w:tabs>
    </w:pPr>
    <w:rPr>
      <w:sz w:val="20"/>
      <w:szCs w:val="20"/>
      <w:lang w:val="en-US" w:eastAsia="en-US"/>
    </w:rPr>
  </w:style>
  <w:style w:type="character" w:styleId="722" w:customStyle="1">
    <w:name w:val="Footer Char"/>
    <w:uiPriority w:val="99"/>
  </w:style>
  <w:style w:type="paragraph" w:styleId="723">
    <w:name w:val="Caption"/>
    <w:basedOn w:val="687"/>
    <w:next w:val="687"/>
    <w:link w:val="72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4" w:customStyle="1">
    <w:name w:val="Название объекта Знак"/>
    <w:link w:val="723"/>
    <w:uiPriority w:val="99"/>
  </w:style>
  <w:style w:type="table" w:styleId="725">
    <w:name w:val="Table Grid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6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7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8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0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2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4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55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56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57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58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59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60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67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8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69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70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71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72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3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4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95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7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18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19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20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21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22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23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1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2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3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4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5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6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7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8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9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40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1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2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3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4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5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46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47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48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49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50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51">
    <w:name w:val="Hyperlink"/>
    <w:uiPriority w:val="99"/>
    <w:rPr>
      <w:color w:val="0000ff"/>
      <w:u w:val="single"/>
    </w:rPr>
  </w:style>
  <w:style w:type="paragraph" w:styleId="852">
    <w:name w:val="footnote text"/>
    <w:basedOn w:val="687"/>
    <w:link w:val="853"/>
    <w:uiPriority w:val="99"/>
    <w:semiHidden/>
    <w:unhideWhenUsed/>
    <w:pPr>
      <w:spacing w:after="40"/>
    </w:pPr>
    <w:rPr>
      <w:sz w:val="18"/>
    </w:rPr>
  </w:style>
  <w:style w:type="character" w:styleId="853" w:customStyle="1">
    <w:name w:val="Текст сноски Знак"/>
    <w:link w:val="852"/>
    <w:uiPriority w:val="99"/>
    <w:rPr>
      <w:sz w:val="18"/>
    </w:rPr>
  </w:style>
  <w:style w:type="character" w:styleId="854">
    <w:name w:val="footnote reference"/>
    <w:uiPriority w:val="99"/>
    <w:unhideWhenUsed/>
    <w:rPr>
      <w:vertAlign w:val="superscript"/>
    </w:rPr>
  </w:style>
  <w:style w:type="paragraph" w:styleId="855">
    <w:name w:val="endnote text"/>
    <w:basedOn w:val="687"/>
    <w:link w:val="856"/>
    <w:uiPriority w:val="99"/>
    <w:semiHidden/>
    <w:unhideWhenUsed/>
    <w:rPr>
      <w:sz w:val="20"/>
    </w:rPr>
  </w:style>
  <w:style w:type="character" w:styleId="856" w:customStyle="1">
    <w:name w:val="Текст концевой сноски Знак"/>
    <w:link w:val="855"/>
    <w:uiPriority w:val="99"/>
    <w:rPr>
      <w:sz w:val="20"/>
    </w:rPr>
  </w:style>
  <w:style w:type="character" w:styleId="857">
    <w:name w:val="endnote reference"/>
    <w:uiPriority w:val="99"/>
    <w:semiHidden/>
    <w:unhideWhenUsed/>
    <w:rPr>
      <w:vertAlign w:val="superscript"/>
    </w:rPr>
  </w:style>
  <w:style w:type="paragraph" w:styleId="858">
    <w:name w:val="toc 1"/>
    <w:basedOn w:val="687"/>
    <w:next w:val="687"/>
    <w:uiPriority w:val="39"/>
    <w:unhideWhenUsed/>
    <w:pPr>
      <w:spacing w:after="57"/>
    </w:pPr>
  </w:style>
  <w:style w:type="paragraph" w:styleId="859">
    <w:name w:val="toc 2"/>
    <w:basedOn w:val="687"/>
    <w:next w:val="687"/>
    <w:uiPriority w:val="39"/>
    <w:unhideWhenUsed/>
    <w:pPr>
      <w:ind w:left="283"/>
      <w:spacing w:after="57"/>
    </w:pPr>
  </w:style>
  <w:style w:type="paragraph" w:styleId="860">
    <w:name w:val="toc 3"/>
    <w:basedOn w:val="687"/>
    <w:next w:val="687"/>
    <w:uiPriority w:val="39"/>
    <w:unhideWhenUsed/>
    <w:pPr>
      <w:ind w:left="567"/>
      <w:spacing w:after="57"/>
    </w:pPr>
  </w:style>
  <w:style w:type="paragraph" w:styleId="861">
    <w:name w:val="toc 4"/>
    <w:basedOn w:val="687"/>
    <w:next w:val="687"/>
    <w:uiPriority w:val="39"/>
    <w:unhideWhenUsed/>
    <w:pPr>
      <w:ind w:left="850"/>
      <w:spacing w:after="57"/>
    </w:pPr>
  </w:style>
  <w:style w:type="paragraph" w:styleId="862">
    <w:name w:val="toc 5"/>
    <w:basedOn w:val="687"/>
    <w:next w:val="687"/>
    <w:uiPriority w:val="39"/>
    <w:unhideWhenUsed/>
    <w:pPr>
      <w:ind w:left="1134"/>
      <w:spacing w:after="57"/>
    </w:pPr>
  </w:style>
  <w:style w:type="paragraph" w:styleId="863">
    <w:name w:val="toc 6"/>
    <w:basedOn w:val="687"/>
    <w:next w:val="687"/>
    <w:uiPriority w:val="39"/>
    <w:unhideWhenUsed/>
    <w:pPr>
      <w:ind w:left="1417"/>
      <w:spacing w:after="57"/>
    </w:pPr>
  </w:style>
  <w:style w:type="paragraph" w:styleId="864">
    <w:name w:val="toc 7"/>
    <w:basedOn w:val="687"/>
    <w:next w:val="687"/>
    <w:uiPriority w:val="39"/>
    <w:unhideWhenUsed/>
    <w:pPr>
      <w:ind w:left="1701"/>
      <w:spacing w:after="57"/>
    </w:pPr>
  </w:style>
  <w:style w:type="paragraph" w:styleId="865">
    <w:name w:val="toc 8"/>
    <w:basedOn w:val="687"/>
    <w:next w:val="687"/>
    <w:uiPriority w:val="39"/>
    <w:unhideWhenUsed/>
    <w:pPr>
      <w:ind w:left="1984"/>
      <w:spacing w:after="57"/>
    </w:pPr>
  </w:style>
  <w:style w:type="paragraph" w:styleId="866">
    <w:name w:val="toc 9"/>
    <w:basedOn w:val="687"/>
    <w:next w:val="687"/>
    <w:uiPriority w:val="39"/>
    <w:unhideWhenUsed/>
    <w:pPr>
      <w:ind w:left="2268"/>
      <w:spacing w:after="57"/>
    </w:pPr>
  </w:style>
  <w:style w:type="paragraph" w:styleId="867">
    <w:name w:val="TOC Heading"/>
    <w:uiPriority w:val="39"/>
    <w:unhideWhenUsed/>
  </w:style>
  <w:style w:type="paragraph" w:styleId="868">
    <w:name w:val="table of figures"/>
    <w:basedOn w:val="687"/>
    <w:next w:val="687"/>
    <w:uiPriority w:val="99"/>
    <w:unhideWhenUsed/>
  </w:style>
  <w:style w:type="paragraph" w:styleId="869" w:customStyle="1">
    <w:name w:val="Заголовок 3;H3;h3;Head 3;l3+toc 3;heading 3;CT;Sub-section Title;l3"/>
    <w:basedOn w:val="687"/>
    <w:next w:val="687"/>
    <w:link w:val="873"/>
    <w:qFormat/>
    <w:pPr>
      <w:numPr>
        <w:ilvl w:val="2"/>
        <w:numId w:val="1"/>
      </w:numPr>
      <w:jc w:val="both"/>
      <w:keepNext/>
      <w:spacing w:before="240" w:after="60"/>
      <w:outlineLvl w:val="2"/>
    </w:pPr>
    <w:rPr>
      <w:rFonts w:ascii="Arial" w:hAnsi="Arial"/>
      <w:b/>
      <w:szCs w:val="20"/>
      <w:lang w:val="en-US"/>
    </w:rPr>
  </w:style>
  <w:style w:type="paragraph" w:styleId="870" w:customStyle="1">
    <w:name w:val="Заголовок 4;H4"/>
    <w:basedOn w:val="687"/>
    <w:next w:val="687"/>
    <w:link w:val="874"/>
    <w:qFormat/>
    <w:pPr>
      <w:numPr>
        <w:ilvl w:val="3"/>
        <w:numId w:val="1"/>
      </w:numPr>
      <w:jc w:val="both"/>
      <w:keepNext/>
      <w:spacing w:before="240" w:after="60"/>
      <w:outlineLvl w:val="3"/>
    </w:pPr>
    <w:rPr>
      <w:rFonts w:ascii="Arial" w:hAnsi="Arial"/>
      <w:szCs w:val="20"/>
      <w:lang w:val="en-US"/>
    </w:rPr>
  </w:style>
  <w:style w:type="paragraph" w:styleId="871" w:customStyle="1">
    <w:name w:val="Заголовок 5;H5"/>
    <w:basedOn w:val="687"/>
    <w:next w:val="687"/>
    <w:link w:val="875"/>
    <w:qFormat/>
    <w:pPr>
      <w:numPr>
        <w:ilvl w:val="4"/>
        <w:numId w:val="1"/>
      </w:numPr>
      <w:jc w:val="both"/>
      <w:spacing w:before="240" w:after="60"/>
      <w:outlineLvl w:val="4"/>
    </w:pPr>
    <w:rPr>
      <w:sz w:val="20"/>
      <w:szCs w:val="20"/>
      <w:lang w:val="en-US"/>
    </w:rPr>
  </w:style>
  <w:style w:type="character" w:styleId="872" w:customStyle="1">
    <w:name w:val="Заголовок 2 Знак"/>
    <w:link w:val="689"/>
    <w:uiPriority w:val="9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873" w:customStyle="1">
    <w:name w:val="Заголовок 3 Знак"/>
    <w:link w:val="869"/>
    <w:rPr>
      <w:rFonts w:ascii="Arial" w:hAnsi="Arial" w:eastAsia="Times New Roman"/>
      <w:b/>
      <w:sz w:val="24"/>
      <w:lang w:val="en-US"/>
    </w:rPr>
  </w:style>
  <w:style w:type="character" w:styleId="874" w:customStyle="1">
    <w:name w:val="Заголовок 4 Знак"/>
    <w:link w:val="870"/>
    <w:rPr>
      <w:rFonts w:ascii="Arial" w:hAnsi="Arial" w:eastAsia="Times New Roman"/>
      <w:sz w:val="24"/>
      <w:lang w:val="en-US"/>
    </w:rPr>
  </w:style>
  <w:style w:type="character" w:styleId="875" w:customStyle="1">
    <w:name w:val="Заголовок 5 Знак"/>
    <w:link w:val="871"/>
    <w:rPr>
      <w:rFonts w:ascii="Times New Roman" w:hAnsi="Times New Roman" w:eastAsia="Times New Roman"/>
      <w:lang w:val="en-US"/>
    </w:rPr>
  </w:style>
  <w:style w:type="character" w:styleId="876" w:customStyle="1">
    <w:name w:val="Заголовок 6 Знак"/>
    <w:link w:val="693"/>
    <w:rPr>
      <w:rFonts w:ascii="Times New Roman" w:hAnsi="Times New Roman" w:eastAsia="Times New Roman"/>
      <w:i/>
      <w:lang w:val="en-US"/>
    </w:rPr>
  </w:style>
  <w:style w:type="character" w:styleId="877" w:customStyle="1">
    <w:name w:val="Заголовок 7 Знак"/>
    <w:link w:val="694"/>
    <w:rPr>
      <w:rFonts w:ascii="Arial" w:hAnsi="Arial" w:eastAsia="Times New Roman"/>
      <w:lang w:val="en-US" w:eastAsia="en-US"/>
    </w:rPr>
  </w:style>
  <w:style w:type="character" w:styleId="878" w:customStyle="1">
    <w:name w:val="Заголовок 8 Знак"/>
    <w:link w:val="695"/>
    <w:rPr>
      <w:rFonts w:ascii="Arial" w:hAnsi="Arial" w:eastAsia="Times New Roman"/>
      <w:i/>
      <w:lang w:val="en-US"/>
    </w:rPr>
  </w:style>
  <w:style w:type="character" w:styleId="879" w:customStyle="1">
    <w:name w:val="Заголовок 9 Знак"/>
    <w:link w:val="696"/>
    <w:rPr>
      <w:rFonts w:ascii="Arial" w:hAnsi="Arial" w:eastAsia="Times New Roman"/>
      <w:b/>
      <w:i/>
      <w:sz w:val="18"/>
      <w:lang w:val="en-US"/>
    </w:rPr>
  </w:style>
  <w:style w:type="character" w:styleId="880" w:customStyle="1">
    <w:name w:val="Стиль3 Знак Знак"/>
    <w:link w:val="881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81" w:customStyle="1">
    <w:name w:val="Стиль3 Знак"/>
    <w:basedOn w:val="687"/>
    <w:next w:val="904"/>
    <w:link w:val="880"/>
    <w:pPr>
      <w:jc w:val="both"/>
      <w:widowControl w:val="off"/>
      <w:tabs>
        <w:tab w:val="num" w:pos="227" w:leader="none"/>
      </w:tabs>
    </w:pPr>
    <w:rPr>
      <w:szCs w:val="20"/>
      <w:lang w:val="en-US"/>
    </w:rPr>
  </w:style>
  <w:style w:type="paragraph" w:styleId="882" w:customStyle="1">
    <w:name w:val="Обычный (веб);Обычный (Web);Обычный (веб) Знак Знак;Обычный (Web) Знак Знак Знак"/>
    <w:basedOn w:val="687"/>
    <w:link w:val="906"/>
    <w:uiPriority w:val="99"/>
    <w:unhideWhenUsed/>
    <w:qFormat/>
    <w:pPr>
      <w:spacing w:after="240"/>
    </w:pPr>
  </w:style>
  <w:style w:type="character" w:styleId="883">
    <w:name w:val="Strong"/>
    <w:uiPriority w:val="22"/>
    <w:rPr>
      <w:b/>
      <w:bCs/>
    </w:rPr>
  </w:style>
  <w:style w:type="paragraph" w:styleId="884">
    <w:name w:val="List Number"/>
    <w:basedOn w:val="687"/>
    <w:pPr>
      <w:jc w:val="both"/>
      <w:spacing w:before="60" w:line="360" w:lineRule="auto"/>
    </w:pPr>
    <w:rPr>
      <w:sz w:val="28"/>
    </w:rPr>
  </w:style>
  <w:style w:type="paragraph" w:styleId="885" w:customStyle="1">
    <w:name w:val="Подпункт"/>
    <w:basedOn w:val="687"/>
    <w:pPr>
      <w:numPr>
        <w:ilvl w:val="3"/>
        <w:numId w:val="3"/>
      </w:numPr>
      <w:jc w:val="both"/>
      <w:spacing w:line="360" w:lineRule="auto"/>
    </w:pPr>
    <w:rPr>
      <w:sz w:val="28"/>
      <w:szCs w:val="20"/>
    </w:rPr>
  </w:style>
  <w:style w:type="paragraph" w:styleId="886" w:customStyle="1">
    <w:name w:val="Подподпункт"/>
    <w:basedOn w:val="687"/>
    <w:link w:val="889"/>
    <w:uiPriority w:val="99"/>
    <w:pPr>
      <w:numPr>
        <w:ilvl w:val="4"/>
        <w:numId w:val="2"/>
      </w:numPr>
      <w:jc w:val="both"/>
      <w:spacing w:line="360" w:lineRule="auto"/>
    </w:pPr>
    <w:rPr>
      <w:sz w:val="28"/>
      <w:szCs w:val="20"/>
      <w:lang w:val="en-US" w:eastAsia="en-US"/>
    </w:rPr>
  </w:style>
  <w:style w:type="paragraph" w:styleId="887">
    <w:name w:val="Body Text 2"/>
    <w:basedOn w:val="687"/>
    <w:link w:val="888"/>
    <w:pPr>
      <w:ind w:firstLine="567"/>
      <w:jc w:val="both"/>
      <w:spacing w:after="120" w:line="480" w:lineRule="auto"/>
    </w:pPr>
    <w:rPr>
      <w:sz w:val="28"/>
      <w:szCs w:val="20"/>
      <w:lang w:val="en-US"/>
    </w:rPr>
  </w:style>
  <w:style w:type="character" w:styleId="888" w:customStyle="1">
    <w:name w:val="Основной текст 2 Знак"/>
    <w:link w:val="887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889" w:customStyle="1">
    <w:name w:val="Подподпункт Знак"/>
    <w:link w:val="886"/>
    <w:uiPriority w:val="99"/>
    <w:rPr>
      <w:rFonts w:ascii="Times New Roman" w:hAnsi="Times New Roman" w:eastAsia="Times New Roman"/>
      <w:sz w:val="28"/>
      <w:lang w:val="en-US" w:eastAsia="en-US"/>
    </w:rPr>
  </w:style>
  <w:style w:type="character" w:styleId="890" w:customStyle="1">
    <w:name w:val="комментарий"/>
    <w:uiPriority w:val="99"/>
    <w:rPr>
      <w:b/>
      <w:i/>
      <w:shd w:val="clear" w:color="auto" w:fill="ffff99"/>
    </w:rPr>
  </w:style>
  <w:style w:type="character" w:styleId="891" w:customStyle="1">
    <w:name w:val="Верхний колонтитул Знак"/>
    <w:link w:val="719"/>
    <w:uiPriority w:val="99"/>
    <w:rPr>
      <w:rFonts w:ascii="Calibri" w:hAnsi="Calibri" w:eastAsia="Calibri" w:cs="Times New Roman"/>
    </w:rPr>
  </w:style>
  <w:style w:type="character" w:styleId="892" w:customStyle="1">
    <w:name w:val="Нижний колонтитул Знак"/>
    <w:link w:val="721"/>
    <w:uiPriority w:val="99"/>
    <w:rPr>
      <w:rFonts w:ascii="Calibri" w:hAnsi="Calibri" w:eastAsia="Calibri" w:cs="Times New Roman"/>
    </w:rPr>
  </w:style>
  <w:style w:type="paragraph" w:styleId="893">
    <w:name w:val="Balloon Text"/>
    <w:basedOn w:val="687"/>
    <w:link w:val="894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styleId="894" w:customStyle="1">
    <w:name w:val="Текст выноски Знак"/>
    <w:link w:val="893"/>
    <w:uiPriority w:val="99"/>
    <w:semiHidden/>
    <w:rPr>
      <w:rFonts w:ascii="Tahoma" w:hAnsi="Tahoma" w:cs="Tahoma"/>
      <w:sz w:val="16"/>
      <w:szCs w:val="16"/>
      <w:lang w:eastAsia="en-US"/>
    </w:rPr>
  </w:style>
  <w:style w:type="paragraph" w:styleId="895">
    <w:name w:val="Body Text"/>
    <w:basedOn w:val="687"/>
    <w:link w:val="896"/>
    <w:uiPriority w:val="99"/>
    <w:unhideWhenUsed/>
    <w:pPr>
      <w:spacing w:after="120"/>
    </w:pPr>
    <w:rPr>
      <w:lang w:val="en-US"/>
    </w:rPr>
  </w:style>
  <w:style w:type="character" w:styleId="896" w:customStyle="1">
    <w:name w:val="Основной текст Знак"/>
    <w:link w:val="895"/>
    <w:uiPriority w:val="99"/>
    <w:rPr>
      <w:sz w:val="22"/>
      <w:szCs w:val="22"/>
      <w:lang w:eastAsia="en-US"/>
    </w:rPr>
  </w:style>
  <w:style w:type="paragraph" w:styleId="897">
    <w:name w:val="Body Text Indent"/>
    <w:basedOn w:val="687"/>
    <w:link w:val="898"/>
    <w:uiPriority w:val="99"/>
    <w:semiHidden/>
    <w:unhideWhenUsed/>
    <w:pPr>
      <w:ind w:left="283"/>
      <w:spacing w:after="120"/>
    </w:pPr>
  </w:style>
  <w:style w:type="character" w:styleId="898" w:customStyle="1">
    <w:name w:val="Основной текст с отступом Знак"/>
    <w:link w:val="897"/>
    <w:uiPriority w:val="99"/>
    <w:semiHidden/>
    <w:rPr>
      <w:sz w:val="22"/>
      <w:szCs w:val="22"/>
      <w:lang w:eastAsia="en-US"/>
    </w:rPr>
  </w:style>
  <w:style w:type="character" w:styleId="899" w:customStyle="1">
    <w:name w:val="Основной текст1"/>
    <w:rPr>
      <w:rFonts w:ascii="Times New Roman" w:hAnsi="Times New Roman" w:eastAsia="Times New Roman" w:cs="Times New Roman"/>
      <w:color w:val="000000"/>
      <w:spacing w:val="0"/>
      <w:position w:val="0"/>
      <w:sz w:val="18"/>
      <w:szCs w:val="18"/>
      <w:u w:val="none"/>
      <w:shd w:val="clear" w:color="auto" w:fill="ffffff"/>
      <w:lang w:val="ru-RU"/>
    </w:rPr>
  </w:style>
  <w:style w:type="character" w:styleId="900" w:customStyle="1">
    <w:name w:val="Основной текст_"/>
    <w:link w:val="901"/>
    <w:rPr>
      <w:sz w:val="18"/>
      <w:szCs w:val="18"/>
      <w:shd w:val="clear" w:color="auto" w:fill="ffffff"/>
    </w:rPr>
  </w:style>
  <w:style w:type="paragraph" w:styleId="901" w:customStyle="1">
    <w:name w:val="Основной текст2"/>
    <w:basedOn w:val="687"/>
    <w:link w:val="900"/>
    <w:pPr>
      <w:ind w:firstLine="2280"/>
      <w:spacing w:after="240" w:line="235" w:lineRule="exact"/>
      <w:shd w:val="clear" w:color="auto" w:fill="ffffff"/>
      <w:widowControl w:val="off"/>
    </w:pPr>
    <w:rPr>
      <w:sz w:val="18"/>
      <w:szCs w:val="18"/>
      <w:lang w:val="en-US" w:eastAsia="en-US"/>
    </w:rPr>
  </w:style>
  <w:style w:type="paragraph" w:styleId="902" w:customStyle="1">
    <w:name w:val="Default"/>
    <w:rPr>
      <w:rFonts w:ascii="Times New Roman" w:hAnsi="Times New Roman" w:eastAsia="Times New Roman"/>
      <w:color w:val="000000"/>
      <w:sz w:val="24"/>
      <w:szCs w:val="24"/>
      <w:lang w:eastAsia="ru-RU"/>
    </w:rPr>
  </w:style>
  <w:style w:type="character" w:styleId="903">
    <w:name w:val="FollowedHyperlink"/>
    <w:uiPriority w:val="99"/>
    <w:semiHidden/>
    <w:unhideWhenUsed/>
    <w:rPr>
      <w:color w:val="800080"/>
      <w:u w:val="single"/>
    </w:rPr>
  </w:style>
  <w:style w:type="paragraph" w:styleId="904" w:customStyle="1">
    <w:name w:val="Абзац списка;Маркер;List Paragraph;название;Bullet Number;Нумерованый список;Bullet List;FooterText;numbered;lp1;Абзац списка2;SL_Абзац списка;List Paragraph1;Абзац списка4;ПАРАГРАФ;f_Абзац 1;Абзац списка3;Абзац списка11;Текстовая;Нумерованный спиков;UL"/>
    <w:basedOn w:val="687"/>
    <w:link w:val="905"/>
    <w:uiPriority w:val="34"/>
    <w:qFormat/>
    <w:pPr>
      <w:contextualSpacing/>
      <w:ind w:left="720"/>
      <w:widowControl w:val="off"/>
    </w:pPr>
    <w:rPr>
      <w:rFonts w:ascii="Courier New" w:hAnsi="Courier New"/>
      <w:sz w:val="20"/>
      <w:szCs w:val="20"/>
    </w:rPr>
  </w:style>
  <w:style w:type="character" w:styleId="905" w:customStyle="1">
    <w:name w:val="Абзац списка Знак;Маркер Знак;List Paragraph Знак;название Знак;Bullet Number Знак;Нумерованый список Знак;Bullet List Знак;FooterText Знак;numbered Знак;lp1 Знак;Абзац списка2 Знак;SL_Абзац списка Знак;List Paragraph1 Знак;Абзац списка4 Знак;UL Знак"/>
    <w:link w:val="904"/>
    <w:uiPriority w:val="34"/>
    <w:rPr>
      <w:rFonts w:ascii="Courier New" w:hAnsi="Courier New" w:eastAsia="Times New Roman"/>
    </w:rPr>
  </w:style>
  <w:style w:type="character" w:styleId="906" w:customStyle="1">
    <w:name w:val="Обычный (веб) Знак;Обычный (Web) Знак;Обычный (веб) Знак Знак Знак;Обычный (Web) Знак Знак Знак Знак"/>
    <w:link w:val="882"/>
    <w:uiPriority w:val="99"/>
    <w:rPr>
      <w:rFonts w:ascii="Times New Roman" w:hAnsi="Times New Roman" w:eastAsia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hyperlink" Target="mailto:Salei.AO@lenenergo.ru" TargetMode="External"/><Relationship Id="rId11" Type="http://schemas.openxmlformats.org/officeDocument/2006/relationships/hyperlink" Target="mailto:Parfenov.NN@lenenergo.ru" TargetMode="External"/><Relationship Id="rId12" Type="http://schemas.openxmlformats.org/officeDocument/2006/relationships/hyperlink" Target="http://www.zakupki.gov.ru" TargetMode="External"/><Relationship Id="rId13" Type="http://schemas.openxmlformats.org/officeDocument/2006/relationships/hyperlink" Target="https://tender.lot-online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LE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DIT</dc:creator>
  <cp:lastModifiedBy>salei.ao</cp:lastModifiedBy>
  <cp:revision>82</cp:revision>
  <dcterms:created xsi:type="dcterms:W3CDTF">2024-06-13T11:13:00Z</dcterms:created>
  <dcterms:modified xsi:type="dcterms:W3CDTF">2026-10-07T09:51:38Z</dcterms:modified>
  <cp:version>1048576</cp:version>
</cp:coreProperties>
</file>