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footnotes.xml" ContentType="application/vnd.openxmlformats-officedocument.wordprocessingml.footnot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159"/>
      </w:tblGrid>
      <w:tr>
        <w:trPr>
          <w:trHeight w:val="1476"/>
        </w:trPr>
        <w:tc>
          <w:tcPr>
            <w:tcBorders/>
            <w:tcW w:w="10159" w:type="dxa"/>
          </w:tcPr>
          <w:p>
            <w:pPr>
              <w:pBdr/>
              <w:spacing/>
              <w:ind/>
              <w:rPr/>
            </w:pPr>
            <w:r/>
            <w:r/>
          </w:p>
        </w:tc>
      </w:tr>
      <w:tr>
        <w:trPr>
          <w:trHeight w:val="1461"/>
        </w:trPr>
        <w:tc>
          <w:tcPr>
            <w:tcBorders/>
            <w:tcW w:w="10159" w:type="dxa"/>
          </w:tcPr>
          <w:p>
            <w:pPr>
              <w:pBdr/>
              <w:spacing/>
              <w:ind/>
              <w:rPr/>
            </w:pPr>
            <w:r/>
            <w:r/>
          </w:p>
        </w:tc>
      </w:tr>
      <w:tr>
        <w:trPr>
          <w:trHeight w:val="1877"/>
        </w:trPr>
        <w:tc>
          <w:tcPr>
            <w:tcBorders/>
            <w:tcMar>
              <w:left w:w="29" w:type="dxa"/>
              <w:top w:w="29" w:type="dxa"/>
              <w:right w:w="72" w:type="dxa"/>
            </w:tcMar>
            <w:tcW w:w="10159" w:type="dxa"/>
          </w:tcPr>
          <w:p>
            <w:pPr>
              <w:pBdr/>
              <w:spacing w:line="237" w:lineRule="auto"/>
              <w:ind/>
              <w:jc w:val="center"/>
              <w:rPr>
                <w:rFonts w:ascii="Times New Roman" w:hAnsi="Times New Roman" w:eastAsia="Times New Roman" w:cs="Times New Roman"/>
                <w:color w:val="000000"/>
                <w:sz w:val="32"/>
              </w:rPr>
            </w:pPr>
            <w:r>
              <w:rPr>
                <w:rFonts w:ascii="Times New Roman" w:hAnsi="Times New Roman" w:eastAsia="Times New Roman" w:cs="Times New Roman"/>
                <w:b/>
                <w:color w:val="000000"/>
                <w:sz w:val="32"/>
              </w:rPr>
              <w:t xml:space="preserve">Документация о проведении аукциона в электронной форме, </w:t>
            </w:r>
            <w:r>
              <w:rPr>
                <w:rFonts w:ascii="Times New Roman" w:hAnsi="Times New Roman" w:eastAsia="Times New Roman" w:cs="Times New Roman"/>
                <w:color w:val="000000"/>
                <w:sz w:val="32"/>
              </w:rPr>
            </w:r>
          </w:p>
          <w:p>
            <w:pPr>
              <w:pBdr/>
              <w:spacing w:line="237" w:lineRule="auto"/>
              <w:ind/>
              <w:jc w:val="center"/>
              <w:rPr>
                <w:rFonts w:ascii="Times New Roman" w:hAnsi="Times New Roman" w:eastAsia="Times New Roman" w:cs="Times New Roman"/>
                <w:color w:val="000000"/>
                <w:sz w:val="32"/>
              </w:rPr>
            </w:pPr>
            <w:r>
              <w:rPr>
                <w:rFonts w:ascii="Times New Roman" w:hAnsi="Times New Roman" w:eastAsia="Times New Roman" w:cs="Times New Roman"/>
                <w:color w:val="000000"/>
                <w:sz w:val="32"/>
              </w:rPr>
              <w:t xml:space="preserve">Оказание услуг по технической поддержке и обновлению до актуальной версии модуля АРМ «Поликлиника» «Комплексной медицинской информационной системы» </w:t>
            </w:r>
            <w:r>
              <w:rPr>
                <w:rFonts w:ascii="Times New Roman" w:hAnsi="Times New Roman" w:eastAsia="Times New Roman" w:cs="Times New Roman"/>
                <w:color w:val="000000"/>
                <w:sz w:val="32"/>
              </w:rPr>
            </w:r>
          </w:p>
          <w:p>
            <w:pPr>
              <w:pBdr/>
              <w:spacing w:line="237" w:lineRule="auto"/>
              <w:ind/>
              <w:jc w:val="center"/>
              <w:rPr>
                <w:rFonts w:ascii="Times New Roman" w:hAnsi="Times New Roman" w:eastAsia="Times New Roman" w:cs="Times New Roman"/>
                <w:color w:val="000000"/>
                <w:sz w:val="32"/>
              </w:rPr>
            </w:pPr>
            <w:r>
              <w:rPr>
                <w:rFonts w:ascii="Times New Roman" w:hAnsi="Times New Roman" w:eastAsia="Times New Roman" w:cs="Times New Roman"/>
                <w:b/>
                <w:color w:val="000000"/>
                <w:sz w:val="32"/>
              </w:rPr>
              <w:t xml:space="preserve">для нужд</w:t>
            </w:r>
            <w:r>
              <w:rPr>
                <w:rFonts w:ascii="Times New Roman" w:hAnsi="Times New Roman" w:eastAsia="Times New Roman" w:cs="Times New Roman"/>
                <w:color w:val="000000"/>
                <w:sz w:val="32"/>
              </w:rPr>
            </w:r>
          </w:p>
        </w:tc>
      </w:tr>
      <w:tr>
        <w:trPr>
          <w:trHeight w:val="516"/>
        </w:trPr>
        <w:tc>
          <w:tcPr>
            <w:tcBorders/>
            <w:tcMar>
              <w:left w:w="29" w:type="dxa"/>
              <w:top w:w="29" w:type="dxa"/>
              <w:right w:w="29" w:type="dxa"/>
            </w:tcMar>
            <w:tcW w:w="10159" w:type="dxa"/>
          </w:tcPr>
          <w:p>
            <w:pPr>
              <w:pBdr/>
              <w:spacing w:line="237" w:lineRule="auto"/>
              <w:ind/>
              <w:jc w:val="center"/>
              <w:rPr>
                <w:rFonts w:ascii="Times New Roman" w:hAnsi="Times New Roman" w:eastAsia="Times New Roman" w:cs="Times New Roman"/>
                <w:b/>
                <w:bCs/>
                <w:color w:val="000000"/>
                <w:sz w:val="20"/>
                <w:szCs w:val="20"/>
                <w:highlight w:val="none"/>
              </w:rPr>
            </w:pPr>
            <w:r>
              <w:rPr>
                <w:rFonts w:ascii="Times New Roman" w:hAnsi="Times New Roman" w:eastAsia="Times New Roman" w:cs="Times New Roman"/>
                <w:b/>
                <w:color w:val="000000"/>
                <w:sz w:val="20"/>
              </w:rPr>
              <w:t xml:space="preserve"> КРАЕВОЕ ГОСУДАРСТВЕННОЕ БЮДЖЕТНОЕ УЧРЕЖДЕНИЕ ЗДРАВООХРАНЕНИЯ "АЛТАЙСКИЙ КРАЕВОЙ НАРКОЛОГИЧЕСКИЙ ДИСПАНСЕР" </w:t>
            </w:r>
            <w:r>
              <w:rPr>
                <w:rFonts w:ascii="Times New Roman" w:hAnsi="Times New Roman" w:eastAsia="Times New Roman" w:cs="Times New Roman"/>
                <w:b/>
                <w:color w:val="000000"/>
                <w:sz w:val="20"/>
              </w:rPr>
            </w:r>
          </w:p>
          <w:p w14:paraId="1EF3FD49">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5D29CF2A">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70840766">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6CC34482">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593D148A">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08E6537A">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7636624F">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13FE46DA">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79C68638">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1B6985E2">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353608AF">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6231C298">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571E5000">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4C7765F2">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78C4DDC7">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3D822D12">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63DEAB4D">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5E4DD000">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3884B30A">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1AD6F1F8">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7253CDA0">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128A87F4">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r>
              <w:rPr>
                <w:rFonts w:ascii="Times New Roman" w:hAnsi="Times New Roman" w:eastAsia="Times New Roman" w:cs="Times New Roman"/>
                <w:b/>
                <w:bCs/>
                <w:color w:val="000000"/>
                <w:sz w:val="20"/>
                <w:szCs w:val="20"/>
              </w:rPr>
            </w:r>
          </w:p>
          <w:p w14:paraId="56FCF1D3">
            <w:pPr>
              <w:pBdr/>
              <w:spacing w:line="237" w:lineRule="auto"/>
              <w:ind/>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color w:val="000000"/>
                <w:sz w:val="20"/>
                <w:highlight w:val="none"/>
              </w:rPr>
            </w:r>
            <w:r>
              <w:rPr>
                <w:rFonts w:ascii="Times New Roman" w:hAnsi="Times New Roman" w:eastAsia="Times New Roman" w:cs="Times New Roman"/>
                <w:b/>
                <w:color w:val="000000"/>
                <w:sz w:val="20"/>
                <w:highlight w:val="none"/>
              </w:rPr>
            </w:r>
            <w:r>
              <w:rPr>
                <w:rFonts w:ascii="Times New Roman" w:hAnsi="Times New Roman" w:eastAsia="Times New Roman" w:cs="Times New Roman"/>
                <w:b/>
                <w:color w:val="000000"/>
                <w:sz w:val="20"/>
                <w:highlight w:val="none"/>
              </w:rPr>
            </w:r>
          </w:p>
        </w:tc>
      </w:tr>
      <w:tr>
        <w:trPr>
          <w:trHeight w:val="2178"/>
        </w:trPr>
        <w:tc>
          <w:tcPr>
            <w:tcBorders/>
            <w:tcW w:w="10159" w:type="dxa"/>
          </w:tcPr>
          <w:p>
            <w:pPr>
              <w:pBdr/>
              <w:spacing/>
              <w:ind/>
              <w:rPr/>
            </w:pPr>
            <w:r/>
            <w:r/>
          </w:p>
        </w:tc>
      </w:tr>
      <w:tr>
        <w:trPr>
          <w:trHeight w:val="2163"/>
        </w:trPr>
        <w:tc>
          <w:tcPr>
            <w:tcBorders/>
            <w:tcW w:w="10159" w:type="dxa"/>
          </w:tcPr>
          <w:p>
            <w:pPr>
              <w:pBdr/>
              <w:spacing/>
              <w:ind/>
              <w:rPr/>
            </w:pPr>
            <w:r/>
            <w:r/>
          </w:p>
        </w:tc>
      </w:tr>
    </w:tbl>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Барнаул, 2026 </w:t>
      </w:r>
      <w:r>
        <w:rPr>
          <w:rFonts w:ascii="Times New Roman" w:hAnsi="Times New Roman" w:eastAsia="Times New Roman" w:cs="Times New Roman"/>
          <w:b/>
          <w:color w:val="000000"/>
          <w:sz w:val="20"/>
        </w:rPr>
      </w:r>
    </w:p>
    <w:p>
      <w:pPr>
        <w:pBdr/>
        <w:spacing/>
        <w:ind/>
        <w:rPr/>
      </w:pPr>
      <w:r>
        <w:br w:type="page" w:clear="all"/>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159"/>
      </w:tblGrid>
      <w:tr>
        <w:trPr>
          <w:trHeight w:val="1146"/>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Понятия и сокращения используемые в документации о проведении аукциона в электронной форме</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t xml:space="preserve">Понятия, термины и сокращения, использующиеся в настоящей документации, применяются в значениях, определенных Федеральным </w:t>
            </w:r>
            <w:r>
              <w:rPr>
                <w:rFonts w:ascii="Times New Roman" w:hAnsi="Times New Roman" w:eastAsia="Times New Roman" w:cs="Times New Roman"/>
                <w:color w:val="000000"/>
                <w:sz w:val="20"/>
              </w:rPr>
              <w:t xml:space="preserve">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КГБУЗ "АЛТАЙСКИЙ КРАЕВОЙ НАРКОЛОГИЧЕСКИЙ ДИСПАНСЕР" (далее - Положение).</w:t>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t xml:space="preserve">В настоящей документации используются следующие понятия и сокращения: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аукцион в электронной форме (далее – аукцион) </w:t>
            </w:r>
            <w:r>
              <w:rPr>
                <w:rFonts w:ascii="Times New Roman" w:hAnsi="Times New Roman" w:eastAsia="Times New Roman" w:cs="Times New Roman"/>
                <w:color w:val="000000"/>
                <w:sz w:val="20"/>
              </w:rPr>
              <w:t xml:space="preserve">– форма</w:t>
            </w:r>
            <w:r>
              <w:rPr>
                <w:rFonts w:ascii="Times New Roman" w:hAnsi="Times New Roman" w:eastAsia="Times New Roman" w:cs="Times New Roman"/>
                <w:color w:val="000000"/>
                <w:sz w:val="20"/>
              </w:rPr>
              <w:t xml:space="preserve"> торгов, при которой победителем аукциона, с которым заключается договор, признается участник такого аукциона, заявка на участие в аукционе в электронной форме которого соответствует требованиям, установленным документацией о закупке (далее – аукционная до</w:t>
            </w:r>
            <w:r>
              <w:rPr>
                <w:rFonts w:ascii="Times New Roman" w:hAnsi="Times New Roman" w:eastAsia="Times New Roman" w:cs="Times New Roman"/>
                <w:color w:val="000000"/>
                <w:sz w:val="20"/>
              </w:rPr>
              <w:t xml:space="preserve">кументация, документация), и который предложил наиболее низкую цену договора путем снижения начальной (максимальной) цены договора, указанной в извещении о проведении аукциона в электронной форме, на установленный в аукционной документации «шаг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t xml:space="preserve">В случае если при проведении аукциона в электронной форме цена договора снижена до нуля, аукцион в электронной форме проводитс</w:t>
            </w:r>
            <w:r>
              <w:rPr>
                <w:rFonts w:ascii="Times New Roman" w:hAnsi="Times New Roman" w:eastAsia="Times New Roman" w:cs="Times New Roman"/>
                <w:color w:val="000000"/>
                <w:sz w:val="20"/>
              </w:rPr>
              <w:t xml:space="preserve">я на право заключить договор. В этом случае победителем аукциона в электронной форме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уполномоченное учреждение</w:t>
            </w:r>
            <w:r>
              <w:rPr>
                <w:rFonts w:ascii="Times New Roman" w:hAnsi="Times New Roman" w:eastAsia="Times New Roman" w:cs="Times New Roman"/>
                <w:color w:val="000000"/>
                <w:sz w:val="20"/>
              </w:rPr>
              <w:t xml:space="preserve"> – краевое государственное казенное учреждение «Центр государственных закупок Алтайского края», осуществляющее в соответствии с условиями заключенног</w:t>
            </w:r>
            <w:r>
              <w:rPr>
                <w:rFonts w:ascii="Times New Roman" w:hAnsi="Times New Roman" w:eastAsia="Times New Roman" w:cs="Times New Roman"/>
                <w:color w:val="000000"/>
                <w:sz w:val="20"/>
              </w:rPr>
              <w:t xml:space="preserve">о соглашения отдельные функции по определению поставщиков (исполнителей, подрядчиков) для заказчиков, осуществляющих закупочную деятельность в соответствии с Законом о закупках, сведения о котором содержатся в пункте 1.2 Информационной карты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заказчик</w:t>
            </w:r>
            <w:r>
              <w:rPr>
                <w:rFonts w:ascii="Times New Roman" w:hAnsi="Times New Roman" w:eastAsia="Times New Roman" w:cs="Times New Roman"/>
                <w:color w:val="000000"/>
                <w:sz w:val="20"/>
              </w:rPr>
              <w:t xml:space="preserve"> – юридическое лицо, в интересах и за счет средств которого осуществляется закупка, сведения о котором содержатся в пункте 1.1 Информационной карты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комиссии по осуществлению закупки</w:t>
            </w:r>
            <w:r>
              <w:rPr>
                <w:rFonts w:ascii="Times New Roman" w:hAnsi="Times New Roman" w:eastAsia="Times New Roman" w:cs="Times New Roman"/>
                <w:color w:val="000000"/>
                <w:sz w:val="20"/>
              </w:rPr>
              <w:t xml:space="preserve"> – комиссии, создаваемые уполномоченным учреждением для определения поставщиков (подрядчиков, исполнителей) при осуществлении закупок (далее – «комиссия»);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региональная информационная система Алтайского края в сфере закупок</w:t>
            </w:r>
            <w:r>
              <w:rPr>
                <w:rFonts w:ascii="Times New Roman" w:hAnsi="Times New Roman" w:eastAsia="Times New Roman" w:cs="Times New Roman"/>
                <w:color w:val="000000"/>
                <w:sz w:val="20"/>
              </w:rPr>
              <w:t xml:space="preserve"> – информационная система, предназначенная для автоматизации процессо</w:t>
            </w:r>
            <w:r>
              <w:rPr>
                <w:rFonts w:ascii="Times New Roman" w:hAnsi="Times New Roman" w:eastAsia="Times New Roman" w:cs="Times New Roman"/>
                <w:color w:val="000000"/>
                <w:sz w:val="20"/>
              </w:rPr>
              <w:t xml:space="preserve">в закупок для обеспечения государственных и муниципальных нужд Алтайского края, отдельными видами юридических лиц Алтайского края, именуемая «АИС Госзаказ», сайт которой размещен в информационно-телекоммуникационной сети «Интернет» по адресу www.gzalt.ru;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электронная площадка</w:t>
            </w:r>
            <w:r>
              <w:rPr>
                <w:rFonts w:ascii="Times New Roman" w:hAnsi="Times New Roman" w:eastAsia="Times New Roman" w:cs="Times New Roman"/>
                <w:color w:val="000000"/>
                <w:sz w:val="20"/>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оператор ЭП</w:t>
            </w:r>
            <w:r>
              <w:rPr>
                <w:rFonts w:ascii="Times New Roman" w:hAnsi="Times New Roman" w:eastAsia="Times New Roman" w:cs="Times New Roman"/>
                <w:color w:val="000000"/>
                <w:sz w:val="20"/>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w:t>
            </w:r>
            <w:r>
              <w:rPr>
                <w:rFonts w:ascii="Times New Roman" w:hAnsi="Times New Roman" w:eastAsia="Times New Roman" w:cs="Times New Roman"/>
                <w:color w:val="000000"/>
                <w:sz w:val="20"/>
              </w:rPr>
              <w:t xml:space="preserve">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w:t>
            </w:r>
            <w:r>
              <w:rPr>
                <w:rFonts w:ascii="Times New Roman" w:hAnsi="Times New Roman" w:eastAsia="Times New Roman" w:cs="Times New Roman"/>
                <w:color w:val="000000"/>
                <w:sz w:val="20"/>
              </w:rPr>
              <w:t xml:space="preserve">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Закона о закупках.</w:t>
            </w:r>
            <w:r>
              <w:rPr>
                <w:rFonts w:ascii="Times New Roman" w:hAnsi="Times New Roman" w:eastAsia="Times New Roman" w:cs="Times New Roman"/>
                <w:color w:val="000000"/>
                <w:sz w:val="20"/>
              </w:rPr>
              <w:t xml:space="preserve">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закупка</w:t>
            </w:r>
            <w:r>
              <w:rPr>
                <w:rFonts w:ascii="Times New Roman" w:hAnsi="Times New Roman" w:eastAsia="Times New Roman" w:cs="Times New Roman"/>
                <w:color w:val="000000"/>
                <w:sz w:val="20"/>
              </w:rPr>
              <w:t xml:space="preserve"> – совокупность действий, осуществляемых заказчиком и (или</w:t>
            </w:r>
            <w:r>
              <w:rPr>
                <w:rFonts w:ascii="Times New Roman" w:hAnsi="Times New Roman" w:eastAsia="Times New Roman" w:cs="Times New Roman"/>
                <w:color w:val="000000"/>
                <w:sz w:val="20"/>
              </w:rPr>
              <w:t xml:space="preserve">) уполномоченным учреждением,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начальная (максимальная) цена договора</w:t>
            </w:r>
            <w:r>
              <w:rPr>
                <w:rFonts w:ascii="Times New Roman" w:hAnsi="Times New Roman" w:eastAsia="Times New Roman" w:cs="Times New Roman"/>
                <w:color w:val="000000"/>
                <w:sz w:val="20"/>
              </w:rPr>
              <w:t xml:space="preserve"> – предельная цена товаров, работ, услуг, являющихся предметом закупки, рассчитанная заказчиком в порядке, установленном Положением;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документы о закупке</w:t>
            </w:r>
            <w:r>
              <w:rPr>
                <w:rFonts w:ascii="Times New Roman" w:hAnsi="Times New Roman" w:eastAsia="Times New Roman" w:cs="Times New Roman"/>
                <w:color w:val="000000"/>
                <w:sz w:val="20"/>
              </w:rPr>
              <w:t xml:space="preserve"> – комплект документов (в том числе проект договора), содержащий полную инф</w:t>
            </w:r>
            <w:r>
              <w:rPr>
                <w:rFonts w:ascii="Times New Roman" w:hAnsi="Times New Roman" w:eastAsia="Times New Roman" w:cs="Times New Roman"/>
                <w:color w:val="000000"/>
                <w:sz w:val="20"/>
              </w:rPr>
              <w:t xml:space="preserve">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форма предоставления информации участником закупки</w:t>
            </w:r>
            <w:r>
              <w:rPr>
                <w:rFonts w:ascii="Times New Roman" w:hAnsi="Times New Roman" w:eastAsia="Times New Roman" w:cs="Times New Roman"/>
                <w:color w:val="000000"/>
                <w:sz w:val="20"/>
              </w:rPr>
              <w:t xml:space="preserve"> – набор обязательных реквизитов и порядок их расположения установленный заказчиком в документации о закупке и обязательный для применения участником закупки в порядке, установленном заказчиком в документации о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электронный документ</w:t>
            </w:r>
            <w:r>
              <w:rPr>
                <w:rFonts w:ascii="Times New Roman" w:hAnsi="Times New Roman" w:eastAsia="Times New Roman" w:cs="Times New Roman"/>
                <w:color w:val="000000"/>
                <w:sz w:val="20"/>
              </w:rPr>
              <w:t xml:space="preserve"> – документ, в котором информация представлена в электронном виде;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электронная копия документа</w:t>
            </w:r>
            <w:r>
              <w:rPr>
                <w:rFonts w:ascii="Times New Roman" w:hAnsi="Times New Roman" w:eastAsia="Times New Roman" w:cs="Times New Roman"/>
                <w:color w:val="000000"/>
                <w:sz w:val="20"/>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участник закупки</w:t>
            </w:r>
            <w:r>
              <w:rPr>
                <w:rFonts w:ascii="Times New Roman" w:hAnsi="Times New Roman" w:eastAsia="Times New Roman" w:cs="Times New Roman"/>
                <w:color w:val="000000"/>
                <w:sz w:val="20"/>
              </w:rPr>
              <w:t xml:space="preserve"> – любое юридическое лицо или несколько юридических лиц, выступающих на стороне одного участника закупки, не</w:t>
            </w:r>
            <w:r>
              <w:rPr>
                <w:rFonts w:ascii="Times New Roman" w:hAnsi="Times New Roman" w:eastAsia="Times New Roman" w:cs="Times New Roman"/>
                <w:color w:val="000000"/>
                <w:sz w:val="20"/>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w:t>
            </w:r>
            <w:r>
              <w:rPr>
                <w:rFonts w:ascii="Times New Roman" w:hAnsi="Times New Roman" w:eastAsia="Times New Roman" w:cs="Times New Roman"/>
                <w:color w:val="000000"/>
                <w:sz w:val="20"/>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Times New Roman" w:hAnsi="Times New Roman" w:eastAsia="Times New Roman" w:cs="Times New Roman"/>
                <w:color w:val="000000"/>
                <w:sz w:val="20"/>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победитель закупки</w:t>
            </w:r>
            <w:r>
              <w:rPr>
                <w:rFonts w:ascii="Times New Roman" w:hAnsi="Times New Roman" w:eastAsia="Times New Roman" w:cs="Times New Roman"/>
                <w:color w:val="000000"/>
                <w:sz w:val="20"/>
              </w:rPr>
              <w:t xml:space="preserve"> – участник закупки, соответствующий требованиям извещения и документации о</w:t>
            </w:r>
            <w:r>
              <w:rPr>
                <w:rFonts w:ascii="Times New Roman" w:hAnsi="Times New Roman" w:eastAsia="Times New Roman" w:cs="Times New Roman"/>
                <w:color w:val="000000"/>
                <w:sz w:val="20"/>
              </w:rPr>
            </w:r>
          </w:p>
        </w:tc>
      </w:tr>
      <w:tr>
        <w:trPr>
          <w:trHeight w:val="2064"/>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закупке, установленным заказчиком в соответствии с Положением, и сделавший лучшее предложение в соответствии с условиями извещения и документации о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поставщик (подрядчик, исполнитель</w:t>
            </w:r>
            <w:r>
              <w:rPr>
                <w:rFonts w:ascii="Times New Roman" w:hAnsi="Times New Roman" w:eastAsia="Times New Roman" w:cs="Times New Roman"/>
                <w:color w:val="000000"/>
                <w:sz w:val="20"/>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заявка участника закупки</w:t>
            </w:r>
            <w:r>
              <w:rPr>
                <w:rFonts w:ascii="Times New Roman" w:hAnsi="Times New Roman" w:eastAsia="Times New Roman" w:cs="Times New Roman"/>
                <w:color w:val="000000"/>
                <w:sz w:val="20"/>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документации закупке согласно Положению и Закон</w:t>
            </w:r>
            <w:r>
              <w:rPr>
                <w:rFonts w:ascii="Times New Roman" w:hAnsi="Times New Roman" w:eastAsia="Times New Roman" w:cs="Times New Roman"/>
                <w:color w:val="000000"/>
                <w:sz w:val="20"/>
              </w:rPr>
              <w:t xml:space="preserve">у о закупках, содержащий предложение участника закупки и направленный участником закупки в порядке, установленном документацией о закупке. Форма заявки на участие в аукционе устанавливается в документации о проведении аукциона в соответствии с Положением;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уклонение от заключения договора</w:t>
            </w:r>
            <w:r>
              <w:rPr>
                <w:rFonts w:ascii="Times New Roman" w:hAnsi="Times New Roman" w:eastAsia="Times New Roman" w:cs="Times New Roman"/>
                <w:color w:val="000000"/>
                <w:sz w:val="20"/>
              </w:rPr>
              <w:t xml:space="preserve"> – действия (бездействие) участника з</w:t>
            </w:r>
            <w:r>
              <w:rPr>
                <w:rFonts w:ascii="Times New Roman" w:hAnsi="Times New Roman" w:eastAsia="Times New Roman" w:cs="Times New Roman"/>
                <w:color w:val="000000"/>
                <w:sz w:val="20"/>
              </w:rPr>
              <w:t xml:space="preserve">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документацией срок) подписанного им договора; представление договора в иной редакции, нежели предусмотре</w:t>
            </w:r>
            <w:r>
              <w:rPr>
                <w:rFonts w:ascii="Times New Roman" w:hAnsi="Times New Roman" w:eastAsia="Times New Roman" w:cs="Times New Roman"/>
                <w:color w:val="000000"/>
                <w:sz w:val="20"/>
              </w:rPr>
              <w:t xml:space="preserve">но документацией о закупке; непредставление в установленный документацией срок обеспечения исполнения договора; непредставление в установленный документацией срок иных документов, требуемых при заключении договора в соответствии с документацией о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реестр недобросовестных поставщиков (подрядчиков, исполнителей)</w:t>
            </w:r>
            <w:r>
              <w:rPr>
                <w:rFonts w:ascii="Times New Roman" w:hAnsi="Times New Roman" w:eastAsia="Times New Roman" w:cs="Times New Roman"/>
                <w:color w:val="000000"/>
                <w:sz w:val="20"/>
              </w:rPr>
              <w:t xml:space="preserve"> – реестр, формируемый из участников проводимых закупок, уклонившихся от заключения договора, поставщиков (подрядчиков, исполнителей), договоры с которыми расторгнуты по решению суда в связи с существенным нарушением ими условий договоров.</w:t>
            </w:r>
            <w:r>
              <w:rPr>
                <w:rFonts w:ascii="Times New Roman" w:hAnsi="Times New Roman" w:eastAsia="Times New Roman" w:cs="Times New Roman"/>
                <w:color w:val="000000"/>
                <w:sz w:val="20"/>
              </w:rPr>
            </w:r>
          </w:p>
        </w:tc>
      </w:tr>
      <w:tr>
        <w:trPr>
          <w:trHeight w:val="459"/>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1.СПОСОБ ОСУЩЕСТВЛЕНИЯ ЗАКУПКИ.</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1.1. Способ проведения закупки: аукцион в электронной форме </w:t>
            </w:r>
            <w:r>
              <w:rPr>
                <w:rFonts w:ascii="Times New Roman" w:hAnsi="Times New Roman" w:eastAsia="Times New Roman" w:cs="Times New Roman"/>
                <w:color w:val="000000"/>
                <w:sz w:val="20"/>
              </w:rPr>
            </w:r>
          </w:p>
        </w:tc>
      </w:tr>
      <w:tr>
        <w:trPr>
          <w:trHeight w:val="917"/>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2. 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2.1. Сведения о заказчике приведены в пункте 1.1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2.2. Сведения об уполномоченном учреждении приведены в пункте 1.2 Информационной карты. </w:t>
            </w:r>
            <w:r>
              <w:rPr>
                <w:rFonts w:ascii="Times New Roman" w:hAnsi="Times New Roman" w:eastAsia="Times New Roman" w:cs="Times New Roman"/>
                <w:color w:val="000000"/>
                <w:sz w:val="20"/>
              </w:rPr>
            </w:r>
          </w:p>
        </w:tc>
      </w:tr>
      <w:tr>
        <w:trPr>
          <w:trHeight w:val="688"/>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3. ПРОЕКТ ДОГОВОРА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3.1. Проект договора является неотъемлемой частью документации о проведении аукциона в электронной форме и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0"/>
              </w:rPr>
            </w:r>
          </w:p>
        </w:tc>
      </w:tr>
      <w:tr>
        <w:trPr>
          <w:trHeight w:val="1375"/>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4. МЕСТО, УСЛОВИЯ И СРОКИ (ПЕРИОДЫ) ПОСТАВКИ ТОВАРА, ВЫПОЛНЕНИЯ РАБОТЫ, ОКАЗАНИЯ УСЛУГИ.</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4.1. Место поставки товара, выполнения работы, оказания услуги приведены в пункте 2.1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4.2. Условия поставки товара, выполнения работы, оказания услуги приведены в пункте 2.2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4.3. Сроки (периоды) поставки товара, выполнения работы, оказания услуги приведены в пункте 2.3 Информационной карты. </w:t>
            </w:r>
            <w:r>
              <w:rPr>
                <w:rFonts w:ascii="Times New Roman" w:hAnsi="Times New Roman" w:eastAsia="Times New Roman" w:cs="Times New Roman"/>
                <w:color w:val="000000"/>
                <w:sz w:val="20"/>
              </w:rPr>
            </w:r>
          </w:p>
        </w:tc>
      </w:tr>
      <w:tr>
        <w:trPr>
          <w:trHeight w:val="2049"/>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5.1. Начальная (максимальная) цена договора, максимальное значение цены договора приведены в пункте 3.1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5.2. Формула цены приведена в пункте 3.2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5.3. Цена единицы товара, работы, услуги приведена в пункте 3.3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5.4. Общая начальная (максимальная) цена товара, работы, услуги, руб. приведена в пункте 3.4 Информационной карты. </w:t>
            </w:r>
            <w:r>
              <w:rPr>
                <w:rFonts w:ascii="Times New Roman" w:hAnsi="Times New Roman" w:eastAsia="Times New Roman" w:cs="Times New Roman"/>
                <w:color w:val="000000"/>
                <w:sz w:val="20"/>
              </w:rPr>
            </w:r>
          </w:p>
        </w:tc>
      </w:tr>
      <w:tr>
        <w:trPr>
          <w:trHeight w:val="1834"/>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6. ОБОСНОВАНИЕ Н</w:t>
            </w:r>
            <w:r>
              <w:rPr>
                <w:rFonts w:ascii="Times New Roman" w:hAnsi="Times New Roman" w:eastAsia="Times New Roman" w:cs="Times New Roman"/>
                <w:b/>
                <w:color w:val="000000"/>
                <w:sz w:val="20"/>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6.1. Обос</w:t>
            </w:r>
            <w:r>
              <w:rPr>
                <w:rFonts w:ascii="Times New Roman" w:hAnsi="Times New Roman" w:eastAsia="Times New Roman" w:cs="Times New Roman"/>
                <w:color w:val="000000"/>
                <w:sz w:val="20"/>
              </w:rPr>
              <w:t xml:space="preserve">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приведено в пункте 4.1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6.2. Форма, сроки и порядок оплаты товара, работы, услуги приведены в пункте 4.2 Информационной карты </w:t>
            </w:r>
            <w:r>
              <w:rPr>
                <w:rFonts w:ascii="Times New Roman" w:hAnsi="Times New Roman" w:eastAsia="Times New Roman" w:cs="Times New Roman"/>
                <w:color w:val="000000"/>
                <w:sz w:val="20"/>
              </w:rPr>
            </w:r>
          </w:p>
        </w:tc>
      </w:tr>
      <w:tr>
        <w:trPr>
          <w:trHeight w:val="1146"/>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7. ОБОСНОВАНИЕ НАЧАЛЬНОЙ (МАКСИМАЛЬНОЙ) ЦЕНЫ ДОГОВОРА.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7.1. Обоснование начальной (максимальной) цены договора или начальной (максимальной) цены каждой единицы товара, работы, услуги, в случае если при проведении</w:t>
            </w:r>
            <w:r>
              <w:rPr>
                <w:rFonts w:ascii="Times New Roman" w:hAnsi="Times New Roman" w:eastAsia="Times New Roman" w:cs="Times New Roman"/>
                <w:color w:val="000000"/>
                <w:sz w:val="20"/>
              </w:rPr>
              <w:t xml:space="preserve"> закупки необходимое количество поставляемых товаров, объем подлежащих выполнению работ, оказанию услуг невозможно определить указано в прикрепленном файле, который находится в списке документов закупки, доступных для загрузки на сайте www.zakupki.gov.ru. </w:t>
            </w:r>
            <w:r>
              <w:rPr>
                <w:rFonts w:ascii="Times New Roman" w:hAnsi="Times New Roman" w:eastAsia="Times New Roman" w:cs="Times New Roman"/>
                <w:color w:val="000000"/>
                <w:sz w:val="20"/>
              </w:rPr>
            </w:r>
          </w:p>
        </w:tc>
      </w:tr>
      <w:tr>
        <w:trPr>
          <w:trHeight w:val="1519"/>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8. ПОРЯДОК, ДАТА НАЧАЛА, ДАТА И ВРЕМЯ ОКОНЧАНИЯ СРОКА ПОДАЧИ ЗАЯВОК НА УЧАСТИЕ В АУКЦИОНЕ. МЕСТО, ПОРЯДОК И ДАТА РАССМОТРЕНИЯ ЗАЯВОК НА УЧАСТИЕ В АУКЦИОНЕ. ПОРЯДОК ПРОВЕДЕНИЯ АУКЦИОНА В ЭЛЕКТРОННОЙ ФОРМЕ. ПОРЯДОК ПОДВЕДЕНИЯ ИТОГОВ АУКЦИОНА.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 Порядок подачи заявок на участие в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8.1.1. Для участия в аукционе участник з</w:t>
            </w:r>
            <w:r>
              <w:rPr>
                <w:rFonts w:ascii="Times New Roman" w:hAnsi="Times New Roman" w:eastAsia="Times New Roman" w:cs="Times New Roman"/>
                <w:color w:val="000000"/>
                <w:sz w:val="20"/>
              </w:rPr>
              <w:t xml:space="preserve">акупки подает заявку на участие в таком аукционе оператору ЭП согласно требованиям к содержанию, оформлению и составу заявки на участие в закупке и в срок, которые установлены документацией, посредством использования функционала ЭП в соответствии с регламе</w:t>
            </w:r>
            <w:r>
              <w:rPr>
                <w:rFonts w:ascii="Times New Roman" w:hAnsi="Times New Roman" w:eastAsia="Times New Roman" w:cs="Times New Roman"/>
                <w:color w:val="000000"/>
                <w:sz w:val="20"/>
              </w:rPr>
              <w:t xml:space="preserve">нтом работы ЭП. Требования к содержанию, форме, оформлению и составу заявки на участие в аукционе,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w:t>
            </w:r>
            <w:r>
              <w:rPr>
                <w:rFonts w:ascii="Times New Roman" w:hAnsi="Times New Roman" w:eastAsia="Times New Roman" w:cs="Times New Roman"/>
                <w:color w:val="000000"/>
                <w:sz w:val="20"/>
              </w:rPr>
              <w:t xml:space="preserve">),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 установлены разделом 11 документации.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65"/>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8.1.2. Заявка на участие в аукционе подписывается участником закупки или лицом, уполномоченным таким участником закупки, усиленной квалифицированной электронной подписью.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8.1.3. Участник закупки вправе подать толь</w:t>
            </w:r>
            <w:r>
              <w:rPr>
                <w:rFonts w:ascii="Times New Roman" w:hAnsi="Times New Roman" w:eastAsia="Times New Roman" w:cs="Times New Roman"/>
                <w:color w:val="000000"/>
                <w:sz w:val="20"/>
              </w:rPr>
              <w:t xml:space="preserve">ко одну заявку на участие в аукционе в отношении каждого предмета закупки в любое время с момента размещения извещения о ее проведении до предусмотренных документацией даты и времени окончания срока подачи заявок на участие в аукционе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8.1.4. Прием заявок на участие в аукционе прекращается в день и время окончания подачи заявок, указанные в пункте 8.2.2.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8.1.5. Участник аукциона вправе изменить или отозвать с</w:t>
            </w:r>
            <w:r>
              <w:rPr>
                <w:rFonts w:ascii="Times New Roman" w:hAnsi="Times New Roman" w:eastAsia="Times New Roman" w:cs="Times New Roman"/>
                <w:color w:val="000000"/>
                <w:sz w:val="20"/>
              </w:rPr>
              <w:t xml:space="preserve">вою заявку до истечения срока подачи заявок. Заявка на участие в аукционе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такой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8.1.6. Лица, выступающие на стороне одного участника аукциона в электронной форме, не вправе участвовать в этой же закупке са</w:t>
            </w:r>
            <w:r>
              <w:rPr>
                <w:rFonts w:ascii="Times New Roman" w:hAnsi="Times New Roman" w:eastAsia="Times New Roman" w:cs="Times New Roman"/>
                <w:color w:val="000000"/>
                <w:sz w:val="20"/>
              </w:rPr>
              <w:t xml:space="preserve">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8.1.7. Участник аукциона в электронной фор</w:t>
            </w:r>
            <w:r>
              <w:rPr>
                <w:rFonts w:ascii="Times New Roman" w:hAnsi="Times New Roman" w:eastAsia="Times New Roman" w:cs="Times New Roman"/>
                <w:color w:val="000000"/>
                <w:sz w:val="20"/>
              </w:rPr>
              <w:t xml:space="preserve">ме, на стороне которого выступают несколько лиц, должен представить в составе заявки на участие в аукционе все предусмотренные документацией о проведении аукциона документы, при этом в заявке участника, на стороне которого выступают несколько лиц, должны б</w:t>
            </w:r>
            <w:r>
              <w:rPr>
                <w:rFonts w:ascii="Times New Roman" w:hAnsi="Times New Roman" w:eastAsia="Times New Roman" w:cs="Times New Roman"/>
                <w:color w:val="000000"/>
                <w:sz w:val="20"/>
              </w:rPr>
              <w:t xml:space="preserve">ыть представлены сведения, подтверждающие соответствие каждого лица, выступающего на стороне такого участника, обязательным требованиям документации о проведении аукциона, а в составе заявки на участие в аукционе должен быть представлен договор простого то</w:t>
            </w:r>
            <w:r>
              <w:rPr>
                <w:rFonts w:ascii="Times New Roman" w:hAnsi="Times New Roman" w:eastAsia="Times New Roman" w:cs="Times New Roman"/>
                <w:color w:val="000000"/>
                <w:sz w:val="20"/>
              </w:rPr>
              <w:t xml:space="preserve">варищества (договор о совместной деятельности). Также в составе заявки должны быть представлены документы, предусмотренные пунктом 11.2 документации и указанные в документации о проведении аукциона, на каждое лицо, выступающее на стороне такого участника.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8.1.8. Участник аукциона в электронной форме, на стороне которого выступают несколько лиц (все юридические или физические лица, выступающие на стороне одного участника), должен соответствовать требованиям документации о проведении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8.1.9. В случае если победителем аукциона в электронной форме будет признан участник закупки, на стороне которого выступают несколько физических или юридических лиц, договор заключается с таким участником с указанием всех лиц, выступающих на его</w:t>
            </w:r>
            <w:r>
              <w:rPr>
                <w:rFonts w:ascii="Times New Roman" w:hAnsi="Times New Roman" w:eastAsia="Times New Roman" w:cs="Times New Roman"/>
                <w:color w:val="000000"/>
                <w:sz w:val="20"/>
              </w:rPr>
              <w:t xml:space="preserve">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8.1.10. Начало и окончание срока подачи заявок указано в пунктах 8.2.1 и 8.2.2 документации о проведении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8.2. Место подачи заявок приведено в пункте 9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8.2.1. Дата начала срока подачи заявок приведена в пункте 5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8.2.2. Дата и время окончания срока подачи заявок приведена в пункте 6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8.3. Дата подведения итогов закупки приведена в пункте 7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 Порядок рассмотрения заявок на участие в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8.4.1. Комиссия рассматривает заявки на участие в аукционе на соответствие требованиям, установленным документацией о проведении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8.4.2. Заявка на участие в аукционе не отклоняется, если она соответствует требованиям извещения об осуществлении аукциона и аукционной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8.4.3. Комиссия отклоняет заявку на участие в аукционе по основаниям, которые предусмотрены пунктом 8.4.4 документации. Отклонение заявок на участие в аукционе по иным основаниям не допускается.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8.4.4. Заявка участника аукциона отклоняется, и такой участник не допускается к участию в аукционе, в случае: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непредставления документов и (или) информации, предусмотренных </w:t>
            </w:r>
            <w:r>
              <w:rPr>
                <w:rFonts w:ascii="Times New Roman" w:hAnsi="Times New Roman" w:eastAsia="Times New Roman" w:cs="Times New Roman"/>
                <w:color w:val="000000"/>
                <w:sz w:val="20"/>
              </w:rPr>
              <w:t xml:space="preserve">пунктом 11.2 документации, в случае если предоставление указанных документов и (или) информации является для участника обязательным, или несоответствия указанных документов и (или) информации требованиям, установленным документацией о проведении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несоответствия участника аукциона требованиям, установленным аукционной документацией (при наличии таких требований);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несоответствия заявки требованиям извещения и (или) документации о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если в соответствии со статьей 3.1-4 Закона о закупках заключение договора на поставку товара, выполнение работы, оказание услуги не допускается.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8.4.5. По результатам рассмотрения заявок на участие в аукционе комиссия оформляет итоговый протокол. Указанный протокол составляет</w:t>
            </w:r>
            <w:r>
              <w:rPr>
                <w:rFonts w:ascii="Times New Roman" w:hAnsi="Times New Roman" w:eastAsia="Times New Roman" w:cs="Times New Roman"/>
                <w:color w:val="000000"/>
                <w:sz w:val="20"/>
              </w:rPr>
              <w:t xml:space="preserve">ся и подписывается всеми присутствующими на заседании членами комиссии в день рассмотрения заявок. Итоговый протокол в течение трех дней, следующих за днем его подписания, направляется заказчиком оператору ЭП и размещается в единой информационной системе.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8.4.6. В случае если по результатам рас</w:t>
            </w:r>
            <w:r>
              <w:rPr>
                <w:rFonts w:ascii="Times New Roman" w:hAnsi="Times New Roman" w:eastAsia="Times New Roman" w:cs="Times New Roman"/>
                <w:color w:val="000000"/>
                <w:sz w:val="20"/>
              </w:rPr>
              <w:t xml:space="preserve">смотрения заявок на участие в аукционе в электронной форме комиссия отклонила все заявки или только одна заявка и подавший ее участник соответствуют требованиям, установленным аукционной документацией или по окончании срока подачи заявок подана только одна</w:t>
            </w:r>
            <w:r>
              <w:rPr>
                <w:rFonts w:ascii="Times New Roman" w:hAnsi="Times New Roman" w:eastAsia="Times New Roman" w:cs="Times New Roman"/>
                <w:color w:val="000000"/>
                <w:sz w:val="20"/>
              </w:rPr>
              <w:t xml:space="preserve"> заявка, а также если ни один из его участников не подал предложение о цене договора, аукцион в электронной форме признается несостоявшимся. Информация о причине, по которой аукцион в электронной форме признан несостоявшимся, вносится в итоговый протокол.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8.4.7. На основании рассмотрения заявок комиссия присваивает каждой соответствующей заявке порядковый номер в порядке уменьшения степени вы</w:t>
            </w:r>
            <w:r>
              <w:rPr>
                <w:rFonts w:ascii="Times New Roman" w:hAnsi="Times New Roman" w:eastAsia="Times New Roman" w:cs="Times New Roman"/>
                <w:color w:val="000000"/>
                <w:sz w:val="20"/>
              </w:rPr>
              <w:t xml:space="preserve">годности содержащихся в них условий исполнения договора. Заявке на участие в аукционе в электронной форме с наименьшим ценовым предложением и соответствующей требованиям, установленным документацией о таком аукционе, присваивается первый порядковый номер.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случае если в нескольких заявках содержатся одинаковые ценовые предложения, меньший порядковый номер присваивается заявке, которая соответствует требованиям, установленным документацией о таком аукционе, и поступила ранее других таких заявок.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случае если при проведении а</w:t>
            </w:r>
            <w:r>
              <w:rPr>
                <w:rFonts w:ascii="Times New Roman" w:hAnsi="Times New Roman" w:eastAsia="Times New Roman" w:cs="Times New Roman"/>
                <w:color w:val="000000"/>
                <w:sz w:val="20"/>
              </w:rPr>
              <w:t xml:space="preserve">укциона в электронной форме ни один из его участников не подал предложение о цене договора, то наименьший порядковый номер присваивается заявке, которая соответствует требованиям, установленным документацией о таком аукционе, и подана ранее других заявок.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случае если при проведении аукциона в электронной форме цена договора снижена до нуля и аукцион в </w:t>
            </w:r>
            <w:r>
              <w:rPr>
                <w:rFonts w:ascii="Times New Roman" w:hAnsi="Times New Roman" w:eastAsia="Times New Roman" w:cs="Times New Roman"/>
                <w:color w:val="000000"/>
                <w:sz w:val="20"/>
              </w:rPr>
              <w:t xml:space="preserve">электронной форме проводился на право заключить договор, победителем такого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8.5. В случае установления недостоверности инф</w:t>
            </w:r>
            <w:r>
              <w:rPr>
                <w:rFonts w:ascii="Times New Roman" w:hAnsi="Times New Roman" w:eastAsia="Times New Roman" w:cs="Times New Roman"/>
                <w:color w:val="000000"/>
                <w:sz w:val="20"/>
              </w:rPr>
              <w:t xml:space="preserve">ормации, представленной участником аукциона, комиссия обязана отстранить такого участника от участия в этом аукционе в любой момент не позднее даты подведения итогов, установленной в извещении и (или) аукционной документации на любом этапе его проведения.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 Порядок проведения аукциона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8.6.1. Аукцион в электронной форме проводится с использованием функционала ЭП в соответствии с регламентом работы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Дата и время начала процедуры подачи участниками аукциона в электронной форме предложений о цене договора приведена в пункте 7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8.6.2. Аукцион в электронной форме проводится путем снижения начальной (максимальной) цены договора, указанной в извещении о проведении аукциона, на установленную в аукционной документации величину.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8.6.3. «Шаг аукциона» составляет от 0,5 процента до 5 процентов начальной (максимальной) цены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8.6.4. При проведении аукциона в электронной форме его участники подают предложения о цене договора путем снижения текущего минимального предложения о цене договора на величину в пределах «шага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При этом участник аукциона в электронной форме не вправе подать предложение о цене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равное ранее поданному этим участником предложению о цене договора или большее, чем оно, а также равное нулю;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которое ниже, чем текущее минимальное предложение о цене договора, сниженное в пределах «шага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которое ниже, чем текущее минимальное предложение о цене договора, в случае если оно подано этим участником аукциона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8.6.5. В случае если в извещении о проведении аукциона в электронной форме не определено количество поставляемого</w:t>
            </w:r>
            <w:r>
              <w:rPr>
                <w:rFonts w:ascii="Times New Roman" w:hAnsi="Times New Roman" w:eastAsia="Times New Roman" w:cs="Times New Roman"/>
                <w:color w:val="000000"/>
                <w:sz w:val="20"/>
              </w:rPr>
              <w:t xml:space="preserve"> товара, объем подлежащих выполнению работ, оказанию услуг, аукцион в электронной форме проводится путем снижения общей начальной (максимальной) цены товара, работы, услуги, указанной в аукционной документации, в порядке, установленном настоящим разделом.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8.6.6. Время прием</w:t>
            </w:r>
            <w:r>
              <w:rPr>
                <w:rFonts w:ascii="Times New Roman" w:hAnsi="Times New Roman" w:eastAsia="Times New Roman" w:cs="Times New Roman"/>
                <w:color w:val="000000"/>
                <w:sz w:val="20"/>
              </w:rPr>
              <w:t xml:space="preserve">а предложений от начала проведения аукциона в электронной форме до истечения срока подачи предложений о цене договора составляет 10 минут, а также после поступления последнего предложения о цене договора при проведении такого аукциона составляет 10 минут.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Время, оставшееся до истечения срока подачи предложений о це</w:t>
            </w:r>
            <w:r>
              <w:rPr>
                <w:rFonts w:ascii="Times New Roman" w:hAnsi="Times New Roman" w:eastAsia="Times New Roman" w:cs="Times New Roman"/>
                <w:color w:val="000000"/>
                <w:sz w:val="20"/>
              </w:rPr>
              <w:t xml:space="preserve">не договора, обновляется автоматически оператором ЭП с помощью программных и технических средств, обеспечивающих проведение аукциона в электронной форме, после снижения начальной (максимальной) цены договора или текущего минимального предложения о цене дог</w:t>
            </w:r>
            <w:r>
              <w:rPr>
                <w:rFonts w:ascii="Times New Roman" w:hAnsi="Times New Roman" w:eastAsia="Times New Roman" w:cs="Times New Roman"/>
                <w:color w:val="000000"/>
                <w:sz w:val="20"/>
              </w:rPr>
              <w:t xml:space="preserve">овора на таком аукционе. Если в течение указанного времени ни одного предложения о более низкой цене договора не поступило, аукцион в электронной форме автоматически при помощи программных и технических средств, обеспечивающих его проведение, завершается.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8.6.7. В случае если при проведении аукциона в электронной форме цена договора снижена до половины процента начальной (максимальной) цены договора или ниже, такой аукцион проводится на право заключить договор. При этом такой аукцион в электронн</w:t>
            </w:r>
            <w:r>
              <w:rPr>
                <w:rFonts w:ascii="Times New Roman" w:hAnsi="Times New Roman" w:eastAsia="Times New Roman" w:cs="Times New Roman"/>
                <w:color w:val="000000"/>
                <w:sz w:val="20"/>
              </w:rPr>
              <w:t xml:space="preserve">ой форме проводится путем повышения цены договора. Победителем в этом случае признается лицо, предложившее наибольшую цену и заявка на участие в аукционе в электронной форме которого соответствует требованиям, установленным документацией о таком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8.6.8. Оператор ЭП обязан обеспечивать при проведении аукциона в электронной форме конфиденциальность данных об участниках такого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8.6.9. Оператор ЭП обязан обеспечить непрерывность проведения аукциона в электронной форме, надежност</w:t>
            </w:r>
            <w:r>
              <w:rPr>
                <w:rFonts w:ascii="Times New Roman" w:hAnsi="Times New Roman" w:eastAsia="Times New Roman" w:cs="Times New Roman"/>
                <w:color w:val="000000"/>
                <w:sz w:val="20"/>
              </w:rPr>
              <w:t xml:space="preserve">ь функционирования программных и технических средств, используемых для проведения аукциона в электронной форме, равный доступ участников аукциона в электронной форме к участию в нем, а также выполнение иных действий, предусмотренных регламентом работы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8.6.10. В течение одного часа после окончания срока подачи участниками аукциона в электронной форме предложений о цене договора оператор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присваивает каждой заявке на участие в аукционе в электронной форме порядковый номер в порядке возрастания цены договора, предложенной участником закупки, по</w:t>
            </w:r>
            <w:r>
              <w:rPr>
                <w:rFonts w:ascii="Times New Roman" w:hAnsi="Times New Roman" w:eastAsia="Times New Roman" w:cs="Times New Roman"/>
                <w:color w:val="000000"/>
                <w:sz w:val="20"/>
              </w:rPr>
              <w:t xml:space="preserve">давшим такую заявку. В случае если несколькими участниками аукциона в электронной форме поданы одинаковые предложения о цене договора, меньший порядковый номер присваивается заявке, поданной участником ранее других участников аукциона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формирует протокол подачи ценовых предложений, содержащий: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а) дату, время начала и окончания проведения процедуры подачи предложений о цене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б) минимальное предложение о цене договор</w:t>
            </w:r>
            <w:r>
              <w:rPr>
                <w:rFonts w:ascii="Times New Roman" w:hAnsi="Times New Roman" w:eastAsia="Times New Roman" w:cs="Times New Roman"/>
                <w:color w:val="000000"/>
                <w:sz w:val="20"/>
              </w:rPr>
              <w:t xml:space="preserve">а либо максимальное предложение о цене договора (в случае, предусмотренном пунктом 13.5.7 Положения), поданное каждым участником аукциона в электронной форме, с указанием идентификационного номера заявки такого участника, времени подачи таких предложений;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направляет заказчику протокол подачи предложений о цене договора, заявки на участие в аукционе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размещает протокол подачи ценовых предложений, предусмотренный подпунктом 2 настоящего пункта, на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8.6.11. Заказчик размещает протокол подачи предложений о цене договора в единой информационной системе не</w:t>
            </w:r>
            <w:r>
              <w:rPr>
                <w:rFonts w:ascii="Times New Roman" w:hAnsi="Times New Roman" w:eastAsia="Times New Roman" w:cs="Times New Roman"/>
                <w:color w:val="000000"/>
                <w:sz w:val="20"/>
              </w:rPr>
            </w:r>
          </w:p>
        </w:tc>
      </w:tr>
      <w:tr>
        <w:trPr>
          <w:trHeight w:val="2292"/>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позднее чем через три дня со дня формирования такого протокола.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8.6.12. В случае если при проведении аукциона в электронной форме ни один из его участников не подал предложение о цене договора, </w:t>
            </w:r>
            <w:r>
              <w:rPr>
                <w:rFonts w:ascii="Times New Roman" w:hAnsi="Times New Roman" w:eastAsia="Times New Roman" w:cs="Times New Roman"/>
                <w:color w:val="000000"/>
                <w:sz w:val="20"/>
              </w:rPr>
              <w:t xml:space="preserve">такой аукцион признается несостоявшимся. В протокол, указанный в пункте 8.6.10, вносится информация о признании такого аукциона несостоявшимся с указанием адреса ЭП, даты, времени начала и окончания такого аукциона, начальной (максимальной) цены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8.7. Если аукцион признан несостоявшим</w:t>
            </w:r>
            <w:r>
              <w:rPr>
                <w:rFonts w:ascii="Times New Roman" w:hAnsi="Times New Roman" w:eastAsia="Times New Roman" w:cs="Times New Roman"/>
                <w:color w:val="000000"/>
                <w:sz w:val="20"/>
              </w:rPr>
              <w:t xml:space="preserve">ся в случае, когда подана одна заявка или только один участник закупки, подавший заявку на участие в таком аукционе, признан участником закупки, договор заключается в порядке, установленном Гражданским кодексом Российской Федерации, иными нормативными прав</w:t>
            </w:r>
            <w:r>
              <w:rPr>
                <w:rFonts w:ascii="Times New Roman" w:hAnsi="Times New Roman" w:eastAsia="Times New Roman" w:cs="Times New Roman"/>
                <w:color w:val="000000"/>
                <w:sz w:val="20"/>
              </w:rPr>
              <w:t xml:space="preserve">овыми актами Российской Федерации, Положением заказчика. При этом договор заключается на условиях, которые предусмотрены заявкой на участие в аукционе и документацией о аукционе, и по цене, предложенной в заявке такого участника. Также заказчик вправе пров</w:t>
            </w:r>
            <w:r>
              <w:rPr>
                <w:rFonts w:ascii="Times New Roman" w:hAnsi="Times New Roman" w:eastAsia="Times New Roman" w:cs="Times New Roman"/>
                <w:color w:val="000000"/>
                <w:sz w:val="20"/>
              </w:rPr>
              <w:t xml:space="preserve">ести с таким участником переговоры по снижению цены, представленной в заявке на участие в аукционе в электронной форме, без изменения иных условий договора, а также заявки и заключить договор по цене, согласованной в процессе проведения таких переговоров.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8.8. Если аукцион признан несостоявшимся по причине отсутствия поданных или соответствующих заявок на участие в</w:t>
            </w:r>
            <w:r>
              <w:rPr>
                <w:rFonts w:ascii="Times New Roman" w:hAnsi="Times New Roman" w:eastAsia="Times New Roman" w:cs="Times New Roman"/>
                <w:color w:val="000000"/>
                <w:sz w:val="20"/>
              </w:rPr>
              <w:t xml:space="preserve"> таком аукционе, заказчик вправе осуществить закупку у единственного поставщика (исполнителя, подрядчика) без изменения ее условий и по цене, указанной в извещении и документации о закупке или сниженной по согласованию сторон, либо провести новую закупку.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8.9. В случае объявления о проведении повторной закупки любым конкурентным способом заказчик вправе изменить ее условия.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8.10. Заказчик обязан внести изменения в план закупки в порядке, установленном Положением заказчика. </w:t>
            </w:r>
            <w:r>
              <w:rPr>
                <w:rFonts w:ascii="Times New Roman" w:hAnsi="Times New Roman" w:eastAsia="Times New Roman" w:cs="Times New Roman"/>
                <w:color w:val="000000"/>
                <w:sz w:val="20"/>
              </w:rPr>
            </w:r>
          </w:p>
        </w:tc>
      </w:tr>
      <w:tr>
        <w:trPr>
          <w:trHeight w:val="688"/>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9. АДРЕС ЭП В ИНФОРМАЦИОННО-ТЕЛЕКОММУНИКАЦИОННОЙ СЕТИ «ИНТЕРНЕТ.</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9.1. Наименование и адрес ЭП в информационно-телекоммуникационной сети «Интернет» приведен в пункте 8 и 9 Информационной карты. </w:t>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10. СВЕДЕНИЯ ОБ ОБЕСПЕЧЕНИИ ЗАЯВКИ, ОБЕСПЕЧЕНИИ ИСПОЛНЕНИЯ ДОГОВОРА, ОБЕСПЕЧЕНИИ ГАРАНТИЙНЫХ ОБЯЗАТЕЛЬСТВ</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 Сведения об обеспечении заявки.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10.1.1. Размер обеспечения заявки указан в пункте 10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10.1.2. Обеспечение заявки предоставляется участником закупки путем внесения денежных средств на свой виртуальный счет на сумму в размере гарантийного обеспечения заявки, указанного в документации или в виде банковской гарантии.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10.1.3. Денежные средства в размере обеспечения заявки Участник переводит на свой виртуальный счет, в порядке и в сроки, установленные регламентом работы ЭП, указанной в пункте 9.1. документации.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10.1.4. Денежные средства, внесенные в качестве обеспечения заявки на участие в закупке, возвращаются не позднее пяти рабочих дней со дня:</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публикации итогового протокола подведения конкурентной закупки либо публикации последнего протокола по зак</w:t>
            </w:r>
            <w:r>
              <w:rPr>
                <w:rFonts w:ascii="Times New Roman" w:hAnsi="Times New Roman" w:eastAsia="Times New Roman" w:cs="Times New Roman"/>
                <w:color w:val="000000"/>
                <w:sz w:val="20"/>
              </w:rPr>
              <w:t xml:space="preserve">упке если закупка признана несостоявшейся. При этом возврат или прекращение блокирования осуществляется в отношении денежных средств всех участников закупки, за исключением победителя определения поставщика (исполнителя, подрядчика), участника, заявке кото</w:t>
            </w:r>
            <w:r>
              <w:rPr>
                <w:rFonts w:ascii="Times New Roman" w:hAnsi="Times New Roman" w:eastAsia="Times New Roman" w:cs="Times New Roman"/>
                <w:color w:val="000000"/>
                <w:sz w:val="20"/>
              </w:rPr>
              <w:t xml:space="preserve">рого был присвоен второй номер, участника, заявке которого был присвоен третий номер, либо двух участников с ценовыми предложениями, следующими после ценового предложения победителя закупки, которым денежные средства возвращаются после заключения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отмены определения поставщика (исполнителя, подрядчика);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отклонения заявки участника закупки;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отзыва заявки участником закупки до окончания срока подачи заявок;</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получения заявки на участие в закупке после окончания срока подачи заявок;</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 </w:t>
            </w:r>
            <w:r>
              <w:rPr>
                <w:rFonts w:ascii="Times New Roman" w:hAnsi="Times New Roman" w:eastAsia="Times New Roman" w:cs="Times New Roman"/>
                <w:color w:val="000000"/>
                <w:sz w:val="20"/>
              </w:rPr>
              <w:t xml:space="preserve">отстранения участника закупки от участия в закупке или отказ от заключения договора с победителем определения поставщика (исполнителя, подрядчика) в случае, если заключение договора для такого участника не является обязательным в соответствии с Положением.</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Возврат участнику конкурентной закупки обеспечения заявки на участие в закупке не производится и удерживается в пользу заказчика в следующих случаях:</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уклонение или отказ участника закупки от заключения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непредоставление или предоставление с нарушением условий, установленных Положением и Законом о з</w:t>
            </w:r>
            <w:r>
              <w:rPr>
                <w:rFonts w:ascii="Times New Roman" w:hAnsi="Times New Roman" w:eastAsia="Times New Roman" w:cs="Times New Roman"/>
                <w:color w:val="000000"/>
                <w:sz w:val="20"/>
              </w:rPr>
              <w:t xml:space="preserve">акупках,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10.1.5. Заказчик в качестве обеспечения заявки принимает банковские гарантии, выданные банками, соответствующими требованиям, установленным постановлением Правительства Российск</w:t>
            </w:r>
            <w:r>
              <w:rPr>
                <w:rFonts w:ascii="Times New Roman" w:hAnsi="Times New Roman" w:eastAsia="Times New Roman" w:cs="Times New Roman"/>
                <w:color w:val="000000"/>
                <w:sz w:val="20"/>
              </w:rPr>
              <w:t xml:space="preserve">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w:t>
            </w:r>
            <w:r>
              <w:rPr>
                <w:rFonts w:ascii="Times New Roman" w:hAnsi="Times New Roman" w:eastAsia="Times New Roman" w:cs="Times New Roman"/>
                <w:color w:val="000000"/>
                <w:sz w:val="20"/>
              </w:rPr>
              <w:t xml:space="preserve">и признании утратившими силу некоторых актов и отдельных положений некоторых актов Правительства Российской Федерации», а также иным требованиям, предусмотренным действующим законодательством. Банковская гарантия должна быть безотзывной и должна содержать:</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сумму банковской гарантии, </w:t>
            </w:r>
            <w:r>
              <w:rPr>
                <w:rFonts w:ascii="Times New Roman" w:hAnsi="Times New Roman" w:eastAsia="Times New Roman" w:cs="Times New Roman"/>
                <w:color w:val="000000"/>
                <w:sz w:val="20"/>
              </w:rPr>
              <w:t xml:space="preserve">подлежащую уплате гарантом заказчику в случаях, установленных подпунктом 9.1.7 Положения (1) уклонения или отказа участника закупки от заключения договора; 2) непредоставления или предоставления с нарушением условий, установленных Законом о закупках и Поло</w:t>
            </w:r>
            <w:r>
              <w:rPr>
                <w:rFonts w:ascii="Times New Roman" w:hAnsi="Times New Roman" w:eastAsia="Times New Roman" w:cs="Times New Roman"/>
                <w:color w:val="000000"/>
                <w:sz w:val="20"/>
              </w:rPr>
              <w:t xml:space="preserve">жением,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обязательства принципала, надлежащее исполнение которых обеспечивается банковской гарантией;</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65"/>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обязанность гаранта в случае просрочки исполнения обязательств по независимой гарантии, требование об уплате денежной суммы по</w:t>
            </w:r>
            <w:r>
              <w:rPr>
                <w:rFonts w:ascii="Times New Roman" w:hAnsi="Times New Roman" w:eastAsia="Times New Roman" w:cs="Times New Roman"/>
                <w:color w:val="000000"/>
                <w:sz w:val="20"/>
              </w:rPr>
              <w:t xml:space="preserve">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гарантии;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условие, согласно к</w:t>
            </w:r>
            <w:r>
              <w:rPr>
                <w:rFonts w:ascii="Times New Roman" w:hAnsi="Times New Roman" w:eastAsia="Times New Roman" w:cs="Times New Roman"/>
                <w:color w:val="000000"/>
                <w:sz w:val="20"/>
              </w:rPr>
              <w:t xml:space="preserve">оторому исполнением обязательств гаранта по банковской гарантии является фактическое поступление денежных сумм на счет заказчика, на котором в соответствии с законодательством Российской Федерации учитываются операции со средствами, поступающими заказчику;</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срок действия банковской гарантии с учетом требований подпункта 10.1.6. Извещения;</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 условия о том, что расходы, возникающие в связи с перечислением денежных средств гарантом по банковской гарантии, несет гарант;</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7) перечень документов, представляемых заказчиком банку одновременно с требованием об осуществлении уплаты денежной суммы по банковской гарантии.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10.1.6. Срок действия банковской гарантии, предоставленной в качестве обеспечения заявки, должен составлять не менее месяца с даты окончания срока подачи заявок.</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 Сведения об обеспечении исполнения договора, обеспечении гарантийных обязательств.</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10.2.1. Размер обеспечения исполнения договора указан в пункте 11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10.2.2. Размер обеспечения гарантийных обязательств указан в пункте 11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10.2.3. Обеспечение исполнения договора может предоставляться пре</w:t>
            </w:r>
            <w:r>
              <w:rPr>
                <w:rFonts w:ascii="Times New Roman" w:hAnsi="Times New Roman" w:eastAsia="Times New Roman" w:cs="Times New Roman"/>
                <w:color w:val="000000"/>
                <w:sz w:val="20"/>
              </w:rPr>
              <w:t xml:space="preserve">дъявлением банковской гарантии, выданной банком или внесением денежных средств по реквизитам, указанным в пункте 12 Информационной карты. Способ обеспечения исполнения договора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10.2.4. Заказчик в качестве обеспечения исполнения договора принимает банковские гарантии, выданные банками, соответс</w:t>
            </w:r>
            <w:r>
              <w:rPr>
                <w:rFonts w:ascii="Times New Roman" w:hAnsi="Times New Roman" w:eastAsia="Times New Roman" w:cs="Times New Roman"/>
                <w:color w:val="000000"/>
                <w:sz w:val="20"/>
              </w:rPr>
              <w:t xml:space="preserve">твующими требованиям, установленным постановлением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w:t>
            </w:r>
            <w:r>
              <w:rPr>
                <w:rFonts w:ascii="Times New Roman" w:hAnsi="Times New Roman" w:eastAsia="Times New Roman" w:cs="Times New Roman"/>
                <w:color w:val="000000"/>
                <w:sz w:val="20"/>
              </w:rPr>
              <w:t xml:space="preserve">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Банковская гарантия должна быть безотзывной и должна содержать:</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обязательства принципала, надлежащее исполнение которых обеспечивается банковской гарантией;</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обязанность гаранта уплатить заказчику неустойку в размере 0,1 процента денежной суммы, подлежащей уплате, за каждый день просрочки;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срок действия банковской гарантии. Срок действия банковской гарантии, предоставленной в качестве обеспечения договора, должен превышать срок действия исполнения всех обязательств по договору не менее чем на один месяц;</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w:t>
            </w:r>
            <w:r>
              <w:rPr>
                <w:rFonts w:ascii="Times New Roman" w:hAnsi="Times New Roman" w:eastAsia="Times New Roman" w:cs="Times New Roman"/>
                <w:color w:val="000000"/>
                <w:sz w:val="20"/>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7) условия о том, что расходы, возникающие в связи с перечислением денежных средств гарантом по банковской гарантии, несет гарант;</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 перечень документов, представляемых заказчиком банку одновременно с требованием об осуществлении уплаты денежной суммы по банковской гарантии.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10.2.5. Договор заключается после предоставления участником закупки, с которым заключается договор, обеспечения исполнения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10.2.6. Предоставление участником закупки, с которым заключается договор, обеспечения исполнения договора не требуется, в случае если такой участник является казенным, бюджетным или автономным учреждением.</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10.2.7. Обеспечение гарантийных обязательств может обеспечиваться предоставлением безот</w:t>
            </w:r>
            <w:r>
              <w:rPr>
                <w:rFonts w:ascii="Times New Roman" w:hAnsi="Times New Roman" w:eastAsia="Times New Roman" w:cs="Times New Roman"/>
                <w:color w:val="000000"/>
                <w:sz w:val="20"/>
              </w:rPr>
              <w:t xml:space="preserve">зывной банковской гарантии, выданной банком или внесением денежных средств по реквизитам, указанным в пункте 12 Информационной карты Способ обеспечения гарантийных обязательств определяется участником закупки, с которым заключается договор, самостоятельно.</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10.2.8. Заказчик в качестве обеспечения гарантийных обязательств принимает банковские гарантии, выданные банками, соответс</w:t>
            </w:r>
            <w:r>
              <w:rPr>
                <w:rFonts w:ascii="Times New Roman" w:hAnsi="Times New Roman" w:eastAsia="Times New Roman" w:cs="Times New Roman"/>
                <w:color w:val="000000"/>
                <w:sz w:val="20"/>
              </w:rPr>
              <w:t xml:space="preserve">твующими требованиям, установленным постановлением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w:t>
            </w:r>
            <w:r>
              <w:rPr>
                <w:rFonts w:ascii="Times New Roman" w:hAnsi="Times New Roman" w:eastAsia="Times New Roman" w:cs="Times New Roman"/>
                <w:color w:val="000000"/>
                <w:sz w:val="20"/>
              </w:rPr>
              <w:t xml:space="preserve">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Банковская гарантия должна быть безотзывной и должна содержать:</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сумму банковской гарантии, подлежащую уплате гарантом заказчику в случае ненадлежащего исполнения обязательств принципалом;</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обязательства принципала, надлежащее исполнение которых обеспечивается банковской гарантией;</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обязанность гаранта уплатить заказчику неустойку в размере 0,1 процента денежной суммы, подлежащей уплате, за каждый день просрочки;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срок действия банковской гарантии. Срок действия банковской гарантии, предоставленной в качестве об</w:t>
            </w:r>
            <w:r>
              <w:rPr>
                <w:rFonts w:ascii="Times New Roman" w:hAnsi="Times New Roman" w:eastAsia="Times New Roman" w:cs="Times New Roman"/>
                <w:color w:val="000000"/>
                <w:sz w:val="20"/>
              </w:rPr>
              <w:t xml:space="preserve">еспечения гарантийных обязательств, должен превышать срок действия исполнения таких обязательств в рамках гарантийных не менее чем на один месяц месяц с даты окончания срока исполнения обязательств сторонами по договору, в том числе в случае его изменения;</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w:t>
            </w:r>
            <w:r>
              <w:rPr>
                <w:rFonts w:ascii="Times New Roman" w:hAnsi="Times New Roman" w:eastAsia="Times New Roman" w:cs="Times New Roman"/>
                <w:color w:val="000000"/>
                <w:sz w:val="20"/>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7) условия о том, что расходы, возникающие в связи с перечислением денежных средств гарантом по банковской гарантии, несет гарант;</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 перечень документов, представляемых заказчиком банку одновременно с требованием об осуществлении уплаты денежной суммы по банковской гарантии.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10.2.9. Обеспечение гарантийных обязательств, если оно предусмотрено договором, предоставляется вместе с документами, подтверждающими выполнение поставщиком (исполнителем, подрядчиком) основных</w:t>
            </w:r>
            <w:r>
              <w:rPr>
                <w:rFonts w:ascii="Times New Roman" w:hAnsi="Times New Roman" w:eastAsia="Times New Roman" w:cs="Times New Roman"/>
                <w:color w:val="000000"/>
                <w:sz w:val="20"/>
              </w:rPr>
              <w:t xml:space="preserve"> обязательств по договору (акта приема-передачи товара, работ, услуг, акта ввода объекта в эксплуатацию, товарной накладной, универсального передаточного документа и др.). Если договором предусмотрено поэтапное выполнение обязательств или объем обязательст</w:t>
            </w:r>
            <w:r>
              <w:rPr>
                <w:rFonts w:ascii="Times New Roman" w:hAnsi="Times New Roman" w:eastAsia="Times New Roman" w:cs="Times New Roman"/>
                <w:color w:val="000000"/>
                <w:sz w:val="20"/>
              </w:rPr>
              <w:t xml:space="preserve">в по договору не определен, обеспечение гарантийных обязательств предоставляется с документами, подтверждающими выполнение поставщиком (исполнителем, подрядчиком) основных обязательств по последнему этапу договора или по закрывающим документам по договору.</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10.2.10. Заказчик возвращает денежные средства, внесенные в качестве обеспечения исполнения договора или гарантийных обязательств, не позднее чем в течение десяти рабочих дней со дня:</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подписания заказчиком документов, подтверждающих выполнение поставщиком (исполнителем, подрядчиком) основных обязательств по договору;</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окончания предоставленных гарантийных обязательств на выполнение поставщиком (исполнителем, подрядчиком) обязательства по договору.</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10.2.11. В ходе исполнения договора поставщик (подрядчик, исполнитель) вправе изменить способ обес</w:t>
            </w:r>
            <w:r>
              <w:rPr>
                <w:rFonts w:ascii="Times New Roman" w:hAnsi="Times New Roman" w:eastAsia="Times New Roman" w:cs="Times New Roman"/>
                <w:color w:val="000000"/>
                <w:sz w:val="20"/>
              </w:rPr>
              <w:t xml:space="preserve">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в порядке и сроки, которые предусмотрены условиями договора.</w:t>
            </w:r>
            <w:r>
              <w:rPr>
                <w:rFonts w:ascii="Times New Roman" w:hAnsi="Times New Roman" w:eastAsia="Times New Roman" w:cs="Times New Roman"/>
                <w:color w:val="000000"/>
                <w:sz w:val="20"/>
              </w:rPr>
            </w:r>
          </w:p>
        </w:tc>
      </w:tr>
      <w:tr>
        <w:trPr>
          <w:trHeight w:val="2865"/>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11. ТРЕБОВАНИЯ К СОДЕРЖАНИЮ, ФОРМЕ, ОФОРМЛЕНИЮ И СОСТАВУ ЗАЯВКИ НА УЧАСТИЕ В АУКЦИОНЕ. ТРЕБОВАНИЯ К ОПИСАНИЮ УЧАСТНИКАМИ ЗАКУПКИ ПОСТАВЛЯЕМОГО ТОВАРА, КОТОРЫЙ ЯВЛЯЕТСЯ ПРЕДМЕТОМ ЗАКУПКИ, ЕГО ФУНКЦИОНАЛЬНЫХ</w:t>
            </w:r>
            <w:r>
              <w:rPr>
                <w:rFonts w:ascii="Times New Roman" w:hAnsi="Times New Roman" w:eastAsia="Times New Roman" w:cs="Times New Roman"/>
                <w:b/>
                <w:color w:val="000000"/>
                <w:sz w:val="20"/>
              </w:rPr>
              <w:t xml:space="preserve">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11.1. Для участия в аукционе участник закупки подает заявк</w:t>
            </w:r>
            <w:r>
              <w:rPr>
                <w:rFonts w:ascii="Times New Roman" w:hAnsi="Times New Roman" w:eastAsia="Times New Roman" w:cs="Times New Roman"/>
                <w:color w:val="000000"/>
                <w:sz w:val="20"/>
              </w:rPr>
              <w:t xml:space="preserve">у на участие в таком аукционе оператору ЭП согласно требованиям к содержанию, оформлению и составу заявки на участие в аукционе в электронной форме, установленными разделом 21 документации о проведении аукциона, в случае, если разделом 21 документации уста</w:t>
            </w:r>
            <w:r>
              <w:rPr>
                <w:rFonts w:ascii="Times New Roman" w:hAnsi="Times New Roman" w:eastAsia="Times New Roman" w:cs="Times New Roman"/>
                <w:color w:val="000000"/>
                <w:sz w:val="20"/>
              </w:rPr>
              <w:t xml:space="preserve">новленны требования к содержанию, оформлению и составу заявки на участие в аукционе, и в сроки, которые установлены пунктами 8.2.1 и 8.2.2 документации о проведении аукциона, посредством использования функционала ЭП в соответствии с регламентом работы ЭП.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Ценовое предложение подается участником в ходе проведения аукциона.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11.2. Заявка на участие в аукционе должна содержать: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 согласие участника закупки исполнить условия договора, указанные в извещении и документации о проведении аукциона Данное согласие предоставляется с применением программно-аппаратных средств электронной площадки, указанной в пункте 9.1.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 при осуществлении закупки товара или работы, услуги, для выполнения, оказания которых используется товар (вид закупки указан в пункте 19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а)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При этом участник закупки несет ответственность за представление н</w:t>
            </w:r>
            <w:r>
              <w:rPr>
                <w:rFonts w:ascii="Times New Roman" w:hAnsi="Times New Roman" w:eastAsia="Times New Roman" w:cs="Times New Roman"/>
                <w:color w:val="000000"/>
                <w:sz w:val="20"/>
              </w:rPr>
              <w:t xml:space="preserve">едостоверных сведений о стране происхождения товара, указанного в заявке на участие в закупке. Наименования страны происхождения товара предоставляется с применением программно-аппаратных средств электронной площадки, указанной в пункте 9.1.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б) конкретные показатели товара, соответствующие значениям, установленным документацией о проведении аукциона. Указанная в данном пункте информация предоставляется по форме № 1 раздела 21 документации и включается в заявку на участие в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3) наименование, фирменное наименование (при наличии), сведения об организационно-правовой форме, о месте нахождения, почтовый адрес (для юридического лица), фамилию, имя, отчес</w:t>
            </w:r>
            <w:r>
              <w:rPr>
                <w:rFonts w:ascii="Times New Roman" w:hAnsi="Times New Roman" w:eastAsia="Times New Roman" w:cs="Times New Roman"/>
                <w:color w:val="000000"/>
                <w:sz w:val="20"/>
              </w:rPr>
              <w:t xml:space="preserve">тво (при наличии), паспортные данные, сведения о месте жительства (для физического лица), номер контактного телефона, идентификационный номер налогоплательщика или в соответствии с законодательством соответствующего иностранного государства аналог идентифи</w:t>
            </w:r>
            <w:r>
              <w:rPr>
                <w:rFonts w:ascii="Times New Roman" w:hAnsi="Times New Roman" w:eastAsia="Times New Roman" w:cs="Times New Roman"/>
                <w:color w:val="000000"/>
                <w:sz w:val="20"/>
              </w:rPr>
              <w:t xml:space="preserve">кационного номера налогоплательщика (для иностранного лица), адрес электронной почты участника закупки (при наличии). Данная информация предоставляется с применением программно-аппаратных средств электронной площадки, указанной в пункте 9.1.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 </w:t>
            </w:r>
            <w:r>
              <w:rPr>
                <w:rFonts w:ascii="Times New Roman" w:hAnsi="Times New Roman" w:eastAsia="Times New Roman" w:cs="Times New Roman"/>
                <w:color w:val="000000"/>
                <w:sz w:val="20"/>
              </w:rPr>
              <w:t xml:space="preserve">полученную не ранее чем за шесть месяцев до дня размещения в единой информационной системе извещения о проведении аукциона выписку из Единого государственного реестра юридических лиц или копию такой выписки (для юридического лица), полученную не ранее чем </w:t>
            </w:r>
            <w:r>
              <w:rPr>
                <w:rFonts w:ascii="Times New Roman" w:hAnsi="Times New Roman" w:eastAsia="Times New Roman" w:cs="Times New Roman"/>
                <w:color w:val="000000"/>
                <w:sz w:val="20"/>
              </w:rPr>
              <w:t xml:space="preserve">за шесть месяцев до дня размещения в единой информационной системе извещения о проведении аукциона выписку из Единого государственного реестра индивидуальных предпринимателей или копию такой выписки (для индивидуального предпринимателя), надлежащим образом</w:t>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w:t>
            </w:r>
            <w:r>
              <w:rPr>
                <w:rFonts w:ascii="Times New Roman" w:hAnsi="Times New Roman" w:eastAsia="Times New Roman" w:cs="Times New Roman"/>
                <w:color w:val="000000"/>
                <w:sz w:val="20"/>
              </w:rPr>
              <w:t xml:space="preserve">льного предпринимателя в соответствии с законодательством соответствующего государства (для иностранного лица), полученные не ранее чем за шесть месяцев до дня размещения в единой информационной системе извещения о проведении аукциона в электронной форме;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5) документы или копии документов, подтверждающие полномочия лица на осуществление действий о</w:t>
            </w:r>
            <w:r>
              <w:rPr>
                <w:rFonts w:ascii="Times New Roman" w:hAnsi="Times New Roman" w:eastAsia="Times New Roman" w:cs="Times New Roman"/>
                <w:color w:val="000000"/>
                <w:sz w:val="20"/>
              </w:rPr>
              <w:t xml:space="preserve">т имени участника закупки – юридического лица (решение о назначении или об избрании, приказ или иной документ, подтверждающий обладание физическим лицом правом действовать от имени участника закупки без доверенности (руководитель). В случае если от имени у</w:t>
            </w:r>
            <w:r>
              <w:rPr>
                <w:rFonts w:ascii="Times New Roman" w:hAnsi="Times New Roman" w:eastAsia="Times New Roman" w:cs="Times New Roman"/>
                <w:color w:val="000000"/>
                <w:sz w:val="20"/>
              </w:rPr>
              <w:t xml:space="preserve">частника закупки действует иное лицо, заявка на участие в аукционе должна содержать также доверенность на осуществление действий от имени участника аукциона в электронной форме, выданную и оформленную в соответствии с требованиями гражданского законодатель</w:t>
            </w:r>
            <w:r>
              <w:rPr>
                <w:rFonts w:ascii="Times New Roman" w:hAnsi="Times New Roman" w:eastAsia="Times New Roman" w:cs="Times New Roman"/>
                <w:color w:val="000000"/>
                <w:sz w:val="20"/>
              </w:rPr>
              <w:t xml:space="preserve">ства Российской Федерации. В случае если указанная доверенность подписана лицом, уполномоченным руководителем участника аукциона в электронной форме, заявка должна содержать также документ, подтверждающий полномочия такого лица на подписание доверенности;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6) копии учредительных документов участника аукциона (для юридических лиц), копию документа, удостоверяющего личность (для физических лиц);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7) декларацию о соответствии участника тре</w:t>
            </w:r>
            <w:r>
              <w:rPr>
                <w:rFonts w:ascii="Times New Roman" w:hAnsi="Times New Roman" w:eastAsia="Times New Roman" w:cs="Times New Roman"/>
                <w:color w:val="000000"/>
                <w:sz w:val="20"/>
              </w:rPr>
              <w:t xml:space="preserve">бованиям, установленным пунктами 12.1.-12.3., 12.5-12.6. документации (при наличии данных требований в документации). Данная декларация предоставляется с применением программно-аппаратных средств электронной площадки, указанной в пункте 9.1.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8) документы или копии документов, подтверждающих соответствие участника аукциона требованиям, установленным в п.12.7. документации и п.12.4. документации аукциона, в том числе о его соо</w:t>
            </w:r>
            <w:r>
              <w:rPr>
                <w:rFonts w:ascii="Times New Roman" w:hAnsi="Times New Roman" w:eastAsia="Times New Roman" w:cs="Times New Roman"/>
                <w:color w:val="000000"/>
                <w:sz w:val="20"/>
              </w:rPr>
              <w:t xml:space="preserve">тветствии единым квалификационным требованиям (при наличии требований в документации аукциона). Исчерпывающий список документов, подтверждающий соответствие участника закупки указанным требованиям установлен в пунктах 16, 16.1 и 16.2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9) документы или копии документов, подтверждающих соответств</w:t>
            </w:r>
            <w:r>
              <w:rPr>
                <w:rFonts w:ascii="Times New Roman" w:hAnsi="Times New Roman" w:eastAsia="Times New Roman" w:cs="Times New Roman"/>
                <w:color w:val="000000"/>
                <w:sz w:val="20"/>
              </w:rPr>
              <w:t xml:space="preserve">ие товара (услуги, работы)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(услугам, работам) и при наличии данных</w:t>
            </w:r>
            <w:r>
              <w:rPr>
                <w:rFonts w:ascii="Times New Roman" w:hAnsi="Times New Roman" w:eastAsia="Times New Roman" w:cs="Times New Roman"/>
                <w:color w:val="000000"/>
                <w:sz w:val="20"/>
              </w:rPr>
              <w:t xml:space="preserve"> требований в пункте 14.1 документации о проведении аукциона). Исчерпывающий список документов, подтверждающий соответствие товара, работ, услуг требованиям, установленным законодательством Российской Федерации установлен в пункте 17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10) в случае если предметом закупки является поставка лекарст</w:t>
            </w:r>
            <w:r>
              <w:rPr>
                <w:rFonts w:ascii="Times New Roman" w:hAnsi="Times New Roman" w:eastAsia="Times New Roman" w:cs="Times New Roman"/>
                <w:color w:val="000000"/>
                <w:sz w:val="20"/>
              </w:rPr>
              <w:t xml:space="preserve">венного препарата, медицинского изделия указывается регистрационный номер медицинского изделия, лекарственного препарата и дата государственной регистрации медицинского изделия, лекарственного препарата (при наличии требований в пункте 14.2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11) информацию и документы, которые</w:t>
            </w:r>
            <w:r>
              <w:rPr>
                <w:rFonts w:ascii="Times New Roman" w:hAnsi="Times New Roman" w:eastAsia="Times New Roman" w:cs="Times New Roman"/>
                <w:color w:val="000000"/>
                <w:sz w:val="20"/>
              </w:rPr>
              <w:t xml:space="preserve"> подтверждают страну происхождения товара, в случае если такие информация и документы указаны в пункте 17.1 документации. Исчерпывающий список информаци и документов, которые подтверждают страну происхождения товара, установлен в пункте 17.1 документации.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11.3. Все документы, направляемые участником закупки в электронной форме, должны быть о</w:t>
            </w:r>
            <w:r>
              <w:rPr>
                <w:rFonts w:ascii="Times New Roman" w:hAnsi="Times New Roman" w:eastAsia="Times New Roman" w:cs="Times New Roman"/>
                <w:color w:val="000000"/>
                <w:sz w:val="20"/>
              </w:rPr>
              <w:t xml:space="preserve">тсканированы с разрешением не менее чем 200 dpi.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Требовать от участника закупки иные документы и информацию, за исключением предусмотренных настоящим разделом, не допускается. </w:t>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12.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12.1. При осуществлении закупки устанавливаются следующие обязательные требования к участникам закупки: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а)</w:t>
            </w:r>
            <w:r>
              <w:rPr>
                <w:rFonts w:ascii="Times New Roman" w:hAnsi="Times New Roman" w:eastAsia="Times New Roman" w:cs="Times New Roman"/>
                <w:color w:val="000000"/>
                <w:sz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б) 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Отсутствие у участника закупки недоимки по налогам, сборам, задолженности по иным обязательным платежам в бюджеты бюджет</w:t>
            </w:r>
            <w:r>
              <w:rPr>
                <w:rFonts w:ascii="Times New Roman" w:hAnsi="Times New Roman" w:eastAsia="Times New Roman" w:cs="Times New Roman"/>
                <w:color w:val="000000"/>
                <w:sz w:val="20"/>
              </w:rPr>
              <w:t xml:space="preserve">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w:t>
            </w:r>
            <w:r>
              <w:rPr>
                <w:rFonts w:ascii="Times New Roman" w:hAnsi="Times New Roman" w:eastAsia="Times New Roman" w:cs="Times New Roman"/>
                <w:color w:val="000000"/>
                <w:sz w:val="20"/>
              </w:rPr>
              <w:t xml:space="preserve">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w:t>
            </w:r>
            <w:r>
              <w:rPr>
                <w:rFonts w:ascii="Times New Roman" w:hAnsi="Times New Roman" w:eastAsia="Times New Roman" w:cs="Times New Roman"/>
                <w:color w:val="000000"/>
                <w:sz w:val="20"/>
              </w:rPr>
              <w:t xml:space="preserve">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w:t>
            </w:r>
            <w:r>
              <w:rPr>
                <w:rFonts w:ascii="Times New Roman" w:hAnsi="Times New Roman" w:eastAsia="Times New Roman" w:cs="Times New Roman"/>
                <w:color w:val="000000"/>
                <w:sz w:val="20"/>
              </w:rPr>
              <w:t xml:space="preserve">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г) Отсутствие у участника закупки – физического лица, зарегистрированного в качестве индивидуального предпринимат</w:t>
            </w:r>
            <w:r>
              <w:rPr>
                <w:rFonts w:ascii="Times New Roman" w:hAnsi="Times New Roman" w:eastAsia="Times New Roman" w:cs="Times New Roman"/>
                <w:color w:val="000000"/>
                <w:sz w:val="20"/>
              </w:rPr>
              <w:t xml:space="preserve">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w:t>
            </w:r>
            <w:r>
              <w:rPr>
                <w:rFonts w:ascii="Times New Roman" w:hAnsi="Times New Roman" w:eastAsia="Times New Roman" w:cs="Times New Roman"/>
                <w:color w:val="000000"/>
                <w:sz w:val="20"/>
              </w:rPr>
              <w:t xml:space="preserve">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w:t>
            </w:r>
            <w:r>
              <w:rPr>
                <w:rFonts w:ascii="Times New Roman" w:hAnsi="Times New Roman" w:eastAsia="Times New Roman" w:cs="Times New Roman"/>
                <w:color w:val="000000"/>
                <w:sz w:val="20"/>
              </w:rPr>
            </w:r>
          </w:p>
        </w:tc>
      </w:tr>
      <w:tr>
        <w:trPr>
          <w:trHeight w:val="2865"/>
        </w:trPr>
        <w:tc>
          <w:tcPr>
            <w:tcBorders/>
            <w:tcW w:w="10159"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д) Отсутствие фактов привлечения в течение двух лет до моме</w:t>
            </w:r>
            <w:r>
              <w:rPr>
                <w:rFonts w:ascii="Times New Roman" w:hAnsi="Times New Roman" w:eastAsia="Times New Roman" w:cs="Times New Roman"/>
                <w:color w:val="000000"/>
                <w:sz w:val="20"/>
              </w:rPr>
              <w:t xml:space="preserve">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w:t>
            </w:r>
            <w:r>
              <w:rPr>
                <w:rFonts w:ascii="Times New Roman" w:hAnsi="Times New Roman" w:eastAsia="Times New Roman" w:cs="Times New Roman"/>
                <w:color w:val="000000"/>
                <w:sz w:val="20"/>
              </w:rPr>
              <w:t xml:space="preserve">.2.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и если данное требование предусмотрено пунктом 14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12.3.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и в случае если данное требование предусмотрено пунктом 15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12.4. Квалификационные требования к участнику закупки и исчерпывающий перечень документов, подтверждающих соответствие участника указанным требованиям установленны пунктами 16.1 и 16.2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12.5. Отсутствие сведений об участниках закупки в реестре недобросовестных поставщиков, предусмотренном статьей 5 Закона о закупках, в случае если данное требование предусмотрено пунктом 16.3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12.6. Отсутствие сведений об участниках закупки в реестре недобросовестных поставщиков</w:t>
            </w:r>
            <w:r>
              <w:rPr>
                <w:rFonts w:ascii="Times New Roman" w:hAnsi="Times New Roman" w:eastAsia="Times New Roman" w:cs="Times New Roman"/>
                <w:color w:val="000000"/>
                <w:sz w:val="20"/>
              </w:rPr>
              <w:t xml:space="preserve">,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случае если данное требование предусмотрено пунктом 16.4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12.7.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w:t>
            </w:r>
            <w:r>
              <w:rPr>
                <w:rFonts w:ascii="Times New Roman" w:hAnsi="Times New Roman" w:eastAsia="Times New Roman" w:cs="Times New Roman"/>
                <w:color w:val="000000"/>
                <w:sz w:val="20"/>
              </w:rPr>
              <w:t xml:space="preserve">е услуг, являющихся предметом закупки, в случае, если такое требование предусмотрено пунктом 16 Информационной карты. Исчерпывающий перечень документов, подтверждающих соответствие участника указанным требованиям установлен пунктом 16 Информационной карты;</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12.8.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w:t>
            </w:r>
            <w:r>
              <w:rPr>
                <w:rFonts w:ascii="Times New Roman" w:hAnsi="Times New Roman" w:eastAsia="Times New Roman" w:cs="Times New Roman"/>
                <w:color w:val="000000"/>
                <w:sz w:val="20"/>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а) физическим лицом (в том числе зарегистрированным в качестве индивидуального предпринимателя), являющимся участником закупки;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w:t>
            </w:r>
            <w:r>
              <w:rPr>
                <w:rFonts w:ascii="Times New Roman" w:hAnsi="Times New Roman" w:eastAsia="Times New Roman" w:cs="Times New Roman"/>
                <w:color w:val="000000"/>
                <w:sz w:val="20"/>
              </w:rPr>
              <w:t xml:space="preserve">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w:t>
            </w:r>
            <w:r>
              <w:rPr>
                <w:rFonts w:ascii="Times New Roman" w:hAnsi="Times New Roman" w:eastAsia="Times New Roman" w:cs="Times New Roman"/>
                <w:color w:val="000000"/>
                <w:sz w:val="20"/>
              </w:rPr>
              <w:t xml:space="preserve">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12.9. Участник закупки не является иностранным агентом.</w:t>
            </w:r>
            <w:r>
              <w:rPr>
                <w:rFonts w:ascii="Times New Roman" w:hAnsi="Times New Roman" w:eastAsia="Times New Roman" w:cs="Times New Roman"/>
                <w:color w:val="000000"/>
                <w:sz w:val="20"/>
              </w:rPr>
            </w:r>
          </w:p>
        </w:tc>
      </w:tr>
      <w:tr>
        <w:trPr>
          <w:trHeight w:val="1490"/>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13.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w:t>
            </w:r>
            <w:r>
              <w:rPr>
                <w:rFonts w:ascii="Times New Roman" w:hAnsi="Times New Roman" w:eastAsia="Times New Roman" w:cs="Times New Roman"/>
                <w:b/>
                <w:color w:val="000000"/>
                <w:sz w:val="20"/>
              </w:rPr>
              <w:t xml:space="preserve">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13.1. Требования к участникам закупки и привлекаемым ими субподрядчикам, соисполнителям и (или) изготовителям товара, являющегося предм</w:t>
            </w:r>
            <w:r>
              <w:rPr>
                <w:rFonts w:ascii="Times New Roman" w:hAnsi="Times New Roman" w:eastAsia="Times New Roman" w:cs="Times New Roman"/>
                <w:color w:val="000000"/>
                <w:sz w:val="20"/>
              </w:rPr>
              <w:t xml:space="preserve">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не установлены.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Перечень документов, представляемых участниками закупки для подтверждения их соответствия указанным требованиям: не установлен </w:t>
            </w:r>
            <w:r>
              <w:rPr>
                <w:rFonts w:ascii="Times New Roman" w:hAnsi="Times New Roman" w:eastAsia="Times New Roman" w:cs="Times New Roman"/>
                <w:color w:val="000000"/>
                <w:sz w:val="20"/>
              </w:rPr>
            </w:r>
          </w:p>
        </w:tc>
      </w:tr>
      <w:tr>
        <w:trPr>
          <w:trHeight w:val="2521"/>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14. ПЕРЕЧЕНЬ ДОКУМЕНТОВ, ПОДТ</w:t>
            </w:r>
            <w:r>
              <w:rPr>
                <w:rFonts w:ascii="Times New Roman" w:hAnsi="Times New Roman" w:eastAsia="Times New Roman" w:cs="Times New Roman"/>
                <w:b/>
                <w:color w:val="000000"/>
                <w:sz w:val="20"/>
              </w:rPr>
              <w:t xml:space="preserve">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14.1. Перечень документов, подтверждающих соответствие товара, работ, услуг т</w:t>
            </w:r>
            <w:r>
              <w:rPr>
                <w:rFonts w:ascii="Times New Roman" w:hAnsi="Times New Roman" w:eastAsia="Times New Roman" w:cs="Times New Roman"/>
                <w:color w:val="000000"/>
                <w:sz w:val="20"/>
              </w:rPr>
              <w:t xml:space="preserve">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 работам, услугам предусмотрен пунктом 17 Информационной карты.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14.2. Информация о том, что предметом закупки является лекарственный препарат, медицинское изделие, а также требования к предоставлению необходимой в данном случае информации предусмотрены пунктом 20 Информационной карты. </w:t>
            </w:r>
            <w:r>
              <w:rPr>
                <w:rFonts w:ascii="Times New Roman" w:hAnsi="Times New Roman" w:eastAsia="Times New Roman" w:cs="Times New Roman"/>
                <w:color w:val="000000"/>
                <w:sz w:val="20"/>
              </w:rPr>
            </w:r>
          </w:p>
        </w:tc>
      </w:tr>
      <w:tr>
        <w:trPr>
          <w:trHeight w:val="530"/>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15. ПОРЯДОК И СРОК ОТЗЫВА ЗАЯВОК НА УЧАСТИЕ В ЗАКУПКЕ, ПОРЯДОК ВНЕСЕНИЯ ИЗМЕНЕНИЙ В ТАКИЕ ЗАЯВКИ, ПОРЯДОК, ФОРМА, ДАТА И ВРЕМЯ ПРЕДОСТАВЛЕНИЯ</w:t>
            </w:r>
            <w:r>
              <w:rPr>
                <w:rFonts w:ascii="Times New Roman" w:hAnsi="Times New Roman" w:eastAsia="Times New Roman" w:cs="Times New Roman"/>
                <w:color w:val="000000"/>
                <w:sz w:val="20"/>
              </w:rPr>
            </w:r>
          </w:p>
        </w:tc>
      </w:tr>
      <w:tr>
        <w:trPr>
          <w:trHeight w:val="2293"/>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УЧАСТНИКАМ РАЗЪЯСНЕНИЙ ИЗВЕЩЕНИЯ И (ИЛИ) ДОКУМЕНТАЦИИ О ЗАКУПКЕ.</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15.1. Участник аукциона вправе изменить или отозвать свою заявку до истечения срока подач</w:t>
            </w:r>
            <w:r>
              <w:rPr>
                <w:rFonts w:ascii="Times New Roman" w:hAnsi="Times New Roman" w:eastAsia="Times New Roman" w:cs="Times New Roman"/>
                <w:color w:val="000000"/>
                <w:sz w:val="20"/>
              </w:rPr>
              <w:t xml:space="preserve">и заявок, указанного в пункте 8.2.2. документации. Заявка на участие в аукционе является измененной или отозванной, если изменение осуществлено или уведомление об отзыве заявки получено оператором ЭП до истечения срока подачи заявок на участие в аукционе.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15.2. Любой участник закупки вправе направить запрос о разъяснении положений</w:t>
            </w:r>
            <w:r>
              <w:rPr>
                <w:rFonts w:ascii="Times New Roman" w:hAnsi="Times New Roman" w:eastAsia="Times New Roman" w:cs="Times New Roman"/>
                <w:color w:val="000000"/>
                <w:sz w:val="20"/>
              </w:rPr>
              <w:t xml:space="preserve"> извещения и (или) документации о закупке не позднее чем за три рабочих дня до даты окончания срока подачи заявок на участие в закупке. Запрос направляется с использованием программно-аппаратных средств электронной площадки, указанной в пункте 9.1. докумен</w:t>
            </w:r>
            <w:r>
              <w:rPr>
                <w:rFonts w:ascii="Times New Roman" w:hAnsi="Times New Roman" w:eastAsia="Times New Roman" w:cs="Times New Roman"/>
                <w:color w:val="000000"/>
                <w:sz w:val="20"/>
              </w:rPr>
              <w:t xml:space="preserve">тации. 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 При этом заказчик вправе не осуществлят</w:t>
            </w:r>
            <w:r>
              <w:rPr>
                <w:rFonts w:ascii="Times New Roman" w:hAnsi="Times New Roman" w:eastAsia="Times New Roman" w:cs="Times New Roman"/>
                <w:color w:val="000000"/>
                <w:sz w:val="20"/>
              </w:rPr>
              <w:t xml:space="preserve">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 Разъяснение положений извещения и (или) документации о закупке размещается в единой информационной с</w:t>
            </w:r>
            <w:r>
              <w:rPr>
                <w:rFonts w:ascii="Times New Roman" w:hAnsi="Times New Roman" w:eastAsia="Times New Roman" w:cs="Times New Roman"/>
                <w:color w:val="000000"/>
                <w:sz w:val="20"/>
              </w:rPr>
              <w:t xml:space="preserve">истеме с указанием предмета запроса, но без обозначения участника такой закупки, от которого поступил данный запрос. Разъяснение положений извещения и (или) документации о закупке не должно изменять предмет закупки и существенные условия проекта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15.3. Участник закупки вправе направить не более чем три запроса о разъяснении положений извещения и (или) документации о закупке в отношении одной закупки.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15.4. Дата и время окончания срока предоставления участникам закупки разъяснений положений извещения и (или) документации приведены в пункте 13 Информационной карты. </w:t>
            </w:r>
            <w:r>
              <w:rPr>
                <w:rFonts w:ascii="Times New Roman" w:hAnsi="Times New Roman" w:eastAsia="Times New Roman" w:cs="Times New Roman"/>
                <w:color w:val="000000"/>
                <w:sz w:val="20"/>
              </w:rPr>
            </w:r>
          </w:p>
        </w:tc>
      </w:tr>
      <w:tr>
        <w:trPr>
          <w:trHeight w:val="2866"/>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16. СРОК, В ТЕЧЕНИЕ КОТОРОГО ПОБЕДИТЕЛЬ ИЛИ ЕДИНСТВЕННЫЙ УЧАСТНИК АУКЦИОНА, ЛИБО УЧАСТНИК, С КОТОРЫМ В СООТВЕТСТВИИ С ПОЛОЖЕНИЕМ ЗАКЛЮЧАЕТСЯ ДОГОВОР, ПРИ УКЛОНЕНИИ ПОБЕДИТЕЛЯ (УЧАСТНИКА), ДОЛЖЕН ПОДПИСАТЬ ПРОЕКТ ДОГОВОРА.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16.1. Договор по результатам аукциона заключается с использованием программно-аппаратных средств ЭП и должен быть подписан усиленной квалифицированной эл</w:t>
            </w:r>
            <w:r>
              <w:rPr>
                <w:rFonts w:ascii="Times New Roman" w:hAnsi="Times New Roman" w:eastAsia="Times New Roman" w:cs="Times New Roman"/>
                <w:color w:val="000000"/>
                <w:sz w:val="20"/>
              </w:rPr>
              <w:t xml:space="preserve">ектронной подписью лица, имеющего право действовать от имени участника закупки, заказчика. В случае наличия разногласий по проекту договора, направленному заказчиком, участник закупки составляет протокол разногласий с указанием замечаний к положениям проек</w:t>
            </w:r>
            <w:r>
              <w:rPr>
                <w:rFonts w:ascii="Times New Roman" w:hAnsi="Times New Roman" w:eastAsia="Times New Roman" w:cs="Times New Roman"/>
                <w:color w:val="000000"/>
                <w:sz w:val="20"/>
              </w:rPr>
              <w:t xml:space="preserve">та договора, не соответствующим извещению и (или)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ЭП. Заказчик рассма</w:t>
            </w:r>
            <w:r>
              <w:rPr>
                <w:rFonts w:ascii="Times New Roman" w:hAnsi="Times New Roman" w:eastAsia="Times New Roman" w:cs="Times New Roman"/>
                <w:color w:val="000000"/>
                <w:sz w:val="20"/>
              </w:rPr>
              <w:t xml:space="preserve">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16.2. В течение пяти дней с даты размещения в</w:t>
            </w:r>
            <w:r>
              <w:rPr>
                <w:rFonts w:ascii="Times New Roman" w:hAnsi="Times New Roman" w:eastAsia="Times New Roman" w:cs="Times New Roman"/>
                <w:color w:val="000000"/>
                <w:sz w:val="20"/>
              </w:rPr>
              <w:t xml:space="preserve"> единой информационной системе итогового протокола, в соответствии с которым определен победитель закупки, заказчик направляет без своей подписи проект договора победителю закупки либо иному лицу, с которым в соответствии с Положением заключается договор.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16.3. Победитель закупки либо иное лицо, с которым в соответствии с Положением заключается договор, обязан в срок со дня получения им от заказчика проекта договора и не позднее десяти дней с даты размещения в единой информационной системе итогового</w:t>
            </w:r>
            <w:r>
              <w:rPr>
                <w:rFonts w:ascii="Times New Roman" w:hAnsi="Times New Roman" w:eastAsia="Times New Roman" w:cs="Times New Roman"/>
                <w:color w:val="000000"/>
                <w:sz w:val="20"/>
              </w:rPr>
              <w:t xml:space="preserve"> протокола направить заказчику подписанный договор, а также документ, подтверждающий предоставление обеспечения исполнения договора, если данное требование установлено в извещении и (или) документации о закупке, либо разместить на ЭП протокол разногласий.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16.4. Вышеуказанный протокол разногласий может быть размещен на ЭП в отношении соответствующего договора не более одного раза. При этом победитель электронной процедуры, с которым заключае</w:t>
            </w:r>
            <w:r>
              <w:rPr>
                <w:rFonts w:ascii="Times New Roman" w:hAnsi="Times New Roman" w:eastAsia="Times New Roman" w:cs="Times New Roman"/>
                <w:color w:val="000000"/>
                <w:sz w:val="20"/>
              </w:rPr>
              <w:t xml:space="preserve">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16.5. В течение 3 рабочих дней с даты размещения победителем электронной процедуры на ЭП протокола разногласий заказчик рассматривает протокол разногласий и без своей подписи размещает на</w:t>
            </w:r>
            <w:r>
              <w:rPr>
                <w:rFonts w:ascii="Times New Roman" w:hAnsi="Times New Roman" w:eastAsia="Times New Roman" w:cs="Times New Roman"/>
                <w:color w:val="000000"/>
                <w:sz w:val="20"/>
              </w:rPr>
              <w:t xml:space="preserve"> ЭП доработанный проект договора либо повторно размещает на ЭП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 При этом размещени</w:t>
            </w:r>
            <w:r>
              <w:rPr>
                <w:rFonts w:ascii="Times New Roman" w:hAnsi="Times New Roman" w:eastAsia="Times New Roman" w:cs="Times New Roman"/>
                <w:color w:val="000000"/>
                <w:sz w:val="20"/>
              </w:rPr>
              <w:t xml:space="preserve">е на ЭП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ЭП протокол разногласий.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16.6. В течение 3 рабочих дней с да</w:t>
            </w:r>
            <w:r>
              <w:rPr>
                <w:rFonts w:ascii="Times New Roman" w:hAnsi="Times New Roman" w:eastAsia="Times New Roman" w:cs="Times New Roman"/>
                <w:color w:val="000000"/>
                <w:sz w:val="20"/>
              </w:rPr>
              <w:t xml:space="preserve">ты размещения заказчиком на ЭП документов после рассмотрения им протокола разногласий победитель электронной процедуры размещает на ЭП проект договора, подписанный усиленной квалифицированной электронной подписью лица, имеющего право действовать от имени т</w:t>
            </w:r>
            <w:r>
              <w:rPr>
                <w:rFonts w:ascii="Times New Roman" w:hAnsi="Times New Roman" w:eastAsia="Times New Roman" w:cs="Times New Roman"/>
                <w:color w:val="000000"/>
                <w:sz w:val="20"/>
              </w:rPr>
              <w:t xml:space="preserve">акого победителя, а также документ, подтверждающий предоставление обеспечения исполнения договора, подписанные усиленной квалифицированной электронной подписью указанного лица, если данное требование установлено в извещении и (или) документации о закупке.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16.7. В случае если участник закупки, с которым заключается договор, в указанный срок, не представил заказчику подписанный договор на условиях, предусмотренных заявкой победителя и изве</w:t>
            </w:r>
            <w:r>
              <w:rPr>
                <w:rFonts w:ascii="Times New Roman" w:hAnsi="Times New Roman" w:eastAsia="Times New Roman" w:cs="Times New Roman"/>
                <w:color w:val="000000"/>
                <w:sz w:val="20"/>
              </w:rPr>
              <w:t xml:space="preserve">щением и (или) документацией о закупке, обеспечение исполнения договора в случае, если заказчиком было установлено требование обеспечения исполнения договора, участник закупки, с которым заключается договор, признается уклонившимся от заключения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16.8. При уклонении</w:t>
            </w:r>
            <w:r>
              <w:rPr>
                <w:rFonts w:ascii="Times New Roman" w:hAnsi="Times New Roman" w:eastAsia="Times New Roman" w:cs="Times New Roman"/>
                <w:color w:val="000000"/>
                <w:sz w:val="20"/>
              </w:rPr>
              <w:t xml:space="preserve"> победителя закупки от заключения договора заказчик вправе обратиться в суд с иском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w:t>
            </w:r>
            <w:r>
              <w:rPr>
                <w:rFonts w:ascii="Times New Roman" w:hAnsi="Times New Roman" w:eastAsia="Times New Roman" w:cs="Times New Roman"/>
                <w:color w:val="000000"/>
                <w:sz w:val="20"/>
              </w:rPr>
              <w:t xml:space="preserve"> заявке на участие в закупке которого присвоен второй номер. При этом заказчик вправе направить проект договора следующему участнику закупки, с которым в соответствии с Положением заключается договор, в течение трех дней с даты признания победителя закупки</w:t>
            </w:r>
            <w:r>
              <w:rPr>
                <w:rFonts w:ascii="Times New Roman" w:hAnsi="Times New Roman" w:eastAsia="Times New Roman" w:cs="Times New Roman"/>
                <w:color w:val="000000"/>
                <w:sz w:val="20"/>
              </w:rPr>
            </w:r>
          </w:p>
        </w:tc>
      </w:tr>
      <w:tr>
        <w:trPr>
          <w:trHeight w:val="1146"/>
        </w:trPr>
        <w:tc>
          <w:tcPr>
            <w:tcBorders/>
            <w:tcW w:w="10159"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уклонившимся от заключения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16.9. В случае уклонения второго участника закупки от заключения договора заказчик вправе заключить договор с третьим участником закупки.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16.10. Заключение договора для участников закупки с тремя первыми порядковыми номерами предложений является обязательным. </w:t>
            </w:r>
            <w:r>
              <w:rPr>
                <w:rFonts w:ascii="Times New Roman" w:hAnsi="Times New Roman" w:eastAsia="Times New Roman" w:cs="Times New Roman"/>
                <w:color w:val="000000"/>
                <w:sz w:val="20"/>
              </w:rPr>
            </w:r>
          </w:p>
        </w:tc>
      </w:tr>
      <w:tr>
        <w:trPr>
          <w:trHeight w:val="1834"/>
        </w:trPr>
        <w:tc>
          <w:tcPr>
            <w:tcBorders/>
            <w:tcW w:w="10159" w:type="dxa"/>
            <w:vMerge w:val="restart"/>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b/>
                <w:color w:val="000000"/>
                <w:sz w:val="20"/>
              </w:rPr>
              <w:t xml:space="preserve">17. ИНФОРМАЦИЯ О ЗАПРЕТЕ ИЛИ ОБ ОГРАНИЧЕНИИ ЗАКУПОК ТОВАРОВ (В ТОМ ЧИСЛЕ ПОСТАВЛЯЕМЫХ ПРИ ВЫПОЛНЕНИИ ЗАКУПАЕМЫХ РАБОТ, ОКАЗА</w:t>
            </w:r>
            <w:r>
              <w:rPr>
                <w:rFonts w:ascii="Times New Roman" w:hAnsi="Times New Roman" w:eastAsia="Times New Roman" w:cs="Times New Roman"/>
                <w:b/>
                <w:color w:val="000000"/>
                <w:sz w:val="20"/>
              </w:rPr>
              <w:t xml:space="preserve">НИИ ЗАКУПАЕМЫХ УСЛУГ), ПРОИСХОДЯЩИХ ИЗ ИНОСТРАННОГО ГОСУДАРСТВА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О ПРЕ</w:t>
            </w:r>
            <w:r>
              <w:rPr>
                <w:rFonts w:ascii="Times New Roman" w:hAnsi="Times New Roman" w:eastAsia="Times New Roman" w:cs="Times New Roman"/>
                <w:b/>
                <w:color w:val="000000"/>
                <w:sz w:val="20"/>
              </w:rPr>
              <w:t xml:space="preserve">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ГРАЖДАНАМИ ИЛИ РОССИЙСКИМИ ЮРИДИЧЕСКИМИ ЛИЦАМИ.</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ab/>
            </w:r>
            <w:r>
              <w:rPr>
                <w:rFonts w:ascii="Times New Roman" w:hAnsi="Times New Roman" w:eastAsia="Times New Roman" w:cs="Times New Roman"/>
                <w:color w:val="000000"/>
                <w:sz w:val="20"/>
              </w:rPr>
              <w:t xml:space="preserve">17.1. При осуществлении закупки предоставляется национальный режим, обеспечивающий происходящему из иностранного государства и</w:t>
            </w:r>
            <w:r>
              <w:rPr>
                <w:rFonts w:ascii="Times New Roman" w:hAnsi="Times New Roman" w:eastAsia="Times New Roman" w:cs="Times New Roman"/>
                <w:color w:val="000000"/>
                <w:sz w:val="20"/>
              </w:rPr>
              <w:t xml:space="preserve">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w:t>
            </w:r>
            <w:r>
              <w:rPr>
                <w:rFonts w:ascii="Times New Roman" w:hAnsi="Times New Roman" w:eastAsia="Times New Roman" w:cs="Times New Roman"/>
                <w:color w:val="000000"/>
                <w:sz w:val="20"/>
              </w:rPr>
              <w:t xml:space="preserve">оисхождения, работой, услугой, соответственно выполняемой, оказываемой российским гражданином или российским юридическим лицом (далее - российское лицо). Предоставление информации и документов которые подтверждают страну происхождения товара не требуется.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bl>
    <w:p>
      <w:pPr>
        <w:pBdr/>
        <w:spacing/>
        <w:ind/>
        <w:rPr/>
        <w:sectPr>
          <w:footnotePr/>
          <w:endnotePr/>
          <w:type w:val="nextPage"/>
          <w:pgSz w:h="16848" w:orient="portrait" w:w="11906"/>
          <w:pgMar w:top="567" w:right="567" w:bottom="517" w:left="1134"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159"/>
      </w:tblGrid>
      <w:tr>
        <w:trPr>
          <w:trHeight w:val="917"/>
        </w:trPr>
        <w:tc>
          <w:tcPr>
            <w:tcBorders/>
            <w:tcW w:w="10159" w:type="dxa"/>
          </w:tcPr>
          <w:p>
            <w:pPr>
              <w:pBdr/>
              <w:spacing w:line="237"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18. ОСОБЕННОСТИ УЧАСТИЯ СУБЪЕКТОВ МАЛОГО И СРЕДНЕГО ПРЕДПРИНИМАТЕЛЬСТВА</w:t>
            </w: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Участниками закупки являются любые лица, указанные в части 5 статьи 3 Федерального закона от 18.07.2011 N 223-ФЗ "О закупках товаров, работ, услуг отдельными видами юридических лиц", в том числе субъекты малого и среднего предпринимательства. </w:t>
            </w:r>
            <w:r>
              <w:rPr>
                <w:rFonts w:ascii="Times New Roman" w:hAnsi="Times New Roman" w:eastAsia="Times New Roman" w:cs="Times New Roman"/>
                <w:color w:val="000000"/>
                <w:sz w:val="20"/>
              </w:rPr>
            </w:r>
          </w:p>
        </w:tc>
      </w:tr>
    </w:tbl>
    <w:p>
      <w:pPr>
        <w:pBdr/>
        <w:spacing/>
        <w:ind/>
        <w:rPr/>
        <w:sectPr>
          <w:footnotePr/>
          <w:endnotePr/>
          <w:type w:val="nextPage"/>
          <w:pgSz w:h="11909" w:orient="landscape" w:w="16838"/>
          <w:pgMar w:top="567" w:right="567" w:bottom="517" w:left="567" w:header="226" w:footer="206" w:gutter="0"/>
          <w:cols w:num="1" w:sep="0" w:space="1701" w:equalWidth="1"/>
        </w:sectPr>
      </w:pPr>
      <w:r/>
      <w:r/>
    </w:p>
    <w:p>
      <w:pPr>
        <w:pBdr/>
        <w:spacing/>
        <w:ind/>
        <w:rPr/>
      </w:pPr>
      <w:r/>
      <w:r/>
    </w:p>
    <w:p>
      <w:pPr>
        <w:pBdr/>
        <w:spacing w:after="0" w:before="0" w:line="228" w:lineRule="auto"/>
        <w:ind/>
        <w:jc w:val="center"/>
        <w:rPr>
          <w:rFonts w:ascii="Times New Roman CYR" w:hAnsi="Times New Roman CYR" w:eastAsia="Times New Roman CYR" w:cs="Times New Roman CYR"/>
          <w:b/>
          <w:color w:val="000000"/>
          <w:spacing w:val="0"/>
          <w:sz w:val="24"/>
          <w:u w:val="none"/>
          <w:lang w:val="ru-RU"/>
        </w:rPr>
      </w:pPr>
      <w:r>
        <w:rPr>
          <w:rFonts w:ascii="Times New Roman" w:hAnsi="Times New Roman" w:eastAsia="Times New Roman" w:cs="Times New Roman"/>
          <w:b/>
          <w:color w:val="000000"/>
          <w:spacing w:val="0"/>
          <w:sz w:val="24"/>
          <w:u w:val="none"/>
          <w:lang w:val="en-US"/>
        </w:rPr>
        <w:t xml:space="preserve">19</w:t>
      </w:r>
      <w:r>
        <w:rPr>
          <w:rFonts w:ascii="Times New Roman CYR" w:hAnsi="Times New Roman CYR" w:eastAsia="Times New Roman CYR" w:cs="Times New Roman CYR"/>
          <w:b/>
          <w:color w:val="000000"/>
          <w:spacing w:val="0"/>
          <w:sz w:val="24"/>
          <w:u w:val="none"/>
          <w:lang w:val="ru-RU"/>
        </w:rPr>
        <w:t xml:space="preserve">. ИНФОРМАЦИОННАЯ КАРТА</w:t>
      </w:r>
      <w:r>
        <w:rPr>
          <w:rFonts w:ascii="Times New Roman CYR" w:hAnsi="Times New Roman CYR" w:eastAsia="Times New Roman CYR" w:cs="Times New Roman CYR"/>
          <w:b/>
          <w:color w:val="000000"/>
          <w:spacing w:val="0"/>
          <w:sz w:val="24"/>
          <w:u w:val="none"/>
          <w:lang w:val="ru-RU"/>
        </w:rPr>
      </w:r>
    </w:p>
    <w:p>
      <w:pPr>
        <w:pBdr/>
        <w:spacing w:after="0" w:before="0" w:line="228" w:lineRule="auto"/>
        <w:ind/>
        <w:jc w:val="both"/>
        <w:rPr>
          <w:rFonts w:ascii="Microsoft Sans Serif" w:hAnsi="Microsoft Sans Serif" w:eastAsia="Microsoft Sans Serif" w:cs="Microsoft Sans Serif"/>
          <w:b w:val="0"/>
          <w:color w:val="auto"/>
          <w:spacing w:val="0"/>
          <w:sz w:val="17"/>
          <w:u w:val="none"/>
          <w:lang w:val="ru-RU"/>
        </w:rPr>
      </w:pPr>
      <w:r>
        <w:rPr>
          <w:rFonts w:ascii="Times New Roman CYR" w:hAnsi="Times New Roman CYR" w:eastAsia="Times New Roman CYR" w:cs="Times New Roman CYR"/>
          <w:b w:val="0"/>
          <w:color w:val="000000"/>
          <w:spacing w:val="0"/>
          <w:sz w:val="24"/>
          <w:u w:val="none"/>
          <w:lang w:val="ru-RU"/>
        </w:rPr>
        <w:t xml:space="preserve">Приведенные ниже конкретные условия проведения аукциона – Информационная карта – являются неотъемлемой частью документации.</w:t>
      </w:r>
      <w:r>
        <w:rPr>
          <w:rFonts w:ascii="Microsoft Sans Serif" w:hAnsi="Microsoft Sans Serif" w:eastAsia="Microsoft Sans Serif" w:cs="Microsoft Sans Serif"/>
          <w:b w:val="0"/>
          <w:color w:val="auto"/>
          <w:spacing w:val="0"/>
          <w:sz w:val="17"/>
          <w:u w:val="none"/>
          <w:lang w:val="ru-RU"/>
        </w:rP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286"/>
        <w:gridCol w:w="4800"/>
        <w:gridCol w:w="1075"/>
        <w:gridCol w:w="888"/>
        <w:gridCol w:w="803"/>
        <w:gridCol w:w="1748"/>
      </w:tblGrid>
      <w:tr>
        <w:trPr>
          <w:trHeight w:val="444"/>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w:t>
            </w:r>
            <w:r>
              <w:rPr>
                <w:rFonts w:ascii="Times New Roman" w:hAnsi="Times New Roman" w:eastAsia="Times New Roman" w:cs="Times New Roman"/>
                <w:b/>
                <w:color w:val="000000"/>
                <w:sz w:val="20"/>
              </w:rPr>
            </w:r>
          </w:p>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 п/п</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w:t>
            </w:r>
            <w:r>
              <w:rPr>
                <w:rFonts w:ascii="Times New Roman" w:hAnsi="Times New Roman" w:eastAsia="Times New Roman" w:cs="Times New Roman"/>
                <w:b/>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 МЕСТО НАХОЖДЕНИЯ, ПОЧТОВЫЙ АДРЕС, АДРЕС ЭЛЕКТРОННОЙ ПОЧТЫ, НОМЕР КОНТАКТНОГО ТЕЛЕФОНА ЗАКАЗЧИКА.</w:t>
            </w:r>
            <w:r>
              <w:rPr>
                <w:rFonts w:ascii="Times New Roman" w:hAnsi="Times New Roman" w:eastAsia="Times New Roman" w:cs="Times New Roman"/>
                <w:b/>
                <w:color w:val="000000"/>
                <w:sz w:val="20"/>
              </w:rPr>
            </w:r>
          </w:p>
        </w:tc>
      </w:tr>
      <w:tr>
        <w:trPr>
          <w:trHeight w:val="301"/>
        </w:trPr>
        <w:tc>
          <w:tcPr>
            <w:gridSpan w:val="2"/>
            <w:tcBorders>
              <w:top w:val="single" w:color="000000" w:sz="5" w:space="0"/>
              <w:left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top w:w="29" w:type="dxa"/>
              <w:right w:w="72" w:type="dxa"/>
            </w:tcMar>
            <w:tcW w:w="9314" w:type="dxa"/>
            <w:vAlign w:val="center"/>
          </w:tcPr>
          <w:p>
            <w:pPr>
              <w:pBdr/>
              <w:spacing w:line="238" w:lineRule="auto"/>
              <w:ind/>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Сведения о заказчике:</w:t>
            </w:r>
            <w:r>
              <w:rPr>
                <w:rFonts w:ascii="Times New Roman" w:hAnsi="Times New Roman" w:eastAsia="Times New Roman" w:cs="Times New Roman"/>
                <w:b/>
                <w:color w:val="000000"/>
                <w:sz w:val="20"/>
              </w:rPr>
            </w:r>
          </w:p>
        </w:tc>
      </w:tr>
      <w:tr>
        <w:trPr>
          <w:trHeight w:val="516"/>
        </w:trPr>
        <w:tc>
          <w:tcPr>
            <w:gridSpan w:val="2"/>
            <w:tcBorders>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tc>
        <w:tc>
          <w:tcPr>
            <w:gridSpan w:val="5"/>
            <w:tcBorders>
              <w:left w:val="single" w:color="000000" w:sz="5" w:space="0"/>
              <w:right w:val="single" w:color="000000" w:sz="5" w:space="0"/>
            </w:tcBorders>
            <w:tcMar>
              <w:left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Наименование: </w:t>
            </w:r>
            <w:r>
              <w:rPr>
                <w:rFonts w:ascii="Times New Roman" w:hAnsi="Times New Roman" w:eastAsia="Times New Roman" w:cs="Times New Roman"/>
                <w:color w:val="000000"/>
                <w:sz w:val="20"/>
              </w:rPr>
              <w:t xml:space="preserve">КРАЕВОЕ ГОСУДАРСТВЕННОЕ БЮДЖЕТНОЕ УЧРЕЖДЕНИЕ ЗДРАВООХРАНЕНИЯ "АЛТАЙСКИЙ КРАЕВОЙ НАРКОЛОГИЧЕСКИЙ ДИСПАНСЕР" </w:t>
            </w:r>
            <w:r>
              <w:rPr>
                <w:rFonts w:ascii="Times New Roman" w:hAnsi="Times New Roman" w:eastAsia="Times New Roman" w:cs="Times New Roman"/>
                <w:color w:val="000000"/>
                <w:sz w:val="20"/>
              </w:rPr>
            </w:r>
          </w:p>
        </w:tc>
      </w:tr>
      <w:tr>
        <w:trPr>
          <w:trHeight w:val="287"/>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vAlign w:val="center"/>
          </w:tcPr>
          <w:p>
            <w:pPr>
              <w:pBdr/>
              <w:spacing w:line="238"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Место нахождения: 656043, АЛТАЙСКИЙ КРАЙ, Г.. БАРНАУЛ, УЛ. ЛЬВА ТОЛСТОГО, Д. 23</w:t>
            </w:r>
            <w:r>
              <w:rPr>
                <w:rFonts w:ascii="Times New Roman" w:hAnsi="Times New Roman" w:eastAsia="Times New Roman" w:cs="Times New Roman"/>
                <w:color w:val="000000"/>
                <w:sz w:val="20"/>
              </w:rPr>
            </w:r>
          </w:p>
        </w:tc>
      </w:tr>
      <w:tr>
        <w:trPr>
          <w:trHeight w:val="272"/>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vAlign w:val="center"/>
          </w:tcPr>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Почтовый адрес: 656049, Алтайский край, г.Барнаул, ул.Л.Толстого, дом 23, </w:t>
            </w:r>
            <w:r>
              <w:rPr>
                <w:rFonts w:ascii="Times New Roman" w:hAnsi="Times New Roman" w:eastAsia="Times New Roman" w:cs="Times New Roman"/>
                <w:color w:val="000000"/>
                <w:sz w:val="20"/>
              </w:rPr>
            </w:r>
          </w:p>
        </w:tc>
      </w:tr>
      <w:tr>
        <w:trPr>
          <w:trHeight w:val="286"/>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tcPr>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Адрес электронной почты: aknd@yandex.ru</w:t>
            </w:r>
            <w:r>
              <w:rPr>
                <w:rFonts w:ascii="Times New Roman" w:hAnsi="Times New Roman" w:eastAsia="Times New Roman" w:cs="Times New Roman"/>
                <w:color w:val="000000"/>
                <w:sz w:val="20"/>
              </w:rPr>
            </w:r>
          </w:p>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7"/>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tcPr>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Номер контактного телефона и факса: 3852633942, факс: 3852353947</w:t>
            </w:r>
            <w:r>
              <w:rPr>
                <w:rFonts w:ascii="Times New Roman" w:hAnsi="Times New Roman" w:eastAsia="Times New Roman" w:cs="Times New Roman"/>
                <w:color w:val="000000"/>
                <w:sz w:val="20"/>
              </w:rPr>
            </w:r>
          </w:p>
        </w:tc>
      </w:tr>
      <w:tr>
        <w:trPr>
          <w:trHeight w:val="516"/>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tcPr>
          <w:p>
            <w:pPr>
              <w:pBdr/>
              <w:spacing w:line="238"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Ответственное должностное лицо заказчика: Фомин Сергей Викторович, тел.: 8-385-2353947, Е-mail: 042075@mail.ru</w:t>
            </w:r>
            <w:r>
              <w:rPr>
                <w:rFonts w:ascii="Times New Roman" w:hAnsi="Times New Roman" w:eastAsia="Times New Roman" w:cs="Times New Roman"/>
                <w:color w:val="000000"/>
                <w:sz w:val="20"/>
              </w:rPr>
            </w:r>
          </w:p>
        </w:tc>
      </w:tr>
      <w:tr>
        <w:trPr>
          <w:trHeight w:val="286"/>
        </w:trPr>
        <w:tc>
          <w:tcPr>
            <w:gridSpan w:val="2"/>
            <w:tcBorders>
              <w:left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1.2</w:t>
            </w:r>
            <w:r>
              <w:rPr>
                <w:rFonts w:ascii="Times New Roman" w:hAnsi="Times New Roman" w:eastAsia="Times New Roman" w:cs="Times New Roman"/>
                <w:b/>
                <w:color w:val="000000"/>
                <w:sz w:val="20"/>
              </w:rPr>
            </w:r>
          </w:p>
        </w:tc>
        <w:tc>
          <w:tcPr>
            <w:gridSpan w:val="5"/>
            <w:tcBorders>
              <w:left w:val="single" w:color="000000" w:sz="5" w:space="0"/>
              <w:right w:val="single" w:color="000000" w:sz="5" w:space="0"/>
            </w:tcBorders>
            <w:tcMar>
              <w:left w:w="29" w:type="dxa"/>
              <w:top w:w="29" w:type="dxa"/>
              <w:right w:w="72" w:type="dxa"/>
            </w:tcMar>
            <w:tcW w:w="9314" w:type="dxa"/>
            <w:vAlign w:val="center"/>
          </w:tcPr>
          <w:p>
            <w:pPr>
              <w:pBdr/>
              <w:spacing w:line="238" w:lineRule="auto"/>
              <w:ind/>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Сведения об уполномоченном учреждении:</w:t>
            </w:r>
            <w:r>
              <w:rPr>
                <w:rFonts w:ascii="Times New Roman" w:hAnsi="Times New Roman" w:eastAsia="Times New Roman" w:cs="Times New Roman"/>
                <w:b/>
                <w:color w:val="000000"/>
                <w:sz w:val="20"/>
              </w:rPr>
            </w:r>
          </w:p>
        </w:tc>
      </w:tr>
      <w:tr>
        <w:trPr>
          <w:trHeight w:val="287"/>
        </w:trPr>
        <w:tc>
          <w:tcPr>
            <w:gridSpan w:val="2"/>
            <w:tcBorders>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 </w:t>
            </w:r>
            <w:r>
              <w:rPr>
                <w:rFonts w:ascii="Times New Roman" w:hAnsi="Times New Roman" w:eastAsia="Times New Roman" w:cs="Times New Roman"/>
                <w:color w:val="000000"/>
                <w:sz w:val="20"/>
              </w:rPr>
            </w:r>
          </w:p>
        </w:tc>
        <w:tc>
          <w:tcPr>
            <w:gridSpan w:val="5"/>
            <w:tcBorders>
              <w:left w:val="single" w:color="000000" w:sz="5" w:space="0"/>
              <w:right w:val="single" w:color="000000" w:sz="5" w:space="0"/>
            </w:tcBorders>
            <w:tcMar>
              <w:left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КГКУ "ЦЕНТР ГОСУДАРСТВЕННЫХ ЗАКУПОК АЛТАЙСКОГО КРАЯ"</w:t>
            </w:r>
            <w:r>
              <w:rPr>
                <w:rFonts w:ascii="Times New Roman" w:hAnsi="Times New Roman" w:eastAsia="Times New Roman" w:cs="Times New Roman"/>
                <w:color w:val="000000"/>
                <w:sz w:val="20"/>
              </w:rPr>
            </w:r>
          </w:p>
        </w:tc>
      </w:tr>
      <w:tr>
        <w:trPr>
          <w:trHeight w:val="272"/>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vAlign w:val="center"/>
          </w:tcPr>
          <w:p>
            <w:pPr>
              <w:pBdr/>
              <w:spacing w:line="238" w:lineRule="auto"/>
              <w:ind w:right="-18807"/>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Почтовый адрес: 656049, Алтайский край, г. Барнаул, ул. Интернациональная, 122</w:t>
            </w:r>
            <w:r>
              <w:rPr>
                <w:rFonts w:ascii="Times New Roman" w:hAnsi="Times New Roman" w:eastAsia="Times New Roman" w:cs="Times New Roman"/>
                <w:color w:val="000000"/>
                <w:sz w:val="20"/>
              </w:rPr>
            </w:r>
          </w:p>
        </w:tc>
      </w:tr>
      <w:tr>
        <w:trPr>
          <w:trHeight w:val="229"/>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top w:w="29" w:type="dxa"/>
              <w:right w:w="72" w:type="dxa"/>
            </w:tcMar>
            <w:tcW w:w="9314" w:type="dxa"/>
            <w:vAlign w:val="center"/>
          </w:tcPr>
          <w:p>
            <w:pPr>
              <w:pBdr/>
              <w:spacing w:line="238"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Место нахождения: 656038, Алтайский край, г. Барнаул, пр-т. Комсомольский, 118</w:t>
            </w:r>
            <w:r>
              <w:rPr>
                <w:rFonts w:ascii="Times New Roman" w:hAnsi="Times New Roman" w:eastAsia="Times New Roman" w:cs="Times New Roman"/>
                <w:color w:val="000000"/>
                <w:sz w:val="20"/>
              </w:rPr>
            </w:r>
          </w:p>
        </w:tc>
      </w:tr>
      <w:tr>
        <w:trPr>
          <w:trHeight w:val="230"/>
        </w:trPr>
        <w:tc>
          <w:tcPr>
            <w:gridSpan w:val="2"/>
            <w:tcBorders>
              <w:left w:val="single" w:color="000000" w:sz="5" w:space="0"/>
              <w:right w:val="single" w:color="000000" w:sz="5" w:space="0"/>
            </w:tcBorders>
            <w:tcW w:w="845" w:type="dxa"/>
            <w:vMerge w:val="continue"/>
          </w:tcPr>
          <w:p>
            <w:pPr>
              <w:pBdr/>
              <w:spacing/>
              <w:ind/>
              <w:rPr/>
            </w:pPr>
            <w:r/>
            <w:r/>
          </w:p>
        </w:tc>
        <w:tc>
          <w:tcPr>
            <w:gridSpan w:val="5"/>
            <w:tcBorders>
              <w:left w:val="single" w:color="000000" w:sz="5" w:space="0"/>
              <w:right w:val="single" w:color="000000" w:sz="5" w:space="0"/>
            </w:tcBorders>
            <w:tcMar>
              <w:left w:w="29" w:type="dxa"/>
              <w:right w:w="72" w:type="dxa"/>
            </w:tcMar>
            <w:tcW w:w="9314" w:type="dxa"/>
            <w:vMerge w:val="restart"/>
          </w:tcPr>
          <w:p>
            <w:pPr>
              <w:pBdr/>
              <w:spacing w:line="238"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Контактное лицо: Савина Екатерина Владимировна, тел.: 7-7385-220666-4, Е-mail: saev@gzalt.ru.</w:t>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МЕСТО, УСЛОВИЯ И СРОКИ (ПЕРИОДЫ) ПОСТАВКИ ТОВАРА, ВЫПОЛНЕНИЯ РАБОТЫ, ОКАЗАНИЯ УСЛУГИ.</w:t>
            </w:r>
            <w:r>
              <w:rPr>
                <w:rFonts w:ascii="Times New Roman" w:hAnsi="Times New Roman" w:eastAsia="Times New Roman" w:cs="Times New Roman"/>
                <w:b/>
                <w:color w:val="000000"/>
                <w:sz w:val="20"/>
              </w:rPr>
            </w:r>
          </w:p>
        </w:tc>
      </w:tr>
      <w:tr>
        <w:trPr>
          <w:trHeight w:val="1677"/>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2.1 </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Место поставки товара, выполнения работы, оказания услуги: 656043, Алтайский край, г. Барнаул, ул. Л.Толстого, 23; </w:t>
            </w:r>
            <w:r>
              <w:rPr>
                <w:rFonts w:ascii="Times New Roman" w:hAnsi="Times New Roman" w:eastAsia="Times New Roman" w:cs="Times New Roman"/>
                <w:color w:val="000000"/>
                <w:sz w:val="20"/>
              </w:rPr>
              <w:t xml:space="preserve">656022, Алтайский край, г. Барнаул, ул. Дальняя, 28; 656039, Алтайский край, ул. Советской Армии, 146А; 656045, Алтайский край, г.Барнаул, Змеиногорский тракт, 106А; 659304, Алтайский край, г. Бийск, ул. Лермонтова, 197; 659100, Алтайский край, г. Заринск,</w:t>
            </w:r>
            <w:r>
              <w:rPr>
                <w:rFonts w:ascii="Times New Roman" w:hAnsi="Times New Roman" w:eastAsia="Times New Roman" w:cs="Times New Roman"/>
                <w:color w:val="000000"/>
                <w:sz w:val="20"/>
              </w:rPr>
              <w:t xml:space="preserve"> ул. Железнодорожная, 34, 36; 658200, Алтайский край, г. Рубцовск, ул. Юбилейная, 34; 658201, Алтайский край, г. Рубцовск, ул. Урицкого, 4; 658200, Алтайский край, г. Рубцовск, ул. Юбилейная, 34; 658200, Алтайский край, г. Рубцовск, ул. Комсомольская, 251 </w:t>
            </w:r>
            <w:r>
              <w:rPr>
                <w:rFonts w:ascii="Times New Roman" w:hAnsi="Times New Roman" w:eastAsia="Times New Roman" w:cs="Times New Roman"/>
                <w:color w:val="000000"/>
                <w:sz w:val="20"/>
              </w:rPr>
            </w:r>
          </w:p>
        </w:tc>
      </w:tr>
      <w:tr>
        <w:trPr>
          <w:trHeight w:val="301"/>
        </w:trPr>
        <w:tc>
          <w:tcPr>
            <w:gridSpan w:val="2"/>
            <w:tcBorders>
              <w:top w:val="single" w:color="000000" w:sz="5" w:space="0"/>
              <w:left w:val="single" w:color="000000" w:sz="5" w:space="0"/>
              <w:bottom w:val="single" w:color="000000" w:sz="5" w:space="0"/>
              <w:right w:val="single" w:color="000000" w:sz="5" w:space="0"/>
            </w:tcBorders>
            <w:tcMar>
              <w:left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2.2</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right w:w="72" w:type="dxa"/>
            </w:tcMar>
            <w:tcW w:w="9314" w:type="dxa"/>
            <w:vMerge w:val="restart"/>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Условия поставки товара, выполнения работы, оказания услуги:</w:t>
            </w:r>
            <w:r>
              <w:rPr>
                <w:rFonts w:ascii="Times New Roman" w:hAnsi="Times New Roman" w:eastAsia="Times New Roman" w:cs="Times New Roman"/>
                <w:color w:val="000000"/>
                <w:sz w:val="20"/>
              </w:rPr>
              <w:t xml:space="preserve"> в соответствии с условиями договора.</w:t>
            </w:r>
            <w:r>
              <w:rPr>
                <w:rFonts w:ascii="Times New Roman" w:hAnsi="Times New Roman" w:eastAsia="Times New Roman" w:cs="Times New Roman"/>
                <w:color w:val="000000"/>
                <w:sz w:val="20"/>
              </w:rPr>
            </w:r>
          </w:p>
        </w:tc>
      </w:tr>
      <w:tr>
        <w:trPr>
          <w:trHeight w:val="214"/>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W w:w="9314" w:type="dxa"/>
            <w:vMerge w:val="continue"/>
          </w:tcPr>
          <w:p>
            <w:pPr>
              <w:pBdr/>
              <w:spacing/>
              <w:ind/>
              <w:rPr/>
            </w:pPr>
            <w:r/>
            <w:r/>
          </w:p>
        </w:tc>
      </w:tr>
      <w:tr>
        <w:trPr>
          <w:trHeight w:val="76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Сроки (периоды) поставки товара, выполнения работы, оказания услуги: Услуги оказываются с «01» января 2027г. по «31» декабря 2027г. (включительно)</w:t>
            </w:r>
            <w:r>
              <w:rPr>
                <w:rFonts w:ascii="Times New Roman" w:hAnsi="Times New Roman" w:eastAsia="Times New Roman" w:cs="Times New Roman"/>
                <w:color w:val="000000"/>
                <w:sz w:val="20"/>
              </w:rPr>
            </w:r>
          </w:p>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759"/>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Times New Roman" w:hAnsi="Times New Roman" w:eastAsia="Times New Roman" w:cs="Times New Roman"/>
                <w:b/>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3.1 </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Начальная (максимальная) цена договора, руб.:</w:t>
            </w:r>
            <w:r>
              <w:rPr>
                <w:rFonts w:ascii="Times New Roman" w:hAnsi="Times New Roman" w:eastAsia="Times New Roman" w:cs="Times New Roman"/>
                <w:color w:val="000000"/>
                <w:sz w:val="20"/>
              </w:rPr>
              <w:t xml:space="preserve"> 498 000,00 (Четыреста девяносто восемь тысяч) рублей 00 копеек</w:t>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3.2 </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w:t>
            </w:r>
            <w:r>
              <w:rPr>
                <w:rFonts w:ascii="Times New Roman" w:hAnsi="Times New Roman" w:eastAsia="Times New Roman" w:cs="Times New Roman"/>
                <w:color w:val="000000"/>
                <w:sz w:val="20"/>
              </w:rPr>
              <w:t xml:space="preserve">не установлено</w:t>
            </w:r>
            <w:r>
              <w:rPr>
                <w:rFonts w:ascii="Times New Roman" w:hAnsi="Times New Roman" w:eastAsia="Times New Roman" w:cs="Times New Roman"/>
                <w:color w:val="000000"/>
                <w:sz w:val="20"/>
              </w:rPr>
            </w:r>
          </w:p>
        </w:tc>
      </w:tr>
      <w:tr>
        <w:trPr>
          <w:trHeight w:val="301"/>
        </w:trPr>
        <w:tc>
          <w:tcPr>
            <w:gridSpan w:val="2"/>
            <w:tcBorders>
              <w:top w:val="single" w:color="000000" w:sz="5" w:space="0"/>
              <w:left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3.3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Цена единицы товара, работы, услуги: </w:t>
            </w:r>
            <w:r>
              <w:rPr>
                <w:rFonts w:ascii="Times New Roman" w:hAnsi="Times New Roman" w:eastAsia="Times New Roman" w:cs="Times New Roman"/>
                <w:color w:val="000000"/>
                <w:sz w:val="20"/>
              </w:rPr>
            </w:r>
          </w:p>
        </w:tc>
      </w:tr>
      <w:tr>
        <w:trPr>
          <w:trHeight w:val="530"/>
        </w:trPr>
        <w:tc>
          <w:tcPr>
            <w:gridSpan w:val="2"/>
            <w:tcBorders>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Сведения о начальной (максимальной) цене единицы каждого товара, работы, услуги, являющихся предметом закупки:</w:t>
            </w:r>
            <w:r>
              <w:rPr>
                <w:rFonts w:ascii="Times New Roman" w:hAnsi="Times New Roman" w:eastAsia="Times New Roman" w:cs="Times New Roman"/>
                <w:color w:val="000000"/>
                <w:sz w:val="20"/>
              </w:rPr>
            </w:r>
          </w:p>
        </w:tc>
      </w:tr>
      <w:tr>
        <w:trPr>
          <w:trHeight w:val="516"/>
        </w:trPr>
        <w:tc>
          <w:tcPr>
            <w:gridSpan w:val="2"/>
            <w:tcBorders>
              <w:left w:val="single" w:color="000000" w:sz="5" w:space="0"/>
              <w:right w:val="single" w:color="000000" w:sz="5" w:space="0"/>
            </w:tcBorders>
            <w:tcW w:w="845" w:type="dxa"/>
            <w:vMerge w:val="continue"/>
          </w:tcPr>
          <w:p>
            <w:pPr>
              <w:pBdr/>
              <w:spacing/>
              <w:ind/>
              <w:rPr/>
            </w:pPr>
            <w:r/>
            <w:r/>
          </w:p>
        </w:tc>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587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 товара, работы, услуги</w:t>
            </w:r>
            <w:r>
              <w:rPr>
                <w:rFonts w:ascii="Times New Roman" w:hAnsi="Times New Roman" w:eastAsia="Times New Roman" w:cs="Times New Roman"/>
                <w:b/>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1691"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Единица измерения</w:t>
            </w:r>
            <w:r>
              <w:rPr>
                <w:rFonts w:ascii="Times New Roman" w:hAnsi="Times New Roman" w:eastAsia="Times New Roman" w:cs="Times New Roman"/>
                <w:b/>
                <w:color w:val="000000"/>
                <w:sz w:val="20"/>
              </w:rPr>
            </w:r>
          </w:p>
        </w:tc>
        <w:tc>
          <w:tcPr>
            <w:tcBorders>
              <w:top w:val="single" w:color="000000" w:sz="5" w:space="0"/>
              <w:left w:val="single" w:color="000000" w:sz="5" w:space="0"/>
              <w:bottom w:val="single" w:color="000000" w:sz="5" w:space="0"/>
              <w:right w:val="single" w:color="000000" w:sz="5" w:space="0"/>
            </w:tcBorders>
            <w:tcMar>
              <w:left w:w="29" w:type="dxa"/>
              <w:top w:w="29" w:type="dxa"/>
              <w:right w:w="72" w:type="dxa"/>
            </w:tcMar>
            <w:tcW w:w="1748"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Цена за единицу, руб.</w:t>
            </w:r>
            <w:r>
              <w:rPr>
                <w:rFonts w:ascii="Times New Roman" w:hAnsi="Times New Roman" w:eastAsia="Times New Roman" w:cs="Times New Roman"/>
                <w:b/>
                <w:color w:val="000000"/>
                <w:sz w:val="20"/>
              </w:rPr>
            </w:r>
          </w:p>
        </w:tc>
      </w:tr>
      <w:tr>
        <w:trPr>
          <w:trHeight w:val="759"/>
        </w:trPr>
        <w:tc>
          <w:tcPr>
            <w:gridSpan w:val="2"/>
            <w:tcBorders>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5875"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Услуги по технической поддержке и обновлению до актуальной версии модуля АРМ «Поликлиника» «Комплексной медицинской информационной системы»</w:t>
            </w:r>
            <w:r>
              <w:rPr>
                <w:rFonts w:ascii="Times New Roman" w:hAnsi="Times New Roman" w:eastAsia="Times New Roman" w:cs="Times New Roman"/>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1691"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Месяц</w:t>
            </w:r>
            <w:r>
              <w:rPr>
                <w:rFonts w:ascii="Times New Roman" w:hAnsi="Times New Roman" w:eastAsia="Times New Roman" w:cs="Times New Roman"/>
                <w:color w:val="000000"/>
                <w:sz w:val="20"/>
              </w:rPr>
            </w:r>
          </w:p>
        </w:tc>
        <w:tc>
          <w:tcPr>
            <w:tcBorders>
              <w:top w:val="single" w:color="000000" w:sz="5" w:space="0"/>
              <w:left w:val="single" w:color="000000" w:sz="5" w:space="0"/>
              <w:bottom w:val="single" w:color="000000" w:sz="5" w:space="0"/>
              <w:right w:val="single" w:color="000000" w:sz="5" w:space="0"/>
            </w:tcBorders>
            <w:tcMar>
              <w:left w:w="29" w:type="dxa"/>
              <w:top w:w="29" w:type="dxa"/>
              <w:right w:w="72" w:type="dxa"/>
            </w:tcMar>
            <w:tcW w:w="1748"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41 500,00</w:t>
            </w:r>
            <w:r>
              <w:rPr>
                <w:rFonts w:ascii="Times New Roman" w:hAnsi="Times New Roman" w:eastAsia="Times New Roman" w:cs="Times New Roman"/>
                <w:color w:val="000000"/>
                <w:sz w:val="20"/>
              </w:rPr>
            </w:r>
          </w:p>
        </w:tc>
      </w:tr>
      <w:tr>
        <w:trPr>
          <w:trHeight w:val="1218"/>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3.4</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Общая начальная (максимальная) цена товара, работы, услуги: , руб: </w:t>
            </w:r>
            <w:r>
              <w:rPr>
                <w:rFonts w:ascii="Times New Roman" w:hAnsi="Times New Roman" w:eastAsia="Times New Roman" w:cs="Times New Roman"/>
                <w:color w:val="000000"/>
                <w:sz w:val="20"/>
              </w:rPr>
              <w:t xml:space="preserve">не установлена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В случае, если настоящим пунктом установлена общая начальная (максимальная) цена товара, работы, услуги, оплата осущест</w:t>
            </w:r>
            <w:r>
              <w:rPr>
                <w:rFonts w:ascii="Times New Roman" w:hAnsi="Times New Roman" w:eastAsia="Times New Roman" w:cs="Times New Roman"/>
                <w:color w:val="000000"/>
                <w:sz w:val="20"/>
              </w:rPr>
              <w:t xml:space="preserve">вляется по цене единицы товара, работы, услуги исходя из объема фактически поставленного количества товара, выполненной работы, оказанной услуги, но в размере, не превышающем максимальное значение цены договора, указанное в пункте 3.1 Информационной карты.</w:t>
            </w:r>
            <w:r>
              <w:rPr>
                <w:rFonts w:ascii="Times New Roman" w:hAnsi="Times New Roman" w:eastAsia="Times New Roman" w:cs="Times New Roman"/>
                <w:color w:val="000000"/>
                <w:sz w:val="20"/>
              </w:rPr>
            </w:r>
          </w:p>
        </w:tc>
      </w:tr>
      <w:tr>
        <w:trPr>
          <w:trHeight w:val="1218"/>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4.</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vAlign w:val="center"/>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ОБОСНОВАНИЕ Н</w:t>
            </w:r>
            <w:r>
              <w:rPr>
                <w:rFonts w:ascii="Times New Roman" w:hAnsi="Times New Roman" w:eastAsia="Times New Roman" w:cs="Times New Roman"/>
                <w:b/>
                <w:color w:val="000000"/>
                <w:sz w:val="20"/>
              </w:rPr>
              <w:t xml:space="preserve">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ФОРМА, СРОКИ И ПОРЯДОК ОПЛАТЫ ТОВАРА, РАБОТЫ, УСЛУГИ.</w:t>
            </w:r>
            <w:r>
              <w:rPr>
                <w:rFonts w:ascii="Times New Roman" w:hAnsi="Times New Roman" w:eastAsia="Times New Roman" w:cs="Times New Roman"/>
                <w:b/>
                <w:color w:val="000000"/>
                <w:sz w:val="20"/>
              </w:rPr>
            </w:r>
          </w:p>
        </w:tc>
      </w:tr>
      <w:tr>
        <w:trPr>
          <w:trHeight w:val="2808"/>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4.1 </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Pr>
                <w:rFonts w:ascii="Times New Roman" w:hAnsi="Times New Roman" w:eastAsia="Times New Roman" w:cs="Times New Roman"/>
                <w:color w:val="000000"/>
                <w:sz w:val="20"/>
              </w:rPr>
              <w:t xml:space="preserve">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w:t>
            </w:r>
            <w:r>
              <w:rPr>
                <w:rFonts w:ascii="Times New Roman" w:hAnsi="Times New Roman" w:eastAsia="Times New Roman" w:cs="Times New Roman"/>
                <w:color w:val="000000"/>
                <w:sz w:val="20"/>
              </w:rPr>
              <w:t xml:space="preserve">связанные с оказанием услуги. Обоснование начальной (максимальной) цены договора выполнено методом сопоставимых рыночных цен (анализа рынка) (определяется как среднее арифметическое предложенных цен, умноженное на планируемое количество). В целях эффективн</w:t>
            </w:r>
            <w:r>
              <w:rPr>
                <w:rFonts w:ascii="Times New Roman" w:hAnsi="Times New Roman" w:eastAsia="Times New Roman" w:cs="Times New Roman"/>
                <w:color w:val="000000"/>
                <w:sz w:val="20"/>
              </w:rPr>
              <w:t xml:space="preserve">ости использования денежных средств заказчик исходит из необходимости достижения заданных результатов с использованием наименьшего объема средств (экономности) и определяет начальную (максимальную) цену договора на основании наименьшей ценовой информации. </w:t>
            </w:r>
            <w:r>
              <w:rPr>
                <w:rFonts w:ascii="Times New Roman" w:hAnsi="Times New Roman" w:eastAsia="Times New Roman" w:cs="Times New Roman"/>
                <w:color w:val="000000"/>
                <w:sz w:val="20"/>
              </w:rPr>
            </w:r>
          </w:p>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1433"/>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4.2</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Форма, сроки и порядок оплаты товара, работы, услуги:</w:t>
            </w:r>
            <w:r>
              <w:rPr>
                <w:rFonts w:ascii="Times New Roman" w:hAnsi="Times New Roman" w:eastAsia="Times New Roman" w:cs="Times New Roman"/>
                <w:color w:val="000000"/>
                <w:sz w:val="20"/>
              </w:rPr>
              <w:t xml:space="preserve"> Оплата производится в безналичном порядке путем перечисления Заказчиком денежных средств на указанный в Договоре расчетный счет Исполнителя. Оплата осуществляется в рублях Российской Федерации за счет средств учреждения от приносящей доход деятельности</w:t>
            </w:r>
            <w:r>
              <w:rPr>
                <w:rFonts w:ascii="Times New Roman" w:hAnsi="Times New Roman" w:eastAsia="Times New Roman" w:cs="Times New Roman"/>
                <w:color w:val="000000"/>
                <w:sz w:val="20"/>
              </w:rPr>
              <w:t xml:space="preserve">. Авансовые платежи по Договору не предусмотрены. Оплата оказанной услуги осуществляется в течение 7 (семи) календарных дней с даты подписания Сторонами акта об оказанных услугах на основании представленных Исполнителем счета и счета-фактуры (при наличии)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7"/>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4.3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Размер аванса:</w:t>
            </w:r>
            <w:r>
              <w:rPr>
                <w:rFonts w:ascii="Times New Roman" w:hAnsi="Times New Roman" w:eastAsia="Times New Roman" w:cs="Times New Roman"/>
                <w:color w:val="000000"/>
                <w:sz w:val="20"/>
              </w:rPr>
              <w:t xml:space="preserve"> не установлен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301"/>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5</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Дата начала срока подачи заявок:</w:t>
            </w:r>
            <w:r>
              <w:rPr>
                <w:rFonts w:ascii="Times New Roman" w:hAnsi="Times New Roman" w:eastAsia="Times New Roman" w:cs="Times New Roman"/>
                <w:color w:val="000000"/>
                <w:sz w:val="20"/>
              </w:rPr>
              <w:t xml:space="preserve"> 13 октября 2026 г.</w:t>
            </w:r>
            <w:r>
              <w:rPr>
                <w:rFonts w:ascii="Times New Roman" w:hAnsi="Times New Roman" w:eastAsia="Times New Roman" w:cs="Times New Roman"/>
                <w:color w:val="000000"/>
                <w:sz w:val="20"/>
              </w:rPr>
            </w:r>
          </w:p>
        </w:tc>
      </w:tr>
      <w:tr>
        <w:trPr>
          <w:trHeight w:val="286"/>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6</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Дата и время окончания срока подачи заявок (время местное):</w:t>
            </w:r>
            <w:r>
              <w:rPr>
                <w:rFonts w:ascii="Times New Roman" w:hAnsi="Times New Roman" w:eastAsia="Times New Roman" w:cs="Times New Roman"/>
                <w:color w:val="000000"/>
                <w:sz w:val="20"/>
              </w:rPr>
              <w:t xml:space="preserve"> 29 октября 2026 года 09:00</w:t>
            </w:r>
            <w:r>
              <w:rPr>
                <w:rFonts w:ascii="Times New Roman" w:hAnsi="Times New Roman" w:eastAsia="Times New Roman" w:cs="Times New Roman"/>
                <w:color w:val="000000"/>
                <w:sz w:val="20"/>
              </w:rPr>
            </w:r>
          </w:p>
        </w:tc>
      </w:tr>
      <w:tr>
        <w:trPr>
          <w:trHeight w:val="76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7</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Дата и время начала процедуры подачи участниками аукциона в электронной форме предложений о цене договора (время местное): </w:t>
            </w:r>
            <w:r>
              <w:rPr>
                <w:rFonts w:ascii="Times New Roman" w:hAnsi="Times New Roman" w:eastAsia="Times New Roman" w:cs="Times New Roman"/>
                <w:color w:val="000000"/>
                <w:sz w:val="20"/>
              </w:rPr>
              <w:t xml:space="preserve">29 октября 2026 года 11:00 </w:t>
            </w:r>
            <w:r>
              <w:rPr>
                <w:rFonts w:ascii="Times New Roman" w:hAnsi="Times New Roman" w:eastAsia="Times New Roman" w:cs="Times New Roman"/>
                <w:color w:val="000000"/>
                <w:sz w:val="20"/>
              </w:rPr>
            </w:r>
          </w:p>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Дата подведения итогов:</w:t>
            </w:r>
            <w:r>
              <w:rPr>
                <w:rFonts w:ascii="Times New Roman" w:hAnsi="Times New Roman" w:eastAsia="Times New Roman" w:cs="Times New Roman"/>
                <w:color w:val="000000"/>
                <w:sz w:val="20"/>
              </w:rPr>
              <w:t xml:space="preserve"> 30 октября 2026 года. </w:t>
            </w:r>
            <w:r>
              <w:rPr>
                <w:rFonts w:ascii="Times New Roman" w:hAnsi="Times New Roman" w:eastAsia="Times New Roman" w:cs="Times New Roman"/>
                <w:color w:val="000000"/>
                <w:sz w:val="20"/>
              </w:rPr>
            </w:r>
          </w:p>
        </w:tc>
      </w:tr>
      <w:tr>
        <w:trPr>
          <w:trHeight w:val="286"/>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8</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Наименование ЭП:</w:t>
            </w:r>
            <w:r>
              <w:rPr>
                <w:rFonts w:ascii="Times New Roman" w:hAnsi="Times New Roman" w:eastAsia="Times New Roman" w:cs="Times New Roman"/>
                <w:color w:val="000000"/>
                <w:sz w:val="20"/>
              </w:rPr>
              <w:t xml:space="preserve"> электронная торговая площадка РТС-тендер</w:t>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9</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Адрес ЭП в информационно-телекоммуникационной сети «Интернет»:</w:t>
            </w:r>
            <w:r>
              <w:rPr>
                <w:rFonts w:ascii="Times New Roman" w:hAnsi="Times New Roman" w:eastAsia="Times New Roman" w:cs="Times New Roman"/>
                <w:color w:val="000000"/>
                <w:sz w:val="20"/>
              </w:rPr>
              <w:t xml:space="preserve"> электронная торговая площадка РТС-тендер, http://www.rts-tender.ru.</w:t>
            </w:r>
            <w:r>
              <w:rPr>
                <w:rFonts w:ascii="Times New Roman" w:hAnsi="Times New Roman" w:eastAsia="Times New Roman" w:cs="Times New Roman"/>
                <w:color w:val="000000"/>
                <w:sz w:val="20"/>
              </w:rPr>
            </w:r>
          </w:p>
        </w:tc>
      </w:tr>
      <w:tr>
        <w:trPr>
          <w:trHeight w:val="3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10</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Размер обеспечения заявки: </w:t>
            </w:r>
            <w:r>
              <w:rPr>
                <w:rFonts w:ascii="Times New Roman" w:hAnsi="Times New Roman" w:eastAsia="Times New Roman" w:cs="Times New Roman"/>
                <w:color w:val="000000"/>
                <w:sz w:val="20"/>
              </w:rPr>
              <w:t xml:space="preserve">не установлен </w:t>
            </w:r>
            <w:r>
              <w:rPr>
                <w:rFonts w:ascii="Times New Roman" w:hAnsi="Times New Roman" w:eastAsia="Times New Roman" w:cs="Times New Roman"/>
                <w:color w:val="000000"/>
                <w:sz w:val="20"/>
              </w:rPr>
            </w:r>
          </w:p>
        </w:tc>
      </w:tr>
      <w:tr>
        <w:trPr>
          <w:trHeight w:val="344"/>
        </w:trPr>
        <w:tc>
          <w:tcPr>
            <w:gridSpan w:val="2"/>
            <w:tcBorders>
              <w:top w:val="single" w:color="000000" w:sz="5" w:space="0"/>
              <w:left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Размер обеспечения исполнения договора:</w:t>
            </w:r>
            <w:r>
              <w:rPr>
                <w:rFonts w:ascii="Times New Roman" w:hAnsi="Times New Roman" w:eastAsia="Times New Roman" w:cs="Times New Roman"/>
                <w:color w:val="000000"/>
                <w:sz w:val="20"/>
              </w:rPr>
              <w:t xml:space="preserve"> не установлен.</w:t>
            </w:r>
            <w:r>
              <w:rPr>
                <w:rFonts w:ascii="Times New Roman" w:hAnsi="Times New Roman" w:eastAsia="Times New Roman" w:cs="Times New Roman"/>
                <w:color w:val="000000"/>
                <w:sz w:val="20"/>
              </w:rPr>
            </w:r>
          </w:p>
        </w:tc>
      </w:tr>
      <w:tr>
        <w:trPr>
          <w:trHeight w:val="329"/>
        </w:trPr>
        <w:tc>
          <w:tcPr>
            <w:gridSpan w:val="2"/>
            <w:tcBorders>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5"/>
            <w:tcBorders>
              <w:left w:val="single" w:color="000000" w:sz="5" w:space="0"/>
              <w:bottom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Размер обеспечения гарантийных обязательств: </w:t>
            </w:r>
            <w:r>
              <w:rPr>
                <w:rFonts w:ascii="Times New Roman" w:hAnsi="Times New Roman" w:eastAsia="Times New Roman" w:cs="Times New Roman"/>
                <w:color w:val="000000"/>
                <w:sz w:val="20"/>
              </w:rPr>
              <w:t xml:space="preserve">не установлен.</w:t>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11.1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Pr>
                <w:rFonts w:ascii="Times New Roman" w:hAnsi="Times New Roman" w:eastAsia="Times New Roman" w:cs="Times New Roman"/>
                <w:color w:val="000000"/>
                <w:sz w:val="20"/>
              </w:rPr>
              <w:t xml:space="preserve"> не установлено</w:t>
            </w:r>
            <w:r>
              <w:rPr>
                <w:rFonts w:ascii="Times New Roman" w:hAnsi="Times New Roman" w:eastAsia="Times New Roman" w:cs="Times New Roman"/>
                <w:color w:val="000000"/>
                <w:sz w:val="20"/>
              </w:rPr>
            </w:r>
          </w:p>
        </w:tc>
      </w:tr>
      <w:tr>
        <w:trPr>
          <w:trHeight w:val="745"/>
        </w:trPr>
        <w:tc>
          <w:tcPr>
            <w:gridSpan w:val="2"/>
            <w:tcBorders>
              <w:top w:val="single" w:color="000000" w:sz="5" w:space="0"/>
              <w:left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12</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Обеспечение исполнения договора может предоставляться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0"/>
              </w:rPr>
              <w:t xml:space="preserve"> не установлено. </w:t>
            </w:r>
            <w:r>
              <w:rPr>
                <w:rFonts w:ascii="Times New Roman" w:hAnsi="Times New Roman" w:eastAsia="Times New Roman" w:cs="Times New Roman"/>
                <w:color w:val="000000"/>
                <w:sz w:val="20"/>
              </w:rPr>
            </w:r>
          </w:p>
        </w:tc>
      </w:tr>
      <w:tr>
        <w:trPr>
          <w:trHeight w:val="745"/>
        </w:trPr>
        <w:tc>
          <w:tcPr>
            <w:gridSpan w:val="2"/>
            <w:tcBorders>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5"/>
            <w:tcBorders>
              <w:left w:val="single" w:color="000000" w:sz="5" w:space="0"/>
              <w:bottom w:val="single" w:color="000000" w:sz="5" w:space="0"/>
              <w:right w:val="single" w:color="000000" w:sz="5" w:space="0"/>
            </w:tcBorders>
            <w:tcMar>
              <w:left w:w="29" w:type="dxa"/>
              <w:top w:w="29" w:type="dxa"/>
              <w:right w:w="29"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Обеспечение гарантийных обязательств может обеспечиваться внесением денежных средств по следующим реквизитам (в случае выбора участником данного способа обеспечения исполнения договора):</w:t>
            </w:r>
            <w:r>
              <w:rPr>
                <w:rFonts w:ascii="Times New Roman" w:hAnsi="Times New Roman" w:eastAsia="Times New Roman" w:cs="Times New Roman"/>
                <w:color w:val="000000"/>
                <w:sz w:val="20"/>
              </w:rPr>
              <w:t xml:space="preserve"> не установлено. </w:t>
            </w:r>
            <w:r>
              <w:rPr>
                <w:rFonts w:ascii="Times New Roman" w:hAnsi="Times New Roman" w:eastAsia="Times New Roman" w:cs="Times New Roman"/>
                <w:color w:val="000000"/>
                <w:sz w:val="20"/>
              </w:rPr>
            </w:r>
          </w:p>
        </w:tc>
      </w:tr>
      <w:tr>
        <w:trPr>
          <w:trHeight w:val="745"/>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Дата и время окончания срока предоставления участникам разъяснений положений документации и (или) извещения: </w:t>
            </w:r>
            <w:r>
              <w:rPr>
                <w:rFonts w:ascii="Times New Roman" w:hAnsi="Times New Roman" w:eastAsia="Times New Roman" w:cs="Times New Roman"/>
                <w:color w:val="000000"/>
                <w:sz w:val="20"/>
              </w:rPr>
              <w:t xml:space="preserve">28 октября 2026 г. 23:59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975"/>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14</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Pr>
                <w:rFonts w:ascii="Times New Roman" w:hAnsi="Times New Roman" w:eastAsia="Times New Roman" w:cs="Times New Roman"/>
                <w:color w:val="000000"/>
                <w:sz w:val="20"/>
              </w:rPr>
              <w:t xml:space="preserve">не установлено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15</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hAnsi="Times New Roman" w:eastAsia="Times New Roman" w:cs="Times New Roman"/>
                <w:color w:val="000000"/>
                <w:sz w:val="20"/>
              </w:rPr>
              <w:t xml:space="preserve">: не установлено</w:t>
            </w:r>
            <w:r>
              <w:rPr>
                <w:rFonts w:ascii="Times New Roman" w:hAnsi="Times New Roman" w:eastAsia="Times New Roman" w:cs="Times New Roman"/>
                <w:color w:val="000000"/>
                <w:sz w:val="20"/>
              </w:rPr>
            </w:r>
          </w:p>
        </w:tc>
      </w:tr>
      <w:tr>
        <w:trPr>
          <w:trHeight w:val="2865"/>
        </w:trPr>
        <w:tc>
          <w:tcPr>
            <w:gridSpan w:val="2"/>
            <w:tcBorders>
              <w:top w:val="single" w:color="000000" w:sz="5" w:space="0"/>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16</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right w:w="72" w:type="dxa"/>
            </w:tcMar>
            <w:tcW w:w="9314"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Требования к участнику закупки, установленные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rFonts w:ascii="Times New Roman" w:hAnsi="Times New Roman" w:eastAsia="Times New Roman" w:cs="Times New Roman"/>
                <w:color w:val="000000"/>
                <w:sz w:val="20"/>
              </w:rPr>
              <w:t xml:space="preserve">Участник закупки не может быть лицом, нах</w:t>
            </w:r>
            <w:r>
              <w:rPr>
                <w:rFonts w:ascii="Times New Roman" w:hAnsi="Times New Roman" w:eastAsia="Times New Roman" w:cs="Times New Roman"/>
                <w:color w:val="000000"/>
                <w:sz w:val="20"/>
              </w:rPr>
              <w:t xml:space="preserve">одящимся под санкциями, установленными указом Президента РФ от 03.05.2022 252. Документом, подтверждающим соответствие участника закупки данным требованиям, является: Соответствие участника закупки установленным требованиям подтверждается сведениями, содер</w:t>
            </w:r>
            <w:r>
              <w:rPr>
                <w:rFonts w:ascii="Times New Roman" w:hAnsi="Times New Roman" w:eastAsia="Times New Roman" w:cs="Times New Roman"/>
                <w:color w:val="000000"/>
                <w:sz w:val="20"/>
              </w:rPr>
              <w:t xml:space="preserve">жащимися в: копии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выписке из единого государстве</w:t>
            </w:r>
            <w:r>
              <w:rPr>
                <w:rFonts w:ascii="Times New Roman" w:hAnsi="Times New Roman" w:eastAsia="Times New Roman" w:cs="Times New Roman"/>
                <w:color w:val="000000"/>
                <w:sz w:val="20"/>
              </w:rPr>
              <w:t xml:space="preserve">нного реестра юридических лиц (если участником закупки является юридическое лицо); выписке из единого государственного реестра индивидуальных предпринимателей (если участником закупки является индивидуальный предприниматель); надлежащим образом заверенном </w:t>
            </w:r>
            <w:r>
              <w:rPr>
                <w:rFonts w:ascii="Times New Roman" w:hAnsi="Times New Roman" w:eastAsia="Times New Roman" w:cs="Times New Roman"/>
                <w:color w:val="000000"/>
                <w:sz w:val="20"/>
              </w:rPr>
              <w:t xml:space="preserve">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w:t>
            </w:r>
            <w:r>
              <w:rPr>
                <w:rFonts w:ascii="Times New Roman" w:hAnsi="Times New Roman" w:eastAsia="Times New Roman" w:cs="Times New Roman"/>
                <w:color w:val="000000"/>
                <w:sz w:val="20"/>
              </w:rPr>
              <w:t xml:space="preserve">е лицо).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Документ подтверждающий соответствие участника треб</w:t>
            </w:r>
            <w:r>
              <w:rPr>
                <w:rFonts w:ascii="Times New Roman" w:hAnsi="Times New Roman" w:eastAsia="Times New Roman" w:cs="Times New Roman"/>
                <w:color w:val="000000"/>
                <w:sz w:val="20"/>
              </w:rPr>
              <w:t xml:space="preserve">ованиям: Подтверждающий документ не предоставляется участником закупки в составе заявки. В случае наличия сведений об участнике закупки в едином реестре иностранных агентов, такой участник закупки будет признан несоответствующим установленным требованиям.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Нормативный правовой акт, устанавливающий такие требования (при наличии): </w:t>
            </w:r>
            <w:r>
              <w:rPr>
                <w:rFonts w:ascii="Times New Roman" w:hAnsi="Times New Roman" w:eastAsia="Times New Roman" w:cs="Times New Roman"/>
                <w:color w:val="000000"/>
                <w:sz w:val="20"/>
              </w:rPr>
              <w:t xml:space="preserve">Указ Президента РФ от 03.05.2022 №252, Постановление Правительств</w:t>
            </w:r>
            <w:r>
              <w:rPr>
                <w:rFonts w:ascii="Times New Roman" w:hAnsi="Times New Roman" w:eastAsia="Times New Roman" w:cs="Times New Roman"/>
                <w:color w:val="000000"/>
                <w:sz w:val="20"/>
              </w:rPr>
              <w:t xml:space="preserve">а РФ от 11.05.2022 №851, Федеральный закон от 14.07.2022 N 255-ФЗ "О контроле за деятельностью лиц, находящихся под иностранным влиянием», Федеральный закон от 18 июля 2011 года N 223-ФЗ "О закупках товаров, работ, услуг отдельными видами юридических лиц".</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1519"/>
        </w:trPr>
        <w:tc>
          <w:tcPr>
            <w:gridSpan w:val="2"/>
            <w:tcBorders>
              <w:top w:val="single" w:color="000000" w:sz="5" w:space="0"/>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16.1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right w:w="72" w:type="dxa"/>
            </w:tcMar>
            <w:tcW w:w="9314"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Требование к участнику закупки о наличии опыта исполнения (с учетом правопреемства) договора по вы</w:t>
            </w:r>
            <w:r>
              <w:rPr>
                <w:rFonts w:ascii="Times New Roman" w:hAnsi="Times New Roman" w:eastAsia="Times New Roman" w:cs="Times New Roman"/>
                <w:b/>
                <w:color w:val="000000"/>
                <w:sz w:val="20"/>
              </w:rPr>
              <w:t xml:space="preserve">полнению аналогичных работ по строительству, реконструкции, капитальному ремонту объекта капитального строительства участником закупки за последние пять лет, предшествующие дате окончания срока подачи заявок на участие в закупке (Период увеличивается на ср</w:t>
            </w:r>
            <w:r>
              <w:rPr>
                <w:rFonts w:ascii="Times New Roman" w:hAnsi="Times New Roman" w:eastAsia="Times New Roman" w:cs="Times New Roman"/>
                <w:b/>
                <w:color w:val="000000"/>
                <w:sz w:val="20"/>
              </w:rPr>
              <w:t xml:space="preserve">ок, в течение которого участник закупки – физическое лицо, включая индивидуального предпринимателя, приостанавливал свою предпринимательскую деятельность вследствие своего участия в специальной военной операции. Периоды участия в специальной военной операц</w:t>
            </w:r>
            <w:r>
              <w:rPr>
                <w:rFonts w:ascii="Times New Roman" w:hAnsi="Times New Roman" w:eastAsia="Times New Roman" w:cs="Times New Roman"/>
                <w:b/>
                <w:color w:val="000000"/>
                <w:sz w:val="20"/>
              </w:rPr>
              <w:t xml:space="preserve">ии могут подтверждаться таким участником следующими документами: копией контракта, выпиской из приказа о прохождении военной службы, справкой и другими документами, содержащими сведения о дате вступления в силу контракта и дате его окончания, справкой от в</w:t>
            </w:r>
            <w:r>
              <w:rPr>
                <w:rFonts w:ascii="Times New Roman" w:hAnsi="Times New Roman" w:eastAsia="Times New Roman" w:cs="Times New Roman"/>
                <w:b/>
                <w:color w:val="000000"/>
                <w:sz w:val="20"/>
              </w:rPr>
              <w:t xml:space="preserve">оинских подразделений, от военных комиссариатов, справкой архивных учреждений, справкой уполномоченных органов в области обороны (с указанием периодов пребывания) и иными документами, подтверждающими факт и период участия в специальной военной операции.): </w:t>
            </w:r>
            <w:r>
              <w:rPr>
                <w:rFonts w:ascii="Times New Roman" w:hAnsi="Times New Roman" w:eastAsia="Times New Roman" w:cs="Times New Roman"/>
                <w:color w:val="000000"/>
                <w:sz w:val="20"/>
              </w:rPr>
              <w:t xml:space="preserve">не установлено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1633"/>
        </w:trPr>
        <w:tc>
          <w:tcPr>
            <w:gridSpan w:val="2"/>
            <w:tcBorders>
              <w:top w:val="single" w:color="000000" w:sz="5" w:space="0"/>
              <w:left w:val="single" w:color="000000" w:sz="5" w:space="0"/>
              <w:right w:val="single" w:color="000000" w:sz="5" w:space="0"/>
            </w:tcBorders>
            <w:tcMar>
              <w:left w:w="29" w:type="dxa"/>
              <w:right w:w="72" w:type="dxa"/>
            </w:tcMar>
            <w:tcW w:w="845" w:type="dxa"/>
            <w:vMerge w:val="restart"/>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16.2</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right w:w="72" w:type="dxa"/>
            </w:tcMar>
            <w:tcW w:w="9314" w:type="dxa"/>
            <w:vMerge w:val="restart"/>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Требование к участнику закупки о наличии опыта исполнения (с учетом правопреемства) договора на поставку аналогичных товаров, выполнение аналогичных работ, оказание аналогичных услуг в течение пяти лет, пре</w:t>
            </w:r>
            <w:r>
              <w:rPr>
                <w:rFonts w:ascii="Times New Roman" w:hAnsi="Times New Roman" w:eastAsia="Times New Roman" w:cs="Times New Roman"/>
                <w:b/>
                <w:color w:val="000000"/>
                <w:sz w:val="20"/>
              </w:rPr>
              <w:t xml:space="preserve">дшествующих дате окончания срока подачи заявок на участие в закупке. При этом стоимость исполненного договора составляет не менее пятидесяти процентов начальной (максимальной) цены договора, установленной документацией о закупке (Период увеличивается на ср</w:t>
            </w:r>
            <w:r>
              <w:rPr>
                <w:rFonts w:ascii="Times New Roman" w:hAnsi="Times New Roman" w:eastAsia="Times New Roman" w:cs="Times New Roman"/>
                <w:b/>
                <w:color w:val="000000"/>
                <w:sz w:val="20"/>
              </w:rPr>
              <w:t xml:space="preserve">ок, в течение которого участник закупки – физическое лицо, включая индивидуального предпринимателя, приостанавливал свою предпринимательскую деятельность вследствие своего участия в специальной военной операции. Периоды участия в специальной военной операц</w:t>
            </w:r>
            <w:r>
              <w:rPr>
                <w:rFonts w:ascii="Times New Roman" w:hAnsi="Times New Roman" w:eastAsia="Times New Roman" w:cs="Times New Roman"/>
                <w:b/>
                <w:color w:val="000000"/>
                <w:sz w:val="20"/>
              </w:rPr>
              <w:t xml:space="preserve">ии могут подтверждаться таким участником следующими документами: копией контракта, выпиской из приказа о прохождении военной службы, справкой и другими документами, содержащими сведения о дате вступления в силу контракта и дате его окончания, справкой от в</w:t>
            </w:r>
            <w:r>
              <w:rPr>
                <w:rFonts w:ascii="Times New Roman" w:hAnsi="Times New Roman" w:eastAsia="Times New Roman" w:cs="Times New Roman"/>
                <w:b/>
                <w:color w:val="000000"/>
                <w:sz w:val="20"/>
              </w:rPr>
              <w:t xml:space="preserve">оинских подразделений, от военных комиссариатов, справкой архивных учреждений, справкой уполномоченных органов в области обороны (с указанием периодов пребывания) и иными документами, подтверждающими факт и период участия в специальной военной операции.): </w:t>
            </w:r>
            <w:r>
              <w:rPr>
                <w:rFonts w:ascii="Times New Roman" w:hAnsi="Times New Roman" w:eastAsia="Times New Roman" w:cs="Times New Roman"/>
                <w:color w:val="000000"/>
                <w:sz w:val="20"/>
              </w:rPr>
              <w:t xml:space="preserve">не установлено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316"/>
        </w:trPr>
        <w:tc>
          <w:tcPr>
            <w:gridSpan w:val="2"/>
            <w:tcBorders>
              <w:top w:val="single" w:color="000000" w:sz="5" w:space="0"/>
              <w:left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16.3</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Требование об отсутствии сведений об участнике закупки в реестре недобросовестных поставщиков,</w:t>
            </w:r>
            <w:r>
              <w:rPr>
                <w:rFonts w:ascii="Times New Roman" w:hAnsi="Times New Roman" w:eastAsia="Times New Roman" w:cs="Times New Roman"/>
                <w:color w:val="000000"/>
                <w:sz w:val="20"/>
              </w:rPr>
            </w:r>
          </w:p>
        </w:tc>
      </w:tr>
      <w:tr>
        <w:trPr>
          <w:trHeight w:val="530"/>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предусмотренном статьей 5 Федерального закона от 18.07.2011 N 223-ФЗ «О закупках товаров, работ, услуг отдельными видами юридических лиц»: </w:t>
            </w:r>
            <w:r>
              <w:rPr>
                <w:rFonts w:ascii="Times New Roman" w:hAnsi="Times New Roman" w:eastAsia="Times New Roman" w:cs="Times New Roman"/>
                <w:color w:val="000000"/>
                <w:sz w:val="20"/>
              </w:rPr>
              <w:t xml:space="preserve">установлено</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975"/>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16.4</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Требование об</w:t>
            </w:r>
            <w:r>
              <w:rPr>
                <w:rFonts w:ascii="Times New Roman" w:hAnsi="Times New Roman" w:eastAsia="Times New Roman" w:cs="Times New Roman"/>
                <w:b/>
                <w:color w:val="000000"/>
                <w:sz w:val="20"/>
              </w:rPr>
              <w:t xml:space="preserve"> отсутствии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eastAsia="Times New Roman" w:cs="Times New Roman"/>
                <w:color w:val="000000"/>
                <w:sz w:val="20"/>
              </w:rPr>
              <w:t xml:space="preserve">установлено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516"/>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17</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Перечень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Pr>
                <w:rFonts w:ascii="Times New Roman" w:hAnsi="Times New Roman" w:eastAsia="Times New Roman" w:cs="Times New Roman"/>
                <w:color w:val="000000"/>
                <w:sz w:val="20"/>
              </w:rPr>
              <w:t xml:space="preserve">не установлено.</w:t>
            </w:r>
            <w:r>
              <w:rPr>
                <w:rFonts w:ascii="Times New Roman" w:hAnsi="Times New Roman" w:eastAsia="Times New Roman" w:cs="Times New Roman"/>
                <w:color w:val="000000"/>
                <w:sz w:val="20"/>
              </w:rPr>
            </w:r>
          </w:p>
        </w:tc>
      </w:tr>
      <w:tr>
        <w:trPr>
          <w:trHeight w:val="759"/>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18</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Возможность предложения в заявке участника товара с товарным знаком, знаком обслуживания, фирменным наименованием и иными средствами индивидуализации товара, отличными от указанных в документации о закупке: </w:t>
            </w:r>
            <w:r>
              <w:rPr>
                <w:rFonts w:ascii="Times New Roman" w:hAnsi="Times New Roman" w:eastAsia="Times New Roman" w:cs="Times New Roman"/>
                <w:color w:val="000000"/>
                <w:sz w:val="20"/>
              </w:rPr>
              <w:t xml:space="preserve">отсутствие. </w:t>
            </w:r>
            <w:r>
              <w:rPr>
                <w:rFonts w:ascii="Times New Roman" w:hAnsi="Times New Roman" w:eastAsia="Times New Roman" w:cs="Times New Roman"/>
                <w:color w:val="000000"/>
                <w:sz w:val="20"/>
              </w:rPr>
            </w:r>
            <w:r>
              <w:rPr>
                <w:rFonts w:ascii="Times New Roman" w:hAnsi="Times New Roman" w:eastAsia="Times New Roman" w:cs="Times New Roman"/>
                <w:color w:val="000000"/>
                <w:sz w:val="20"/>
              </w:rPr>
            </w:r>
          </w:p>
        </w:tc>
      </w:tr>
      <w:tr>
        <w:trPr>
          <w:trHeight w:val="287"/>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19</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Вид закупки:</w:t>
            </w:r>
            <w:r>
              <w:rPr>
                <w:rFonts w:ascii="Times New Roman" w:hAnsi="Times New Roman" w:eastAsia="Times New Roman" w:cs="Times New Roman"/>
                <w:color w:val="000000"/>
                <w:sz w:val="20"/>
              </w:rPr>
              <w:t xml:space="preserve"> закупка работы, услуги.</w:t>
            </w:r>
            <w:r>
              <w:rPr>
                <w:rFonts w:ascii="Times New Roman" w:hAnsi="Times New Roman" w:eastAsia="Times New Roman" w:cs="Times New Roman"/>
                <w:color w:val="000000"/>
                <w:sz w:val="20"/>
              </w:rPr>
            </w:r>
          </w:p>
        </w:tc>
      </w:tr>
      <w:tr>
        <w:trPr>
          <w:trHeight w:val="845"/>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20</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Предметом закупки является лекарственный препарат или медицинское изделие:</w:t>
            </w:r>
            <w:r>
              <w:rPr>
                <w:rFonts w:ascii="Times New Roman" w:hAnsi="Times New Roman" w:eastAsia="Times New Roman" w:cs="Times New Roman"/>
                <w:color w:val="000000"/>
                <w:sz w:val="20"/>
              </w:rPr>
              <w:t xml:space="preserve"> нет </w:t>
            </w:r>
            <w:r>
              <w:rPr>
                <w:rFonts w:ascii="Times New Roman" w:hAnsi="Times New Roman" w:eastAsia="Times New Roman" w:cs="Times New Roman"/>
                <w:color w:val="000000"/>
                <w:sz w:val="20"/>
              </w:rPr>
            </w:r>
          </w:p>
        </w:tc>
      </w:tr>
      <w:tr>
        <w:trPr>
          <w:trHeight w:val="759"/>
        </w:trPr>
        <w:tc>
          <w:tcPr>
            <w:gridSpan w:val="2"/>
            <w:tcBorders>
              <w:top w:val="single" w:color="000000" w:sz="5" w:space="0"/>
              <w:left w:val="single" w:color="000000" w:sz="5" w:space="0"/>
              <w:bottom w:val="single" w:color="000000" w:sz="5" w:space="0"/>
              <w:right w:val="single" w:color="000000" w:sz="5" w:space="0"/>
            </w:tcBorders>
            <w:tcMar>
              <w:left w:w="29" w:type="dxa"/>
              <w:top w:w="29" w:type="dxa"/>
              <w:right w:w="72" w:type="dxa"/>
            </w:tcMar>
            <w:tcW w:w="845"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21</w:t>
            </w:r>
            <w:r>
              <w:rPr>
                <w:rFonts w:ascii="Times New Roman" w:hAnsi="Times New Roman" w:eastAsia="Times New Roman" w:cs="Times New Roman"/>
                <w:b/>
                <w:color w:val="000000"/>
                <w:sz w:val="20"/>
              </w:rPr>
            </w:r>
          </w:p>
        </w:tc>
        <w:tc>
          <w:tcPr>
            <w:gridSpan w:val="5"/>
            <w:tcBorders>
              <w:top w:val="single" w:color="000000" w:sz="5" w:space="0"/>
              <w:left w:val="single" w:color="000000" w:sz="5" w:space="0"/>
              <w:bottom w:val="single" w:color="000000" w:sz="5" w:space="0"/>
              <w:right w:val="single" w:color="000000" w:sz="5" w:space="0"/>
            </w:tcBorders>
            <w:tcMar>
              <w:left w:w="29" w:type="dxa"/>
              <w:top w:w="29" w:type="dxa"/>
              <w:right w:w="72" w:type="dxa"/>
            </w:tcMar>
            <w:tcW w:w="9314"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Иные сведения: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Гарантийные обязательства:</w:t>
            </w:r>
            <w:r>
              <w:rPr>
                <w:rFonts w:ascii="Times New Roman" w:hAnsi="Times New Roman" w:eastAsia="Times New Roman" w:cs="Times New Roman"/>
                <w:color w:val="000000"/>
                <w:sz w:val="20"/>
              </w:rPr>
              <w:t xml:space="preserve"> Техническое задание находится в списке документов закупки, доступных для загрузки на сайте www.zakupki.gov.ru.</w:t>
            </w:r>
            <w:r>
              <w:rPr>
                <w:rFonts w:ascii="Times New Roman" w:hAnsi="Times New Roman" w:eastAsia="Times New Roman" w:cs="Times New Roman"/>
                <w:color w:val="000000"/>
                <w:sz w:val="20"/>
              </w:rPr>
            </w:r>
          </w:p>
        </w:tc>
      </w:tr>
    </w:tbl>
    <w:p>
      <w:pPr>
        <w:pBdr/>
        <w:spacing/>
        <w:ind/>
        <w:rPr/>
      </w:pPr>
      <w:r>
        <w:br w:type="page" w:clear="all"/>
      </w:r>
      <w:r/>
    </w:p>
    <w:p>
      <w:pPr>
        <w:pBdr/>
        <w:spacing w:after="0" w:before="0" w:line="228" w:lineRule="auto"/>
        <w:ind/>
        <w:jc w:val="center"/>
        <w:rPr>
          <w:rFonts w:ascii="Times New Roman CYR" w:hAnsi="Times New Roman CYR" w:eastAsia="Times New Roman CYR" w:cs="Times New Roman CYR"/>
          <w:b/>
          <w:color w:val="000000"/>
          <w:spacing w:val="0"/>
          <w:sz w:val="24"/>
          <w:u w:val="none"/>
          <w:lang w:val="ru-RU"/>
        </w:rPr>
      </w:pPr>
      <w:r>
        <w:rPr>
          <w:rFonts w:ascii="Times New Roman CYR" w:hAnsi="Times New Roman CYR" w:eastAsia="Times New Roman CYR" w:cs="Times New Roman CYR"/>
          <w:b/>
          <w:color w:val="000000"/>
          <w:spacing w:val="0"/>
          <w:sz w:val="24"/>
          <w:u w:val="none"/>
          <w:lang w:val="ru-RU"/>
        </w:rPr>
        <w:t xml:space="preserve">2</w:t>
      </w:r>
      <w:r>
        <w:rPr>
          <w:rFonts w:ascii="Times New Roman" w:hAnsi="Times New Roman" w:eastAsia="Times New Roman" w:cs="Times New Roman"/>
          <w:b/>
          <w:color w:val="000000"/>
          <w:spacing w:val="0"/>
          <w:sz w:val="24"/>
          <w:u w:val="none"/>
          <w:lang w:val="en-US"/>
        </w:rPr>
        <w:t xml:space="preserve">0</w:t>
      </w:r>
      <w:r>
        <w:rPr>
          <w:rFonts w:ascii="Times New Roman CYR" w:hAnsi="Times New Roman CYR" w:eastAsia="Times New Roman CYR" w:cs="Times New Roman CYR"/>
          <w:b/>
          <w:color w:val="000000"/>
          <w:spacing w:val="0"/>
          <w:sz w:val="24"/>
          <w:u w:val="none"/>
          <w:lang w:val="ru-RU"/>
        </w:rPr>
        <w:t xml:space="preserve">.    ПРЕДМЕТ ДОГОВОРА</w:t>
      </w:r>
      <w:r>
        <w:rPr>
          <w:rFonts w:ascii="Times New Roman CYR" w:hAnsi="Times New Roman CYR" w:eastAsia="Times New Roman CYR" w:cs="Times New Roman CYR"/>
          <w:b/>
          <w:color w:val="000000"/>
          <w:spacing w:val="0"/>
          <w:sz w:val="24"/>
          <w:u w:val="none"/>
          <w:lang w:val="ru-RU"/>
        </w:rP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559"/>
        <w:gridCol w:w="286"/>
        <w:gridCol w:w="4800"/>
        <w:gridCol w:w="1075"/>
        <w:gridCol w:w="888"/>
        <w:gridCol w:w="803"/>
        <w:gridCol w:w="1748"/>
      </w:tblGrid>
      <w:tr>
        <w:trPr>
          <w:trHeight w:val="730"/>
        </w:trPr>
        <w:tc>
          <w:tcPr>
            <w:gridSpan w:val="7"/>
            <w:tcBorders>
              <w:bottom w:val="single" w:color="000000" w:sz="5" w:space="0"/>
            </w:tcBorders>
            <w:tcMar>
              <w:left w:w="29" w:type="dxa"/>
              <w:top w:w="29" w:type="dxa"/>
              <w:right w:w="72" w:type="dxa"/>
            </w:tcMar>
            <w:tcW w:w="10159" w:type="dxa"/>
          </w:tcPr>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20.1 Предмет договора:</w:t>
            </w:r>
            <w:r>
              <w:rPr>
                <w:rFonts w:ascii="Times New Roman" w:hAnsi="Times New Roman" w:eastAsia="Times New Roman" w:cs="Times New Roman"/>
                <w:color w:val="000000"/>
                <w:sz w:val="20"/>
              </w:rPr>
              <w:t xml:space="preserve"> Оказание услуг по технической поддержке и обновлению до актуальной версии модуля АРМ «Поликлиника» «Комплексной медицинской информационной системы»</w:t>
            </w:r>
            <w:r>
              <w:rPr>
                <w:rFonts w:ascii="Times New Roman" w:hAnsi="Times New Roman" w:eastAsia="Times New Roman" w:cs="Times New Roman"/>
                <w:color w:val="000000"/>
                <w:sz w:val="20"/>
              </w:rPr>
            </w:r>
          </w:p>
          <w:p>
            <w:pPr>
              <w:pBdr/>
              <w:spacing w:line="237"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20.2. Количество поставляемого товара, объема выполняемой работы, оказываемой услуги:</w:t>
            </w:r>
            <w:r>
              <w:rPr>
                <w:rFonts w:ascii="Times New Roman" w:hAnsi="Times New Roman" w:eastAsia="Times New Roman" w:cs="Times New Roman"/>
                <w:color w:val="000000"/>
                <w:sz w:val="20"/>
              </w:rPr>
            </w:r>
          </w:p>
        </w:tc>
      </w:tr>
      <w:tr>
        <w:trPr>
          <w:trHeight w:val="473"/>
        </w:trPr>
        <w:tc>
          <w:tcPr>
            <w:tcBorders>
              <w:top w:val="single" w:color="000000" w:sz="5" w:space="0"/>
              <w:left w:val="single" w:color="000000" w:sz="5" w:space="0"/>
              <w:bottom w:val="single" w:color="000000" w:sz="5" w:space="0"/>
              <w:right w:val="single" w:color="000000" w:sz="5" w:space="0"/>
            </w:tcBorders>
            <w:tcW w:w="559"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w:t>
            </w:r>
            <w:r>
              <w:rPr>
                <w:rFonts w:ascii="Times New Roman" w:hAnsi="Times New Roman" w:eastAsia="Times New Roman" w:cs="Times New Roman"/>
                <w:b/>
                <w:color w:val="000000"/>
                <w:sz w:val="20"/>
              </w:rPr>
            </w:r>
          </w:p>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п/п</w:t>
            </w:r>
            <w:r>
              <w:rPr>
                <w:rFonts w:ascii="Times New Roman" w:hAnsi="Times New Roman" w:eastAsia="Times New Roman" w:cs="Times New Roman"/>
                <w:b/>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right w:w="72" w:type="dxa"/>
            </w:tcMar>
            <w:tcW w:w="5086"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Наименование товара, работы, услуги</w:t>
            </w:r>
            <w:r>
              <w:rPr>
                <w:rFonts w:ascii="Times New Roman" w:hAnsi="Times New Roman" w:eastAsia="Times New Roman" w:cs="Times New Roman"/>
                <w:b/>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right w:w="72" w:type="dxa"/>
            </w:tcMar>
            <w:tcW w:w="1963"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Ед.измерения</w:t>
            </w:r>
            <w:r>
              <w:rPr>
                <w:rFonts w:ascii="Times New Roman" w:hAnsi="Times New Roman" w:eastAsia="Times New Roman" w:cs="Times New Roman"/>
                <w:b/>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29" w:type="dxa"/>
              <w:right w:w="72" w:type="dxa"/>
            </w:tcMar>
            <w:tcW w:w="2551" w:type="dxa"/>
          </w:tcPr>
          <w:p>
            <w:pPr>
              <w:pBdr/>
              <w:spacing w:line="238" w:lineRule="auto"/>
              <w:ind/>
              <w:jc w:val="center"/>
              <w:rPr>
                <w:rFonts w:ascii="Times New Roman" w:hAnsi="Times New Roman" w:eastAsia="Times New Roman" w:cs="Times New Roman"/>
                <w:b/>
                <w:color w:val="000000"/>
                <w:sz w:val="20"/>
              </w:rPr>
            </w:pPr>
            <w:r>
              <w:rPr>
                <w:rFonts w:ascii="Times New Roman" w:hAnsi="Times New Roman" w:eastAsia="Times New Roman" w:cs="Times New Roman"/>
                <w:b/>
                <w:color w:val="000000"/>
                <w:sz w:val="20"/>
              </w:rPr>
              <w:t xml:space="preserve">Количество</w:t>
            </w:r>
            <w:r>
              <w:rPr>
                <w:rFonts w:ascii="Times New Roman" w:hAnsi="Times New Roman" w:eastAsia="Times New Roman" w:cs="Times New Roman"/>
                <w:b/>
                <w:color w:val="000000"/>
                <w:sz w:val="20"/>
              </w:rPr>
            </w:r>
          </w:p>
        </w:tc>
      </w:tr>
      <w:tr>
        <w:trPr>
          <w:trHeight w:val="989"/>
        </w:trPr>
        <w:tc>
          <w:tcPr>
            <w:tcBorders>
              <w:top w:val="single" w:color="000000" w:sz="5" w:space="0"/>
              <w:left w:val="single" w:color="000000" w:sz="5" w:space="0"/>
              <w:bottom w:val="single" w:color="000000" w:sz="5" w:space="0"/>
              <w:right w:val="single" w:color="000000" w:sz="5" w:space="0"/>
            </w:tcBorders>
            <w:tcMar>
              <w:left w:w="143" w:type="dxa"/>
              <w:top w:w="29" w:type="dxa"/>
              <w:right w:w="29" w:type="dxa"/>
            </w:tcMar>
            <w:tcW w:w="559"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w:t>
            </w:r>
            <w:r>
              <w:rPr>
                <w:rFonts w:ascii="Times New Roman" w:hAnsi="Times New Roman" w:eastAsia="Times New Roman" w:cs="Times New Roman"/>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143" w:type="dxa"/>
              <w:top w:w="29" w:type="dxa"/>
              <w:right w:w="29" w:type="dxa"/>
            </w:tcMar>
            <w:tcW w:w="5086" w:type="dxa"/>
          </w:tcPr>
          <w:p>
            <w:pPr>
              <w:pBdr/>
              <w:spacing w:line="238" w:lineRule="auto"/>
              <w:ind/>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Услуги по технической поддержке и обновлению до актуальной версии модуля АРМ «Поликлиника» «Комплексной медицинской информационной системы»</w:t>
            </w:r>
            <w:r>
              <w:rPr>
                <w:rFonts w:ascii="Times New Roman" w:hAnsi="Times New Roman" w:eastAsia="Times New Roman" w:cs="Times New Roman"/>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143" w:type="dxa"/>
              <w:top w:w="29" w:type="dxa"/>
              <w:right w:w="29" w:type="dxa"/>
            </w:tcMar>
            <w:tcW w:w="1963"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Месяц</w:t>
            </w:r>
            <w:r>
              <w:rPr>
                <w:rFonts w:ascii="Times New Roman" w:hAnsi="Times New Roman" w:eastAsia="Times New Roman" w:cs="Times New Roman"/>
                <w:color w:val="000000"/>
                <w:sz w:val="20"/>
              </w:rPr>
            </w:r>
          </w:p>
        </w:tc>
        <w:tc>
          <w:tcPr>
            <w:gridSpan w:val="2"/>
            <w:tcBorders>
              <w:top w:val="single" w:color="000000" w:sz="5" w:space="0"/>
              <w:left w:val="single" w:color="000000" w:sz="5" w:space="0"/>
              <w:bottom w:val="single" w:color="000000" w:sz="5" w:space="0"/>
              <w:right w:val="single" w:color="000000" w:sz="5" w:space="0"/>
            </w:tcBorders>
            <w:tcMar>
              <w:left w:w="143" w:type="dxa"/>
              <w:top w:w="29" w:type="dxa"/>
              <w:right w:w="29" w:type="dxa"/>
            </w:tcMar>
            <w:tcW w:w="2551" w:type="dxa"/>
          </w:tcPr>
          <w:p>
            <w:pPr>
              <w:pBdr/>
              <w:spacing w:line="238" w:lineRule="auto"/>
              <w:ind/>
              <w:jc w:val="center"/>
              <w:rPr>
                <w:rFonts w:ascii="Times New Roman" w:hAnsi="Times New Roman" w:eastAsia="Times New Roman" w:cs="Times New Roman"/>
                <w:color w:val="000000"/>
                <w:sz w:val="20"/>
              </w:rPr>
            </w:pPr>
            <w:r>
              <w:rPr>
                <w:rFonts w:ascii="Times New Roman" w:hAnsi="Times New Roman" w:eastAsia="Times New Roman" w:cs="Times New Roman"/>
                <w:color w:val="000000"/>
                <w:sz w:val="20"/>
              </w:rPr>
              <w:t xml:space="preserve">12</w:t>
            </w:r>
            <w:r>
              <w:rPr>
                <w:rFonts w:ascii="Times New Roman" w:hAnsi="Times New Roman" w:eastAsia="Times New Roman" w:cs="Times New Roman"/>
                <w:color w:val="000000"/>
                <w:sz w:val="20"/>
              </w:rPr>
            </w:r>
          </w:p>
        </w:tc>
      </w:tr>
      <w:tr>
        <w:trPr>
          <w:trHeight w:val="2737"/>
        </w:trPr>
        <w:tc>
          <w:tcPr>
            <w:gridSpan w:val="7"/>
            <w:tcBorders>
              <w:top w:val="single" w:color="000000" w:sz="5" w:space="0"/>
            </w:tcBorders>
            <w:tcW w:w="10159" w:type="dxa"/>
          </w:tcPr>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20.3.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w:t>
            </w:r>
            <w:r>
              <w:rPr>
                <w:rFonts w:ascii="Times New Roman" w:hAnsi="Times New Roman" w:eastAsia="Times New Roman" w:cs="Times New Roman"/>
                <w:color w:val="000000"/>
                <w:sz w:val="20"/>
              </w:rPr>
              <w:t xml:space="preserve">: в соответствии с техническим заданием и условиями договора </w:t>
            </w:r>
            <w:r>
              <w:rPr>
                <w:rFonts w:ascii="Times New Roman" w:hAnsi="Times New Roman" w:eastAsia="Times New Roman" w:cs="Times New Roman"/>
                <w:color w:val="000000"/>
                <w:sz w:val="20"/>
              </w:rPr>
            </w:r>
          </w:p>
          <w:p>
            <w:pPr>
              <w:pBdr/>
              <w:spacing w:line="237" w:lineRule="auto"/>
              <w:ind/>
              <w:jc w:val="both"/>
              <w:rPr>
                <w:rFonts w:ascii="Times New Roman" w:hAnsi="Times New Roman" w:eastAsia="Times New Roman" w:cs="Times New Roman"/>
                <w:color w:val="000000"/>
                <w:sz w:val="20"/>
              </w:rPr>
            </w:pPr>
            <w:r>
              <w:rPr>
                <w:rFonts w:ascii="Times New Roman" w:hAnsi="Times New Roman" w:eastAsia="Times New Roman" w:cs="Times New Roman"/>
                <w:b/>
                <w:color w:val="000000"/>
                <w:sz w:val="20"/>
              </w:rPr>
              <w:t xml:space="preserve">20.3.1. Обоснование необходимости использования не предусмотренных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w:t>
            </w:r>
            <w:r>
              <w:rPr>
                <w:rFonts w:ascii="Times New Roman" w:hAnsi="Times New Roman" w:eastAsia="Times New Roman" w:cs="Times New Roman"/>
                <w:b/>
                <w:color w:val="000000"/>
                <w:sz w:val="20"/>
              </w:rPr>
              <w:t xml:space="preserve">в национальной системе стандартизации, принятыми в соответствии с законодательством российской федерации о стандартизации требований, связанных с определением соответствия поставляемого товара, выполняемой работы, оказываемой услуги потребностям заказчика:</w:t>
            </w:r>
            <w:r>
              <w:rPr>
                <w:rFonts w:ascii="Times New Roman" w:hAnsi="Times New Roman" w:eastAsia="Times New Roman" w:cs="Times New Roman"/>
                <w:color w:val="000000"/>
                <w:sz w:val="20"/>
              </w:rPr>
              <w:t xml:space="preserve"> заказчиком, при описании объекта закупки использовались требования предусмотренные техническими регламента</w:t>
            </w:r>
            <w:r>
              <w:rPr>
                <w:rFonts w:ascii="Times New Roman" w:hAnsi="Times New Roman" w:eastAsia="Times New Roman" w:cs="Times New Roman"/>
                <w:color w:val="000000"/>
                <w:sz w:val="20"/>
              </w:rPr>
              <w:t xml:space="preserve">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r>
              <w:rPr>
                <w:rFonts w:ascii="Times New Roman" w:hAnsi="Times New Roman" w:eastAsia="Times New Roman" w:cs="Times New Roman"/>
                <w:color w:val="000000"/>
                <w:sz w:val="20"/>
              </w:rPr>
            </w:r>
          </w:p>
        </w:tc>
      </w:tr>
      <w:tr>
        <w:trPr>
          <w:trHeight w:val="343"/>
        </w:trPr>
        <w:tc>
          <w:tcPr>
            <w:gridSpan w:val="7"/>
            <w:tcBorders/>
            <w:tcW w:w="10159" w:type="dxa"/>
          </w:tcPr>
          <w:p>
            <w:pPr>
              <w:pBdr/>
              <w:spacing/>
              <w:ind/>
              <w:rPr/>
            </w:pPr>
            <w:r/>
            <w:r/>
          </w:p>
        </w:tc>
      </w:tr>
    </w:tbl>
    <w:p>
      <w:pPr>
        <w:pBdr/>
        <w:spacing/>
        <w:ind/>
        <w:rPr/>
        <w:sectPr>
          <w:footnotePr/>
          <w:endnotePr/>
          <w:type w:val="nextPage"/>
          <w:pgSz w:h="16848" w:orient="portrait" w:w="11906"/>
          <w:pgMar w:top="567" w:right="567" w:bottom="517" w:left="1134" w:header="226" w:footer="206" w:gutter="0"/>
          <w:cols w:num="1" w:sep="0" w:space="1701" w:equalWidth="1"/>
        </w:sectPr>
      </w:pPr>
      <w:r/>
      <w:r/>
    </w:p>
    <w:tbl>
      <w:tblPr>
        <w:tblStyle w:val="701"/>
        <w:tblW w:w="0" w:type="dxa"/>
        <w:tblCellMar>
          <w:left w:w="0" w:type="dxa"/>
          <w:top w:w="0" w:type="dxa"/>
          <w:right w:w="0" w:type="dxa"/>
          <w:bottom w:w="0" w:type="dxa"/>
        </w:tblCellMar>
        <w:tblBorders/>
        <w:tblLayout w:type="fixed"/>
        <w:tblLook w:val="04A0" w:firstRow="1" w:lastRow="0" w:firstColumn="1" w:lastColumn="0" w:noHBand="0" w:noVBand="1"/>
      </w:tblPr>
      <w:tblGrid>
        <w:gridCol w:w="10717"/>
      </w:tblGrid>
      <w:tr>
        <w:trPr>
          <w:trHeight w:val="344"/>
        </w:trPr>
        <w:tc>
          <w:tcPr>
            <w:tcBorders/>
            <w:tcW w:w="10717" w:type="dxa"/>
          </w:tcPr>
          <w:p w14:paraId="5224F465">
            <w:pPr>
              <w:pBdr/>
              <w:spacing/>
              <w:ind/>
              <w:rPr/>
            </w:pPr>
            <w:r/>
            <w:r/>
          </w:p>
        </w:tc>
      </w:tr>
    </w:tbl>
    <w:sectPr>
      <w:footnotePr/>
      <w:endnotePr/>
      <w:type w:val="nextPage"/>
      <w:pgSz w:h="11909" w:orient="landscape" w:w="16838"/>
      <w:pgMar w:top="567" w:right="567" w:bottom="1084" w:left="567" w:header="226" w:footer="433"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font>
  <w:font w:name="Times New Roman CYR">
    <w:panose1 w:val="02020603050405020304"/>
  </w:font>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0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0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0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0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0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0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0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0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0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0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0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0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0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0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0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0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0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0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0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0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0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0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0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0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0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0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0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0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0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0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0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0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0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0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0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0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0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0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0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0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0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0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0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0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0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0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0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0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0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0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0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0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0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0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0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70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70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70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70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0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0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0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0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0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0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0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0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99"/>
    <w:next w:val="699"/>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99"/>
    <w:next w:val="699"/>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99"/>
    <w:next w:val="699"/>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99"/>
    <w:next w:val="699"/>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99"/>
    <w:next w:val="699"/>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99"/>
    <w:next w:val="699"/>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99"/>
    <w:next w:val="699"/>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99"/>
    <w:next w:val="699"/>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99"/>
    <w:next w:val="699"/>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00"/>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700"/>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00"/>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00"/>
    <w:link w:val="142"/>
    <w:uiPriority w:val="9"/>
    <w:pPr>
      <w:pBdr/>
      <w:spacing/>
      <w:ind/>
    </w:pPr>
    <w:rPr>
      <w:rFonts w:ascii="Arial" w:hAnsi="Arial" w:eastAsia="Arial" w:cs="Arial"/>
      <w:i/>
      <w:iCs/>
      <w:color w:val="0f4761" w:themeColor="accent1" w:themeShade="BF"/>
    </w:rPr>
  </w:style>
  <w:style w:type="character" w:styleId="154">
    <w:name w:val="Heading 5 Char"/>
    <w:basedOn w:val="700"/>
    <w:link w:val="143"/>
    <w:uiPriority w:val="9"/>
    <w:pPr>
      <w:pBdr/>
      <w:spacing/>
      <w:ind/>
    </w:pPr>
    <w:rPr>
      <w:rFonts w:ascii="Arial" w:hAnsi="Arial" w:eastAsia="Arial" w:cs="Arial"/>
      <w:color w:val="0f4761" w:themeColor="accent1" w:themeShade="BF"/>
    </w:rPr>
  </w:style>
  <w:style w:type="character" w:styleId="155">
    <w:name w:val="Heading 6 Char"/>
    <w:basedOn w:val="700"/>
    <w:link w:val="144"/>
    <w:uiPriority w:val="9"/>
    <w:pPr>
      <w:pBdr/>
      <w:spacing/>
      <w:ind/>
    </w:pPr>
    <w:rPr>
      <w:rFonts w:ascii="Arial" w:hAnsi="Arial" w:eastAsia="Arial" w:cs="Arial"/>
      <w:i/>
      <w:iCs/>
      <w:color w:val="595959" w:themeColor="text1" w:themeTint="A6"/>
    </w:rPr>
  </w:style>
  <w:style w:type="character" w:styleId="156">
    <w:name w:val="Heading 7 Char"/>
    <w:basedOn w:val="700"/>
    <w:link w:val="145"/>
    <w:uiPriority w:val="9"/>
    <w:pPr>
      <w:pBdr/>
      <w:spacing/>
      <w:ind/>
    </w:pPr>
    <w:rPr>
      <w:rFonts w:ascii="Arial" w:hAnsi="Arial" w:eastAsia="Arial" w:cs="Arial"/>
      <w:color w:val="595959" w:themeColor="text1" w:themeTint="A6"/>
    </w:rPr>
  </w:style>
  <w:style w:type="character" w:styleId="157">
    <w:name w:val="Heading 8 Char"/>
    <w:basedOn w:val="700"/>
    <w:link w:val="146"/>
    <w:uiPriority w:val="9"/>
    <w:pPr>
      <w:pBdr/>
      <w:spacing/>
      <w:ind/>
    </w:pPr>
    <w:rPr>
      <w:rFonts w:ascii="Arial" w:hAnsi="Arial" w:eastAsia="Arial" w:cs="Arial"/>
      <w:i/>
      <w:iCs/>
      <w:color w:val="272727" w:themeColor="text1" w:themeTint="D8"/>
    </w:rPr>
  </w:style>
  <w:style w:type="character" w:styleId="158">
    <w:name w:val="Heading 9 Char"/>
    <w:basedOn w:val="700"/>
    <w:link w:val="147"/>
    <w:uiPriority w:val="9"/>
    <w:pPr>
      <w:pBdr/>
      <w:spacing/>
      <w:ind/>
    </w:pPr>
    <w:rPr>
      <w:rFonts w:ascii="Arial" w:hAnsi="Arial" w:eastAsia="Arial" w:cs="Arial"/>
      <w:i/>
      <w:iCs/>
      <w:color w:val="272727" w:themeColor="text1" w:themeTint="D8"/>
    </w:rPr>
  </w:style>
  <w:style w:type="paragraph" w:styleId="159">
    <w:name w:val="Title"/>
    <w:basedOn w:val="699"/>
    <w:next w:val="699"/>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00"/>
    <w:link w:val="159"/>
    <w:uiPriority w:val="10"/>
    <w:pPr>
      <w:pBdr/>
      <w:spacing/>
      <w:ind/>
    </w:pPr>
    <w:rPr>
      <w:rFonts w:ascii="Arial" w:hAnsi="Arial" w:eastAsia="Arial" w:cs="Arial"/>
      <w:spacing w:val="-10"/>
      <w:sz w:val="56"/>
      <w:szCs w:val="56"/>
    </w:rPr>
  </w:style>
  <w:style w:type="paragraph" w:styleId="161">
    <w:name w:val="Subtitle"/>
    <w:basedOn w:val="699"/>
    <w:next w:val="699"/>
    <w:link w:val="162"/>
    <w:uiPriority w:val="11"/>
    <w:qFormat/>
    <w:pPr>
      <w:numPr>
        <w:ilvl w:val="1"/>
      </w:numPr>
      <w:pBdr/>
      <w:spacing/>
      <w:ind/>
    </w:pPr>
    <w:rPr>
      <w:color w:val="595959" w:themeColor="text1" w:themeTint="A6"/>
      <w:spacing w:val="15"/>
      <w:sz w:val="28"/>
      <w:szCs w:val="28"/>
    </w:rPr>
  </w:style>
  <w:style w:type="character" w:styleId="162">
    <w:name w:val="Subtitle Char"/>
    <w:basedOn w:val="700"/>
    <w:link w:val="161"/>
    <w:uiPriority w:val="11"/>
    <w:pPr>
      <w:pBdr/>
      <w:spacing/>
      <w:ind/>
    </w:pPr>
    <w:rPr>
      <w:color w:val="595959" w:themeColor="text1" w:themeTint="A6"/>
      <w:spacing w:val="15"/>
      <w:sz w:val="28"/>
      <w:szCs w:val="28"/>
    </w:rPr>
  </w:style>
  <w:style w:type="paragraph" w:styleId="163">
    <w:name w:val="Quote"/>
    <w:basedOn w:val="699"/>
    <w:next w:val="699"/>
    <w:link w:val="164"/>
    <w:uiPriority w:val="29"/>
    <w:qFormat/>
    <w:pPr>
      <w:pBdr/>
      <w:spacing w:before="160"/>
      <w:ind/>
      <w:jc w:val="center"/>
    </w:pPr>
    <w:rPr>
      <w:i/>
      <w:iCs/>
      <w:color w:val="404040" w:themeColor="text1" w:themeTint="BF"/>
    </w:rPr>
  </w:style>
  <w:style w:type="character" w:styleId="164">
    <w:name w:val="Quote Char"/>
    <w:basedOn w:val="700"/>
    <w:link w:val="163"/>
    <w:uiPriority w:val="29"/>
    <w:pPr>
      <w:pBdr/>
      <w:spacing/>
      <w:ind/>
    </w:pPr>
    <w:rPr>
      <w:i/>
      <w:iCs/>
      <w:color w:val="404040" w:themeColor="text1" w:themeTint="BF"/>
    </w:rPr>
  </w:style>
  <w:style w:type="paragraph" w:styleId="165">
    <w:name w:val="List Paragraph"/>
    <w:basedOn w:val="699"/>
    <w:uiPriority w:val="34"/>
    <w:qFormat/>
    <w:pPr>
      <w:pBdr/>
      <w:spacing/>
      <w:ind w:left="720"/>
      <w:contextualSpacing w:val="true"/>
    </w:pPr>
  </w:style>
  <w:style w:type="character" w:styleId="166">
    <w:name w:val="Intense Emphasis"/>
    <w:basedOn w:val="700"/>
    <w:uiPriority w:val="21"/>
    <w:qFormat/>
    <w:pPr>
      <w:pBdr/>
      <w:spacing/>
      <w:ind/>
    </w:pPr>
    <w:rPr>
      <w:i/>
      <w:iCs/>
      <w:color w:val="0f4761" w:themeColor="accent1" w:themeShade="BF"/>
    </w:rPr>
  </w:style>
  <w:style w:type="paragraph" w:styleId="167">
    <w:name w:val="Intense Quote"/>
    <w:basedOn w:val="699"/>
    <w:next w:val="699"/>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00"/>
    <w:link w:val="167"/>
    <w:uiPriority w:val="30"/>
    <w:pPr>
      <w:pBdr/>
      <w:spacing/>
      <w:ind/>
    </w:pPr>
    <w:rPr>
      <w:i/>
      <w:iCs/>
      <w:color w:val="0f4761" w:themeColor="accent1" w:themeShade="BF"/>
    </w:rPr>
  </w:style>
  <w:style w:type="character" w:styleId="169">
    <w:name w:val="Intense Reference"/>
    <w:basedOn w:val="700"/>
    <w:uiPriority w:val="32"/>
    <w:qFormat/>
    <w:pPr>
      <w:pBdr/>
      <w:spacing/>
      <w:ind/>
    </w:pPr>
    <w:rPr>
      <w:b/>
      <w:bCs/>
      <w:smallCaps/>
      <w:color w:val="0f4761" w:themeColor="accent1" w:themeShade="BF"/>
      <w:spacing w:val="5"/>
    </w:rPr>
  </w:style>
  <w:style w:type="paragraph" w:styleId="170">
    <w:name w:val="No Spacing"/>
    <w:basedOn w:val="699"/>
    <w:uiPriority w:val="1"/>
    <w:qFormat/>
    <w:pPr>
      <w:pBdr/>
      <w:spacing w:after="0" w:line="240" w:lineRule="auto"/>
      <w:ind/>
    </w:pPr>
  </w:style>
  <w:style w:type="character" w:styleId="171">
    <w:name w:val="Subtle Emphasis"/>
    <w:basedOn w:val="700"/>
    <w:uiPriority w:val="19"/>
    <w:qFormat/>
    <w:pPr>
      <w:pBdr/>
      <w:spacing/>
      <w:ind/>
    </w:pPr>
    <w:rPr>
      <w:i/>
      <w:iCs/>
      <w:color w:val="404040" w:themeColor="text1" w:themeTint="BF"/>
    </w:rPr>
  </w:style>
  <w:style w:type="character" w:styleId="172">
    <w:name w:val="Emphasis"/>
    <w:basedOn w:val="700"/>
    <w:uiPriority w:val="20"/>
    <w:qFormat/>
    <w:pPr>
      <w:pBdr/>
      <w:spacing/>
      <w:ind/>
    </w:pPr>
    <w:rPr>
      <w:i/>
      <w:iCs/>
    </w:rPr>
  </w:style>
  <w:style w:type="character" w:styleId="173">
    <w:name w:val="Strong"/>
    <w:basedOn w:val="700"/>
    <w:uiPriority w:val="22"/>
    <w:qFormat/>
    <w:pPr>
      <w:pBdr/>
      <w:spacing/>
      <w:ind/>
    </w:pPr>
    <w:rPr>
      <w:b/>
      <w:bCs/>
    </w:rPr>
  </w:style>
  <w:style w:type="character" w:styleId="174">
    <w:name w:val="Subtle Reference"/>
    <w:basedOn w:val="700"/>
    <w:uiPriority w:val="31"/>
    <w:qFormat/>
    <w:pPr>
      <w:pBdr/>
      <w:spacing/>
      <w:ind/>
    </w:pPr>
    <w:rPr>
      <w:smallCaps/>
      <w:color w:val="5a5a5a" w:themeColor="text1" w:themeTint="A5"/>
    </w:rPr>
  </w:style>
  <w:style w:type="character" w:styleId="175">
    <w:name w:val="Book Title"/>
    <w:basedOn w:val="700"/>
    <w:uiPriority w:val="33"/>
    <w:qFormat/>
    <w:pPr>
      <w:pBdr/>
      <w:spacing/>
      <w:ind/>
    </w:pPr>
    <w:rPr>
      <w:b/>
      <w:bCs/>
      <w:i/>
      <w:iCs/>
      <w:spacing w:val="5"/>
    </w:rPr>
  </w:style>
  <w:style w:type="character" w:styleId="177">
    <w:name w:val="Header Char"/>
    <w:basedOn w:val="700"/>
    <w:link w:val="703"/>
    <w:uiPriority w:val="99"/>
    <w:pPr>
      <w:pBdr/>
      <w:spacing/>
      <w:ind/>
    </w:pPr>
  </w:style>
  <w:style w:type="paragraph" w:styleId="178">
    <w:name w:val="Footer"/>
    <w:basedOn w:val="699"/>
    <w:link w:val="179"/>
    <w:uiPriority w:val="99"/>
    <w:unhideWhenUsed/>
    <w:pPr>
      <w:pBdr/>
      <w:tabs>
        <w:tab w:val="center" w:leader="none" w:pos="4844"/>
        <w:tab w:val="right" w:leader="none" w:pos="9689"/>
      </w:tabs>
      <w:spacing w:after="0" w:line="240" w:lineRule="auto"/>
      <w:ind/>
    </w:pPr>
  </w:style>
  <w:style w:type="character" w:styleId="179">
    <w:name w:val="Footer Char"/>
    <w:basedOn w:val="700"/>
    <w:link w:val="178"/>
    <w:uiPriority w:val="99"/>
    <w:pPr>
      <w:pBdr/>
      <w:spacing/>
      <w:ind/>
    </w:pPr>
  </w:style>
  <w:style w:type="paragraph" w:styleId="180">
    <w:name w:val="Caption"/>
    <w:basedOn w:val="699"/>
    <w:next w:val="699"/>
    <w:uiPriority w:val="35"/>
    <w:unhideWhenUsed/>
    <w:qFormat/>
    <w:pPr>
      <w:pBdr/>
      <w:spacing w:after="200" w:line="240" w:lineRule="auto"/>
      <w:ind/>
    </w:pPr>
    <w:rPr>
      <w:i/>
      <w:iCs/>
      <w:color w:val="0e2841" w:themeColor="text2"/>
      <w:sz w:val="18"/>
      <w:szCs w:val="18"/>
    </w:rPr>
  </w:style>
  <w:style w:type="paragraph" w:styleId="181">
    <w:name w:val="footnote text"/>
    <w:basedOn w:val="699"/>
    <w:link w:val="182"/>
    <w:uiPriority w:val="99"/>
    <w:semiHidden/>
    <w:unhideWhenUsed/>
    <w:pPr>
      <w:pBdr/>
      <w:spacing w:after="0" w:line="240" w:lineRule="auto"/>
      <w:ind/>
    </w:pPr>
    <w:rPr>
      <w:sz w:val="20"/>
      <w:szCs w:val="20"/>
    </w:rPr>
  </w:style>
  <w:style w:type="character" w:styleId="182">
    <w:name w:val="Footnote Text Char"/>
    <w:basedOn w:val="700"/>
    <w:link w:val="181"/>
    <w:uiPriority w:val="99"/>
    <w:semiHidden/>
    <w:pPr>
      <w:pBdr/>
      <w:spacing/>
      <w:ind/>
    </w:pPr>
    <w:rPr>
      <w:sz w:val="20"/>
      <w:szCs w:val="20"/>
    </w:rPr>
  </w:style>
  <w:style w:type="character" w:styleId="183">
    <w:name w:val="footnote reference"/>
    <w:basedOn w:val="700"/>
    <w:uiPriority w:val="99"/>
    <w:semiHidden/>
    <w:unhideWhenUsed/>
    <w:pPr>
      <w:pBdr/>
      <w:spacing/>
      <w:ind/>
    </w:pPr>
    <w:rPr>
      <w:vertAlign w:val="superscript"/>
    </w:rPr>
  </w:style>
  <w:style w:type="paragraph" w:styleId="184">
    <w:name w:val="endnote text"/>
    <w:basedOn w:val="699"/>
    <w:link w:val="185"/>
    <w:uiPriority w:val="99"/>
    <w:semiHidden/>
    <w:unhideWhenUsed/>
    <w:pPr>
      <w:pBdr/>
      <w:spacing w:after="0" w:line="240" w:lineRule="auto"/>
      <w:ind/>
    </w:pPr>
    <w:rPr>
      <w:sz w:val="20"/>
      <w:szCs w:val="20"/>
    </w:rPr>
  </w:style>
  <w:style w:type="character" w:styleId="185">
    <w:name w:val="Endnote Text Char"/>
    <w:basedOn w:val="700"/>
    <w:link w:val="184"/>
    <w:uiPriority w:val="99"/>
    <w:semiHidden/>
    <w:pPr>
      <w:pBdr/>
      <w:spacing/>
      <w:ind/>
    </w:pPr>
    <w:rPr>
      <w:sz w:val="20"/>
      <w:szCs w:val="20"/>
    </w:rPr>
  </w:style>
  <w:style w:type="character" w:styleId="186">
    <w:name w:val="endnote reference"/>
    <w:basedOn w:val="700"/>
    <w:uiPriority w:val="99"/>
    <w:semiHidden/>
    <w:unhideWhenUsed/>
    <w:pPr>
      <w:pBdr/>
      <w:spacing/>
      <w:ind/>
    </w:pPr>
    <w:rPr>
      <w:vertAlign w:val="superscript"/>
    </w:rPr>
  </w:style>
  <w:style w:type="character" w:styleId="187">
    <w:name w:val="Hyperlink"/>
    <w:basedOn w:val="700"/>
    <w:uiPriority w:val="99"/>
    <w:unhideWhenUsed/>
    <w:pPr>
      <w:pBdr/>
      <w:spacing/>
      <w:ind/>
    </w:pPr>
    <w:rPr>
      <w:color w:val="0563c1" w:themeColor="hyperlink"/>
      <w:u w:val="single"/>
    </w:rPr>
  </w:style>
  <w:style w:type="character" w:styleId="188">
    <w:name w:val="FollowedHyperlink"/>
    <w:basedOn w:val="700"/>
    <w:uiPriority w:val="99"/>
    <w:semiHidden/>
    <w:unhideWhenUsed/>
    <w:pPr>
      <w:pBdr/>
      <w:spacing/>
      <w:ind/>
    </w:pPr>
    <w:rPr>
      <w:color w:val="954f72" w:themeColor="followedHyperlink"/>
      <w:u w:val="single"/>
    </w:rPr>
  </w:style>
  <w:style w:type="paragraph" w:styleId="189">
    <w:name w:val="toc 1"/>
    <w:basedOn w:val="699"/>
    <w:next w:val="699"/>
    <w:uiPriority w:val="39"/>
    <w:unhideWhenUsed/>
    <w:pPr>
      <w:pBdr/>
      <w:spacing w:after="100"/>
      <w:ind/>
    </w:pPr>
  </w:style>
  <w:style w:type="paragraph" w:styleId="190">
    <w:name w:val="toc 2"/>
    <w:basedOn w:val="699"/>
    <w:next w:val="699"/>
    <w:uiPriority w:val="39"/>
    <w:unhideWhenUsed/>
    <w:pPr>
      <w:pBdr/>
      <w:spacing w:after="100"/>
      <w:ind w:left="220"/>
    </w:pPr>
  </w:style>
  <w:style w:type="paragraph" w:styleId="191">
    <w:name w:val="toc 3"/>
    <w:basedOn w:val="699"/>
    <w:next w:val="699"/>
    <w:uiPriority w:val="39"/>
    <w:unhideWhenUsed/>
    <w:pPr>
      <w:pBdr/>
      <w:spacing w:after="100"/>
      <w:ind w:left="440"/>
    </w:pPr>
  </w:style>
  <w:style w:type="paragraph" w:styleId="192">
    <w:name w:val="toc 4"/>
    <w:basedOn w:val="699"/>
    <w:next w:val="699"/>
    <w:uiPriority w:val="39"/>
    <w:unhideWhenUsed/>
    <w:pPr>
      <w:pBdr/>
      <w:spacing w:after="100"/>
      <w:ind w:left="660"/>
    </w:pPr>
  </w:style>
  <w:style w:type="paragraph" w:styleId="193">
    <w:name w:val="toc 5"/>
    <w:basedOn w:val="699"/>
    <w:next w:val="699"/>
    <w:uiPriority w:val="39"/>
    <w:unhideWhenUsed/>
    <w:pPr>
      <w:pBdr/>
      <w:spacing w:after="100"/>
      <w:ind w:left="880"/>
    </w:pPr>
  </w:style>
  <w:style w:type="paragraph" w:styleId="194">
    <w:name w:val="toc 6"/>
    <w:basedOn w:val="699"/>
    <w:next w:val="699"/>
    <w:uiPriority w:val="39"/>
    <w:unhideWhenUsed/>
    <w:pPr>
      <w:pBdr/>
      <w:spacing w:after="100"/>
      <w:ind w:left="1100"/>
    </w:pPr>
  </w:style>
  <w:style w:type="paragraph" w:styleId="195">
    <w:name w:val="toc 7"/>
    <w:basedOn w:val="699"/>
    <w:next w:val="699"/>
    <w:uiPriority w:val="39"/>
    <w:unhideWhenUsed/>
    <w:pPr>
      <w:pBdr/>
      <w:spacing w:after="100"/>
      <w:ind w:left="1320"/>
    </w:pPr>
  </w:style>
  <w:style w:type="paragraph" w:styleId="196">
    <w:name w:val="toc 8"/>
    <w:basedOn w:val="699"/>
    <w:next w:val="699"/>
    <w:uiPriority w:val="39"/>
    <w:unhideWhenUsed/>
    <w:pPr>
      <w:pBdr/>
      <w:spacing w:after="100"/>
      <w:ind w:left="1540"/>
    </w:pPr>
  </w:style>
  <w:style w:type="paragraph" w:styleId="197">
    <w:name w:val="toc 9"/>
    <w:basedOn w:val="699"/>
    <w:next w:val="699"/>
    <w:uiPriority w:val="39"/>
    <w:unhideWhenUsed/>
    <w:pPr>
      <w:pBdr/>
      <w:spacing w:after="100"/>
      <w:ind w:left="1760"/>
    </w:pPr>
  </w:style>
  <w:style w:type="character" w:styleId="198">
    <w:name w:val="Placeholder Text"/>
    <w:basedOn w:val="700"/>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99"/>
    <w:next w:val="699"/>
    <w:uiPriority w:val="99"/>
    <w:unhideWhenUsed/>
    <w:pPr>
      <w:pBdr/>
      <w:spacing w:after="0" w:afterAutospacing="0"/>
      <w:ind/>
    </w:pPr>
  </w:style>
  <w:style w:type="paragraph" w:styleId="699" w:default="1">
    <w:name w:val="Normal"/>
    <w:qFormat/>
    <w:pPr>
      <w:pBdr/>
      <w:spacing w:after="0" w:line="240" w:lineRule="auto"/>
      <w:ind/>
    </w:pPr>
    <w:rPr>
      <w:sz w:val="2"/>
    </w:rPr>
  </w:style>
  <w:style w:type="character" w:styleId="700" w:default="1">
    <w:name w:val="Default Paragraph Font"/>
    <w:uiPriority w:val="1"/>
    <w:semiHidden/>
    <w:unhideWhenUsed/>
    <w:pPr>
      <w:pBdr/>
      <w:spacing/>
      <w:ind/>
    </w:pPr>
  </w:style>
  <w:style w:type="table" w:styleId="701" w:default="1">
    <w:name w:val="Normal Table"/>
    <w:uiPriority w:val="99"/>
    <w:semiHidden/>
    <w:unhideWhenUsed/>
    <w:qFormat/>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02" w:default="1">
    <w:name w:val="No List"/>
    <w:uiPriority w:val="99"/>
    <w:semiHidden/>
    <w:unhideWhenUsed/>
    <w:pPr>
      <w:pBdr/>
      <w:spacing/>
      <w:ind/>
    </w:pPr>
  </w:style>
  <w:style w:type="paragraph" w:styleId="703">
    <w:name w:val="Header"/>
    <w:basedOn w:val="699"/>
    <w:uiPriority w:val="99"/>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Company>Stimulsoft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Documentation_EA(ef)_(Sti)</dc:title>
  <dc:subject>Documentation_EA(ef)_(Sti)</dc:subject>
  <dc:creator>Кондратьев В.И.</dc:creator>
  <cp:keywords/>
  <dc:description>Торги|Электронный аукцион в эл. форме</dc:description>
  <cp:revision>2</cp:revision>
  <dcterms:created xsi:type="dcterms:W3CDTF">2026-10-12T10:35:12Z</dcterms:created>
  <dcterms:modified xsi:type="dcterms:W3CDTF">2026-10-12T10:36:33Z</dcterms:modified>
</cp:coreProperties>
</file>