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09"/>
        <w:jc w:val="right"/>
        <w:rPr>
          <w:szCs w:val="24"/>
        </w:rPr>
      </w:pPr>
      <w:r>
        <w:rPr>
          <w:szCs w:val="24"/>
        </w:rPr>
        <w:t xml:space="preserve">Приложение № </w:t>
      </w:r>
      <w:r>
        <w:rPr>
          <w:szCs w:val="24"/>
        </w:rPr>
        <w:t xml:space="preserve">3</w:t>
      </w:r>
      <w:r>
        <w:rPr>
          <w:szCs w:val="24"/>
        </w:rPr>
        <w:br/>
        <w:t xml:space="preserve">к договору № </w:t>
      </w:r>
      <w:r>
        <w:rPr>
          <w:szCs w:val="24"/>
        </w:rPr>
        <w:t xml:space="preserve">__</w:t>
      </w:r>
      <w:r>
        <w:rPr>
          <w:szCs w:val="24"/>
          <w:lang w:val="ru-RU"/>
        </w:rPr>
        <w:t xml:space="preserve">_________</w:t>
      </w:r>
      <w:r>
        <w:rPr>
          <w:szCs w:val="24"/>
        </w:rPr>
        <w:t xml:space="preserve">____ </w:t>
      </w:r>
      <w:r>
        <w:rPr>
          <w:szCs w:val="24"/>
        </w:rPr>
      </w:r>
      <w:r>
        <w:rPr>
          <w:szCs w:val="24"/>
        </w:rPr>
      </w:r>
    </w:p>
    <w:p>
      <w:pPr>
        <w:pStyle w:val="1009"/>
        <w:jc w:val="right"/>
        <w:rPr>
          <w:szCs w:val="24"/>
          <w:lang w:val="ru-RU"/>
        </w:rPr>
      </w:pPr>
      <w:r>
        <w:rPr>
          <w:szCs w:val="24"/>
        </w:rPr>
        <w:t xml:space="preserve">от </w:t>
      </w:r>
      <w:r>
        <w:rPr>
          <w:szCs w:val="24"/>
          <w:lang w:val="ru-RU"/>
        </w:rPr>
        <w:t xml:space="preserve">«___»</w:t>
      </w:r>
      <w:r>
        <w:rPr>
          <w:szCs w:val="24"/>
        </w:rPr>
        <w:t xml:space="preserve">_</w:t>
      </w:r>
      <w:r>
        <w:rPr>
          <w:szCs w:val="24"/>
          <w:lang w:val="ru-RU"/>
        </w:rPr>
        <w:t xml:space="preserve">_____</w:t>
      </w:r>
      <w:r>
        <w:rPr>
          <w:szCs w:val="24"/>
        </w:rPr>
        <w:t xml:space="preserve">____20</w:t>
      </w:r>
      <w:r>
        <w:rPr>
          <w:szCs w:val="24"/>
          <w:lang w:val="ru-RU"/>
        </w:rPr>
        <w:t xml:space="preserve">__</w:t>
      </w:r>
      <w:r>
        <w:rPr>
          <w:szCs w:val="24"/>
          <w:lang w:val="ru-RU"/>
        </w:rPr>
        <w:t xml:space="preserve"> г.</w:t>
      </w:r>
      <w:r>
        <w:rPr>
          <w:szCs w:val="24"/>
          <w:lang w:val="ru-RU"/>
        </w:rPr>
      </w:r>
      <w:r>
        <w:rPr>
          <w:szCs w:val="24"/>
          <w:lang w:val="ru-RU"/>
        </w:rPr>
      </w:r>
    </w:p>
    <w:p>
      <w:pPr>
        <w:pStyle w:val="977"/>
        <w:jc w:val="center"/>
        <w:spacing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highlight w:val="none"/>
          <w:lang w:val="ru-RU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val="ru-RU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val="ru-RU"/>
        </w:rPr>
      </w:r>
    </w:p>
    <w:p>
      <w:pPr>
        <w:pStyle w:val="977"/>
        <w:jc w:val="center"/>
        <w:spacing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Соглашение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№ ____________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val="ru-RU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val="ru-RU"/>
        </w:rPr>
      </w:r>
    </w:p>
    <w:p>
      <w:pPr>
        <w:pStyle w:val="977"/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использовании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электронного документооборота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7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г.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Санкт-Петербург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___» 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____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г.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720"/>
        <w:jc w:val="both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</w:p>
    <w:p>
      <w:pPr>
        <w:pStyle w:val="977"/>
        <w:ind w:firstLine="72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АО  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«Газпром диагностика»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именуемое в дальнейшем «Сторона-1», в лице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Генерального директора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Скрынникова С.В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действующего на основании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Устава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с одной стороны, и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Общество с ограниченной ответственностью «_____________________» (ООО «_____________»)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именуемое в дальнейшем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«Сторона-2», в лице 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должность Фамилия И.О.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действующего на основании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Устава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с другой стороны, совместно именуемые в дальнейшем «Стороны», заключили настоящее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Соглашение 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нижеследующем: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numPr>
          <w:ilvl w:val="0"/>
          <w:numId w:val="17"/>
        </w:numPr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Термины и определения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целей настоящего Соглашения нижеизложенные термины используются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в следующих значениях: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77"/>
        <w:numPr>
          <w:ilvl w:val="1"/>
          <w:numId w:val="5"/>
        </w:numPr>
        <w:ind w:left="0"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Электронный документ (ЭД)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документированная информация, представленная в электронной форме, т.е. в виде, пригодном для восприятия человека,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 использованием электронных вычислительных машин, а также для передачи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информационно-телекоммуникационным сетям или обработки в информационных системах.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Под ЭД в рамках настоящего Соглашения понимаются договоры, первичные документы, счета, счета-фактуры и иные документы, подготавливаемые во исполнение заключенных договоров.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numPr>
          <w:ilvl w:val="1"/>
          <w:numId w:val="5"/>
        </w:numPr>
        <w:ind w:left="0"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Пакет электронных документов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несколько связанных между собой э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лектронных документов, каждый из которых подписан усиленной квалифицированной электронной подписью (счет, счет-фактура, акт сдачи – приемки выполненных работ (оказанных услуг), другие документы, оформляемые в рамках договора, заключенного между Сторонами).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1.3.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Электронный документооборот (ЭДО)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способ взаимодействия Сторон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обмену электронными документами, подписанными электронной подписью, в системе электронного документооборота.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Электронная подпись (ЭП)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информация в электронной форме, которая присоединена к другой информации в электронной форме (подписываемой информации)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или иным способом связана с такой информацией, которая используется для определения уполномоченного лица, подписывающего информацию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целей настоящего Соглашения под ЭП понимается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усиленная квалифицированная электронная подпись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соответствии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Федеральным законом РФ от 06.04.2011 № 63-ФЗ «Об электронной подписи»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действующим законодательством РФ в сфере электронной подписи.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567"/>
        <w:jc w:val="both"/>
        <w:spacing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Оператор ЭД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организация, обеспечивающая обмен открытой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и конфиденциальной информацией по телекоммуникационным каналам связи в рамках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ЭДО</w:t>
      </w:r>
      <w:r>
        <w:rPr>
          <w:rFonts w:ascii="Times New Roman" w:hAnsi="Times New Roman" w:cs="Times New Roman"/>
          <w:sz w:val="24"/>
          <w:szCs w:val="24"/>
        </w:rPr>
        <w:t xml:space="preserve"> между Сторонами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(в том числе обмен электронными счетами-фактурами в соответствии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 порядком, утвержденным приказом Минфина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России от 05.02.2021 № 14н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Оператором ЭДО, заключивший договор со Стороной – 1, является сервис ЭДО «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Диадок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» оператора 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АО «ПФ «СКБ Контур»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Оператором ЭДО, заключивши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 со Стороной-2, является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_______________________________________________________________________________ _______________________________________________________________________________.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i/>
          <w:lang w:val="ru-RU"/>
        </w:rPr>
        <w:t xml:space="preserve">                                                ( </w:t>
      </w:r>
      <w:r>
        <w:rPr>
          <w:rFonts w:ascii="Times New Roman" w:hAnsi="Times New Roman" w:cs="Times New Roman"/>
          <w:i/>
          <w:lang w:val="ru-RU"/>
        </w:rPr>
        <w:t xml:space="preserve">приводятся соответствующие сведения</w:t>
      </w:r>
      <w:r>
        <w:rPr>
          <w:rStyle w:val="1005"/>
          <w:rFonts w:ascii="Times New Roman" w:hAnsi="Times New Roman" w:cs="Times New Roman"/>
          <w:sz w:val="24"/>
          <w:szCs w:val="24"/>
          <w:lang w:val="ru-RU"/>
        </w:rPr>
        <w:footnoteReference w:id="2"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</w:t>
      </w:r>
      <w:r>
        <w:rPr>
          <w:rFonts w:ascii="Times New Roman" w:hAnsi="Times New Roman" w:cs="Times New Roman"/>
          <w:i/>
          <w:sz w:val="24"/>
          <w:szCs w:val="24"/>
          <w:lang w:val="ru-RU"/>
        </w:rPr>
      </w:r>
      <w:r>
        <w:rPr>
          <w:rFonts w:ascii="Times New Roman" w:hAnsi="Times New Roman" w:cs="Times New Roman"/>
          <w:i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1.6.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Удостоверяющий центр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(УЦ)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юридическое лицо или индивидуальный предприниматель,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осуществляющие функции по созданию и выдаче сертификатов ключей проверки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электронных подписей, а также иные функции, предусмотренные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Федеральным законом от 06.04.2011 № 63-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ФЗ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 электронной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подписи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Направляющая Сторона</w:t>
      </w:r>
      <w:r>
        <w:rPr>
          <w:rFonts w:ascii="Times New Roman" w:hAnsi="Times New Roman" w:cs="Times New Roman"/>
          <w:sz w:val="24"/>
          <w:szCs w:val="24"/>
        </w:rPr>
        <w:t xml:space="preserve"> – сторона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продавца</w:t>
      </w:r>
      <w:r>
        <w:rPr>
          <w:rFonts w:ascii="Times New Roman" w:hAnsi="Times New Roman" w:cs="Times New Roman"/>
          <w:sz w:val="24"/>
          <w:szCs w:val="24"/>
        </w:rPr>
        <w:t xml:space="preserve">, направляющая документ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в электронном виде, подписанный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ЭП</w:t>
      </w:r>
      <w:r>
        <w:rPr>
          <w:rFonts w:ascii="Times New Roman" w:hAnsi="Times New Roman" w:cs="Times New Roman"/>
          <w:sz w:val="24"/>
          <w:szCs w:val="24"/>
        </w:rPr>
        <w:t xml:space="preserve">, в системе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ЭДО</w:t>
      </w:r>
      <w:r>
        <w:rPr>
          <w:rFonts w:ascii="Times New Roman" w:hAnsi="Times New Roman" w:cs="Times New Roman"/>
          <w:sz w:val="24"/>
          <w:szCs w:val="24"/>
        </w:rPr>
        <w:t xml:space="preserve"> по телекоммуникационным каналам связи другой Стороне.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8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Получающая Сторона</w:t>
      </w:r>
      <w:r>
        <w:rPr>
          <w:rFonts w:ascii="Times New Roman" w:hAnsi="Times New Roman" w:cs="Times New Roman"/>
          <w:sz w:val="24"/>
          <w:szCs w:val="24"/>
        </w:rPr>
        <w:t xml:space="preserve"> – сторона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покупателя</w:t>
      </w:r>
      <w:r>
        <w:rPr>
          <w:rFonts w:ascii="Times New Roman" w:hAnsi="Times New Roman" w:cs="Times New Roman"/>
          <w:sz w:val="24"/>
          <w:szCs w:val="24"/>
        </w:rPr>
        <w:t xml:space="preserve">, получающая от Направляющей Стороны документ в электронном виде, подписанный ЭП, в системе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ЭДО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по телекоммуникационным каналам связи.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1.9.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Неформализованные документы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электронные документы без требований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 формату в соответствии с законодательством РФ на момент их оборота.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1.10.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Формализованные документы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электронные документы, формат которых определен законодательством РФ на момент их оборота.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1.11.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Соглашение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настоящее соглашение об осуществлении документооборота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электронном виде.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1.12.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Система электронного документооборота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(СЭДО)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система электронного документооборота, которая представляет собой автоматизированную унифицированную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информационную систему приема, хранения и передачи электронных документов (подписанных квалифицированной электронной подписью) по телекоммуникационным каналам связи. Обеспечивает функции обмена юридически значимыми электронными документами между Сторонами.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ind w:firstLine="54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1.13.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Владелец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квалифицированного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сертификата ключа проверки электронной подписи (Владелец ключа ЭП)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лицо, которому выдан сертификат ключа проверки электронной подписи. Данные о владельце должны содержаться в сертификате.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ind w:firstLine="54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1.14.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СКЗИ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средства криптографической защиты информации.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ind w:firstLine="540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1.15.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Договор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гражданско-правовая сделка, заключенная либо предполагаемая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 заключению между Сторонами.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</w:p>
    <w:p>
      <w:pPr>
        <w:ind w:firstLine="54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numPr>
          <w:ilvl w:val="0"/>
          <w:numId w:val="5"/>
        </w:numPr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 Соглашения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2.1.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Предметом настоящего Соглашения является согласие его Сторон на обмен документами в электронном виде, подписанными ЭП, взамен бумажного документооборота.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2.2.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Обмен документами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подготавливаемым в рамках договоров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происходит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сроки, предусмотренные 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оговорах, заключенных между Сторонами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либо предполагаемыми к заключению в будущем при условии включения в Договоры соответствующей оговорки о применении ЭДО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2.3.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Настоящее Соглашение регулирует отношения Сторон при осуществлении электронного обмена документами, подписанными ЭП, по телекоммуникационным каналам связи в соответствующей СЭДО.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2.4.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Получение документов в электронном виде и подписанных ЭП в порядке, установленном настоящим Соглашением, эквивалентно получению документов на бумажном носител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является необходимым и достаточным условием, позволяющим установить,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что ЭД исходит от Стороны, его направившей.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Риск неправомерного подписания электронного док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умента ЭП несет Сторона, отправи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вшая</w:t>
      </w:r>
      <w:bookmarkStart w:id="0" w:name="_GoBack"/>
      <w:r/>
      <w:bookmarkEnd w:id="0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подписавшая электронный документ. В случае обнаружения возможных угроз безопасности Стороны обязуются своевременно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письменно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извещать друг друга о таких угрозах для принятия согласованных мер по их нейтрализации.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2.5.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Все документы, поступившие в порядке обмена в электронном виде, составлены в форматах в соответствии с требованиями законодательства, а также исходя из условий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оговоров.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2.6.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пришли к соглашению осуществлять электронный обмен документами, указанными в Приложение №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 к настоящему Соглашению «Перечень документов, допустимых для подписания ЭП», по телекоммуникационным каналам связи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целях и в связи с исполнением своих обязательств по Договорам, заключенным между Сторонами.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пришли к соглашению о том, что используемые во взаимоотношениях между ними электронные документы, указанные в Приложении №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1, подписанные ЭП,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являются оригиналами, признаются Сторонами юридически значимыми документами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законодательством РФ, могут использоваться в качестве доказательств в суде, а также при рассмотрении споров в досудебном порядке.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8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признают, что ЭД порождает обязательства для Сторон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при одновременном соблюдении следующих условий: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 подписан ЭП Владельца ключа ЭП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наделенного полномочиями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основании Устава либо соответствующей доверенности)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сертификат ключа проверки ЭП был действительным (вступил действие, не был приостановлен, отозван или аннулирован) на момент подписания ЭД;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сохранность и конфиденциальность ключа ЭП не была нарушена;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ЭП используется с учетом ограничений, содержащихся в сертификате Владельца ключа ЭП;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 входит в Перечень документов, допустимых для подписания ЭП,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Приложением № 1 к настоящему Соглашению;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 передан по телекоммуникационным каналам связи, принят, подтвержден (проверен) и акцептован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Получающей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Стороной.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подтверждают наличие квалифицированного сертификата ключа проверки ЭП.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77"/>
        <w:numPr>
          <w:ilvl w:val="0"/>
          <w:numId w:val="6"/>
        </w:numPr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Права и обязанности Сторон</w:t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</w:p>
    <w:p>
      <w:pPr>
        <w:pStyle w:val="977"/>
        <w:numPr>
          <w:ilvl w:val="1"/>
          <w:numId w:val="6"/>
        </w:numPr>
        <w:ind w:left="0" w:firstLine="63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обязуются применять СКЗИ в соответствии с требованиями законодательства РФ.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numPr>
          <w:ilvl w:val="1"/>
          <w:numId w:val="6"/>
        </w:numPr>
        <w:ind w:left="0" w:firstLine="63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обязуются предоставлять друг другу актуальный перечень уполномоченных на подписание ЭП документов лиц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приложением соответствующих доверенностей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numPr>
          <w:ilvl w:val="1"/>
          <w:numId w:val="6"/>
        </w:numPr>
        <w:ind w:left="0" w:firstLine="63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обязуются обеспечить недопущение несанкционированного использования ключей ЭП и исключить доступ к ним третьих лиц, кроме Владельцев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ключей ЭП.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numPr>
          <w:ilvl w:val="1"/>
          <w:numId w:val="6"/>
        </w:numPr>
        <w:ind w:left="0" w:firstLine="63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обязуются обеспечивать защиту используемого для создания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 и формирования ЭП программного обеспечения от несанкционированного доступа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изменения.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numPr>
          <w:ilvl w:val="1"/>
          <w:numId w:val="6"/>
        </w:numPr>
        <w:ind w:left="0" w:firstLine="63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Сторона, узнавшая о возможном несанкционированном доступе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 программному обеспечению (в том числе о его изменении), при наличии оснований полагать, что конфиденциальность и сохранность ключа ЭП нарушены и/или данные, указанные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сертификате изменились, обязуется незамедлительно: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left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прекратить использование соответствующего программного обеспечения;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прекратить использование соответствующего ключа ЭП 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квалифицированного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сертификата ключа проверки ЭП;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–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уведомить любым доступным способом другую Сторону и УЦ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 приостановлении использования соответствующего программного обеспечения и (или) ключа ЭП 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квалифицированного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сертификата ключа проверки ЭП с указанием момента, когда предположительно произошел несанкционированный доступ и (или) конфиденциальность ключа ЭП была нарушена.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3.6.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При подтверждении нарушения конфиденциальности и сохранности ключа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ЭП Сторона обязуется после оповещения УЦ инициировать процедуру отмены (отзыва) ключа ЭП/сертификата ключа ЭП, в соответствии с регламентом УЦ.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3.7.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ЭП, созданные после указанного момента на основе ключа ЭП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(или) программного обеспечения, считаются скомпрометированными.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3.8.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торона, получившая от другой Стороны сообщение, указанное в пункте 3.5 настоящего Соглашения, обязана приостановить исполнение полученных ЭД, подписанных скомпрометированной ЭП, и не принимать к исполнению получаемые ЭД, подписанные скомпрометированной ЭП.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3.9.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Стороны обязуются не использовать отозванные, приостановленные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или аннулированные УЦ сертификаты ключей проверки ЭП.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3.10.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Сторона обязана известить другую Сторону любым доступным способом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течение 1 часа с момента, когда Стороне стало известно о невозможности осуществления подписания ЭД ЭП по любому основанию.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3.11.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случае невозможности осуществления ЭДО по любым основаниям, Стороны продолжают документооборот по договорам, указанным в пункте 2.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настоящего Соглашения, путем обмена документами в простой письменной форме до момента возобновления ЭДО.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Порядок взаимодействия Сторон при обмене ЭД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участия в ЭДО Сторонам необходимо: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4.1.1.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Обеспечить выпуск квалифицированных сертификатов с любым 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аккредитованным по требованиям Федерального закона РФ от 06.04.2011 № 63-ФЗ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«Об электронной подписи», и получить квалифицированные сертификаты электронных ключей проверки электронной подписи уполномоченных лиц.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4.1.2.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Самостоятельно обеспечить установку, настройку средств электронной подписи в соответствии с требованиями действующего законодательства и регламентами 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Приобретение, установка и функционирование программного обеспечения, каналов связи, средства криптографической защиты информации с функциями усиленной квалифицированной электронной подписи осуществляется самостоятельно за счет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каждой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из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Сторон, а также с использованием их технических возможностей.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4.2.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Электронный документооборот осуществляется Сторонами в соответствии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действующим законодательством РФ, в том числе Гражданским кодексом РФ, Налоговым кодексом РФ, Федеральным законом РФ от 06.04.2011 № 63-ФЗ «Об электронной подписи»,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приказом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Министерства финансов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России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 05.02.2021 № 14н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, регламентирующим порядок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4.3.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При осуществлении обмена ЭД Стороны руководствуются порядком выставления и получения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документов в электронном виде, установленным действующим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 ЭДО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при его наличии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4.4.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Обмен документами на бумажном носителе осуществляется в исключительных случаях (при временной технической невозможности отправки документа посредством электронного документооборота)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либо если такое правило установлено условиями Договора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Дальнейшее </w:t>
      </w:r>
      <w:r>
        <w:rPr>
          <w:rFonts w:ascii="Times New Roman" w:hAnsi="Times New Roman" w:cs="Times New Roman"/>
          <w:sz w:val="24"/>
          <w:szCs w:val="24"/>
        </w:rPr>
        <w:t xml:space="preserve">перевыставление</w:t>
      </w:r>
      <w:r>
        <w:rPr>
          <w:rFonts w:ascii="Times New Roman" w:hAnsi="Times New Roman" w:cs="Times New Roman"/>
          <w:sz w:val="24"/>
          <w:szCs w:val="24"/>
        </w:rPr>
        <w:t xml:space="preserve"> такого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документа</w:t>
      </w:r>
      <w:r>
        <w:rPr>
          <w:rFonts w:ascii="Times New Roman" w:hAnsi="Times New Roman" w:cs="Times New Roman"/>
          <w:sz w:val="24"/>
          <w:szCs w:val="24"/>
        </w:rPr>
        <w:t xml:space="preserve"> в электронной форме не допускается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4.5.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Датой выставления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Направляющей 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торо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ной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по телекоммуникационным каналам связи считается дата поступления файла Электронного документа Оператору ЭДО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от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Направляющей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стороны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указанная в подтверждении этого Оператора ЭДО.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4.6.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Датой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получения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Получающей стороной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по телекоммуникационным каналам связи считается дата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направления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файла 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Оператор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 ЭДО от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Получающей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стороны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указанная в подтверждении этого Оператора ЭДО.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4.7.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Получающая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Сторона в течение 1 (Одного) рабочего дня с момента получения ЭД, не требующего встречной подписи, направляет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подписанное извещение о получении ЭД в адрес Направляющей стороны через Оператора ЭДО Получающей стороны.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Направляющая сторона получает извещение о получении ЭД от Оператора ЭДО Направляющей стороны.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4.8.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Получающая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Сторона обязана рассмотреть и подписать ЭД ЭП в сроки, установленные Договором, заключенным между Сторонами.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4.9.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</w:t>
      </w:r>
      <w:r>
        <w:rPr>
          <w:rFonts w:ascii="Times New Roman" w:hAnsi="Times New Roman" w:cs="Times New Roman"/>
          <w:sz w:val="24"/>
          <w:szCs w:val="24"/>
        </w:rPr>
        <w:t xml:space="preserve"> случае необходимости внесения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исправлений, </w:t>
      </w:r>
      <w:r>
        <w:rPr>
          <w:rFonts w:ascii="Times New Roman" w:hAnsi="Times New Roman" w:cs="Times New Roman"/>
          <w:sz w:val="24"/>
          <w:szCs w:val="24"/>
        </w:rPr>
        <w:t xml:space="preserve">корректировок 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или аннулирования ЭД, ЭДО по которому был завершен,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Получающая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Сторона направляет Направляющей Стороне уведомление (запрос на аннулирование) о необходимости внесения исправлений, корректировок в ЭД. Направляющая сторона обязана рассмотреть запрос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аннулирование и либо подписать его своей ЭП, либо дать мотивированный отказ 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подписании (подписать ЭП с отказом согласия на аннулирование).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случае аннулирования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 Стороны подписывают соглашение об аннулировании ЭД. В случае принятия аннуляции Стороны соглашаются с тем, что данный ЭД не имеет для них юридической силы.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4.10.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После внесения необходимых исправлений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корректировок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Направляющая</w:t>
      </w:r>
      <w:r>
        <w:rPr>
          <w:rFonts w:ascii="Times New Roman" w:hAnsi="Times New Roman" w:cs="Times New Roman"/>
          <w:sz w:val="24"/>
          <w:szCs w:val="24"/>
        </w:rPr>
        <w:t xml:space="preserve"> Сторона направляет откорректированный документ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(новый ЭД)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Получающая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Стороне посредством Оператора ЭДО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Style w:val="1005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11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Передача электронных документов через СЭДО фиксируется Протоколом передачи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Оператора ЭДО</w:t>
      </w:r>
      <w:r>
        <w:rPr>
          <w:rFonts w:ascii="Times New Roman" w:hAnsi="Times New Roman" w:cs="Times New Roman"/>
          <w:sz w:val="24"/>
          <w:szCs w:val="24"/>
        </w:rPr>
        <w:t xml:space="preserve">, автоматически формируемым Системой ЭДО, в котором отражается каждое действие с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</w:t>
      </w:r>
      <w:r>
        <w:rPr>
          <w:rFonts w:ascii="Times New Roman" w:hAnsi="Times New Roman" w:cs="Times New Roman"/>
          <w:sz w:val="24"/>
          <w:szCs w:val="24"/>
        </w:rPr>
        <w:t xml:space="preserve"> на этапах его согласования и подписания ЭП. Стороны признают, что Протокол передачи является достаточным доказательством факта получения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Сторонами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4.12.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Участники ЭДО обеспечивают хранение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  <w:t xml:space="preserve">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подписанных ЭП (составление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выставление которых предусмотрено настоящим Соглашением), совместно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применявшимся для формирования ЭП указанных документов Сертификатом ключа подписи без ограничения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 сроку хранения.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990"/>
        <w:spacing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>
      <w:pPr>
        <w:numPr>
          <w:ilvl w:val="0"/>
          <w:numId w:val="18"/>
        </w:numPr>
        <w:ind w:left="0" w:firstLine="0"/>
        <w:jc w:val="center"/>
        <w:spacing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Использование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усиленн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  <w:t xml:space="preserve">ой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квалифицированн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  <w:t xml:space="preserve">ой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>
      <w:pPr>
        <w:jc w:val="center"/>
        <w:spacing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электронн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  <w:t xml:space="preserve">ой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подпис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5.1.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Стороны используют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ЭП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которая 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ЭД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равнозначна собственноручной подписи на документе на бумажном носителе при одновременном соблюдении следующих условий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валифицированный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квалифицированный сертификат дей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имеется положительный результат проверки принадлежности владельцу квалифицированного сертификата усиленной квалифицированной электронной подписи,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помощью которой подписан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ЭД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подписи, и с использованием Сертификата лица, подписавшего электронный документ.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ЭП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86"/>
        <w:numPr>
          <w:ilvl w:val="1"/>
          <w:numId w:val="18"/>
        </w:numPr>
        <w:ind w:left="0" w:firstLine="709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Стороны обязаны по необходимости заблаговременно обновлять сертификаты электронных ключей, а при неисполнении этого обязательства немедленно сообщить другой Стороне о возникшей ситуации.</w:t>
      </w:r>
      <w:r>
        <w:rPr>
          <w:color w:val="000000"/>
          <w:sz w:val="24"/>
          <w:szCs w:val="24"/>
          <w:lang w:val="ru-RU"/>
        </w:rPr>
      </w:r>
      <w:r>
        <w:rPr>
          <w:color w:val="000000"/>
          <w:sz w:val="24"/>
          <w:szCs w:val="24"/>
          <w:lang w:val="ru-RU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6. Приостановление электронного документооборота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6.1.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Каждая Сторона вправе приостановить ЭДО в случаях: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  <w:t xml:space="preserve">обнаружения технических неисправностей своей автоматизированной системы электронного документооборота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б)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  <w:t xml:space="preserve">несоблюдения одной из Сторон требований к электронному документообороту и обеспечению информационной безопасности, установленных законодательством Российской Федерации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  <w:t xml:space="preserve">изменения банковских, статистических и иных реквизитов, имеющих существенное значение для определения юридического статуса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идентификации Сторон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/>
      <w:bookmarkStart w:id="1" w:name="bookmark4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</w:t>
      </w:r>
      <w:bookmarkEnd w:id="1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  <w:t xml:space="preserve">по инициативе одной из Сторон, при соблюдении условий, установленных пунктом 6.2 настоящего соглашения.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6.2.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Приостановление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ЭДО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производится на основании письменного уведомления Стороной-инициатором другой Стороны не позднее 5 рабочих дней до предполагаемо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даты приостановлен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В уведомлении указывается причина, дата начала приостановления и срок приостановления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ЭДО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Все разногласия в отношении конкретного электронного документа, подписанного усиленной квалифицированной электронной подписью, разрешаются Сторонами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претензионном порядке, предусмотренном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Договором.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 период приостановления электронного документооборота Стороны переходят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 бумажный документооборот, порядок и сроки которого согласованы Сторонами рамках Договора.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851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/>
      <w:bookmarkStart w:id="2" w:name="bookmark5"/>
      <w:r/>
      <w:bookmarkEnd w:id="2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6.3.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Возобновление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ЭДО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производится на основании письменного уведомления Стороной-инициатором приостановления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ЭДО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другой Стороны не позднее 5 рабочих дней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 предполагаемой даты возобновления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ЭДО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 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возобновляется в назначенный срок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при условии получения Стороной -инициатором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приостановления ЭДО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другой Стороны письменного согласия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на возобновление ЭДО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направленного не позднее 1 рабочего дня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 назначенной даты возобновления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ЭДО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/>
      <w:bookmarkStart w:id="3" w:name="bookmark6"/>
      <w:r/>
      <w:bookmarkEnd w:id="3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77"/>
        <w:numPr>
          <w:ilvl w:val="0"/>
          <w:numId w:val="9"/>
        </w:numPr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Ответственность Сторон</w:t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7.1.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Стороны несут ответственность за использование ЭП Владельцами ключей ЭП. Сторона, в результате действий (бездействий) уполномоченных представителей которой причинены убытки другой Стороне, обязана возместить убытки пострадавшей Стороне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полном объеме.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7.2.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Стороны несут ответственность за обеспечение сохранности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конфиденциальности ключа ЭП в течение срока его действия, за нарушение порядка использования ЭП, установленного регламентом УЦ, принятие организационных мер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 предотвращению несанкционированного доступа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 соответствующим компьютерам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установленному на них программному обеспечению и средствам криптографической защиты информации, а также помещения, в которых они установлены.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86"/>
        <w:numPr>
          <w:ilvl w:val="0"/>
          <w:numId w:val="9"/>
        </w:num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Конфиденциальная информация и персональные данные</w:t>
      </w:r>
      <w:r>
        <w:rPr>
          <w:b/>
          <w:sz w:val="24"/>
          <w:szCs w:val="24"/>
          <w:lang w:val="ru-RU"/>
        </w:rPr>
      </w:r>
      <w:r>
        <w:rPr>
          <w:b/>
          <w:sz w:val="24"/>
          <w:szCs w:val="24"/>
          <w:lang w:val="ru-RU"/>
        </w:rPr>
      </w:r>
    </w:p>
    <w:p>
      <w:pPr>
        <w:pStyle w:val="1000"/>
        <w:numPr>
          <w:ilvl w:val="1"/>
          <w:numId w:val="21"/>
        </w:numPr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Передача и использование Сторонами по настоящему </w:t>
      </w:r>
      <w:r>
        <w:rPr>
          <w:rFonts w:ascii="Times New Roman" w:hAnsi="Times New Roman"/>
          <w:sz w:val="24"/>
          <w:szCs w:val="24"/>
          <w:lang w:eastAsia="ru-RU"/>
        </w:rPr>
        <w:t xml:space="preserve">Соглашению</w:t>
      </w:r>
      <w:r>
        <w:rPr>
          <w:rFonts w:ascii="Times New Roman" w:hAnsi="Times New Roman"/>
          <w:sz w:val="24"/>
          <w:szCs w:val="24"/>
          <w:lang w:eastAsia="ru-RU"/>
        </w:rPr>
        <w:t xml:space="preserve"> информации, составляющей коммерческую тайну, и иных сведений конфиденциального характера осуществляется в соответствии с заключенным между Сторонами соглашением (договором) о конфиденциальности.</w:t>
      </w: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1001"/>
        <w:numPr>
          <w:ilvl w:val="1"/>
          <w:numId w:val="21"/>
        </w:numPr>
        <w:ind w:left="0" w:firstLine="709"/>
        <w:jc w:val="both"/>
        <w:spacing w:before="0" w:after="0" w:line="240" w:lineRule="auto"/>
        <w:shd w:val="clear" w:color="auto" w:fill="auto"/>
        <w:tabs>
          <w:tab w:val="left" w:pos="567" w:leader="none"/>
        </w:tabs>
      </w:pPr>
      <w:r>
        <w:t xml:space="preserve">В течении срока действия настоящего </w:t>
      </w:r>
      <w:r>
        <w:t xml:space="preserve">Соглашения</w:t>
      </w:r>
      <w:r>
        <w:t xml:space="preserve"> и после его прекращения </w:t>
      </w:r>
      <w:r>
        <w:br/>
      </w:r>
      <w:r>
        <w:t xml:space="preserve">по лю</w:t>
      </w:r>
      <w:r>
        <w:t xml:space="preserve">бым основаниям ни одна из сторон не будет без предварительного письменного согласия другой стороны передавать, разглашать третьим лицам и/или опубликовывать и/или допускать опубликование любой информации, которая была предоставлена одной из сторон в связи </w:t>
      </w:r>
      <w:r>
        <w:br/>
      </w:r>
      <w:r>
        <w:t xml:space="preserve">с настоящим договором, либо стала известна одной из сторон в силу исполнения обязательств по настоящему договору.</w:t>
      </w:r>
      <w:r/>
    </w:p>
    <w:p>
      <w:pPr>
        <w:pStyle w:val="1001"/>
        <w:numPr>
          <w:ilvl w:val="1"/>
          <w:numId w:val="21"/>
        </w:numPr>
        <w:ind w:left="0" w:firstLine="709"/>
        <w:jc w:val="both"/>
        <w:spacing w:before="0" w:after="0" w:line="240" w:lineRule="auto"/>
        <w:shd w:val="clear" w:color="auto" w:fill="auto"/>
      </w:pPr>
      <w:r>
        <w:t xml:space="preserve">Фактическая передача конфиденциальных сведений осуществляется </w:t>
      </w:r>
      <w:r>
        <w:br/>
      </w:r>
      <w:r>
        <w:t xml:space="preserve">в соответствии с процедурами, действующими нормативными актами и документами </w:t>
      </w:r>
      <w:r>
        <w:br/>
      </w:r>
      <w:r>
        <w:t xml:space="preserve">по защите информации ПАО «Газпром».</w:t>
      </w:r>
      <w:r/>
    </w:p>
    <w:p>
      <w:pPr>
        <w:pStyle w:val="1001"/>
        <w:numPr>
          <w:ilvl w:val="1"/>
          <w:numId w:val="21"/>
        </w:numPr>
        <w:ind w:left="0" w:firstLine="709"/>
        <w:jc w:val="both"/>
        <w:spacing w:before="0" w:after="0" w:line="240" w:lineRule="auto"/>
        <w:shd w:val="clear" w:color="auto" w:fill="auto"/>
        <w:tabs>
          <w:tab w:val="left" w:pos="567" w:leader="none"/>
        </w:tabs>
      </w:pPr>
      <w:r>
        <w:t xml:space="preserve">Не считается разглашением условий настоящего </w:t>
      </w:r>
      <w:r>
        <w:t xml:space="preserve">Соглашения</w:t>
      </w:r>
      <w:r>
        <w:t xml:space="preserve"> сообщение части его условий банкам, финансирующим выполнение работ по данному договору, страховым организациям, организации по проведению строительного контроля, надзорным органам Ро</w:t>
      </w:r>
      <w:r>
        <w:t xml:space="preserve">ссийской Федерации, а также в случаях, установленных законодательством Российской Федерации, представление конфиденциальных сведений по законному требованию правоохранительных и иных уполномоченных государственных органов и органов местного самоуправления.</w:t>
      </w:r>
      <w:r/>
    </w:p>
    <w:p>
      <w:pPr>
        <w:pStyle w:val="1001"/>
        <w:numPr>
          <w:ilvl w:val="1"/>
          <w:numId w:val="21"/>
        </w:numPr>
        <w:ind w:left="0" w:firstLine="709"/>
        <w:jc w:val="both"/>
        <w:spacing w:before="0" w:after="0" w:line="240" w:lineRule="auto"/>
        <w:shd w:val="clear" w:color="auto" w:fill="auto"/>
        <w:tabs>
          <w:tab w:val="left" w:pos="567" w:leader="none"/>
        </w:tabs>
      </w:pPr>
      <w:r>
        <w:t xml:space="preserve">Обработка персональных данных осуществляется Сторонами только в целях выполнения обязательств по настоящему </w:t>
      </w:r>
      <w:r>
        <w:t xml:space="preserve">Соглашению</w:t>
      </w:r>
      <w:r>
        <w:t xml:space="preserve"> и предполагает осуществление </w:t>
      </w:r>
      <w:r>
        <w:t xml:space="preserve">о</w:t>
      </w:r>
      <w:r>
        <w:t xml:space="preserve">ператором</w:t>
      </w:r>
      <w:r>
        <w:t xml:space="preserve"> персональных данных</w:t>
      </w:r>
      <w:r>
        <w:t xml:space="preserve"> следующих действий (операций) как с использованием, </w:t>
      </w:r>
      <w:r>
        <w:br/>
      </w:r>
      <w:r>
        <w:t xml:space="preserve">так и без использования средств автоматизации: сбор, запись, уточнение, хранение, передачу </w:t>
      </w:r>
      <w:r>
        <w:t xml:space="preserve">третьим лицам в случаях и в порядке, предусмотренных федеральными законами </w:t>
      </w:r>
      <w:r>
        <w:br/>
      </w:r>
      <w:r>
        <w:t xml:space="preserve">с соблюдением конфиденциальности и принятием мер по обеспечению безопасности персональных данных, использование и уничтожение.</w:t>
      </w:r>
      <w:r/>
    </w:p>
    <w:p>
      <w:pPr>
        <w:pStyle w:val="1001"/>
        <w:numPr>
          <w:ilvl w:val="1"/>
          <w:numId w:val="21"/>
        </w:numPr>
        <w:ind w:left="0" w:firstLine="709"/>
        <w:jc w:val="both"/>
        <w:spacing w:before="0" w:after="0" w:line="240" w:lineRule="auto"/>
        <w:shd w:val="clear" w:color="auto" w:fill="auto"/>
        <w:tabs>
          <w:tab w:val="left" w:pos="567" w:leader="none"/>
        </w:tabs>
      </w:pPr>
      <w:r>
        <w:t xml:space="preserve">Стороны обязаны соблюдать конфиденциальность и обеспечивать безопасность персональных данных, обрабатываемых в рамках выполнения обязательств </w:t>
      </w:r>
      <w:r>
        <w:br/>
      </w:r>
      <w:r>
        <w:t xml:space="preserve">по настоящему договору, согласно требованиям Федерального закона от 27 июля 2006</w:t>
      </w:r>
      <w:r>
        <w:t xml:space="preserve"> </w:t>
      </w:r>
      <w:r>
        <w:t xml:space="preserve">г. </w:t>
      </w:r>
      <w:r>
        <w:br/>
      </w:r>
      <w:r>
        <w:t xml:space="preserve">№ 152-ФЗ «О персональных данных», и принятых в соответствии с ним иных нормативных правовых актов.</w:t>
      </w:r>
      <w:r/>
    </w:p>
    <w:p>
      <w:pPr>
        <w:pStyle w:val="1001"/>
        <w:numPr>
          <w:ilvl w:val="1"/>
          <w:numId w:val="21"/>
        </w:numPr>
        <w:ind w:left="0" w:firstLine="709"/>
        <w:jc w:val="both"/>
        <w:spacing w:before="0" w:after="0" w:line="240" w:lineRule="auto"/>
        <w:shd w:val="clear" w:color="auto" w:fill="auto"/>
        <w:tabs>
          <w:tab w:val="left" w:pos="567" w:leader="none"/>
        </w:tabs>
      </w:pPr>
      <w:r>
        <w:t xml:space="preserve">Стороны при обработке персональных данных обязаны принимать необходимые правовые, организационные и технические меры (или обеспечивать </w:t>
      </w:r>
      <w:r>
        <w:br/>
      </w:r>
      <w:r>
        <w:t xml:space="preserve">их принятие) для защиты персональных данных от неправомерного или случайного доступа </w:t>
      </w:r>
      <w:r>
        <w:br/>
      </w:r>
      <w:r>
        <w:t xml:space="preserve">к ним, уничтожения, изменения, блокирования, копирования, предоставления, распространения персональных данных, а также от иных неправомерных действий </w:t>
      </w:r>
      <w:r>
        <w:br/>
      </w:r>
      <w:r>
        <w:t xml:space="preserve">в отношении персональных данных.</w:t>
      </w:r>
      <w:r/>
    </w:p>
    <w:p>
      <w:pPr>
        <w:pStyle w:val="977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77"/>
        <w:numPr>
          <w:ilvl w:val="0"/>
          <w:numId w:val="20"/>
        </w:numPr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Прочие условия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87"/>
        <w:ind w:firstLine="567"/>
        <w:jc w:val="both"/>
        <w:tabs>
          <w:tab w:val="left" w:pos="993" w:leader="none"/>
        </w:tabs>
        <w:rPr>
          <w:rFonts w:eastAsia="Arial"/>
          <w:sz w:val="24"/>
          <w:szCs w:val="24"/>
          <w:lang w:val="ru"/>
        </w:rPr>
      </w:pPr>
      <w:r>
        <w:rPr>
          <w:rFonts w:eastAsia="Arial"/>
          <w:sz w:val="24"/>
          <w:szCs w:val="24"/>
          <w:lang w:val="ru"/>
        </w:rPr>
        <w:t xml:space="preserve">9</w:t>
      </w:r>
      <w:r>
        <w:rPr>
          <w:rFonts w:eastAsia="Arial"/>
          <w:sz w:val="24"/>
          <w:szCs w:val="24"/>
          <w:lang w:val="ru"/>
        </w:rPr>
        <w:t xml:space="preserve">.1.</w:t>
      </w:r>
      <w:r>
        <w:rPr>
          <w:rFonts w:eastAsia="Arial"/>
          <w:sz w:val="24"/>
          <w:szCs w:val="24"/>
          <w:lang w:val="ru"/>
        </w:rPr>
        <w:tab/>
      </w:r>
      <w:r>
        <w:rPr>
          <w:rFonts w:eastAsia="Arial"/>
          <w:sz w:val="24"/>
          <w:szCs w:val="24"/>
          <w:lang w:val="ru"/>
        </w:rPr>
        <w:tab/>
      </w:r>
      <w:r>
        <w:rPr>
          <w:rFonts w:eastAsia="Arial"/>
          <w:sz w:val="24"/>
          <w:szCs w:val="24"/>
          <w:lang w:val="ru"/>
        </w:rPr>
        <w:t xml:space="preserve">Настоящее Соглашение вступает в силу с момента его подписания.</w:t>
      </w:r>
      <w:r>
        <w:rPr>
          <w:rFonts w:eastAsia="Arial"/>
          <w:sz w:val="24"/>
          <w:szCs w:val="24"/>
          <w:lang w:val="ru"/>
        </w:rPr>
      </w:r>
      <w:r>
        <w:rPr>
          <w:rFonts w:eastAsia="Arial"/>
          <w:sz w:val="24"/>
          <w:szCs w:val="24"/>
          <w:lang w:val="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9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Любая Сторона вправе в любой момент в одностороннем порядке отказаться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от настоящего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</w:t>
      </w:r>
      <w:r>
        <w:rPr>
          <w:rFonts w:ascii="Times New Roman" w:hAnsi="Times New Roman" w:cs="Times New Roman"/>
          <w:sz w:val="24"/>
          <w:szCs w:val="24"/>
        </w:rPr>
        <w:t xml:space="preserve">оглашения, направив другой Стороне извещение об отказе, подписанное уполномоченным лицом. Настоящее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</w:t>
      </w:r>
      <w:r>
        <w:rPr>
          <w:rFonts w:ascii="Times New Roman" w:hAnsi="Times New Roman" w:cs="Times New Roman"/>
          <w:sz w:val="24"/>
          <w:szCs w:val="24"/>
        </w:rPr>
        <w:t xml:space="preserve">оглашение будет считаться прекратившим свое действие по истечении 30 (Тридцати) календарных дней с момента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получения</w:t>
      </w:r>
      <w:r>
        <w:rPr>
          <w:rFonts w:ascii="Times New Roman" w:hAnsi="Times New Roman" w:cs="Times New Roman"/>
          <w:sz w:val="24"/>
          <w:szCs w:val="24"/>
        </w:rPr>
        <w:t xml:space="preserve"> извещения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об отказе от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</w:t>
      </w:r>
      <w:r>
        <w:rPr>
          <w:rFonts w:ascii="Times New Roman" w:hAnsi="Times New Roman" w:cs="Times New Roman"/>
          <w:sz w:val="24"/>
          <w:szCs w:val="24"/>
        </w:rPr>
        <w:t xml:space="preserve">оглашения другой Стороной. В течение указанных 30 (Тридцати) календарных дней для Сторон продолжает действовать ЭД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9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Настоящее Соглашение составлено в двух экземплярах, имеющих одинаковую юридическую силу, по одному для каждой из Сторон, подписано уполномоченными представителями Сторон.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9.4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Изменения и дополнения к настоящему Соглашению оформляются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ополнительными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соглашениями, которые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с момента их подписания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становятся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его неотъемлемой частью.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9.5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случае, если отдельные положения настоящего Соглашения становятся недействительными или вступают в противоречие с законодательством Российской Федерации, остальные положения сохраняют силу и Стороны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обязуются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заключить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ополнительное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соглашение, устраняющее указанные противоречия.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9.6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 несоответствия производственных календарей Сторон настоящего Соглашения, получением документа в электронном виде признается получение извещения Оператора ЭДО в первый рабочий день.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9.7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Все споры (разногласия или требования), возникающие из настоящего Соглашения или в связи с ним, в том числе касающиеся его исполнения, нарушения, прекращения или недействительности, решаются путем переговоров.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При не достижении согласия путем переговоров такие споры Сторон подлежат разрешению в судебном порядке в соответствии с требованиями действующего законодательства.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Претензионный порядок разрешения споров обязателен. Срок рассмотрения претензии 30 (тридцать) календарных дней с даты ее получения второй Стороной.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9.8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Стороны освобождаются от ответственности за частичное или полное неисполнение своих обязательств по Соглашению, если таковое явилось следствием обстоятельств непреодолимой силы, возникших после вступления в силу Соглашения,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результате событий чрезвычайного характера, которые не могли быть предвидены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 предотвращены разумными мерами. Сторона обязана незамедлительно известить другую сторону о возникно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вении и прекращении действия обстоятельств непреодолимой силы, препятствующих исполнению ей обязательств по Соглашению, при этом срок выполнения обязательств по Соглашению переносится соразмерно времени, в течение которого действовали такие обстоятельства.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9.9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случае прекращения действия Соглашения по любому основанию Стороны несут ответственность по обязательствам, возникшим до прекращения действия Соглашения,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соответствии с законодательством РФ.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9.10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Составление и обмен ЭД с подписанием усиленной квалифицированной ЭП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 отменяет обязанность Сторон в выдаче лицам, подписывающим ЭД, доверенностей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 соответствующими полномочиями, если такие полномочия не следуют из должностных обязанностей лица.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9.11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Вопросы,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неурегулированные настоящим Соглашением, регулируются 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соответствии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 действующим законодательством РФ и условиями, заключенных между Сторонами Договоров.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</w:p>
    <w:p>
      <w:pPr>
        <w:pStyle w:val="977"/>
        <w:numPr>
          <w:ilvl w:val="0"/>
          <w:numId w:val="20"/>
        </w:numPr>
        <w:jc w:val="center"/>
        <w:spacing w:line="240" w:lineRule="auto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Приложения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r>
    </w:p>
    <w:p>
      <w:pPr>
        <w:pStyle w:val="977"/>
        <w:ind w:firstLine="567"/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Приложение №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1 –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Перечень документов, допустимых для подписания ЭП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p>
      <w:pPr>
        <w:pStyle w:val="977"/>
        <w:ind w:firstLine="567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</w:p>
    <w:p>
      <w:pPr>
        <w:pStyle w:val="977"/>
        <w:numPr>
          <w:ilvl w:val="0"/>
          <w:numId w:val="20"/>
        </w:numPr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Реквизиты и подписи сторон: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W w:w="5056" w:type="pct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0"/>
        <w:gridCol w:w="4849"/>
      </w:tblGrid>
      <w:tr>
        <w:tblPrEx/>
        <w:trPr>
          <w:jc w:val="center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51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Сторона-1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487" w:type="pct"/>
            <w:textDirection w:val="lrTb"/>
            <w:noWrap w:val="false"/>
          </w:tcPr>
          <w:p>
            <w:pPr>
              <w:ind w:firstLine="567"/>
              <w:jc w:val="both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Сторона-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</w:tc>
      </w:tr>
      <w:tr>
        <w:tblPrEx/>
        <w:trPr>
          <w:jc w:val="center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513" w:type="pc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АО «Газпром диагностика»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ind w:left="0" w:right="375" w:firstLine="0"/>
              <w:jc w:val="both"/>
              <w:spacing w:after="0" w:afterAutospacing="0" w:line="240" w:lineRule="auto"/>
              <w:widowControl w:val="off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Юридический адрес: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195277,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г. Санкт-Петербург,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вн.тер.г.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муниципальный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округ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Сампсониевское,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ул. Гренадерская,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д. 7,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литера 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ind w:left="0" w:right="375" w:firstLine="0"/>
              <w:jc w:val="both"/>
              <w:spacing w:after="0" w:afterAutospacing="0" w:line="240" w:lineRule="auto"/>
              <w:widowControl w:val="off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ind w:left="0" w:right="375" w:firstLine="0"/>
              <w:jc w:val="both"/>
              <w:spacing w:after="0" w:afterAutospacing="0" w:line="240" w:lineRule="auto"/>
              <w:widowControl w:val="off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Почтовый адрес: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195277,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г. Санкт-Петербург,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вн.тер.г.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муниципальный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округ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Сампсониевское,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ул. Гренадерская,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д. 7,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литера 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ind w:left="0" w:right="375" w:firstLine="0"/>
              <w:jc w:val="both"/>
              <w:spacing w:after="0" w:afterAutospacing="0" w:line="240" w:lineRule="auto"/>
              <w:widowControl w:val="off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ind w:left="0" w:right="375" w:firstLine="0"/>
              <w:jc w:val="both"/>
              <w:spacing w:after="0" w:afterAutospacing="0" w:line="240" w:lineRule="auto"/>
              <w:widowControl w:val="off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Фактический адрес: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195277,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г. Санкт-Петербург,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вн.тер.г.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муниципальный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округ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Сампсониевское,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ул. Гренадерская,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д. 7,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литера 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ind w:left="0" w:right="375" w:firstLine="0"/>
              <w:jc w:val="both"/>
              <w:spacing w:after="0" w:afterAutospacing="0" w:line="240" w:lineRule="auto"/>
              <w:widowControl w:val="off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ОГРН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1044316537100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ИНН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4345083100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КПП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780201001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р/с: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40702810800000094770</w:t>
            </w:r>
            <w:r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Банк: Банк ГПБ (АО), г. Москва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БИК 044525823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к/с 30101810200000000823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ОКПО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10919359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ОКТМО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40314000000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1007"/>
              <w:jc w:val="both"/>
              <w:spacing w:before="0" w:after="0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pStyle w:val="1007"/>
              <w:jc w:val="both"/>
              <w:spacing w:before="0" w:after="0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Телефон: 8 (812) 641-19-00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pStyle w:val="967"/>
              <w:spacing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en-US"/>
              </w:rPr>
              <w:t xml:space="preserve">e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en-US"/>
              </w:rPr>
              <w:t xml:space="preserve">mail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en-US"/>
              </w:rPr>
              <w:t xml:space="preserve">info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/>
              </w:rPr>
              <w:t xml:space="preserve">@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en-US"/>
              </w:rPr>
              <w:t xml:space="preserve">diagnostika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en-US"/>
              </w:rPr>
              <w:t xml:space="preserve">gazprom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Генеральный директор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АО «Газпром диагностика»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С.В. Скрынников/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ind w:firstLine="56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487" w:type="pct"/>
            <w:textDirection w:val="lrTb"/>
            <w:noWrap w:val="false"/>
          </w:tcPr>
          <w:p>
            <w:pPr>
              <w:ind w:firstLine="567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ООО «____________»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Должность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ООО «____________»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И.О. Фамилия/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ind w:firstLine="567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</w:r>
          </w:p>
        </w:tc>
      </w:tr>
    </w:tbl>
    <w:p>
      <w:pPr>
        <w:pStyle w:val="977"/>
        <w:ind w:left="4320"/>
        <w:jc w:val="righ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 w:clear="all"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№ 1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left="4320"/>
        <w:jc w:val="righ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Соглашению об электронном документообороте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left="4320"/>
        <w:jc w:val="righ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от ___________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№ ________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left="4320"/>
        <w:jc w:val="both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977"/>
        <w:ind w:left="-142"/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Перечень документов, допустимых для подписания ЭП</w:t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</w:p>
    <w:p>
      <w:pPr>
        <w:pStyle w:val="977"/>
        <w:ind w:left="-142"/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</w:p>
    <w:tbl>
      <w:tblPr>
        <w:tblW w:w="0" w:type="auto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55"/>
        <w:gridCol w:w="2537"/>
        <w:gridCol w:w="2740"/>
        <w:gridCol w:w="3784"/>
      </w:tblGrid>
      <w:tr>
        <w:tblPrEx/>
        <w:trPr/>
        <w:tc>
          <w:tcPr>
            <w:shd w:val="clear" w:color="auto" w:fill="auto"/>
            <w:tcW w:w="655" w:type="dxa"/>
            <w:textDirection w:val="lrTb"/>
            <w:noWrap w:val="false"/>
          </w:tcPr>
          <w:p>
            <w:pPr>
              <w:pStyle w:val="977"/>
              <w:jc w:val="center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537" w:type="dxa"/>
            <w:textDirection w:val="lrTb"/>
            <w:noWrap w:val="false"/>
          </w:tcPr>
          <w:p>
            <w:pPr>
              <w:pStyle w:val="977"/>
              <w:jc w:val="center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Наименование документа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740" w:type="dxa"/>
            <w:textDirection w:val="lrTb"/>
            <w:noWrap w:val="false"/>
          </w:tcPr>
          <w:p>
            <w:pPr>
              <w:pStyle w:val="977"/>
              <w:jc w:val="center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Формализованный/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77"/>
              <w:jc w:val="center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неформализованный документ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3784" w:type="dxa"/>
            <w:textDirection w:val="lrTb"/>
            <w:noWrap w:val="false"/>
          </w:tcPr>
          <w:p>
            <w:pPr>
              <w:pStyle w:val="977"/>
              <w:jc w:val="center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Формат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</w:tc>
      </w:tr>
      <w:tr>
        <w:tblPrEx/>
        <w:trPr/>
        <w:tc>
          <w:tcPr>
            <w:shd w:val="clear" w:color="auto" w:fill="auto"/>
            <w:tcW w:w="655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537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Договор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дополнительное соглашение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740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еформализованный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3784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соглашению сторон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blPrEx/>
        <w:trPr/>
        <w:tc>
          <w:tcPr>
            <w:shd w:val="clear" w:color="auto" w:fill="auto"/>
            <w:tcW w:w="655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537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Счет-фактура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либо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Универсальный передаточный документ (УПД)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740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Формализованный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Формализованный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3784" w:type="dxa"/>
            <w:textDirection w:val="lrTb"/>
            <w:noWrap w:val="false"/>
          </w:tcPr>
          <w:p>
            <w:pPr>
              <w:pStyle w:val="1006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ML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утвержденный приказом ФНС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от 19.12.2023            № ЕД-7-26/970@</w:t>
            </w:r>
            <w:r/>
          </w:p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"Об утверждении форматов счета-фактуры, универсального передаточного документа, включающего счет-фактуру, универсального передаточного документа, форматов счета-фактуры, выставляемого (составляемого) при реализации товаров (работ, услуг), передаче имуществ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енных прав, а также при получении сумм оплаты, частичной оплаты в счет предстоящих поставок товаров (выполнения работ, оказания услуг), передачи имущественных прав, представления документа об отгрузке товаров (выполнении работ), передаче имущественных прав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(документа об оказании услуг), включающего в себя счет-фактуру, выставляемый (составляемый) при реализации товаров (работ, услуг), передаче имущественных прав, а также при получении сумм оплаты, частичной оплаты в счет предстоящих поставок товаров (выполн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ения работ, оказания услуг), передачи имущественных прав, и представления документа об отгрузке товаров (выполнении работ), передаче имущественных прав (документа об оказании услуг) в электронной форме».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blPrEx/>
        <w:trPr/>
        <w:tc>
          <w:tcPr>
            <w:shd w:val="clear" w:color="auto" w:fill="auto"/>
            <w:tcW w:w="655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537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Корректировочный счет-фактура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либо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740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Формализованный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378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XML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утвержденном приказом ФНС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России от 12.10.2020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ЕД-7-26/736@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«Об утверж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дении формата корректировочного счета-фактуры и формата предоставления документа об изменении стоимости отгруженных товаров (выполненных работа, оказания услуг), переданных имущественных прав, включающего в себя корректировочный счет-фактуру, в электронной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форме»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555"/>
        </w:trPr>
        <w:tc>
          <w:tcPr>
            <w:shd w:val="clear" w:color="auto" w:fill="auto"/>
            <w:tcW w:w="655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53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Акт сдачи-приемки выполненных работ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740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Неформализованный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378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соответствии с заключенным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оговором между Сторонами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727"/>
        </w:trPr>
        <w:tc>
          <w:tcPr>
            <w:shd w:val="clear" w:color="auto" w:fill="auto"/>
            <w:tcW w:w="655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537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Счет на оплату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740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Неформализованный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3784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формате электронной таблицы, текстового файла или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pdf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780"/>
        </w:trPr>
        <w:tc>
          <w:tcPr>
            <w:shd w:val="clear" w:color="auto" w:fill="auto"/>
            <w:tcW w:w="655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537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Акт сверки взаимных расчетов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740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Неформализованный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378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соответствии с заключенным договором между Сторонами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780"/>
        </w:trPr>
        <w:tc>
          <w:tcPr>
            <w:shd w:val="clear" w:color="auto" w:fill="auto"/>
            <w:tcW w:w="655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537" w:type="dxa"/>
            <w:textDirection w:val="lrTb"/>
            <w:noWrap w:val="false"/>
          </w:tcPr>
          <w:p>
            <w:pPr>
              <w:pStyle w:val="977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Реестр переданных актов выполненных работ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2740" w:type="dxa"/>
            <w:textDirection w:val="lrTb"/>
            <w:noWrap w:val="false"/>
          </w:tcPr>
          <w:p>
            <w:pPr>
              <w:pStyle w:val="977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Неформализованный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shd w:val="clear" w:color="auto" w:fill="auto"/>
            <w:tcW w:w="378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соответствии с заключенным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оговором между Сторонами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</w:tbl>
    <w:p>
      <w:pPr>
        <w:pStyle w:val="977"/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sz w:val="24"/>
          <w:szCs w:val="24"/>
          <w:lang w:val="ru-RU"/>
        </w:rPr>
      </w:r>
    </w:p>
    <w:p>
      <w:pPr>
        <w:pStyle w:val="977"/>
        <w:ind w:left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tbl>
      <w:tblPr>
        <w:tblStyle w:val="992"/>
        <w:tblW w:w="0" w:type="auto"/>
        <w:tblInd w:w="-1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04"/>
        <w:gridCol w:w="4674"/>
      </w:tblGrid>
      <w:tr>
        <w:tblPrEx/>
        <w:trPr/>
        <w:tc>
          <w:tcPr>
            <w:tcW w:w="5104" w:type="dxa"/>
            <w:textDirection w:val="lrTb"/>
            <w:noWrap w:val="false"/>
          </w:tcPr>
          <w:p>
            <w:pPr>
              <w:pStyle w:val="97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Сторона -1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7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АО «Газпром диагностика»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7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Генеральный директор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7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7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______________           /С.В. Скрынников/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7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tcW w:w="4674" w:type="dxa"/>
            <w:textDirection w:val="lrTb"/>
            <w:noWrap w:val="false"/>
          </w:tcPr>
          <w:p>
            <w:pPr>
              <w:pStyle w:val="97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Сторона -2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spacing w:line="240" w:lineRule="auto"/>
              <w:widowControl w:val="off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Должность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/>
          </w:p>
          <w:p>
            <w:pPr>
              <w:spacing w:line="240" w:lineRule="auto"/>
              <w:widowControl w:val="off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Организация</w:t>
            </w:r>
            <w:r/>
          </w:p>
          <w:p>
            <w:pPr>
              <w:spacing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И.О. Фамилия/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977"/>
        <w:ind w:left="552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</w:pPr>
      <w:r/>
      <w:r/>
    </w:p>
    <w:sectPr>
      <w:headerReference w:type="default" r:id="rId9"/>
      <w:footerReference w:type="default" r:id="rId10"/>
      <w:footerReference w:type="first" r:id="rId11"/>
      <w:footnotePr/>
      <w:endnotePr/>
      <w:type w:val="nextPage"/>
      <w:pgSz w:w="11909" w:h="16834" w:orient="portrait"/>
      <w:pgMar w:top="993" w:right="850" w:bottom="709" w:left="1418" w:header="426" w:footer="497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nsultant">
    <w:panose1 w:val="020B0604020202020204"/>
  </w:font>
  <w:font w:name="Times New Roman">
    <w:panose1 w:val="02020603050405020304"/>
  </w:font>
  <w:font w:name="Segoe UI">
    <w:panose1 w:val="020B0503020204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8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ru-RU"/>
      </w:rPr>
      <w:t xml:space="preserve">Страница </w:t>
    </w:r>
    <w:r>
      <w:rPr>
        <w:rFonts w:ascii="Times New Roman" w:hAnsi="Times New Roman" w:cs="Times New Roman"/>
        <w:b/>
        <w:bCs/>
        <w:sz w:val="24"/>
        <w:szCs w:val="24"/>
      </w:rPr>
      <w:fldChar w:fldCharType="begin"/>
    </w:r>
    <w:r>
      <w:rPr>
        <w:rFonts w:ascii="Times New Roman" w:hAnsi="Times New Roman" w:cs="Times New Roman"/>
        <w:b/>
        <w:bCs/>
        <w:sz w:val="24"/>
        <w:szCs w:val="24"/>
      </w:rPr>
      <w:instrText xml:space="preserve">PAGE  \* Arabic  \* MERGEFORMAT</w:instrText>
    </w:r>
    <w:r>
      <w:rPr>
        <w:rFonts w:ascii="Times New Roman" w:hAnsi="Times New Roman" w:cs="Times New Roman"/>
        <w:b/>
        <w:bCs/>
        <w:sz w:val="24"/>
        <w:szCs w:val="24"/>
      </w:rPr>
      <w:fldChar w:fldCharType="separate"/>
    </w:r>
    <w:r>
      <w:rPr>
        <w:rFonts w:ascii="Times New Roman" w:hAnsi="Times New Roman" w:cs="Times New Roman"/>
        <w:b/>
        <w:bCs/>
        <w:sz w:val="24"/>
        <w:szCs w:val="24"/>
        <w:lang w:val="ru-RU"/>
      </w:rPr>
      <w:t xml:space="preserve">3</w:t>
    </w:r>
    <w:r>
      <w:rPr>
        <w:rFonts w:ascii="Times New Roman" w:hAnsi="Times New Roman" w:cs="Times New Roman"/>
        <w:b/>
        <w:bCs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  <w:lang w:val="ru-RU"/>
      </w:rPr>
      <w:t xml:space="preserve"> из </w:t>
    </w:r>
    <w:r>
      <w:rPr>
        <w:rFonts w:ascii="Times New Roman" w:hAnsi="Times New Roman" w:cs="Times New Roman"/>
        <w:b/>
        <w:bCs/>
        <w:sz w:val="24"/>
        <w:szCs w:val="24"/>
      </w:rPr>
      <w:fldChar w:fldCharType="begin"/>
    </w:r>
    <w:r>
      <w:rPr>
        <w:rFonts w:ascii="Times New Roman" w:hAnsi="Times New Roman" w:cs="Times New Roman"/>
        <w:b/>
        <w:bCs/>
        <w:sz w:val="24"/>
        <w:szCs w:val="24"/>
      </w:rPr>
      <w:instrText xml:space="preserve">NUMPAGES  \* Arabic  \* MERGEFORMAT</w:instrText>
    </w:r>
    <w:r>
      <w:rPr>
        <w:rFonts w:ascii="Times New Roman" w:hAnsi="Times New Roman" w:cs="Times New Roman"/>
        <w:b/>
        <w:bCs/>
        <w:sz w:val="24"/>
        <w:szCs w:val="24"/>
      </w:rPr>
      <w:fldChar w:fldCharType="separate"/>
    </w:r>
    <w:r>
      <w:rPr>
        <w:rFonts w:ascii="Times New Roman" w:hAnsi="Times New Roman" w:cs="Times New Roman"/>
        <w:b/>
        <w:bCs/>
        <w:sz w:val="24"/>
        <w:szCs w:val="24"/>
        <w:lang w:val="ru-RU"/>
      </w:rPr>
      <w:t xml:space="preserve">11</w:t>
    </w:r>
    <w:r>
      <w:rPr>
        <w:rFonts w:ascii="Times New Roman" w:hAnsi="Times New Roman" w:cs="Times New Roman"/>
        <w:b/>
        <w:bCs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8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ru-RU"/>
      </w:rPr>
      <w:t xml:space="preserve">Страница </w:t>
    </w:r>
    <w:r>
      <w:rPr>
        <w:rFonts w:ascii="Times New Roman" w:hAnsi="Times New Roman" w:cs="Times New Roman"/>
        <w:bCs/>
        <w:sz w:val="24"/>
        <w:szCs w:val="24"/>
      </w:rPr>
      <w:fldChar w:fldCharType="begin"/>
    </w:r>
    <w:r>
      <w:rPr>
        <w:rFonts w:ascii="Times New Roman" w:hAnsi="Times New Roman" w:cs="Times New Roman"/>
        <w:bCs/>
        <w:sz w:val="24"/>
        <w:szCs w:val="24"/>
      </w:rPr>
      <w:instrText xml:space="preserve">PAGE  \* Arabic  \* MERGEFORMAT</w:instrText>
    </w:r>
    <w:r>
      <w:rPr>
        <w:rFonts w:ascii="Times New Roman" w:hAnsi="Times New Roman" w:cs="Times New Roman"/>
        <w:bCs/>
        <w:sz w:val="24"/>
        <w:szCs w:val="24"/>
      </w:rPr>
      <w:fldChar w:fldCharType="separate"/>
    </w:r>
    <w:r>
      <w:rPr>
        <w:rFonts w:ascii="Times New Roman" w:hAnsi="Times New Roman" w:cs="Times New Roman"/>
        <w:bCs/>
        <w:sz w:val="24"/>
        <w:szCs w:val="24"/>
        <w:lang w:val="ru-RU"/>
      </w:rPr>
      <w:t xml:space="preserve">1</w:t>
    </w:r>
    <w:r>
      <w:rPr>
        <w:rFonts w:ascii="Times New Roman" w:hAnsi="Times New Roman" w:cs="Times New Roman"/>
        <w:bCs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  <w:lang w:val="ru-RU"/>
      </w:rPr>
      <w:t xml:space="preserve"> из </w:t>
    </w:r>
    <w:r>
      <w:rPr>
        <w:rFonts w:ascii="Times New Roman" w:hAnsi="Times New Roman" w:cs="Times New Roman"/>
        <w:bCs/>
        <w:sz w:val="24"/>
        <w:szCs w:val="24"/>
      </w:rPr>
      <w:fldChar w:fldCharType="begin"/>
    </w:r>
    <w:r>
      <w:rPr>
        <w:rFonts w:ascii="Times New Roman" w:hAnsi="Times New Roman" w:cs="Times New Roman"/>
        <w:bCs/>
        <w:sz w:val="24"/>
        <w:szCs w:val="24"/>
      </w:rPr>
      <w:instrText xml:space="preserve">NUMPAGES  \* Arabic  \* MERGEFORMAT</w:instrText>
    </w:r>
    <w:r>
      <w:rPr>
        <w:rFonts w:ascii="Times New Roman" w:hAnsi="Times New Roman" w:cs="Times New Roman"/>
        <w:bCs/>
        <w:sz w:val="24"/>
        <w:szCs w:val="24"/>
      </w:rPr>
      <w:fldChar w:fldCharType="separate"/>
    </w:r>
    <w:r>
      <w:rPr>
        <w:rFonts w:ascii="Times New Roman" w:hAnsi="Times New Roman" w:cs="Times New Roman"/>
        <w:bCs/>
        <w:sz w:val="24"/>
        <w:szCs w:val="24"/>
        <w:lang w:val="ru-RU"/>
      </w:rPr>
      <w:t xml:space="preserve">11</w:t>
    </w:r>
    <w:r>
      <w:rPr>
        <w:rFonts w:ascii="Times New Roman" w:hAnsi="Times New Roman" w:cs="Times New Roman"/>
        <w:bCs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  <w:footnote w:id="2">
    <w:p>
      <w:pPr>
        <w:pStyle w:val="1003"/>
        <w:jc w:val="both"/>
        <w:rPr>
          <w:lang w:val="ru-RU"/>
        </w:rPr>
      </w:pPr>
      <w:r>
        <w:rPr>
          <w:rStyle w:val="1005"/>
        </w:rPr>
        <w:footnoteRef/>
      </w:r>
      <w:r>
        <w:t xml:space="preserve"> </w:t>
      </w:r>
      <w:r>
        <w:rPr>
          <w:lang w:val="ru-RU"/>
        </w:rPr>
        <w:t xml:space="preserve">–</w:t>
      </w:r>
      <w:r>
        <w:rPr>
          <w:rFonts w:ascii="Times New Roman" w:hAnsi="Times New Roman" w:cs="Times New Roman"/>
          <w:i/>
          <w:lang w:val="ru-RU"/>
        </w:rPr>
        <w:t xml:space="preserve">приводятся со</w:t>
      </w:r>
      <w:r>
        <w:rPr>
          <w:rFonts w:ascii="Times New Roman" w:hAnsi="Times New Roman" w:cs="Times New Roman"/>
          <w:i/>
          <w:lang w:val="ru-RU"/>
        </w:rPr>
        <w:t xml:space="preserve">ответствующие сведения, </w:t>
      </w:r>
      <w:r>
        <w:rPr>
          <w:rFonts w:ascii="Times New Roman" w:hAnsi="Times New Roman" w:cs="Times New Roman"/>
          <w:i/>
          <w:lang w:val="ru-RU"/>
        </w:rPr>
        <w:t xml:space="preserve">например</w:t>
      </w:r>
      <w:r>
        <w:rPr>
          <w:rFonts w:ascii="Times New Roman" w:hAnsi="Times New Roman" w:cs="Times New Roman"/>
          <w:i/>
          <w:lang w:val="ru-RU"/>
        </w:rPr>
        <w:t xml:space="preserve">:</w:t>
      </w:r>
      <w:r>
        <w:rPr>
          <w:rFonts w:ascii="Times New Roman" w:hAnsi="Times New Roman" w:cs="Times New Roman"/>
          <w:i/>
          <w:lang w:val="ru-RU"/>
        </w:rPr>
        <w:t xml:space="preserve"> «</w:t>
      </w:r>
      <w:r>
        <w:rPr>
          <w:rFonts w:ascii="Times New Roman" w:hAnsi="Times New Roman" w:cs="Times New Roman"/>
          <w:i/>
          <w:lang w:val="ru-RU"/>
        </w:rPr>
        <w:t xml:space="preserve">сервис ЭДО «</w:t>
      </w:r>
      <w:r>
        <w:rPr>
          <w:rFonts w:ascii="Times New Roman" w:hAnsi="Times New Roman" w:cs="Times New Roman"/>
          <w:i/>
          <w:lang w:val="ru-RU"/>
        </w:rPr>
        <w:t xml:space="preserve">Диадок</w:t>
      </w:r>
      <w:r>
        <w:rPr>
          <w:rFonts w:ascii="Times New Roman" w:hAnsi="Times New Roman" w:cs="Times New Roman"/>
          <w:i/>
          <w:lang w:val="ru-RU"/>
        </w:rPr>
        <w:t xml:space="preserve">» оператора АО «ПФ «СКБ Контур</w:t>
      </w:r>
      <w:r>
        <w:rPr>
          <w:rFonts w:ascii="Times New Roman" w:hAnsi="Times New Roman" w:cs="Times New Roman"/>
          <w:lang w:val="ru-RU"/>
        </w:rPr>
        <w:t xml:space="preserve">»</w:t>
      </w:r>
      <w:r>
        <w:rPr>
          <w:lang w:val="ru-RU"/>
        </w:rPr>
      </w:r>
      <w:r>
        <w:rPr>
          <w:lang w:val="ru-RU"/>
        </w:rPr>
      </w:r>
    </w:p>
  </w:footnote>
  <w:footnote w:id="3">
    <w:p>
      <w:pPr>
        <w:pStyle w:val="1002"/>
        <w:ind w:left="284" w:hanging="284"/>
        <w:jc w:val="both"/>
        <w:rPr>
          <w:rFonts w:ascii="Times New Roman" w:hAnsi="Times New Roman" w:cs="Times New Roman"/>
          <w:sz w:val="20"/>
        </w:rPr>
      </w:pPr>
      <w:r>
        <w:rPr>
          <w:rStyle w:val="1005"/>
          <w:rFonts w:ascii="Times New Roman" w:hAnsi="Times New Roman" w:cs="Times New Roman"/>
          <w:sz w:val="20"/>
        </w:rPr>
        <w:footnoteRef/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–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в</w:t>
      </w:r>
      <w:r>
        <w:rPr>
          <w:rFonts w:ascii="Times New Roman" w:hAnsi="Times New Roman" w:cs="Times New Roman"/>
          <w:sz w:val="20"/>
        </w:rPr>
        <w:t xml:space="preserve"> случае, если Оператором </w:t>
      </w:r>
      <w:r>
        <w:rPr>
          <w:rFonts w:ascii="Times New Roman" w:hAnsi="Times New Roman" w:cs="Times New Roman"/>
          <w:sz w:val="20"/>
        </w:rPr>
        <w:t xml:space="preserve">ЭДО</w:t>
      </w:r>
      <w:r>
        <w:rPr>
          <w:rFonts w:ascii="Times New Roman" w:hAnsi="Times New Roman" w:cs="Times New Roman"/>
          <w:sz w:val="20"/>
        </w:rPr>
        <w:t xml:space="preserve"> заключены договоры как с </w:t>
      </w:r>
      <w:r>
        <w:rPr>
          <w:rFonts w:ascii="Times New Roman" w:hAnsi="Times New Roman" w:cs="Times New Roman"/>
          <w:sz w:val="20"/>
        </w:rPr>
        <w:t xml:space="preserve">Направляющей стороной, так и Принимающей стороной</w:t>
      </w:r>
      <w:r>
        <w:rPr>
          <w:rFonts w:ascii="Times New Roman" w:hAnsi="Times New Roman" w:cs="Times New Roman"/>
          <w:sz w:val="20"/>
        </w:rPr>
        <w:t xml:space="preserve">, при осуществлении </w:t>
      </w:r>
      <w:r>
        <w:rPr>
          <w:rFonts w:ascii="Times New Roman" w:hAnsi="Times New Roman" w:cs="Times New Roman"/>
          <w:sz w:val="20"/>
        </w:rPr>
        <w:t xml:space="preserve">ЭДО д</w:t>
      </w:r>
      <w:r>
        <w:rPr>
          <w:rFonts w:ascii="Times New Roman" w:hAnsi="Times New Roman" w:cs="Times New Roman"/>
          <w:sz w:val="20"/>
        </w:rPr>
        <w:t xml:space="preserve">ействия, связанные с передачей или получением</w:t>
      </w:r>
      <w:r>
        <w:rPr>
          <w:rFonts w:ascii="Times New Roman" w:hAnsi="Times New Roman" w:cs="Times New Roman"/>
          <w:sz w:val="20"/>
        </w:rPr>
        <w:t xml:space="preserve"> между операторами,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br/>
      </w:r>
      <w:r>
        <w:rPr>
          <w:rFonts w:ascii="Times New Roman" w:hAnsi="Times New Roman" w:cs="Times New Roman"/>
          <w:sz w:val="20"/>
        </w:rPr>
        <w:t xml:space="preserve">не выполняются</w:t>
      </w:r>
      <w:r>
        <w:rPr>
          <w:rFonts w:ascii="Times New Roman" w:hAnsi="Times New Roman" w:cs="Times New Roman"/>
          <w:sz w:val="20"/>
        </w:rPr>
        <w:t xml:space="preserve">. Подтверждения направляются соответственно Получающей стороне и Направляющей стороне (п.22 </w:t>
      </w:r>
      <w:r>
        <w:rPr>
          <w:rFonts w:ascii="Times New Roman" w:hAnsi="Times New Roman" w:cs="Times New Roman"/>
          <w:sz w:val="20"/>
        </w:rPr>
        <w:t xml:space="preserve">Порядка № 14н от 05.02.2021</w:t>
      </w:r>
      <w:r>
        <w:rPr>
          <w:rFonts w:ascii="Times New Roman" w:hAnsi="Times New Roman" w:cs="Times New Roman"/>
          <w:sz w:val="20"/>
        </w:rPr>
        <w:t xml:space="preserve">)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6"/>
      <w:jc w:val="right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90" w:hanging="2160"/>
      </w:pPr>
      <w:rPr>
        <w:rFonts w:hint="default"/>
      </w:rPr>
    </w:lvl>
  </w:abstractNum>
  <w:abstractNum w:abstractNumId="9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90" w:hanging="21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13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927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647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367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3087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807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527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247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967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687" w:hanging="360"/>
      </w:pPr>
      <w:rPr>
        <w:u w:val="none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44" w:hanging="360"/>
      </w:pPr>
      <w:rPr>
        <w:rFonts w:hint="default" w:cs="Times New Roman"/>
        <w:b/>
      </w:rPr>
    </w:lvl>
    <w:lvl w:ilvl="1">
      <w:start w:val="3"/>
      <w:numFmt w:val="decimal"/>
      <w:isLgl/>
      <w:suff w:val="tab"/>
      <w:lvlText w:val="%1.%2"/>
      <w:lvlJc w:val="left"/>
      <w:pPr>
        <w:ind w:left="1211" w:hanging="360"/>
      </w:pPr>
      <w:rPr>
        <w:rFonts w:hint="default" w:eastAsia="Times New Roman" w:cs="Times New Roman"/>
      </w:rPr>
    </w:lvl>
    <w:lvl w:ilvl="2">
      <w:start w:val="1"/>
      <w:numFmt w:val="decimal"/>
      <w:isLgl/>
      <w:suff w:val="tab"/>
      <w:lvlText w:val="%1.%2.%3"/>
      <w:lvlJc w:val="left"/>
      <w:pPr>
        <w:ind w:left="1571" w:hanging="720"/>
      </w:pPr>
      <w:rPr>
        <w:rFonts w:hint="default" w:eastAsia="Times New Roman" w:cs="Times New Roman"/>
      </w:rPr>
    </w:lvl>
    <w:lvl w:ilvl="3">
      <w:start w:val="1"/>
      <w:numFmt w:val="decimal"/>
      <w:isLgl/>
      <w:suff w:val="tab"/>
      <w:lvlText w:val="%1.%2.%3.%4"/>
      <w:lvlJc w:val="left"/>
      <w:pPr>
        <w:ind w:left="1571" w:hanging="720"/>
      </w:pPr>
      <w:rPr>
        <w:rFonts w:hint="default" w:eastAsia="Times New Roman" w:cs="Times New Roman"/>
      </w:rPr>
    </w:lvl>
    <w:lvl w:ilvl="4">
      <w:start w:val="1"/>
      <w:numFmt w:val="decimal"/>
      <w:isLgl/>
      <w:suff w:val="tab"/>
      <w:lvlText w:val="%1.%2.%3.%4.%5"/>
      <w:lvlJc w:val="left"/>
      <w:pPr>
        <w:ind w:left="1931" w:hanging="1080"/>
      </w:pPr>
      <w:rPr>
        <w:rFonts w:hint="default" w:eastAsia="Times New Roman" w:cs="Times New Roman"/>
      </w:rPr>
    </w:lvl>
    <w:lvl w:ilvl="5">
      <w:start w:val="1"/>
      <w:numFmt w:val="decimal"/>
      <w:isLgl/>
      <w:suff w:val="tab"/>
      <w:lvlText w:val="%1.%2.%3.%4.%5.%6"/>
      <w:lvlJc w:val="left"/>
      <w:pPr>
        <w:ind w:left="1931" w:hanging="1080"/>
      </w:pPr>
      <w:rPr>
        <w:rFonts w:hint="default" w:eastAsia="Times New Roman" w:cs="Times New Roman"/>
      </w:rPr>
    </w:lvl>
    <w:lvl w:ilvl="6">
      <w:start w:val="1"/>
      <w:numFmt w:val="decimal"/>
      <w:isLgl/>
      <w:suff w:val="tab"/>
      <w:lvlText w:val="%1.%2.%3.%4.%5.%6.%7"/>
      <w:lvlJc w:val="left"/>
      <w:pPr>
        <w:ind w:left="2291" w:hanging="1440"/>
      </w:pPr>
      <w:rPr>
        <w:rFonts w:hint="default" w:eastAsia="Times New Roman" w:cs="Times New Roman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291" w:hanging="1440"/>
      </w:pPr>
      <w:rPr>
        <w:rFonts w:hint="default" w:eastAsia="Times New Roman" w:cs="Times New Roman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651" w:hanging="1800"/>
      </w:pPr>
      <w:rPr>
        <w:rFonts w:hint="default" w:eastAsia="Times New Roman" w:cs="Times New Roman"/>
      </w:rPr>
    </w:lvl>
  </w:abstractNum>
  <w:abstractNum w:abstractNumId="19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8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02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0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4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623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062" w:hanging="1800"/>
      </w:pPr>
      <w:rPr>
        <w:rFonts w:hint="default"/>
      </w:rPr>
    </w:lvl>
  </w:abstractNum>
  <w:num w:numId="1">
    <w:abstractNumId w:val="17"/>
  </w:num>
  <w:num w:numId="2">
    <w:abstractNumId w:val="1"/>
  </w:num>
  <w:num w:numId="3">
    <w:abstractNumId w:val="12"/>
  </w:num>
  <w:num w:numId="4">
    <w:abstractNumId w:val="18"/>
  </w:num>
  <w:num w:numId="5">
    <w:abstractNumId w:val="15"/>
  </w:num>
  <w:num w:numId="6">
    <w:abstractNumId w:val="8"/>
  </w:num>
  <w:num w:numId="7">
    <w:abstractNumId w:val="11"/>
  </w:num>
  <w:num w:numId="8">
    <w:abstractNumId w:val="16"/>
  </w:num>
  <w:num w:numId="9">
    <w:abstractNumId w:val="13"/>
  </w:num>
  <w:num w:numId="10">
    <w:abstractNumId w:val="14"/>
  </w:num>
  <w:num w:numId="11">
    <w:abstractNumId w:val="9"/>
  </w:num>
  <w:num w:numId="12">
    <w:abstractNumId w:val="3"/>
  </w:num>
  <w:num w:numId="13">
    <w:abstractNumId w:val="19"/>
  </w:num>
  <w:num w:numId="14">
    <w:abstractNumId w:val="6"/>
  </w:num>
  <w:num w:numId="15">
    <w:abstractNumId w:val="4"/>
  </w:num>
  <w:num w:numId="16">
    <w:abstractNumId w:val="5"/>
  </w:num>
  <w:num w:numId="17">
    <w:abstractNumId w:val="0"/>
  </w:num>
  <w:num w:numId="18">
    <w:abstractNumId w:val="20"/>
  </w:num>
  <w:num w:numId="19">
    <w:abstractNumId w:val="2"/>
  </w:num>
  <w:num w:numId="20">
    <w:abstractNumId w:val="1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3">
    <w:name w:val="Heading 1 Char"/>
    <w:basedOn w:val="974"/>
    <w:link w:val="968"/>
    <w:uiPriority w:val="9"/>
    <w:rPr>
      <w:rFonts w:ascii="Arial" w:hAnsi="Arial" w:eastAsia="Arial" w:cs="Arial"/>
      <w:sz w:val="40"/>
      <w:szCs w:val="40"/>
    </w:rPr>
  </w:style>
  <w:style w:type="character" w:styleId="804">
    <w:name w:val="Heading 2 Char"/>
    <w:basedOn w:val="974"/>
    <w:link w:val="969"/>
    <w:uiPriority w:val="9"/>
    <w:rPr>
      <w:rFonts w:ascii="Arial" w:hAnsi="Arial" w:eastAsia="Arial" w:cs="Arial"/>
      <w:sz w:val="34"/>
    </w:rPr>
  </w:style>
  <w:style w:type="character" w:styleId="805">
    <w:name w:val="Heading 3 Char"/>
    <w:basedOn w:val="974"/>
    <w:link w:val="970"/>
    <w:uiPriority w:val="9"/>
    <w:rPr>
      <w:rFonts w:ascii="Arial" w:hAnsi="Arial" w:eastAsia="Arial" w:cs="Arial"/>
      <w:sz w:val="30"/>
      <w:szCs w:val="30"/>
    </w:rPr>
  </w:style>
  <w:style w:type="character" w:styleId="806">
    <w:name w:val="Heading 4 Char"/>
    <w:basedOn w:val="974"/>
    <w:link w:val="971"/>
    <w:uiPriority w:val="9"/>
    <w:rPr>
      <w:rFonts w:ascii="Arial" w:hAnsi="Arial" w:eastAsia="Arial" w:cs="Arial"/>
      <w:b/>
      <w:bCs/>
      <w:sz w:val="26"/>
      <w:szCs w:val="26"/>
    </w:rPr>
  </w:style>
  <w:style w:type="character" w:styleId="807">
    <w:name w:val="Heading 5 Char"/>
    <w:basedOn w:val="974"/>
    <w:link w:val="972"/>
    <w:uiPriority w:val="9"/>
    <w:rPr>
      <w:rFonts w:ascii="Arial" w:hAnsi="Arial" w:eastAsia="Arial" w:cs="Arial"/>
      <w:b/>
      <w:bCs/>
      <w:sz w:val="24"/>
      <w:szCs w:val="24"/>
    </w:rPr>
  </w:style>
  <w:style w:type="character" w:styleId="808">
    <w:name w:val="Heading 6 Char"/>
    <w:basedOn w:val="974"/>
    <w:link w:val="973"/>
    <w:uiPriority w:val="9"/>
    <w:rPr>
      <w:rFonts w:ascii="Arial" w:hAnsi="Arial" w:eastAsia="Arial" w:cs="Arial"/>
      <w:b/>
      <w:bCs/>
      <w:sz w:val="22"/>
      <w:szCs w:val="22"/>
    </w:rPr>
  </w:style>
  <w:style w:type="paragraph" w:styleId="809">
    <w:name w:val="Heading 7"/>
    <w:basedOn w:val="967"/>
    <w:next w:val="967"/>
    <w:link w:val="8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10">
    <w:name w:val="Heading 7 Char"/>
    <w:basedOn w:val="974"/>
    <w:link w:val="8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11">
    <w:name w:val="Heading 8"/>
    <w:basedOn w:val="967"/>
    <w:next w:val="967"/>
    <w:link w:val="8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12">
    <w:name w:val="Heading 8 Char"/>
    <w:basedOn w:val="974"/>
    <w:link w:val="811"/>
    <w:uiPriority w:val="9"/>
    <w:rPr>
      <w:rFonts w:ascii="Arial" w:hAnsi="Arial" w:eastAsia="Arial" w:cs="Arial"/>
      <w:i/>
      <w:iCs/>
      <w:sz w:val="22"/>
      <w:szCs w:val="22"/>
    </w:rPr>
  </w:style>
  <w:style w:type="paragraph" w:styleId="813">
    <w:name w:val="Heading 9"/>
    <w:basedOn w:val="967"/>
    <w:next w:val="967"/>
    <w:link w:val="81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14">
    <w:name w:val="Heading 9 Char"/>
    <w:basedOn w:val="974"/>
    <w:link w:val="813"/>
    <w:uiPriority w:val="9"/>
    <w:rPr>
      <w:rFonts w:ascii="Arial" w:hAnsi="Arial" w:eastAsia="Arial" w:cs="Arial"/>
      <w:i/>
      <w:iCs/>
      <w:sz w:val="21"/>
      <w:szCs w:val="21"/>
    </w:rPr>
  </w:style>
  <w:style w:type="paragraph" w:styleId="815">
    <w:name w:val="Title"/>
    <w:basedOn w:val="967"/>
    <w:next w:val="967"/>
    <w:link w:val="8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6">
    <w:name w:val="Title Char"/>
    <w:basedOn w:val="974"/>
    <w:link w:val="815"/>
    <w:uiPriority w:val="10"/>
    <w:rPr>
      <w:sz w:val="48"/>
      <w:szCs w:val="48"/>
    </w:rPr>
  </w:style>
  <w:style w:type="character" w:styleId="817">
    <w:name w:val="Subtitle Char"/>
    <w:basedOn w:val="974"/>
    <w:link w:val="980"/>
    <w:uiPriority w:val="11"/>
    <w:rPr>
      <w:sz w:val="24"/>
      <w:szCs w:val="24"/>
    </w:rPr>
  </w:style>
  <w:style w:type="paragraph" w:styleId="818">
    <w:name w:val="Quote"/>
    <w:basedOn w:val="967"/>
    <w:next w:val="967"/>
    <w:link w:val="819"/>
    <w:uiPriority w:val="29"/>
    <w:qFormat/>
    <w:pPr>
      <w:ind w:left="720" w:right="720"/>
    </w:pPr>
    <w:rPr>
      <w:i/>
    </w:rPr>
  </w:style>
  <w:style w:type="character" w:styleId="819">
    <w:name w:val="Quote Char"/>
    <w:link w:val="818"/>
    <w:uiPriority w:val="29"/>
    <w:rPr>
      <w:i/>
    </w:rPr>
  </w:style>
  <w:style w:type="paragraph" w:styleId="820">
    <w:name w:val="Intense Quote"/>
    <w:basedOn w:val="967"/>
    <w:next w:val="967"/>
    <w:link w:val="82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1">
    <w:name w:val="Intense Quote Char"/>
    <w:link w:val="820"/>
    <w:uiPriority w:val="30"/>
    <w:rPr>
      <w:i/>
    </w:rPr>
  </w:style>
  <w:style w:type="character" w:styleId="822">
    <w:name w:val="Header Char"/>
    <w:basedOn w:val="974"/>
    <w:link w:val="996"/>
    <w:uiPriority w:val="99"/>
  </w:style>
  <w:style w:type="character" w:styleId="823">
    <w:name w:val="Footer Char"/>
    <w:basedOn w:val="974"/>
    <w:link w:val="998"/>
    <w:uiPriority w:val="99"/>
  </w:style>
  <w:style w:type="paragraph" w:styleId="824">
    <w:name w:val="Caption"/>
    <w:basedOn w:val="967"/>
    <w:next w:val="967"/>
    <w:link w:val="82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25">
    <w:name w:val="Caption Char"/>
    <w:basedOn w:val="824"/>
    <w:link w:val="998"/>
    <w:uiPriority w:val="99"/>
  </w:style>
  <w:style w:type="table" w:styleId="826">
    <w:name w:val="Table Grid Light"/>
    <w:basedOn w:val="9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7">
    <w:name w:val="Plain Table 1"/>
    <w:basedOn w:val="9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8">
    <w:name w:val="Plain Table 2"/>
    <w:basedOn w:val="9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9">
    <w:name w:val="Plain Table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0">
    <w:name w:val="Plain Table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Plain Table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2">
    <w:name w:val="Grid Table 1 Light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Grid Table 1 Light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Grid Table 1 Light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Grid Table 1 Light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Grid Table 1 Light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Grid Table 1 Light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Grid Table 1 Light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Grid Table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2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2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2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2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2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2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3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3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3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3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3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3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4"/>
    <w:basedOn w:val="9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4">
    <w:name w:val="Grid Table 4 - Accent 1"/>
    <w:basedOn w:val="9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55">
    <w:name w:val="Grid Table 4 - Accent 2"/>
    <w:basedOn w:val="9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56">
    <w:name w:val="Grid Table 4 - Accent 3"/>
    <w:basedOn w:val="9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57">
    <w:name w:val="Grid Table 4 - Accent 4"/>
    <w:basedOn w:val="9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8">
    <w:name w:val="Grid Table 4 - Accent 5"/>
    <w:basedOn w:val="9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59">
    <w:name w:val="Grid Table 4 - Accent 6"/>
    <w:basedOn w:val="9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60">
    <w:name w:val="Grid Table 5 Dark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1">
    <w:name w:val="Grid Table 5 Dark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2">
    <w:name w:val="Grid Table 5 Dark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3">
    <w:name w:val="Grid Table 5 Dark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4">
    <w:name w:val="Grid Table 5 Dark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5">
    <w:name w:val="Grid Table 5 Dark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66">
    <w:name w:val="Grid Table 5 Dark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67">
    <w:name w:val="Grid Table 6 Colorful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68">
    <w:name w:val="Grid Table 6 Colorful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69">
    <w:name w:val="Grid Table 6 Colorful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70">
    <w:name w:val="Grid Table 6 Colorful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71">
    <w:name w:val="Grid Table 6 Colorful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72">
    <w:name w:val="Grid Table 6 Colorful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3">
    <w:name w:val="Grid Table 6 Colorful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4">
    <w:name w:val="Grid Table 7 Colorful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7 Colorful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7 Colorful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7 Colorful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7 Colorful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7 Colorful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7 Colorful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List Table 1 Light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1 Light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List Table 1 Light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List Table 1 Light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List Table 1 Light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1 Light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1 Light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List Table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89">
    <w:name w:val="List Table 2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90">
    <w:name w:val="List Table 2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91">
    <w:name w:val="List Table 2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92">
    <w:name w:val="List Table 2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93">
    <w:name w:val="List Table 2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94">
    <w:name w:val="List Table 2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95">
    <w:name w:val="List Table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3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3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3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3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3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3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4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List Table 4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4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4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4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4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5 Dark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0">
    <w:name w:val="List Table 5 Dark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1">
    <w:name w:val="List Table 5 Dark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2">
    <w:name w:val="List Table 5 Dark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3">
    <w:name w:val="List Table 5 Dark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4">
    <w:name w:val="List Table 5 Dark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5">
    <w:name w:val="List Table 5 Dark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6">
    <w:name w:val="List Table 6 Colorful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17">
    <w:name w:val="List Table 6 Colorful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8">
    <w:name w:val="List Table 6 Colorful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19">
    <w:name w:val="List Table 6 Colorful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20">
    <w:name w:val="List Table 6 Colorful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21">
    <w:name w:val="List Table 6 Colorful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22">
    <w:name w:val="List Table 6 Colorful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23">
    <w:name w:val="List Table 7 Colorful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24">
    <w:name w:val="List Table 7 Colorful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25">
    <w:name w:val="List Table 7 Colorful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26">
    <w:name w:val="List Table 7 Colorful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27">
    <w:name w:val="List Table 7 Colorful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28">
    <w:name w:val="List Table 7 Colorful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29">
    <w:name w:val="List Table 7 Colorful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30">
    <w:name w:val="Lined - Accent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1">
    <w:name w:val="Lined - Accent 1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2">
    <w:name w:val="Lined - Accent 2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3">
    <w:name w:val="Lined - Accent 3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4">
    <w:name w:val="Lined - Accent 4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35">
    <w:name w:val="Lined - Accent 5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36">
    <w:name w:val="Lined - Accent 6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7">
    <w:name w:val="Bordered &amp; Lined - Accent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8">
    <w:name w:val="Bordered &amp; Lined - Accent 1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9">
    <w:name w:val="Bordered &amp; Lined - Accent 2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40">
    <w:name w:val="Bordered &amp; Lined - Accent 3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41">
    <w:name w:val="Bordered &amp; Lined - Accent 4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42">
    <w:name w:val="Bordered &amp; Lined - Accent 5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43">
    <w:name w:val="Bordered &amp; Lined - Accent 6"/>
    <w:basedOn w:val="9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44">
    <w:name w:val="Bordered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45">
    <w:name w:val="Bordered - Accent 1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46">
    <w:name w:val="Bordered - Accent 2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47">
    <w:name w:val="Bordered - Accent 3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48">
    <w:name w:val="Bordered - Accent 4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49">
    <w:name w:val="Bordered - Accent 5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50">
    <w:name w:val="Bordered - Accent 6"/>
    <w:basedOn w:val="9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51">
    <w:name w:val="Hyperlink"/>
    <w:uiPriority w:val="99"/>
    <w:unhideWhenUsed/>
    <w:rPr>
      <w:color w:val="0000ff" w:themeColor="hyperlink"/>
      <w:u w:val="single"/>
    </w:rPr>
  </w:style>
  <w:style w:type="character" w:styleId="952">
    <w:name w:val="Footnote Text Char"/>
    <w:link w:val="1003"/>
    <w:uiPriority w:val="99"/>
    <w:rPr>
      <w:sz w:val="18"/>
    </w:rPr>
  </w:style>
  <w:style w:type="paragraph" w:styleId="953">
    <w:name w:val="endnote text"/>
    <w:basedOn w:val="967"/>
    <w:link w:val="954"/>
    <w:uiPriority w:val="99"/>
    <w:semiHidden/>
    <w:unhideWhenUsed/>
    <w:pPr>
      <w:spacing w:after="0" w:line="240" w:lineRule="auto"/>
    </w:pPr>
    <w:rPr>
      <w:sz w:val="20"/>
    </w:rPr>
  </w:style>
  <w:style w:type="character" w:styleId="954">
    <w:name w:val="Endnote Text Char"/>
    <w:link w:val="953"/>
    <w:uiPriority w:val="99"/>
    <w:rPr>
      <w:sz w:val="20"/>
    </w:rPr>
  </w:style>
  <w:style w:type="character" w:styleId="955">
    <w:name w:val="endnote reference"/>
    <w:basedOn w:val="974"/>
    <w:uiPriority w:val="99"/>
    <w:semiHidden/>
    <w:unhideWhenUsed/>
    <w:rPr>
      <w:vertAlign w:val="superscript"/>
    </w:rPr>
  </w:style>
  <w:style w:type="paragraph" w:styleId="956">
    <w:name w:val="toc 1"/>
    <w:basedOn w:val="967"/>
    <w:next w:val="967"/>
    <w:uiPriority w:val="39"/>
    <w:unhideWhenUsed/>
    <w:pPr>
      <w:ind w:left="0" w:right="0" w:firstLine="0"/>
      <w:spacing w:after="57"/>
    </w:pPr>
  </w:style>
  <w:style w:type="paragraph" w:styleId="957">
    <w:name w:val="toc 2"/>
    <w:basedOn w:val="967"/>
    <w:next w:val="967"/>
    <w:uiPriority w:val="39"/>
    <w:unhideWhenUsed/>
    <w:pPr>
      <w:ind w:left="283" w:right="0" w:firstLine="0"/>
      <w:spacing w:after="57"/>
    </w:pPr>
  </w:style>
  <w:style w:type="paragraph" w:styleId="958">
    <w:name w:val="toc 3"/>
    <w:basedOn w:val="967"/>
    <w:next w:val="967"/>
    <w:uiPriority w:val="39"/>
    <w:unhideWhenUsed/>
    <w:pPr>
      <w:ind w:left="567" w:right="0" w:firstLine="0"/>
      <w:spacing w:after="57"/>
    </w:pPr>
  </w:style>
  <w:style w:type="paragraph" w:styleId="959">
    <w:name w:val="toc 4"/>
    <w:basedOn w:val="967"/>
    <w:next w:val="967"/>
    <w:uiPriority w:val="39"/>
    <w:unhideWhenUsed/>
    <w:pPr>
      <w:ind w:left="850" w:right="0" w:firstLine="0"/>
      <w:spacing w:after="57"/>
    </w:pPr>
  </w:style>
  <w:style w:type="paragraph" w:styleId="960">
    <w:name w:val="toc 5"/>
    <w:basedOn w:val="967"/>
    <w:next w:val="967"/>
    <w:uiPriority w:val="39"/>
    <w:unhideWhenUsed/>
    <w:pPr>
      <w:ind w:left="1134" w:right="0" w:firstLine="0"/>
      <w:spacing w:after="57"/>
    </w:pPr>
  </w:style>
  <w:style w:type="paragraph" w:styleId="961">
    <w:name w:val="toc 6"/>
    <w:basedOn w:val="967"/>
    <w:next w:val="967"/>
    <w:uiPriority w:val="39"/>
    <w:unhideWhenUsed/>
    <w:pPr>
      <w:ind w:left="1417" w:right="0" w:firstLine="0"/>
      <w:spacing w:after="57"/>
    </w:pPr>
  </w:style>
  <w:style w:type="paragraph" w:styleId="962">
    <w:name w:val="toc 7"/>
    <w:basedOn w:val="967"/>
    <w:next w:val="967"/>
    <w:uiPriority w:val="39"/>
    <w:unhideWhenUsed/>
    <w:pPr>
      <w:ind w:left="1701" w:right="0" w:firstLine="0"/>
      <w:spacing w:after="57"/>
    </w:pPr>
  </w:style>
  <w:style w:type="paragraph" w:styleId="963">
    <w:name w:val="toc 8"/>
    <w:basedOn w:val="967"/>
    <w:next w:val="967"/>
    <w:uiPriority w:val="39"/>
    <w:unhideWhenUsed/>
    <w:pPr>
      <w:ind w:left="1984" w:right="0" w:firstLine="0"/>
      <w:spacing w:after="57"/>
    </w:pPr>
  </w:style>
  <w:style w:type="paragraph" w:styleId="964">
    <w:name w:val="toc 9"/>
    <w:basedOn w:val="967"/>
    <w:next w:val="967"/>
    <w:uiPriority w:val="39"/>
    <w:unhideWhenUsed/>
    <w:pPr>
      <w:ind w:left="2268" w:right="0" w:firstLine="0"/>
      <w:spacing w:after="57"/>
    </w:pPr>
  </w:style>
  <w:style w:type="paragraph" w:styleId="965">
    <w:name w:val="TOC Heading"/>
    <w:uiPriority w:val="39"/>
    <w:unhideWhenUsed/>
  </w:style>
  <w:style w:type="paragraph" w:styleId="966">
    <w:name w:val="table of figures"/>
    <w:basedOn w:val="967"/>
    <w:next w:val="967"/>
    <w:uiPriority w:val="99"/>
    <w:unhideWhenUsed/>
    <w:pPr>
      <w:spacing w:after="0" w:afterAutospacing="0"/>
    </w:pPr>
  </w:style>
  <w:style w:type="paragraph" w:styleId="967" w:default="1">
    <w:name w:val="Normal"/>
    <w:qFormat/>
    <w:pPr>
      <w:spacing w:line="276" w:lineRule="auto"/>
    </w:pPr>
    <w:rPr>
      <w:sz w:val="22"/>
      <w:szCs w:val="22"/>
      <w:lang w:val="ru"/>
    </w:rPr>
  </w:style>
  <w:style w:type="paragraph" w:styleId="968">
    <w:name w:val="Heading 1"/>
    <w:basedOn w:val="977"/>
    <w:next w:val="977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969">
    <w:name w:val="Heading 2"/>
    <w:basedOn w:val="977"/>
    <w:next w:val="977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970">
    <w:name w:val="Heading 3"/>
    <w:basedOn w:val="977"/>
    <w:next w:val="977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971">
    <w:name w:val="Heading 4"/>
    <w:basedOn w:val="977"/>
    <w:next w:val="977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972">
    <w:name w:val="Heading 5"/>
    <w:basedOn w:val="977"/>
    <w:next w:val="977"/>
    <w:pPr>
      <w:keepLines/>
      <w:keepNext/>
      <w:spacing w:before="240" w:after="80"/>
      <w:outlineLvl w:val="4"/>
    </w:pPr>
    <w:rPr>
      <w:color w:val="666666"/>
    </w:rPr>
  </w:style>
  <w:style w:type="paragraph" w:styleId="973">
    <w:name w:val="Heading 6"/>
    <w:basedOn w:val="977"/>
    <w:next w:val="977"/>
    <w:pPr>
      <w:keepLines/>
      <w:keepNext/>
      <w:spacing w:before="240" w:after="80"/>
      <w:outlineLvl w:val="5"/>
    </w:pPr>
    <w:rPr>
      <w:i/>
      <w:color w:val="666666"/>
    </w:rPr>
  </w:style>
  <w:style w:type="character" w:styleId="974" w:default="1">
    <w:name w:val="Default Paragraph Font"/>
    <w:uiPriority w:val="1"/>
    <w:semiHidden/>
    <w:unhideWhenUsed/>
  </w:style>
  <w:style w:type="table" w:styleId="9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76" w:default="1">
    <w:name w:val="No List"/>
    <w:uiPriority w:val="99"/>
    <w:semiHidden/>
    <w:unhideWhenUsed/>
  </w:style>
  <w:style w:type="paragraph" w:styleId="977" w:customStyle="1">
    <w:name w:val="Обычный1"/>
    <w:pPr>
      <w:spacing w:line="276" w:lineRule="auto"/>
    </w:pPr>
    <w:rPr>
      <w:sz w:val="22"/>
      <w:szCs w:val="22"/>
      <w:lang w:val="ru"/>
    </w:rPr>
  </w:style>
  <w:style w:type="table" w:styleId="978" w:customStyle="1">
    <w:name w:val="Table Normal"/>
    <w:pPr>
      <w:spacing w:line="276" w:lineRule="auto"/>
    </w:pPr>
    <w:rPr>
      <w:sz w:val="22"/>
      <w:szCs w:val="22"/>
      <w:lang w:val="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79" w:customStyle="1">
    <w:name w:val="Название"/>
    <w:basedOn w:val="977"/>
    <w:next w:val="977"/>
    <w:pPr>
      <w:keepLines/>
      <w:keepNext/>
      <w:spacing w:after="60"/>
    </w:pPr>
    <w:rPr>
      <w:sz w:val="52"/>
      <w:szCs w:val="52"/>
    </w:rPr>
  </w:style>
  <w:style w:type="paragraph" w:styleId="980">
    <w:name w:val="Subtitle"/>
    <w:basedOn w:val="977"/>
    <w:next w:val="977"/>
    <w:pPr>
      <w:keepLines/>
      <w:keepNext/>
      <w:spacing w:after="320"/>
    </w:pPr>
    <w:rPr>
      <w:color w:val="666666"/>
      <w:sz w:val="30"/>
      <w:szCs w:val="30"/>
    </w:rPr>
  </w:style>
  <w:style w:type="table" w:styleId="981" w:customStyle="1">
    <w:name w:val="StGen0"/>
    <w:basedOn w:val="978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982">
    <w:name w:val="Balloon Text"/>
    <w:basedOn w:val="967"/>
    <w:link w:val="983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983" w:customStyle="1">
    <w:name w:val="Текст выноски Знак"/>
    <w:link w:val="982"/>
    <w:uiPriority w:val="99"/>
    <w:semiHidden/>
    <w:rPr>
      <w:rFonts w:ascii="Segoe UI" w:hAnsi="Segoe UI" w:cs="Segoe UI"/>
      <w:sz w:val="18"/>
      <w:szCs w:val="18"/>
      <w:lang w:val="ru"/>
    </w:rPr>
  </w:style>
  <w:style w:type="paragraph" w:styleId="984">
    <w:name w:val="annotation text"/>
    <w:basedOn w:val="967"/>
    <w:link w:val="985"/>
    <w:uiPriority w:val="99"/>
    <w:semiHidden/>
    <w:unhideWhenUsed/>
    <w:rPr>
      <w:sz w:val="20"/>
      <w:szCs w:val="20"/>
    </w:rPr>
  </w:style>
  <w:style w:type="character" w:styleId="985" w:customStyle="1">
    <w:name w:val="Текст примечания Знак"/>
    <w:link w:val="984"/>
    <w:uiPriority w:val="99"/>
    <w:semiHidden/>
    <w:rPr>
      <w:lang w:val="ru"/>
    </w:rPr>
  </w:style>
  <w:style w:type="paragraph" w:styleId="986">
    <w:name w:val="List Paragraph"/>
    <w:basedOn w:val="967"/>
    <w:uiPriority w:val="34"/>
    <w:qFormat/>
    <w:pPr>
      <w:contextualSpacing/>
      <w:ind w:left="720"/>
      <w:spacing w:line="240" w:lineRule="auto"/>
    </w:pPr>
    <w:rPr>
      <w:rFonts w:ascii="Times New Roman" w:hAnsi="Times New Roman" w:eastAsia="Times New Roman" w:cs="Times New Roman"/>
      <w:sz w:val="20"/>
      <w:szCs w:val="20"/>
      <w:lang w:val="en-GB"/>
    </w:rPr>
  </w:style>
  <w:style w:type="paragraph" w:styleId="987">
    <w:name w:val="No Spacing"/>
    <w:uiPriority w:val="1"/>
    <w:qFormat/>
    <w:pPr>
      <w:widowControl w:val="off"/>
    </w:pPr>
    <w:rPr>
      <w:rFonts w:ascii="Times New Roman" w:hAnsi="Times New Roman" w:eastAsia="Times New Roman" w:cs="Times New Roman"/>
      <w:sz w:val="16"/>
    </w:rPr>
  </w:style>
  <w:style w:type="character" w:styleId="988" w:customStyle="1">
    <w:name w:val="Font Style36"/>
    <w:uiPriority w:val="99"/>
    <w:rPr>
      <w:rFonts w:hint="default" w:ascii="Times New Roman" w:hAnsi="Times New Roman" w:cs="Times New Roman"/>
      <w:b/>
      <w:bCs w:val="0"/>
      <w:sz w:val="22"/>
    </w:rPr>
  </w:style>
  <w:style w:type="character" w:styleId="989">
    <w:name w:val="annotation reference"/>
    <w:uiPriority w:val="99"/>
    <w:semiHidden/>
    <w:unhideWhenUsed/>
    <w:rPr>
      <w:sz w:val="16"/>
      <w:szCs w:val="16"/>
    </w:rPr>
  </w:style>
  <w:style w:type="paragraph" w:styleId="990">
    <w:name w:val="annotation subject"/>
    <w:basedOn w:val="984"/>
    <w:next w:val="984"/>
    <w:link w:val="991"/>
    <w:uiPriority w:val="99"/>
    <w:semiHidden/>
    <w:unhideWhenUsed/>
    <w:rPr>
      <w:b/>
      <w:bCs/>
    </w:rPr>
  </w:style>
  <w:style w:type="character" w:styleId="991" w:customStyle="1">
    <w:name w:val="Тема примечания Знак"/>
    <w:link w:val="990"/>
    <w:uiPriority w:val="99"/>
    <w:semiHidden/>
    <w:rPr>
      <w:b/>
      <w:bCs/>
      <w:lang w:val="ru"/>
    </w:rPr>
  </w:style>
  <w:style w:type="table" w:styleId="992">
    <w:name w:val="Table Grid"/>
    <w:basedOn w:val="97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93">
    <w:name w:val="Strong"/>
    <w:uiPriority w:val="99"/>
    <w:qFormat/>
    <w:rPr>
      <w:b/>
      <w:bCs/>
    </w:rPr>
  </w:style>
  <w:style w:type="paragraph" w:styleId="994" w:customStyle="1">
    <w:name w:val="H2"/>
    <w:basedOn w:val="967"/>
    <w:next w:val="967"/>
    <w:uiPriority w:val="99"/>
    <w:pPr>
      <w:keepNext/>
      <w:spacing w:before="100" w:after="100" w:line="240" w:lineRule="auto"/>
      <w:outlineLvl w:val="2"/>
    </w:pPr>
    <w:rPr>
      <w:rFonts w:ascii="Times New Roman" w:hAnsi="Times New Roman" w:cs="Times New Roman"/>
      <w:b/>
      <w:bCs/>
      <w:sz w:val="36"/>
      <w:szCs w:val="36"/>
      <w:lang w:val="ru-RU"/>
    </w:rPr>
  </w:style>
  <w:style w:type="paragraph" w:styleId="995">
    <w:name w:val="Revision"/>
    <w:hidden/>
    <w:uiPriority w:val="99"/>
    <w:semiHidden/>
    <w:rPr>
      <w:sz w:val="22"/>
      <w:szCs w:val="22"/>
      <w:lang w:val="ru"/>
    </w:rPr>
  </w:style>
  <w:style w:type="paragraph" w:styleId="996">
    <w:name w:val="Header"/>
    <w:basedOn w:val="967"/>
    <w:link w:val="99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7" w:customStyle="1">
    <w:name w:val="Верхний колонтитул Знак"/>
    <w:link w:val="996"/>
    <w:uiPriority w:val="99"/>
    <w:rPr>
      <w:sz w:val="22"/>
      <w:szCs w:val="22"/>
      <w:lang w:val="ru"/>
    </w:rPr>
  </w:style>
  <w:style w:type="paragraph" w:styleId="998">
    <w:name w:val="Footer"/>
    <w:basedOn w:val="967"/>
    <w:link w:val="99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9" w:customStyle="1">
    <w:name w:val="Нижний колонтитул Знак"/>
    <w:link w:val="998"/>
    <w:uiPriority w:val="99"/>
    <w:rPr>
      <w:sz w:val="22"/>
      <w:szCs w:val="22"/>
      <w:lang w:val="ru"/>
    </w:rPr>
  </w:style>
  <w:style w:type="paragraph" w:styleId="1000" w:customStyle="1">
    <w:name w:val="ConsNormal"/>
    <w:pPr>
      <w:ind w:firstLine="720"/>
      <w:widowControl w:val="off"/>
    </w:pPr>
    <w:rPr>
      <w:rFonts w:ascii="Consultant" w:hAnsi="Consultant" w:eastAsia="Times New Roman" w:cs="Times New Roman"/>
      <w:lang w:eastAsia="en-US"/>
    </w:rPr>
  </w:style>
  <w:style w:type="paragraph" w:styleId="1001" w:customStyle="1">
    <w:name w:val="Основной текст (2)"/>
    <w:basedOn w:val="967"/>
    <w:pPr>
      <w:ind w:hanging="360"/>
      <w:spacing w:before="240" w:after="30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sz w:val="24"/>
      <w:szCs w:val="24"/>
      <w:lang w:val="ru-RU" w:bidi="ru-RU"/>
    </w:rPr>
  </w:style>
  <w:style w:type="paragraph" w:styleId="1002" w:customStyle="1">
    <w:name w:val="ConsPlusNormal"/>
    <w:pPr>
      <w:widowControl w:val="off"/>
    </w:pPr>
    <w:rPr>
      <w:rFonts w:ascii="Calibri" w:hAnsi="Calibri" w:eastAsia="Times New Roman" w:cs="Calibri"/>
      <w:sz w:val="22"/>
    </w:rPr>
  </w:style>
  <w:style w:type="paragraph" w:styleId="1003">
    <w:name w:val="footnote text"/>
    <w:basedOn w:val="967"/>
    <w:link w:val="100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1004" w:customStyle="1">
    <w:name w:val="Текст сноски Знак"/>
    <w:basedOn w:val="974"/>
    <w:link w:val="1003"/>
    <w:uiPriority w:val="99"/>
    <w:semiHidden/>
    <w:rPr>
      <w:lang w:val="ru"/>
    </w:rPr>
  </w:style>
  <w:style w:type="character" w:styleId="1005">
    <w:name w:val="footnote reference"/>
    <w:basedOn w:val="974"/>
    <w:uiPriority w:val="99"/>
    <w:semiHidden/>
    <w:unhideWhenUsed/>
    <w:rPr>
      <w:vertAlign w:val="superscript"/>
    </w:rPr>
  </w:style>
  <w:style w:type="paragraph" w:styleId="1006" w:customStyle="1">
    <w:name w:val="Без интервала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07" w:customStyle="1">
    <w:name w:val="Table_text"/>
    <w:qFormat/>
    <w:pPr>
      <w:contextualSpacing w:val="0"/>
      <w:ind w:left="0" w:right="0" w:firstLine="0"/>
      <w:jc w:val="left"/>
      <w:keepLines w:val="0"/>
      <w:keepNext w:val="0"/>
      <w:pageBreakBefore w:val="0"/>
      <w:spacing w:before="60" w:beforeAutospacing="0" w:after="6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a"/>
      <w:spacing w:val="0"/>
      <w:position w:val="0"/>
      <w:sz w:val="16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08" w:customStyle="1">
    <w:name w:val="Заголовок №3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0" w:lineRule="atLeast"/>
      <w:shd w:val="clear" w:color="auto" w:fill="ffffff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2"/>
      <w:suppressLineNumbers w:val="0"/>
    </w:pPr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vanish w:val="0"/>
      <w:color w:val="000000"/>
      <w:spacing w:val="0"/>
      <w:position w:val="0"/>
      <w:sz w:val="23"/>
      <w:szCs w:val="23"/>
      <w:highlight w:val="none"/>
      <w:u w:val="none"/>
      <w:vertAlign w:val="baseline"/>
      <w:rtl w:val="0"/>
      <w:cs w:val="0"/>
      <w:lang w:val="ru" w:eastAsia="ru-RU" w:bidi="ar-SA"/>
      <w14:ligatures w14:val="none"/>
    </w:rPr>
  </w:style>
  <w:style w:type="paragraph" w:styleId="1009" w:customStyle="1">
    <w:name w:val="Body Text"/>
    <w:basedOn w:val="841"/>
    <w:link w:val="847"/>
    <w:uiPriority w:val="99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F4245-FD1B-4D5B-A563-88105A87B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электронном документообороте</dc:title>
  <dc:subject/>
  <dc:creator>Assistentus.ru</dc:creator>
  <cp:keywords/>
  <cp:lastModifiedBy>a.ryabikin</cp:lastModifiedBy>
  <cp:revision>15</cp:revision>
  <dcterms:created xsi:type="dcterms:W3CDTF">2021-08-19T13:37:00Z</dcterms:created>
  <dcterms:modified xsi:type="dcterms:W3CDTF">2026-07-30T09:41:22Z</dcterms:modified>
</cp:coreProperties>
</file>