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0"/>
        <w:ind w:left="0"/>
        <w:jc w:val="both"/>
        <w:spacing w:after="0"/>
        <w:tabs>
          <w:tab w:val="left" w:pos="709" w:leader="none"/>
        </w:tabs>
        <w:rPr>
          <w:b/>
          <w:bCs/>
          <w:sz w:val="20"/>
        </w:rPr>
        <w:outlineLvl w:val="1"/>
      </w:pPr>
      <w:r/>
      <w:bookmarkStart w:id="0" w:name="_Toc77063561"/>
      <w:r>
        <w:rPr>
          <w:b/>
          <w:sz w:val="20"/>
        </w:rPr>
        <w:t xml:space="preserve">Справка об опыте </w:t>
      </w:r>
      <w:r>
        <w:rPr>
          <w:b/>
          <w:sz w:val="20"/>
        </w:rPr>
        <w:t xml:space="preserve">Участника по предмету закупки</w:t>
      </w:r>
      <w:r>
        <w:rPr>
          <w:b/>
          <w:bCs/>
          <w:sz w:val="20"/>
        </w:rPr>
        <w:t xml:space="preserve"> (Форма </w:t>
      </w:r>
      <w:r>
        <w:rPr>
          <w:b/>
          <w:bCs/>
          <w:sz w:val="20"/>
        </w:rPr>
        <w:t xml:space="preserve">3.1</w:t>
      </w:r>
      <w:r>
        <w:rPr>
          <w:b/>
          <w:bCs/>
          <w:sz w:val="20"/>
        </w:rPr>
        <w:t xml:space="preserve">)</w:t>
      </w:r>
      <w:r>
        <w:rPr>
          <w:b/>
          <w:szCs w:val="28"/>
          <w:vertAlign w:val="superscript"/>
          <w:lang w:eastAsia="ru-RU"/>
        </w:rPr>
        <w:footnoteReference w:id="2"/>
      </w:r>
      <w:r>
        <w:rPr>
          <w:b/>
          <w:bCs/>
          <w:sz w:val="20"/>
        </w:rPr>
        <w:t xml:space="preserve">– формируется посредством интерфейса ЭП</w:t>
      </w:r>
      <w:r>
        <w:rPr>
          <w:b/>
          <w:bCs/>
          <w:sz w:val="20"/>
          <w:lang w:val="ru-RU"/>
        </w:rPr>
        <w:t xml:space="preserve">.</w:t>
      </w:r>
      <w:bookmarkEnd w:id="0"/>
      <w:r/>
      <w:r>
        <w:rPr>
          <w:b/>
          <w:bCs/>
          <w:sz w:val="20"/>
        </w:rPr>
      </w:r>
    </w:p>
    <w:p>
      <w:r/>
      <w:r/>
    </w:p>
    <w:p>
      <w:pPr>
        <w:pStyle w:val="680"/>
        <w:ind w:left="0"/>
        <w:jc w:val="both"/>
        <w:spacing w:after="0"/>
        <w:tabs>
          <w:tab w:val="left" w:pos="709" w:leader="none"/>
        </w:tabs>
        <w:rPr>
          <w:sz w:val="20"/>
          <w:szCs w:val="20"/>
          <w:shd w:val="clear" w:color="auto" w:fill="ffffff"/>
          <w:lang w:val="ru-RU"/>
        </w:rPr>
        <w:outlineLvl w:val="1"/>
      </w:pPr>
      <w:r>
        <w:rPr>
          <w:sz w:val="20"/>
          <w:szCs w:val="20"/>
          <w:lang w:val="ru-RU"/>
        </w:rPr>
        <w:t xml:space="preserve">*</w:t>
      </w:r>
      <w:r>
        <w:rPr>
          <w:szCs w:val="20"/>
        </w:rPr>
        <w:t xml:space="preserve"> </w:t>
      </w:r>
      <w:r>
        <w:rPr>
          <w:sz w:val="20"/>
          <w:szCs w:val="20"/>
          <w:lang w:val="ru-RU"/>
        </w:rPr>
        <w:t xml:space="preserve">Нарушение порядка заполнения Справки</w:t>
      </w:r>
      <w:r>
        <w:rPr>
          <w:rStyle w:val="686"/>
          <w:bCs/>
          <w:sz w:val="20"/>
          <w:szCs w:val="20"/>
          <w:shd w:val="clear" w:color="auto" w:fill="ffffff"/>
          <w:lang w:val="ru-RU"/>
        </w:rPr>
        <w:t xml:space="preserve"> посредством размещения</w:t>
      </w:r>
      <w:r>
        <w:rPr>
          <w:sz w:val="20"/>
          <w:szCs w:val="20"/>
          <w:shd w:val="clear" w:color="auto" w:fill="ffffff"/>
        </w:rPr>
        <w:t xml:space="preserve"> </w:t>
      </w:r>
      <w:r>
        <w:rPr>
          <w:sz w:val="20"/>
          <w:szCs w:val="20"/>
          <w:shd w:val="clear" w:color="auto" w:fill="ffffff"/>
          <w:lang w:val="ru-RU"/>
        </w:rPr>
        <w:t xml:space="preserve">сведени</w:t>
      </w:r>
      <w:r>
        <w:rPr>
          <w:sz w:val="20"/>
          <w:szCs w:val="20"/>
          <w:shd w:val="clear" w:color="auto" w:fill="ffffff"/>
          <w:lang w:val="ru-RU"/>
        </w:rPr>
        <w:t xml:space="preserve">й и документов</w:t>
      </w:r>
      <w:r>
        <w:rPr>
          <w:sz w:val="20"/>
          <w:szCs w:val="20"/>
          <w:shd w:val="clear" w:color="auto" w:fill="ffffff"/>
          <w:lang w:val="ru-RU"/>
        </w:rPr>
        <w:t xml:space="preserve">, несоответствующи</w:t>
      </w:r>
      <w:r>
        <w:rPr>
          <w:sz w:val="20"/>
          <w:szCs w:val="20"/>
          <w:shd w:val="clear" w:color="auto" w:fill="ffffff"/>
          <w:lang w:val="ru-RU"/>
        </w:rPr>
        <w:t xml:space="preserve">х</w:t>
      </w:r>
      <w:r>
        <w:rPr>
          <w:sz w:val="20"/>
          <w:szCs w:val="20"/>
          <w:shd w:val="clear" w:color="auto" w:fill="ffffff"/>
          <w:lang w:val="ru-RU"/>
        </w:rPr>
        <w:t xml:space="preserve"> наименованиям полей</w:t>
      </w:r>
      <w:r>
        <w:rPr>
          <w:sz w:val="20"/>
          <w:szCs w:val="20"/>
          <w:shd w:val="clear" w:color="auto" w:fill="ffffff"/>
          <w:lang w:val="ru-RU"/>
        </w:rPr>
        <w:t xml:space="preserve"> формы, а также не прикрепления электронных образов документов, предусмотренных полями формы, или </w:t>
      </w:r>
      <w:r>
        <w:rPr>
          <w:sz w:val="20"/>
          <w:szCs w:val="20"/>
          <w:shd w:val="clear" w:color="auto" w:fill="ffffff"/>
          <w:lang w:val="ru-RU"/>
        </w:rPr>
        <w:t xml:space="preserve">прикрепления </w:t>
      </w:r>
      <w:r>
        <w:rPr>
          <w:sz w:val="20"/>
          <w:szCs w:val="20"/>
          <w:shd w:val="clear" w:color="auto" w:fill="ffffff"/>
          <w:lang w:val="ru-RU"/>
        </w:rPr>
        <w:t xml:space="preserve">электронных образов </w:t>
      </w:r>
      <w:r>
        <w:rPr>
          <w:sz w:val="20"/>
          <w:szCs w:val="20"/>
          <w:shd w:val="clear" w:color="auto" w:fill="ffffff"/>
          <w:lang w:val="ru-RU"/>
        </w:rPr>
        <w:t xml:space="preserve">документов, не предусмотренных формой</w:t>
      </w:r>
      <w:r>
        <w:rPr>
          <w:sz w:val="20"/>
          <w:szCs w:val="20"/>
          <w:shd w:val="clear" w:color="auto" w:fill="ffffff"/>
          <w:lang w:val="ru-RU"/>
        </w:rPr>
        <w:t xml:space="preserve">, некорректно заполненные позиции Справки</w:t>
      </w:r>
      <w:r>
        <w:rPr>
          <w:sz w:val="20"/>
          <w:szCs w:val="20"/>
          <w:shd w:val="clear" w:color="auto" w:fill="ffffff"/>
          <w:lang w:val="ru-RU"/>
        </w:rPr>
        <w:t xml:space="preserve"> </w:t>
      </w:r>
      <w:r>
        <w:rPr>
          <w:sz w:val="20"/>
          <w:szCs w:val="20"/>
          <w:shd w:val="clear" w:color="auto" w:fill="ffffff"/>
          <w:lang w:val="ru-RU"/>
        </w:rPr>
        <w:t xml:space="preserve">Организатором (Заказчиком) к рассмотрению не принимаются и при оценке</w:t>
      </w:r>
      <w:r>
        <w:rPr>
          <w:sz w:val="20"/>
          <w:szCs w:val="20"/>
          <w:shd w:val="clear" w:color="auto" w:fill="ffffff"/>
          <w:lang w:val="ru-RU"/>
        </w:rPr>
        <w:t xml:space="preserve"> </w:t>
      </w:r>
      <w:r>
        <w:rPr>
          <w:sz w:val="20"/>
          <w:szCs w:val="20"/>
          <w:shd w:val="clear" w:color="auto" w:fill="ffffff"/>
          <w:lang w:val="ru-RU"/>
        </w:rPr>
        <w:t xml:space="preserve">не учитываются.</w:t>
      </w:r>
      <w:r>
        <w:rPr>
          <w:sz w:val="20"/>
          <w:szCs w:val="20"/>
          <w:shd w:val="clear" w:color="auto" w:fill="ffffff"/>
          <w:lang w:val="ru-RU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687"/>
        <w:jc w:val="both"/>
      </w:pPr>
      <w:r>
        <w:rPr>
          <w:rStyle w:val="689"/>
        </w:rPr>
        <w:footnoteRef/>
      </w:r>
      <w:r>
        <w:t xml:space="preserve"> Участник должен указать договоры (</w:t>
      </w:r>
      <w:r>
        <w:rPr>
          <w:szCs w:val="24"/>
        </w:rPr>
        <w:t xml:space="preserve">тематика в соответствии с указанной в п</w:t>
      </w:r>
      <w:r>
        <w:rPr>
          <w:szCs w:val="24"/>
        </w:rPr>
        <w:t xml:space="preserve">. </w:t>
      </w:r>
      <w:r>
        <w:rPr>
          <w:szCs w:val="24"/>
        </w:rPr>
        <w:t xml:space="preserve">5</w:t>
      </w:r>
      <w:r>
        <w:t xml:space="preserve">.1.1 </w:t>
      </w:r>
      <w:r>
        <w:rPr>
          <w:szCs w:val="24"/>
        </w:rPr>
        <w:t xml:space="preserve">Информационной карты)</w:t>
      </w:r>
      <w:r>
        <w:t xml:space="preserve">,</w:t>
      </w:r>
      <w:r>
        <w:t xml:space="preserve"> в которых показаны соответствующие виды работ, услуг, а также самостоятельно выбрать те объекты, которые наилучшим образом характеризуют его опыт. </w:t>
      </w:r>
      <w:bookmarkStart w:id="1" w:name="_GoBack"/>
      <w:r/>
      <w:bookmarkEnd w:id="1"/>
      <w:r/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  <w:tabs>
          <w:tab w:val="num" w:pos="612" w:leader="none"/>
        </w:tabs>
      </w:pPr>
      <w:rPr>
        <w:rFonts w:hint="default"/>
      </w:rPr>
    </w:lvl>
    <w:lvl w:ilvl="1">
      <w:start w:val="1"/>
      <w:numFmt w:val="decimal"/>
      <w:pStyle w:val="683"/>
      <w:isLgl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  <w:b/>
        <w:sz w:val="20"/>
        <w:szCs w:val="20"/>
      </w:rPr>
    </w:lvl>
    <w:lvl w:ilvl="2">
      <w:start w:val="1"/>
      <w:numFmt w:val="decimal"/>
      <w:pStyle w:val="682"/>
      <w:isLgl/>
      <w:suff w:val="tab"/>
      <w:lvlText w:val="%1.%2.%3."/>
      <w:lvlJc w:val="left"/>
      <w:pPr>
        <w:ind w:left="5539" w:hanging="720"/>
        <w:tabs>
          <w:tab w:val="num" w:pos="4818" w:leader="none"/>
        </w:tabs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684"/>
      <w:isLgl/>
      <w:suff w:val="tab"/>
      <w:lvlText w:val="%1.%2.%3.%4."/>
      <w:lvlJc w:val="left"/>
      <w:pPr>
        <w:ind w:left="0" w:firstLine="142"/>
        <w:tabs>
          <w:tab w:val="num" w:pos="709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32" w:hanging="1080"/>
        <w:tabs>
          <w:tab w:val="num" w:pos="1332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92" w:hanging="1440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412" w:hanging="2160"/>
        <w:tabs>
          <w:tab w:val="num" w:pos="2412" w:leader="none"/>
        </w:tabs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6"/>
    <w:next w:val="67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7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6"/>
    <w:next w:val="67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6"/>
    <w:next w:val="67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6"/>
    <w:next w:val="67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6"/>
    <w:next w:val="67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6"/>
    <w:next w:val="67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6"/>
    <w:next w:val="67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6"/>
    <w:next w:val="67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6"/>
    <w:next w:val="67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6"/>
    <w:next w:val="67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7"/>
    <w:link w:val="34"/>
    <w:uiPriority w:val="10"/>
    <w:rPr>
      <w:sz w:val="48"/>
      <w:szCs w:val="48"/>
    </w:rPr>
  </w:style>
  <w:style w:type="paragraph" w:styleId="36">
    <w:name w:val="Subtitle"/>
    <w:basedOn w:val="676"/>
    <w:next w:val="67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7"/>
    <w:link w:val="36"/>
    <w:uiPriority w:val="11"/>
    <w:rPr>
      <w:sz w:val="24"/>
      <w:szCs w:val="24"/>
    </w:rPr>
  </w:style>
  <w:style w:type="paragraph" w:styleId="38">
    <w:name w:val="Quote"/>
    <w:basedOn w:val="676"/>
    <w:next w:val="67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6"/>
    <w:next w:val="67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7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77"/>
    <w:link w:val="42"/>
    <w:uiPriority w:val="99"/>
  </w:style>
  <w:style w:type="paragraph" w:styleId="44">
    <w:name w:val="Footer"/>
    <w:basedOn w:val="676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77"/>
    <w:link w:val="44"/>
    <w:uiPriority w:val="99"/>
  </w:style>
  <w:style w:type="paragraph" w:styleId="46">
    <w:name w:val="Caption"/>
    <w:basedOn w:val="676"/>
    <w:next w:val="676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7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7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character" w:styleId="176">
    <w:name w:val="Footnote Text Char"/>
    <w:link w:val="687"/>
    <w:uiPriority w:val="99"/>
    <w:rPr>
      <w:sz w:val="18"/>
    </w:rPr>
  </w:style>
  <w:style w:type="paragraph" w:styleId="178">
    <w:name w:val="endnote text"/>
    <w:basedOn w:val="67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7"/>
    <w:uiPriority w:val="99"/>
    <w:semiHidden/>
    <w:unhideWhenUsed/>
    <w:rPr>
      <w:vertAlign w:val="superscript"/>
    </w:rPr>
  </w:style>
  <w:style w:type="paragraph" w:styleId="181">
    <w:name w:val="toc 1"/>
    <w:basedOn w:val="676"/>
    <w:next w:val="67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6"/>
    <w:next w:val="67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6"/>
    <w:next w:val="67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6"/>
    <w:next w:val="67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6"/>
    <w:next w:val="67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6"/>
    <w:next w:val="67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6"/>
    <w:next w:val="67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6"/>
    <w:next w:val="67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6"/>
    <w:next w:val="67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6"/>
    <w:next w:val="676"/>
    <w:uiPriority w:val="99"/>
    <w:unhideWhenUsed/>
    <w:pPr>
      <w:spacing w:after="0" w:afterAutospacing="0"/>
    </w:pPr>
  </w:style>
  <w:style w:type="paragraph" w:styleId="676" w:default="1">
    <w:name w:val="Normal"/>
    <w:qFormat/>
  </w:style>
  <w:style w:type="character" w:styleId="677" w:default="1">
    <w:name w:val="Default Paragraph Font"/>
    <w:uiPriority w:val="1"/>
    <w:semiHidden/>
    <w:unhideWhenUsed/>
  </w:style>
  <w:style w:type="table" w:styleId="67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9" w:default="1">
    <w:name w:val="No List"/>
    <w:uiPriority w:val="99"/>
    <w:semiHidden/>
    <w:unhideWhenUsed/>
  </w:style>
  <w:style w:type="paragraph" w:styleId="680">
    <w:name w:val="Body Text Indent 3"/>
    <w:basedOn w:val="676"/>
    <w:link w:val="681"/>
    <w:pPr>
      <w:ind w:left="283"/>
      <w:spacing w:after="120" w:line="240" w:lineRule="auto"/>
    </w:pPr>
    <w:rPr>
      <w:rFonts w:ascii="Times New Roman" w:hAnsi="Times New Roman" w:eastAsia="Times New Roman" w:cs="Times New Roman"/>
      <w:sz w:val="16"/>
      <w:szCs w:val="16"/>
    </w:rPr>
  </w:style>
  <w:style w:type="character" w:styleId="681" w:customStyle="1">
    <w:name w:val="Основной текст с отступом 3 Знак"/>
    <w:basedOn w:val="677"/>
    <w:link w:val="680"/>
    <w:rPr>
      <w:rFonts w:ascii="Times New Roman" w:hAnsi="Times New Roman" w:eastAsia="Times New Roman" w:cs="Times New Roman"/>
      <w:sz w:val="16"/>
      <w:szCs w:val="16"/>
    </w:rPr>
  </w:style>
  <w:style w:type="paragraph" w:styleId="682" w:customStyle="1">
    <w:name w:val="Стиль номер обычный"/>
    <w:basedOn w:val="685"/>
    <w:qFormat/>
    <w:pPr>
      <w:numPr>
        <w:ilvl w:val="2"/>
        <w:numId w:val="1"/>
      </w:numPr>
      <w:ind w:left="566" w:firstLine="0"/>
      <w:jc w:val="both"/>
      <w:spacing w:line="240" w:lineRule="auto"/>
      <w:tabs>
        <w:tab w:val="num" w:pos="360" w:leader="none"/>
        <w:tab w:val="clear" w:pos="4818" w:leader="none"/>
      </w:tabs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683" w:customStyle="1">
    <w:name w:val="Стиль уровень 2"/>
    <w:basedOn w:val="676"/>
    <w:next w:val="682"/>
    <w:qFormat/>
    <w:pPr>
      <w:numPr>
        <w:ilvl w:val="1"/>
        <w:numId w:val="1"/>
      </w:numPr>
      <w:jc w:val="both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684" w:customStyle="1">
    <w:name w:val="Стиль номер продолжение"/>
    <w:basedOn w:val="682"/>
    <w:qFormat/>
    <w:pPr>
      <w:numPr>
        <w:ilvl w:val="3"/>
      </w:numPr>
      <w:spacing w:after="0"/>
      <w:tabs>
        <w:tab w:val="num" w:pos="360" w:leader="none"/>
        <w:tab w:val="clear" w:pos="709" w:leader="none"/>
      </w:tabs>
    </w:pPr>
    <w:rPr>
      <w:color w:val="000000"/>
    </w:rPr>
  </w:style>
  <w:style w:type="paragraph" w:styleId="685">
    <w:name w:val="List Continue 2"/>
    <w:basedOn w:val="676"/>
    <w:uiPriority w:val="99"/>
    <w:semiHidden/>
    <w:unhideWhenUsed/>
    <w:pPr>
      <w:contextualSpacing/>
      <w:ind w:left="566"/>
      <w:spacing w:after="120"/>
    </w:pPr>
  </w:style>
  <w:style w:type="character" w:styleId="686">
    <w:name w:val="Emphasis"/>
    <w:basedOn w:val="677"/>
    <w:uiPriority w:val="20"/>
    <w:qFormat/>
    <w:rPr>
      <w:i/>
      <w:iCs/>
    </w:rPr>
  </w:style>
  <w:style w:type="paragraph" w:styleId="687">
    <w:name w:val="footnote text"/>
    <w:basedOn w:val="676"/>
    <w:link w:val="688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88" w:customStyle="1">
    <w:name w:val="Текст сноски Знак"/>
    <w:basedOn w:val="677"/>
    <w:link w:val="68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89">
    <w:name w:val="footnote reference"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ООО "Газпром информ"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Зеленчук Наталья Михайловна</dc:creator>
  <cp:keywords/>
  <dc:description/>
  <cp:lastModifiedBy>NOVIELEV</cp:lastModifiedBy>
  <cp:revision>5</cp:revision>
  <dcterms:created xsi:type="dcterms:W3CDTF">2022-08-22T15:36:00Z</dcterms:created>
  <dcterms:modified xsi:type="dcterms:W3CDTF">2026-07-30T09:12:50Z</dcterms:modified>
</cp:coreProperties>
</file>