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3"/>
        <w:ind w:left="0"/>
        <w:jc w:val="both"/>
        <w:spacing w:after="0"/>
        <w:tabs>
          <w:tab w:val="left" w:pos="709" w:leader="none"/>
        </w:tabs>
        <w:rPr>
          <w:b/>
          <w:sz w:val="20"/>
          <w:szCs w:val="20"/>
        </w:rPr>
        <w:outlineLvl w:val="1"/>
      </w:pPr>
      <w:r/>
      <w:bookmarkStart w:id="0" w:name="_Toc1575929"/>
      <w:r/>
      <w:bookmarkStart w:id="1" w:name="_Toc2845339"/>
      <w:r/>
      <w:bookmarkStart w:id="2" w:name="_Toc58485926"/>
      <w:r/>
      <w:bookmarkStart w:id="3" w:name="_Toc453152091"/>
      <w:r/>
      <w:bookmarkStart w:id="4" w:name="_Toc453166643"/>
      <w:r/>
      <w:bookmarkStart w:id="5" w:name="_Toc453074251"/>
      <w:r/>
      <w:bookmarkStart w:id="6" w:name="_Toc476580313"/>
      <w:r/>
      <w:bookmarkStart w:id="7" w:name="_Toc513728108"/>
      <w:r/>
      <w:bookmarkStart w:id="8" w:name="_Toc336591639"/>
      <w:r/>
      <w:bookmarkStart w:id="9" w:name="_Toc341372377"/>
      <w:r/>
      <w:bookmarkStart w:id="10" w:name="_Toc316387224"/>
      <w:r/>
      <w:bookmarkStart w:id="11" w:name="_Toc356906321"/>
      <w:r/>
      <w:bookmarkStart w:id="12" w:name="_GoBack"/>
      <w:r/>
      <w:bookmarkEnd w:id="12"/>
      <w:r>
        <w:rPr>
          <w:b/>
          <w:sz w:val="20"/>
          <w:szCs w:val="20"/>
        </w:rPr>
        <w:t xml:space="preserve">Справка о соответствии Участника требованиям (Форма 4)</w:t>
      </w:r>
      <w:bookmarkEnd w:id="0"/>
      <w:r/>
      <w:bookmarkEnd w:id="1"/>
      <w:r/>
      <w:bookmarkEnd w:id="2"/>
      <w:r/>
      <w:r>
        <w:rPr>
          <w:b/>
          <w:sz w:val="20"/>
          <w:szCs w:val="20"/>
        </w:rPr>
      </w:r>
    </w:p>
    <w:p>
      <w:pPr>
        <w:pStyle w:val="706"/>
        <w:ind w:left="612"/>
        <w:jc w:val="center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(в случае Участника – Группы лиц, форма заполняется в отношении каждого)</w:t>
      </w:r>
      <w:r>
        <w:rPr>
          <w:rFonts w:ascii="Times New Roman" w:hAnsi="Times New Roman"/>
          <w:i/>
          <w:iCs/>
          <w:sz w:val="16"/>
        </w:rPr>
      </w:r>
    </w:p>
    <w:p>
      <w:pPr>
        <w:pStyle w:val="706"/>
        <w:ind w:left="612"/>
        <w:jc w:val="center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</w:r>
      <w:r>
        <w:rPr>
          <w:rFonts w:ascii="Times New Roman" w:hAnsi="Times New Roman"/>
          <w:i/>
          <w:iCs/>
          <w:sz w:val="16"/>
        </w:rPr>
      </w:r>
    </w:p>
    <w:p>
      <w:pPr>
        <w:pStyle w:val="706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</w:t>
      </w:r>
      <w:r>
        <w:rPr>
          <w:rFonts w:ascii="Times New Roman" w:hAnsi="Times New Roman"/>
        </w:rPr>
      </w:r>
    </w:p>
    <w:p>
      <w:pPr>
        <w:pStyle w:val="706"/>
        <w:ind w:left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 xml:space="preserve">(наименование Участника)</w:t>
      </w:r>
      <w:r>
        <w:rPr>
          <w:rFonts w:ascii="Times New Roman" w:hAnsi="Times New Roman"/>
          <w:i/>
          <w:sz w:val="18"/>
        </w:rPr>
      </w:r>
    </w:p>
    <w:p>
      <w:pPr>
        <w:pStyle w:val="706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подтверждает, что на момент подачи Заявки соответствует ниже следующим требованиям: </w:t>
      </w:r>
      <w:r>
        <w:rPr>
          <w:rFonts w:ascii="Times New Roman" w:hAnsi="Times New Roman"/>
        </w:rPr>
      </w:r>
    </w:p>
    <w:tbl>
      <w:tblPr>
        <w:tblStyle w:val="705"/>
        <w:tblW w:w="0" w:type="auto"/>
        <w:tblLook w:val="04A0" w:firstRow="1" w:lastRow="0" w:firstColumn="1" w:lastColumn="0" w:noHBand="0" w:noVBand="1"/>
      </w:tblPr>
      <w:tblGrid>
        <w:gridCol w:w="658"/>
        <w:gridCol w:w="5536"/>
        <w:gridCol w:w="1595"/>
        <w:gridCol w:w="1556"/>
      </w:tblGrid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Декларируемы сведения</w:t>
            </w:r>
            <w:r>
              <w:rPr>
                <w:sz w:val="16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Подтверждение Участником соответствия декларируемым сведениям</w:t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Подтверждаю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подтверждаю</w:t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Merge w:val="restart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1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tabs>
                <w:tab w:val="left" w:pos="1965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В отношении Участника не применяются процедуры банкротства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tabs>
                <w:tab w:val="left" w:pos="1965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Участник не находится в процессе ликвидации</w:t>
            </w:r>
            <w:r>
              <w:rPr>
                <w:rStyle w:val="702"/>
                <w:sz w:val="16"/>
              </w:rPr>
              <w:footnoteReference w:id="2"/>
            </w:r>
            <w:r>
              <w:rPr>
                <w:sz w:val="16"/>
              </w:rPr>
              <w:t xml:space="preserve">.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Merge w:val="restart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2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У Участника отсутствуют законодательные ограничения, препятствующие заключению и исполнению договора по итогам конкурентного отбора. 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Деятельность Участника не приостановлена в порядке, предусмотренном законом, в том числе по основаниям, предусмотренным Кодексом Российской Федерации об административных правонарушениях.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Merge w:val="restart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3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У Участника/руководителя, членов коллегиального исполнительного органа, главного бухгалтера отсутствует судимость за преступления в сфере экономики (за исключением, когда такая судимость погашена или снята)</w:t>
            </w:r>
            <w:r>
              <w:rPr>
                <w:rStyle w:val="702"/>
                <w:sz w:val="16"/>
              </w:rPr>
              <w:t xml:space="preserve"> </w:t>
            </w:r>
            <w:r>
              <w:rPr>
                <w:rStyle w:val="702"/>
                <w:sz w:val="16"/>
              </w:rPr>
              <w:footnoteReference w:id="3"/>
            </w:r>
            <w:r>
              <w:rPr>
                <w:sz w:val="16"/>
              </w:rPr>
              <w:t xml:space="preserve">. 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В отношении Участника/руководителя, членов коллегиального исполнительного органа, главного бухгалтера не применяются наказания</w:t>
            </w:r>
            <w:r>
              <w:rPr>
                <w:sz w:val="16"/>
              </w:rPr>
              <w:t xml:space="preserve"> в виде лишения права занимать определенные должности или заниматься определенной деятельностью, которые связаны с выполнением работы (оказанием услуги), являющихся предметом конкурентного отбора, и административного наказания в виде дисквалификации.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4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Федерации, отсутствуют сведения об Участнике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5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pStyle w:val="706"/>
              <w:ind w:left="0"/>
              <w:jc w:val="both"/>
              <w:spacing w:after="0" w:line="240" w:lineRule="auto"/>
              <w:tabs>
                <w:tab w:val="left" w:pos="709" w:leader="none"/>
              </w:tabs>
              <w:rPr>
                <w:sz w:val="16"/>
              </w:rPr>
            </w:pP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  <w:t xml:space="preserve">У Участника (Руководителя) отсутствует конфликт интересов с Заказчиком.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spacing w:after="200" w:line="276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6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pStyle w:val="706"/>
              <w:ind w:left="0"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  <w:t xml:space="preserve">Договор, который может быть заключен с Участником в случае определения его победителем не является для Участника сделкой с заинтересованностью и не требует одобрения коллегиальными органами</w:t>
            </w:r>
            <w:r>
              <w:rPr>
                <w:rStyle w:val="702"/>
                <w:rFonts w:ascii="Times New Roman" w:hAnsi="Times New Roman" w:eastAsia="Times New Roman"/>
                <w:sz w:val="16"/>
                <w:szCs w:val="20"/>
                <w:lang w:eastAsia="ru-RU"/>
              </w:rPr>
              <w:footnoteReference w:id="4"/>
            </w: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  <w:t xml:space="preserve">7</w:t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5" w:type="dxa"/>
            <w:textDirection w:val="lrTb"/>
            <w:noWrap w:val="false"/>
          </w:tcPr>
          <w:p>
            <w:pPr>
              <w:pStyle w:val="706"/>
              <w:ind w:left="0"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  <w:t xml:space="preserve">Договор, который может быть заключен с Участником в случае выбора его Заявки, содержащей наиболее выгодные условия исполнения договора, не является для Участника крупной сделкой и не требует одобрения коллегиальными органами</w:t>
            </w:r>
            <w:r>
              <w:rPr>
                <w:rStyle w:val="702"/>
                <w:rFonts w:ascii="Times New Roman" w:hAnsi="Times New Roman" w:eastAsia="Times New Roman"/>
                <w:sz w:val="16"/>
                <w:szCs w:val="20"/>
                <w:lang w:eastAsia="ru-RU"/>
              </w:rPr>
              <w:footnoteReference w:id="5"/>
            </w: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16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5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rPr>
          <w:b/>
        </w:rPr>
      </w:pPr>
      <w:r>
        <w:rPr>
          <w:b/>
        </w:rPr>
        <w:br w:type="page" w:clear="all"/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00"/>
        <w:jc w:val="both"/>
        <w:rPr>
          <w:i/>
          <w:sz w:val="16"/>
          <w:szCs w:val="16"/>
        </w:rPr>
      </w:pPr>
      <w:r>
        <w:rPr>
          <w:rStyle w:val="702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Для Участника, являющегося юридическим лицом или Индивидуальным предпринимателем </w:t>
      </w:r>
      <w:r>
        <w:rPr>
          <w:i/>
          <w:sz w:val="16"/>
          <w:szCs w:val="16"/>
        </w:rPr>
      </w:r>
    </w:p>
  </w:footnote>
  <w:footnote w:id="3">
    <w:p>
      <w:pPr>
        <w:jc w:val="both"/>
        <w:rPr>
          <w:i/>
          <w:sz w:val="16"/>
          <w:szCs w:val="16"/>
        </w:rPr>
      </w:pPr>
      <w:r>
        <w:rPr>
          <w:rStyle w:val="702"/>
          <w:i/>
          <w:sz w:val="16"/>
          <w:szCs w:val="16"/>
        </w:rPr>
        <w:footnoteRef/>
      </w:r>
      <w:r>
        <w:rPr>
          <w:i/>
          <w:sz w:val="16"/>
          <w:szCs w:val="16"/>
        </w:rPr>
        <w:t xml:space="preserve"> Для Участника, являющегося юридическим лицом</w:t>
      </w:r>
      <w:r>
        <w:rPr>
          <w:i/>
          <w:sz w:val="16"/>
          <w:szCs w:val="16"/>
        </w:rPr>
      </w:r>
    </w:p>
  </w:footnote>
  <w:footnote w:id="4">
    <w:p>
      <w:pPr>
        <w:pStyle w:val="700"/>
        <w:jc w:val="both"/>
        <w:rPr>
          <w:i/>
          <w:sz w:val="16"/>
          <w:szCs w:val="16"/>
        </w:rPr>
      </w:pPr>
      <w:r>
        <w:rPr>
          <w:rStyle w:val="702"/>
          <w:i/>
          <w:sz w:val="16"/>
          <w:szCs w:val="16"/>
        </w:rPr>
        <w:footnoteRef/>
      </w:r>
      <w:r>
        <w:rPr>
          <w:i/>
          <w:sz w:val="16"/>
          <w:szCs w:val="16"/>
        </w:rPr>
        <w:t xml:space="preserve"> В случаях, когда в соответствии с требованиями законодательства сдел</w:t>
      </w:r>
      <w:r>
        <w:rPr>
          <w:i/>
          <w:sz w:val="16"/>
          <w:szCs w:val="16"/>
        </w:rPr>
        <w:t xml:space="preserve">ки с заинтересованностью не требуют одобрения необходимо указать основания отсутствия необходимости одобрения. В случаях, когда одобрение не может быть предоставлено в составе Заявки, такие одобрения должны быть предоставлены к моменту заключения договора.</w:t>
      </w:r>
      <w:r>
        <w:rPr>
          <w:i/>
          <w:sz w:val="16"/>
          <w:szCs w:val="16"/>
        </w:rPr>
      </w:r>
    </w:p>
  </w:footnote>
  <w:footnote w:id="5">
    <w:p>
      <w:pPr>
        <w:jc w:val="both"/>
        <w:rPr>
          <w:i/>
          <w:sz w:val="18"/>
          <w:szCs w:val="18"/>
        </w:rPr>
      </w:pPr>
      <w:r>
        <w:rPr>
          <w:rStyle w:val="702"/>
          <w:i/>
          <w:sz w:val="16"/>
          <w:szCs w:val="16"/>
        </w:rPr>
        <w:footnoteRef/>
      </w:r>
      <w:r>
        <w:rPr>
          <w:i/>
          <w:sz w:val="16"/>
          <w:szCs w:val="16"/>
        </w:rPr>
        <w:t xml:space="preserve"> В случаях, когда в соответствии с требованиями законод</w:t>
      </w:r>
      <w:r>
        <w:rPr>
          <w:i/>
          <w:sz w:val="16"/>
          <w:szCs w:val="16"/>
        </w:rPr>
        <w:t xml:space="preserve">ательства крупные сделки не требуют одобрения необходимо указать основания отсутствия необходимости одобрения. В случаях, когда одобрение не может быть предоставлено в составе Заявки, такие одобрения должны быть предоставлены к моменту заключения договора.</w:t>
      </w:r>
      <w:r>
        <w:rPr>
          <w:i/>
          <w:sz w:val="18"/>
          <w:szCs w:val="18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708"/>
      <w:isLgl/>
      <w:suff w:val="tab"/>
      <w:lvlText w:val="%1.%2."/>
      <w:lvlJc w:val="left"/>
      <w:pPr>
        <w:ind w:left="4690" w:hanging="720"/>
        <w:tabs>
          <w:tab w:val="num" w:pos="4690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2280" w:hanging="720"/>
        <w:tabs>
          <w:tab w:val="num" w:pos="2280" w:leader="none"/>
        </w:tabs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222" w:hanging="1080"/>
        <w:tabs>
          <w:tab w:val="num" w:pos="1222" w:leader="none"/>
        </w:tabs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96"/>
    <w:next w:val="69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97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96"/>
    <w:next w:val="69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96"/>
    <w:next w:val="69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96"/>
    <w:next w:val="69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96"/>
    <w:next w:val="69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6"/>
    <w:next w:val="69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6"/>
    <w:next w:val="69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6"/>
    <w:next w:val="69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6"/>
    <w:next w:val="69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96"/>
    <w:next w:val="69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7"/>
    <w:link w:val="34"/>
    <w:uiPriority w:val="10"/>
    <w:rPr>
      <w:sz w:val="48"/>
      <w:szCs w:val="48"/>
    </w:rPr>
  </w:style>
  <w:style w:type="paragraph" w:styleId="36">
    <w:name w:val="Subtitle"/>
    <w:basedOn w:val="696"/>
    <w:next w:val="69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7"/>
    <w:link w:val="36"/>
    <w:uiPriority w:val="11"/>
    <w:rPr>
      <w:sz w:val="24"/>
      <w:szCs w:val="24"/>
    </w:rPr>
  </w:style>
  <w:style w:type="paragraph" w:styleId="38">
    <w:name w:val="Quote"/>
    <w:basedOn w:val="696"/>
    <w:next w:val="69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6"/>
    <w:next w:val="69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9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97"/>
    <w:link w:val="42"/>
    <w:uiPriority w:val="99"/>
  </w:style>
  <w:style w:type="paragraph" w:styleId="44">
    <w:name w:val="Footer"/>
    <w:basedOn w:val="69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97"/>
    <w:link w:val="44"/>
    <w:uiPriority w:val="99"/>
  </w:style>
  <w:style w:type="paragraph" w:styleId="46">
    <w:name w:val="Caption"/>
    <w:basedOn w:val="696"/>
    <w:next w:val="69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9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700"/>
    <w:uiPriority w:val="99"/>
    <w:rPr>
      <w:sz w:val="18"/>
    </w:rPr>
  </w:style>
  <w:style w:type="paragraph" w:styleId="178">
    <w:name w:val="endnote text"/>
    <w:basedOn w:val="69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7"/>
    <w:uiPriority w:val="99"/>
    <w:semiHidden/>
    <w:unhideWhenUsed/>
    <w:rPr>
      <w:vertAlign w:val="superscript"/>
    </w:rPr>
  </w:style>
  <w:style w:type="paragraph" w:styleId="181">
    <w:name w:val="toc 1"/>
    <w:basedOn w:val="696"/>
    <w:next w:val="69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6"/>
    <w:next w:val="69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6"/>
    <w:next w:val="69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6"/>
    <w:next w:val="69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6"/>
    <w:next w:val="69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6"/>
    <w:next w:val="69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6"/>
    <w:next w:val="69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6"/>
    <w:next w:val="69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6"/>
    <w:next w:val="69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6"/>
    <w:next w:val="696"/>
    <w:uiPriority w:val="99"/>
    <w:unhideWhenUsed/>
    <w:pPr>
      <w:spacing w:after="0" w:afterAutospacing="0"/>
    </w:pPr>
  </w:style>
  <w:style w:type="paragraph" w:styleId="69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paragraph" w:styleId="700">
    <w:name w:val="footnote text"/>
    <w:basedOn w:val="696"/>
    <w:link w:val="701"/>
    <w:uiPriority w:val="99"/>
  </w:style>
  <w:style w:type="character" w:styleId="701" w:customStyle="1">
    <w:name w:val="Текст сноски Знак"/>
    <w:basedOn w:val="697"/>
    <w:link w:val="70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02">
    <w:name w:val="footnote reference"/>
    <w:rPr>
      <w:vertAlign w:val="superscript"/>
    </w:rPr>
  </w:style>
  <w:style w:type="paragraph" w:styleId="703">
    <w:name w:val="Body Text Indent 3"/>
    <w:basedOn w:val="696"/>
    <w:link w:val="704"/>
    <w:pPr>
      <w:ind w:left="283"/>
      <w:spacing w:after="120"/>
    </w:pPr>
    <w:rPr>
      <w:sz w:val="16"/>
      <w:szCs w:val="16"/>
    </w:rPr>
  </w:style>
  <w:style w:type="character" w:styleId="704" w:customStyle="1">
    <w:name w:val="Основной текст с отступом 3 Знак"/>
    <w:basedOn w:val="697"/>
    <w:link w:val="703"/>
    <w:rPr>
      <w:rFonts w:ascii="Times New Roman" w:hAnsi="Times New Roman" w:eastAsia="Times New Roman" w:cs="Times New Roman"/>
      <w:sz w:val="16"/>
      <w:szCs w:val="16"/>
    </w:rPr>
  </w:style>
  <w:style w:type="table" w:styleId="705">
    <w:name w:val="Table Grid"/>
    <w:basedOn w:val="698"/>
    <w:uiPriority w:val="59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6">
    <w:name w:val="List Paragraph"/>
    <w:basedOn w:val="696"/>
    <w:link w:val="707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707" w:customStyle="1">
    <w:name w:val="Абзац списка Знак"/>
    <w:basedOn w:val="697"/>
    <w:link w:val="706"/>
    <w:rPr>
      <w:rFonts w:ascii="Calibri" w:hAnsi="Calibri" w:eastAsia="Calibri" w:cs="Times New Roman"/>
    </w:rPr>
  </w:style>
  <w:style w:type="paragraph" w:styleId="708" w:customStyle="1">
    <w:name w:val="Дозп загол"/>
    <w:basedOn w:val="703"/>
    <w:qFormat/>
    <w:pPr>
      <w:numPr>
        <w:ilvl w:val="1"/>
        <w:numId w:val="1"/>
      </w:numPr>
      <w:jc w:val="both"/>
      <w:spacing w:after="0"/>
      <w:tabs>
        <w:tab w:val="left" w:pos="426" w:leader="none"/>
      </w:tabs>
      <w:outlineLvl w:val="1"/>
    </w:pPr>
    <w:rPr>
      <w:b/>
      <w:sz w:val="20"/>
      <w:lang w:val="ru-RU"/>
    </w:rPr>
  </w:style>
  <w:style w:type="paragraph" w:styleId="709" w:customStyle="1">
    <w:name w:val="Стиль номер обычный"/>
    <w:basedOn w:val="711"/>
    <w:link w:val="710"/>
    <w:qFormat/>
    <w:pPr>
      <w:ind w:left="0"/>
      <w:jc w:val="both"/>
    </w:pPr>
    <w:rPr>
      <w:sz w:val="28"/>
    </w:rPr>
  </w:style>
  <w:style w:type="character" w:styleId="710" w:customStyle="1">
    <w:name w:val="Стиль номер обычный Знак"/>
    <w:basedOn w:val="697"/>
    <w:link w:val="70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11">
    <w:name w:val="List Continue 2"/>
    <w:basedOn w:val="696"/>
    <w:uiPriority w:val="99"/>
    <w:semiHidden/>
    <w:unhideWhenUsed/>
    <w:pPr>
      <w:contextualSpacing/>
      <w:ind w:left="566"/>
      <w:spacing w:after="1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ООО "Газпром информ"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NOVIELEV</cp:lastModifiedBy>
  <cp:revision>8</cp:revision>
  <dcterms:created xsi:type="dcterms:W3CDTF">2021-10-07T08:57:00Z</dcterms:created>
  <dcterms:modified xsi:type="dcterms:W3CDTF">2026-07-30T09:16:10Z</dcterms:modified>
</cp:coreProperties>
</file>