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229"/>
        <w:jc w:val="right"/>
        <w:spacing w:after="0" w:afterAutospacing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1</w:t>
      </w: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к договору №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__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_________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____ </w:t>
      </w:r>
      <w:r>
        <w:rPr>
          <w:rFonts w:ascii="Times New Roman" w:hAnsi="Times New Roman" w:cs="Times New Roman"/>
          <w:szCs w:val="24"/>
        </w:rPr>
      </w:r>
      <w:r>
        <w:rPr>
          <w:rFonts w:ascii="Times New Roman" w:hAnsi="Times New Roman" w:cs="Times New Roman"/>
          <w:szCs w:val="24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«___»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_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_____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____20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__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 г.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  <w:t xml:space="preserve">Техническое задание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  <w:t xml:space="preserve">на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  <w:t xml:space="preserve">выполнение работ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  <w:lang w:eastAsia="ru-RU"/>
        </w:rPr>
        <w:t xml:space="preserve">по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  <w:lang w:eastAsia="ru-RU"/>
        </w:rPr>
        <w:t xml:space="preserve">развитию программного обеспечения </w:t>
        <w:br/>
        <w:t xml:space="preserve">на базе 1С:ERP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  <w:br/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</w:p>
    <w:p>
      <w:pPr>
        <w:pStyle w:val="1204"/>
        <w:numPr>
          <w:ilvl w:val="0"/>
          <w:numId w:val="52"/>
        </w:numPr>
        <w:ind w:firstLine="709"/>
        <w:keepLines/>
        <w:keepNext/>
        <w:spacing w:line="240" w:lineRule="auto"/>
        <w:shd w:val="clear" w:color="auto" w:fill="auto"/>
        <w:tabs>
          <w:tab w:val="left" w:pos="426" w:leader="none"/>
        </w:tabs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Общие сведения</w:t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r>
    </w:p>
    <w:p>
      <w:pPr>
        <w:pStyle w:val="1207"/>
        <w:numPr>
          <w:ilvl w:val="1"/>
          <w:numId w:val="52"/>
        </w:numPr>
        <w:ind w:firstLine="709"/>
        <w:spacing w:after="0" w:line="240" w:lineRule="auto"/>
        <w:shd w:val="clear" w:color="auto" w:fill="auto"/>
        <w:tabs>
          <w:tab w:val="left" w:pos="426" w:leader="none"/>
        </w:tabs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Сведения о Заказчике</w:t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r>
    </w:p>
    <w:p>
      <w:pPr>
        <w:pStyle w:val="1205"/>
        <w:ind w:firstLine="709"/>
        <w:spacing w:line="240" w:lineRule="auto"/>
        <w:shd w:val="clear" w:color="auto" w:fill="auto"/>
        <w:tabs>
          <w:tab w:val="left" w:pos="426" w:leader="none"/>
        </w:tabs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Заказчик – АО «Газпром диагностика» (далее – Общество).</w:t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r>
    </w:p>
    <w:p>
      <w:pPr>
        <w:pStyle w:val="1207"/>
        <w:numPr>
          <w:ilvl w:val="1"/>
          <w:numId w:val="52"/>
        </w:numPr>
        <w:ind w:firstLine="709"/>
        <w:spacing w:after="0" w:line="240" w:lineRule="auto"/>
        <w:shd w:val="clear" w:color="auto" w:fill="auto"/>
        <w:tabs>
          <w:tab w:val="left" w:pos="426" w:leader="none"/>
        </w:tabs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Сроки проведения работ</w:t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r>
    </w:p>
    <w:p>
      <w:pPr>
        <w:pStyle w:val="1205"/>
        <w:ind w:firstLine="709"/>
        <w:spacing w:line="240" w:lineRule="auto"/>
        <w:shd w:val="clear" w:color="auto" w:fill="auto"/>
        <w:tabs>
          <w:tab w:val="left" w:pos="426" w:leader="none"/>
        </w:tabs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С даты заключения договора по 30.12.2026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r>
    </w:p>
    <w:p>
      <w:pPr>
        <w:pStyle w:val="1207"/>
        <w:numPr>
          <w:ilvl w:val="1"/>
          <w:numId w:val="52"/>
        </w:numPr>
        <w:ind w:firstLine="709"/>
        <w:spacing w:after="0" w:line="240" w:lineRule="auto"/>
        <w:shd w:val="clear" w:color="auto" w:fill="auto"/>
        <w:tabs>
          <w:tab w:val="left" w:pos="426" w:leader="none"/>
        </w:tabs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Место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проведения работ</w:t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r>
    </w:p>
    <w:p>
      <w:pPr>
        <w:pStyle w:val="1205"/>
        <w:ind w:firstLine="709"/>
        <w:spacing w:line="240" w:lineRule="auto"/>
        <w:shd w:val="clear" w:color="auto" w:fill="auto"/>
        <w:tabs>
          <w:tab w:val="left" w:pos="426" w:leader="none"/>
        </w:tabs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Местом оказания услуг является офис Заказчика по адресу: Российская Федерация,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br/>
        <w:t xml:space="preserve">г. Санкт-Петербург, улица Гренадерская, дом 7 литера А</w:t>
      </w:r>
      <w:r>
        <w:rPr>
          <w:rStyle w:val="1186"/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footnoteReference w:id="2"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</w:p>
    <w:p>
      <w:pPr>
        <w:pStyle w:val="1204"/>
        <w:numPr>
          <w:ilvl w:val="0"/>
          <w:numId w:val="52"/>
        </w:numPr>
        <w:ind w:firstLine="709"/>
        <w:keepLines/>
        <w:keepNext/>
        <w:spacing w:line="240" w:lineRule="auto"/>
        <w:shd w:val="clear" w:color="auto" w:fill="auto"/>
        <w:tabs>
          <w:tab w:val="left" w:pos="426" w:leader="none"/>
        </w:tabs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Цель, результаты проводимых работ</w:t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r>
    </w:p>
    <w:p>
      <w:pPr>
        <w:pStyle w:val="1207"/>
        <w:numPr>
          <w:ilvl w:val="1"/>
          <w:numId w:val="52"/>
        </w:numPr>
        <w:ind w:firstLine="709"/>
        <w:spacing w:after="0" w:line="240" w:lineRule="auto"/>
        <w:shd w:val="clear" w:color="auto" w:fill="auto"/>
        <w:tabs>
          <w:tab w:val="left" w:pos="426" w:leader="none"/>
        </w:tabs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Цель: </w:t>
      </w:r>
      <w:r>
        <w:rPr>
          <w:rFonts w:ascii="Times New Roman" w:hAnsi="Times New Roman" w:eastAsia="Times New Roman" w:cs="Times New Roman"/>
          <w:b w:val="0"/>
          <w:color w:val="000000" w:themeColor="text1"/>
          <w:sz w:val="24"/>
          <w:szCs w:val="24"/>
          <w:highlight w:val="none"/>
        </w:rPr>
        <w:t xml:space="preserve">развитие программного обеспечения на базе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  <w:lang w:eastAsia="ru-RU"/>
        </w:rPr>
        <w:t xml:space="preserve">1С:ERP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 w:val="0"/>
          <w:color w:val="000000" w:themeColor="text1"/>
          <w:sz w:val="24"/>
          <w:szCs w:val="24"/>
          <w:highlight w:val="none"/>
        </w:rPr>
        <w:t xml:space="preserve">в соответствии с настоящим Техническим заданием (далее – ТЗ)</w:t>
      </w:r>
      <w:r>
        <w:rPr>
          <w:rFonts w:ascii="Times New Roman" w:hAnsi="Times New Roman" w:eastAsia="Times New Roman" w:cs="Times New Roman"/>
          <w:b w:val="0"/>
          <w:color w:val="000000" w:themeColor="text1"/>
          <w:sz w:val="24"/>
          <w:szCs w:val="24"/>
          <w:highlight w:val="none"/>
        </w:rPr>
        <w:t xml:space="preserve">, принятое Заказчиком модернизированное программное обеспечение в комплекте с соответствующей документацией</w:t>
      </w:r>
      <w:r>
        <w:rPr>
          <w:rFonts w:ascii="Times New Roman" w:hAnsi="Times New Roman" w:eastAsia="Times New Roman" w:cs="Times New Roman"/>
          <w:b w:val="0"/>
          <w:color w:val="000000" w:themeColor="text1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</w:p>
    <w:p>
      <w:pPr>
        <w:pStyle w:val="1207"/>
        <w:numPr>
          <w:ilvl w:val="1"/>
          <w:numId w:val="52"/>
        </w:numPr>
        <w:ind w:firstLine="709"/>
        <w:spacing w:after="0" w:line="240" w:lineRule="auto"/>
        <w:shd w:val="clear" w:color="auto" w:fill="auto"/>
        <w:tabs>
          <w:tab w:val="left" w:pos="426" w:leader="none"/>
        </w:tabs>
        <w:rPr>
          <w:rFonts w:ascii="Times New Roman" w:hAnsi="Times New Roman" w:cs="Times New Roman"/>
          <w:color w:val="000000" w:themeColor="text1"/>
          <w:sz w:val="24"/>
          <w:szCs w:val="24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Характеристика объекта работ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  <w14:ligatures w14:val="none"/>
        </w:rPr>
      </w:r>
    </w:p>
    <w:p>
      <w:pPr>
        <w:pStyle w:val="1207"/>
        <w:ind w:left="0" w:right="0" w:firstLine="709"/>
        <w:spacing w:after="0" w:line="240" w:lineRule="auto"/>
        <w:shd w:val="clear" w:color="auto" w:fill="auto"/>
        <w:tabs>
          <w:tab w:val="left" w:pos="426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  <w:t xml:space="preserve">Объектом выполнения работ по данному ТЗ является информационная система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  <w:lang w:eastAsia="ru-RU"/>
        </w:rPr>
        <w:t xml:space="preserve">1С:ERP на платформе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  <w:t xml:space="preserve">1С: Предприятие 8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  <w:lang w:eastAsia="ru-RU"/>
        </w:rPr>
        <w:t xml:space="preserve"> в составе следующих программных и функциональных компонентов (далее – Система):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r>
    </w:p>
    <w:p>
      <w:pPr>
        <w:pStyle w:val="1207"/>
        <w:numPr>
          <w:ilvl w:val="0"/>
          <w:numId w:val="101"/>
        </w:numPr>
        <w:ind w:left="0" w:right="0" w:firstLine="709"/>
        <w:spacing w:after="0" w:line="240" w:lineRule="auto"/>
        <w:shd w:val="clear" w:color="auto" w:fill="auto"/>
        <w:tabs>
          <w:tab w:val="left" w:pos="426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  <w:lang w:eastAsia="ru-RU"/>
        </w:rPr>
        <w:t xml:space="preserve">бухгалтерский учет;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r>
    </w:p>
    <w:p>
      <w:pPr>
        <w:pStyle w:val="1207"/>
        <w:numPr>
          <w:ilvl w:val="0"/>
          <w:numId w:val="91"/>
        </w:numPr>
        <w:ind w:left="0" w:right="0" w:firstLine="709"/>
        <w:spacing w:after="0" w:line="240" w:lineRule="auto"/>
        <w:shd w:val="clear" w:color="auto" w:fill="auto"/>
        <w:tabs>
          <w:tab w:val="left" w:pos="426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  <w:lang w:eastAsia="ru-RU"/>
        </w:rPr>
        <w:t xml:space="preserve">п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  <w:lang w:eastAsia="ru-RU"/>
        </w:rPr>
        <w:t xml:space="preserve">роизводственная программа;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r>
    </w:p>
    <w:p>
      <w:pPr>
        <w:pStyle w:val="1207"/>
        <w:numPr>
          <w:ilvl w:val="0"/>
          <w:numId w:val="103"/>
        </w:numPr>
        <w:ind w:left="0" w:right="0" w:firstLine="709"/>
        <w:spacing w:after="0" w:line="240" w:lineRule="auto"/>
        <w:shd w:val="clear" w:color="auto" w:fill="auto"/>
        <w:tabs>
          <w:tab w:val="left" w:pos="426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  <w:lang w:eastAsia="ru-RU"/>
        </w:rPr>
        <w:t xml:space="preserve">управление холдингом/предприятием;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r>
    </w:p>
    <w:p>
      <w:pPr>
        <w:pStyle w:val="1207"/>
        <w:numPr>
          <w:ilvl w:val="0"/>
          <w:numId w:val="91"/>
        </w:numPr>
        <w:ind w:left="0" w:right="0" w:firstLine="709"/>
        <w:spacing w:after="0" w:line="240" w:lineRule="auto"/>
        <w:shd w:val="clear" w:color="auto" w:fill="auto"/>
        <w:tabs>
          <w:tab w:val="left" w:pos="426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  <w:lang w:eastAsia="ru-RU"/>
        </w:rPr>
        <w:t xml:space="preserve">управление закупками/торговлей (приобретение товаров и услуг);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r>
    </w:p>
    <w:p>
      <w:pPr>
        <w:pStyle w:val="1207"/>
        <w:numPr>
          <w:ilvl w:val="0"/>
          <w:numId w:val="104"/>
        </w:numPr>
        <w:ind w:left="0" w:right="0" w:firstLine="709"/>
        <w:spacing w:after="0" w:line="240" w:lineRule="auto"/>
        <w:shd w:val="clear" w:color="auto" w:fill="auto"/>
        <w:tabs>
          <w:tab w:val="left" w:pos="426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  <w:lang w:eastAsia="ru-RU"/>
        </w:rPr>
        <w:t xml:space="preserve">казначейство (бюджетирование, управленческий учет и т.д.);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r>
    </w:p>
    <w:p>
      <w:pPr>
        <w:pStyle w:val="1207"/>
        <w:numPr>
          <w:ilvl w:val="0"/>
          <w:numId w:val="91"/>
        </w:numPr>
        <w:ind w:left="0" w:right="0" w:firstLine="709"/>
        <w:spacing w:after="0" w:line="240" w:lineRule="auto"/>
        <w:shd w:val="clear" w:color="auto" w:fill="auto"/>
        <w:tabs>
          <w:tab w:val="left" w:pos="426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  <w:lang w:eastAsia="ru-RU"/>
        </w:rPr>
        <w:t xml:space="preserve">диспетчерский учет;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r>
    </w:p>
    <w:p>
      <w:pPr>
        <w:pStyle w:val="1207"/>
        <w:numPr>
          <w:ilvl w:val="0"/>
          <w:numId w:val="91"/>
        </w:numPr>
        <w:ind w:left="0" w:right="0" w:firstLine="709"/>
        <w:spacing w:after="0" w:line="240" w:lineRule="auto"/>
        <w:shd w:val="clear" w:color="auto" w:fill="auto"/>
        <w:tabs>
          <w:tab w:val="left" w:pos="426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  <w:lang w:eastAsia="ru-RU"/>
        </w:rPr>
        <w:t xml:space="preserve">интеграционные компоненты системы и взаимосвязанных систем в рамках двухсторонних взаимодействий.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r>
    </w:p>
    <w:p>
      <w:pPr>
        <w:pStyle w:val="1207"/>
        <w:numPr>
          <w:ilvl w:val="1"/>
          <w:numId w:val="52"/>
        </w:numPr>
        <w:ind w:firstLine="709"/>
        <w:spacing w:after="0" w:line="240" w:lineRule="auto"/>
        <w:shd w:val="clear" w:color="auto" w:fill="auto"/>
        <w:tabs>
          <w:tab w:val="left" w:pos="426" w:leader="none"/>
        </w:tabs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Результаты:</w:t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r>
    </w:p>
    <w:p>
      <w:pPr>
        <w:ind w:left="0" w:right="0" w:firstLine="709"/>
        <w:jc w:val="both"/>
        <w:spacing w:after="0" w:afterAutospacing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  <w:t xml:space="preserve">Модернизированное программное обеспечение Системы в соответствии с Частными техническими заданиями (далее – ЧТЗ) согласно настоящему ТЗ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</w:p>
    <w:p>
      <w:pPr>
        <w:ind w:left="0" w:right="0" w:firstLine="709"/>
        <w:jc w:val="both"/>
        <w:spacing w:after="0" w:afterAutospacing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  <w:t xml:space="preserve">В рамках выполнения работ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  <w:t xml:space="preserve">Исполнитель обязуется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  <w:t xml:space="preserve">: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</w:p>
    <w:p>
      <w:pPr>
        <w:pStyle w:val="1202"/>
        <w:numPr>
          <w:ilvl w:val="0"/>
          <w:numId w:val="41"/>
        </w:numPr>
        <w:ind w:left="0" w:right="0" w:firstLine="709"/>
        <w:jc w:val="both"/>
        <w:spacing w:after="0" w:afterAutospacing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  <w:t xml:space="preserve">Выполнить работы по реализации функциональности Системы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  <w:t xml:space="preserve">, представленной </w:t>
        <w:br/>
        <w:t xml:space="preserve">в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  <w:t xml:space="preserve">Частных технических заданиях согласно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  <w:t xml:space="preserve"> настоящему Техническому заданию,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  <w:t xml:space="preserve">в соответствии </w:t>
        <w:br/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  <w:t xml:space="preserve">с Составом, сроками и содержанием работ, указанным в Таблице 1;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</w:p>
    <w:p>
      <w:pPr>
        <w:pStyle w:val="1202"/>
        <w:numPr>
          <w:ilvl w:val="0"/>
          <w:numId w:val="41"/>
        </w:numPr>
        <w:ind w:left="0" w:right="0" w:firstLine="709"/>
        <w:jc w:val="both"/>
        <w:spacing w:after="0" w:afterAutospacing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  <w:t xml:space="preserve">Разработать комплект документации на реализованную функциональность </w:t>
        <w:br/>
        <w:t xml:space="preserve">в соответствии с Таблицей 1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  <w:t xml:space="preserve"> и предоставить его Заказчику в печатной (в одном экземпляре) </w:t>
        <w:br/>
        <w:t xml:space="preserve">и электронной формах.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</w:p>
    <w:p>
      <w:pPr>
        <w:shd w:val="nil" w:color="auto"/>
        <w:rPr>
          <w:rFonts w:ascii="Times New Roman" w:hAnsi="Times New Roman" w:eastAsia="Times New Roman" w:cs="Times New Roman"/>
          <w:b w:val="0"/>
          <w:bCs w:val="0"/>
          <w:color w:val="000000" w:themeColor="text1"/>
          <w:highlight w:val="none"/>
        </w:rPr>
        <w:sectPr>
          <w:footnotePr/>
          <w:endnotePr/>
          <w:type w:val="nextPage"/>
          <w:pgSz w:w="11906" w:h="16838" w:orient="portrait"/>
          <w:pgMar w:top="1134" w:right="1129" w:bottom="1134" w:left="1134" w:header="709" w:footer="709" w:gutter="0"/>
          <w:cols w:num="1" w:sep="0" w:space="1701" w:equalWidth="1"/>
          <w:docGrid w:linePitch="360"/>
        </w:sect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highlight w:val="none"/>
        </w:rPr>
      </w:r>
    </w:p>
    <w:p>
      <w:pPr>
        <w:pStyle w:val="1203"/>
        <w:ind w:left="0" w:firstLine="0"/>
        <w:jc w:val="right"/>
        <w:spacing w:before="0" w:after="0" w:afterAutospacing="0" w:line="283" w:lineRule="exact"/>
        <w:rPr>
          <w:rFonts w:ascii="Times New Roman" w:hAnsi="Times New Roman" w:eastAsia="Times New Roman" w:cs="Times New Roman"/>
          <w:b w:val="0"/>
          <w:bCs w:val="0"/>
          <w:color w:val="000000" w:themeColor="text1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Cs w:val="24"/>
          <w:highlight w:val="none"/>
        </w:rPr>
        <w:t xml:space="preserve">Таблица 1. Состав, сроки и содержание работ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highlight w:val="none"/>
        </w:rPr>
      </w:r>
    </w:p>
    <w:tbl>
      <w:tblPr>
        <w:tblW w:w="5012" w:type="pct"/>
        <w:tblInd w:w="-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A0" w:firstRow="1" w:lastRow="0" w:firstColumn="1" w:lastColumn="0" w:noHBand="0" w:noVBand="0"/>
      </w:tblPr>
      <w:tblGrid>
        <w:gridCol w:w="825"/>
        <w:gridCol w:w="3009"/>
        <w:gridCol w:w="3118"/>
        <w:gridCol w:w="4110"/>
        <w:gridCol w:w="3543"/>
      </w:tblGrid>
      <w:tr>
        <w:tblPrEx/>
        <w:trPr>
          <w:cantSplit/>
          <w:trHeight w:val="227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№ п/п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09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Наименование фазы (этапа)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Срок выполнения работ по этапу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0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Работы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Наименование отчетных документов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</w:tr>
      <w:tr>
        <w:tblPrEx/>
        <w:trPr>
          <w:cantSplit/>
          <w:trHeight w:val="227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5" w:type="dxa"/>
            <w:vAlign w:val="center"/>
            <w:textDirection w:val="lrTb"/>
            <w:noWrap w:val="false"/>
          </w:tcPr>
          <w:p>
            <w:pPr>
              <w:contextualSpacing/>
              <w:ind w:left="-108" w:right="-116"/>
              <w:jc w:val="center"/>
              <w:spacing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09" w:type="dxa"/>
            <w:vAlign w:val="center"/>
            <w:textDirection w:val="lrTb"/>
            <w:noWrap/>
          </w:tcPr>
          <w:p>
            <w:pPr>
              <w:contextualSpacing/>
              <w:ind w:right="-93"/>
              <w:jc w:val="center"/>
              <w:spacing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Align w:val="center"/>
            <w:textDirection w:val="lrTb"/>
            <w:noWrap w:val="false"/>
          </w:tcPr>
          <w:p>
            <w:pPr>
              <w:contextualSpacing/>
              <w:ind w:right="-93"/>
              <w:jc w:val="center"/>
              <w:spacing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3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0" w:type="dxa"/>
            <w:vAlign w:val="center"/>
            <w:textDirection w:val="lrTb"/>
            <w:noWrap w:val="false"/>
          </w:tcPr>
          <w:p>
            <w:pPr>
              <w:contextualSpacing/>
              <w:ind w:right="-93"/>
              <w:jc w:val="center"/>
              <w:spacing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4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Align w:val="center"/>
            <w:textDirection w:val="lrTb"/>
            <w:noWrap w:val="false"/>
          </w:tcPr>
          <w:p>
            <w:pPr>
              <w:contextualSpacing/>
              <w:ind w:right="-93"/>
              <w:jc w:val="center"/>
              <w:spacing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5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</w:tr>
      <w:tr>
        <w:tblPrEx/>
        <w:trPr>
          <w:trHeight w:val="170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5" w:type="dxa"/>
            <w:textDirection w:val="lrTb"/>
            <w:noWrap w:val="false"/>
          </w:tcPr>
          <w:p>
            <w:pPr>
              <w:pStyle w:val="1202"/>
              <w:numPr>
                <w:ilvl w:val="0"/>
                <w:numId w:val="79"/>
              </w:numPr>
              <w:ind w:left="0" w:right="0" w:firstLine="0"/>
              <w:jc w:val="left"/>
              <w:spacing w:line="240" w:lineRule="auto"/>
              <w:shd w:val="nil" w:color="000000"/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09" w:type="dxa"/>
            <w:textDirection w:val="lrTb"/>
            <w:noWrap w:val="false"/>
          </w:tcPr>
          <w:p>
            <w:pPr>
              <w:jc w:val="left"/>
              <w:spacing w:line="240" w:lineRule="auto"/>
              <w:shd w:val="nil" w:color="000000"/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Проектирование создаваемых/обновляемых компонентов Системы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В течение 5 рабочих дней с даты заключения Договора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, но не позднее 30.12.2026.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0" w:type="dxa"/>
            <w:textDirection w:val="lrTb"/>
            <w:noWrap w:val="false"/>
          </w:tcPr>
          <w:p>
            <w:pPr>
              <w:pStyle w:val="1231"/>
              <w:numPr>
                <w:ilvl w:val="0"/>
                <w:numId w:val="77"/>
              </w:numPr>
              <w:ind w:left="0" w:right="0" w:firstLine="0"/>
              <w:spacing w:line="240" w:lineRule="auto"/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8"/>
                <w:szCs w:val="28"/>
                <w:highlight w:val="none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</w:rPr>
              <w:t xml:space="preserve">Проведение работ по уточнению функциональных требований</w:t>
            </w:r>
            <w:r>
              <w:rPr>
                <w:rStyle w:val="1186"/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</w:rPr>
              <w:footnoteReference w:id="3"/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</w:rPr>
              <w:t xml:space="preserve">;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pStyle w:val="1233"/>
              <w:numPr>
                <w:ilvl w:val="0"/>
                <w:numId w:val="77"/>
              </w:numPr>
              <w:ind w:left="0" w:right="0" w:firstLine="0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/>
              </w:rPr>
              <w:t xml:space="preserve">Разработка проектной документации.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textDirection w:val="lrTb"/>
            <w:noWrap w:val="false"/>
          </w:tcPr>
          <w:p>
            <w:pPr>
              <w:pStyle w:val="1231"/>
              <w:numPr>
                <w:ilvl w:val="0"/>
                <w:numId w:val="78"/>
              </w:numPr>
              <w:ind w:left="0" w:right="0" w:firstLine="0"/>
              <w:spacing w:line="240" w:lineRule="auto"/>
              <w:rPr>
                <w:rFonts w:ascii="Times New Roman" w:hAnsi="Times New Roman" w:cs="Times New Roman"/>
                <w:i w:val="0"/>
                <w:iCs w:val="0"/>
                <w:color w:val="000000" w:themeColor="text1"/>
                <w:highlight w:val="none"/>
                <w14:ligatures w14:val="none"/>
              </w:rPr>
              <w:suppressLineNumbers w:val="0"/>
            </w:pPr>
            <w:r>
              <w:rPr>
                <w:rStyle w:val="1232"/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</w:rPr>
            </w:r>
            <w:r>
              <w:rPr>
                <w:rStyle w:val="1232"/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  <w14:ligatures w14:val="none"/>
              </w:rPr>
              <w:t xml:space="preserve">Уточненные ЧТЗ с описанием проектных решений (перечень изменений, вносимых в Систему).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  <w:highlight w:val="none"/>
                <w14:ligatures w14:val="none"/>
              </w:rPr>
            </w:r>
          </w:p>
        </w:tc>
      </w:tr>
      <w:tr>
        <w:tblPrEx/>
        <w:trPr>
          <w:trHeight w:val="55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5" w:type="dxa"/>
            <w:textDirection w:val="lrTb"/>
            <w:noWrap w:val="false"/>
          </w:tcPr>
          <w:p>
            <w:pPr>
              <w:pStyle w:val="1202"/>
              <w:numPr>
                <w:ilvl w:val="0"/>
                <w:numId w:val="79"/>
              </w:numPr>
              <w:ind w:left="0" w:right="0" w:firstLine="0"/>
              <w:jc w:val="left"/>
              <w:spacing w:line="240" w:lineRule="auto"/>
              <w:shd w:val="nil" w:color="000000"/>
              <w:tabs>
                <w:tab w:val="left" w:pos="850" w:leader="none"/>
              </w:tabs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09" w:type="dxa"/>
            <w:textDirection w:val="lrTb"/>
            <w:noWrap w:val="false"/>
          </w:tcPr>
          <w:p>
            <w:pPr>
              <w:jc w:val="left"/>
              <w:spacing w:line="240" w:lineRule="auto"/>
              <w:shd w:val="nil" w:color="000000"/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азработка функциональности 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В течение 15 рабочих дней с даты окончания Этапа 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, но не позднее 30.12.2026.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0" w:type="dxa"/>
            <w:textDirection w:val="lrTb"/>
            <w:noWrap w:val="false"/>
          </w:tcPr>
          <w:p>
            <w:pPr>
              <w:pStyle w:val="1231"/>
              <w:numPr>
                <w:ilvl w:val="0"/>
                <w:numId w:val="80"/>
              </w:numPr>
              <w:ind w:left="0" w:right="0" w:firstLine="0"/>
              <w:spacing w:after="0" w:afterAutospacing="0" w:line="240" w:lineRule="auto"/>
              <w:rPr>
                <w:rFonts w:ascii="Times New Roman" w:hAnsi="Times New Roman" w:cs="Times New Roman"/>
                <w:i w:val="0"/>
                <w:iCs w:val="0"/>
                <w:color w:val="000000" w:themeColor="text1"/>
                <w:highlight w:val="none"/>
                <w14:ligatures w14:val="none"/>
              </w:rPr>
            </w:pPr>
            <w:r>
              <w:rPr>
                <w:rStyle w:val="1232"/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</w:rPr>
              <w:t xml:space="preserve">Разработка программных средств Системы;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  <w:highlight w:val="none"/>
                <w14:ligatures w14:val="none"/>
              </w:rPr>
            </w:r>
          </w:p>
          <w:p>
            <w:pPr>
              <w:pStyle w:val="1231"/>
              <w:numPr>
                <w:ilvl w:val="0"/>
                <w:numId w:val="80"/>
              </w:numPr>
              <w:ind w:left="0" w:right="0" w:firstLine="0"/>
              <w:spacing w:after="0" w:afterAutospacing="0" w:line="240" w:lineRule="auto"/>
              <w:rPr>
                <w:rFonts w:ascii="Times New Roman" w:hAnsi="Times New Roman" w:cs="Times New Roman"/>
                <w:bCs w:val="0"/>
                <w:i w:val="0"/>
                <w:color w:val="000000" w:themeColor="text1"/>
                <w:highlight w:val="none"/>
                <w14:ligatures w14:val="none"/>
              </w:rPr>
            </w:pPr>
            <w:r>
              <w:rPr>
                <w:rStyle w:val="1232"/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</w:rPr>
            </w:r>
            <w:r>
              <w:rPr>
                <w:rStyle w:val="1232"/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</w:rPr>
              <w:t xml:space="preserve">Размещение на тестовом контуре.</w:t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textDirection w:val="lrTb"/>
            <w:noWrap w:val="false"/>
          </w:tcPr>
          <w:p>
            <w:pPr>
              <w:pStyle w:val="1231"/>
              <w:numPr>
                <w:ilvl w:val="0"/>
                <w:numId w:val="82"/>
              </w:numPr>
              <w:ind w:left="0" w:right="0" w:firstLine="0"/>
              <w:spacing w:after="0" w:afterAutospacing="0" w:line="240" w:lineRule="auto"/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pPr>
            <w:r>
              <w:rPr>
                <w:rStyle w:val="1232"/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</w:rPr>
              <w:t xml:space="preserve">Описание настроек и разработок;</w:t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  <w:p>
            <w:pPr>
              <w:pStyle w:val="1231"/>
              <w:numPr>
                <w:ilvl w:val="0"/>
                <w:numId w:val="82"/>
              </w:numPr>
              <w:ind w:left="0" w:right="0" w:firstLine="0"/>
              <w:spacing w:after="0" w:afterAutospacing="0" w:line="240" w:lineRule="auto"/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pPr>
            <w:r>
              <w:rPr>
                <w:rStyle w:val="1232"/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</w:rPr>
            </w:r>
            <w:r>
              <w:rPr>
                <w:rStyle w:val="1232"/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</w:rPr>
              <w:t xml:space="preserve">Руководство пользователя.</w:t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</w:tc>
      </w:tr>
      <w:tr>
        <w:tblPrEx/>
        <w:trPr>
          <w:trHeight w:val="171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5" w:type="dxa"/>
            <w:textDirection w:val="lrTb"/>
            <w:noWrap w:val="false"/>
          </w:tcPr>
          <w:p>
            <w:pPr>
              <w:pStyle w:val="1202"/>
              <w:numPr>
                <w:ilvl w:val="0"/>
                <w:numId w:val="79"/>
              </w:numPr>
              <w:ind w:left="0" w:right="0" w:firstLine="0"/>
              <w:jc w:val="left"/>
              <w:spacing w:line="240" w:lineRule="auto"/>
              <w:shd w:val="nil" w:color="000000"/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09" w:type="dxa"/>
            <w:textDirection w:val="lrTb"/>
            <w:noWrap w:val="false"/>
          </w:tcPr>
          <w:p>
            <w:pPr>
              <w:jc w:val="left"/>
              <w:spacing w:line="240" w:lineRule="auto"/>
              <w:shd w:val="nil" w:color="000000"/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Проведение опытной эксплуатации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В течение 15 рабочих дней с даты окончания Этапа 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, но не позднее 30.12.2026.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0" w:type="dxa"/>
            <w:textDirection w:val="lrTb"/>
            <w:noWrap w:val="false"/>
          </w:tcPr>
          <w:p>
            <w:pPr>
              <w:pStyle w:val="1231"/>
              <w:numPr>
                <w:ilvl w:val="0"/>
                <w:numId w:val="81"/>
              </w:numPr>
              <w:ind w:left="0" w:right="0" w:firstLine="0"/>
              <w:spacing w:after="0" w:afterAutospacing="0" w:line="240" w:lineRule="auto"/>
              <w:rPr>
                <w:rFonts w:ascii="Times New Roman" w:hAnsi="Times New Roman" w:cs="Times New Roman"/>
                <w:bCs w:val="0"/>
                <w:i w:val="0"/>
                <w:color w:val="000000" w:themeColor="text1"/>
                <w:highlight w:val="none"/>
                <w14:ligatures w14:val="none"/>
              </w:rPr>
            </w:pPr>
            <w:r>
              <w:rPr>
                <w:rStyle w:val="1232"/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  <w:t xml:space="preserve">Сбор предложений по внесению изменений от основного функционального заказчика;</w:t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highlight w:val="none"/>
                <w14:ligatures w14:val="none"/>
              </w:rPr>
            </w:r>
          </w:p>
          <w:p>
            <w:pPr>
              <w:pStyle w:val="1231"/>
              <w:numPr>
                <w:ilvl w:val="0"/>
                <w:numId w:val="81"/>
              </w:numPr>
              <w:ind w:left="0" w:right="0" w:firstLine="0"/>
              <w:spacing w:after="0" w:afterAutospacing="0" w:line="240" w:lineRule="auto"/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  <w:t xml:space="preserve">Проведение корректировки разработанной функциональности;</w:t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  <w:p>
            <w:pPr>
              <w:pStyle w:val="1231"/>
              <w:numPr>
                <w:ilvl w:val="0"/>
                <w:numId w:val="81"/>
              </w:numPr>
              <w:ind w:left="0" w:right="0" w:firstLine="0"/>
              <w:spacing w:after="0" w:afterAutospacing="0" w:line="240" w:lineRule="auto"/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Style w:val="1232"/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</w:rPr>
              <w:t xml:space="preserve">Обучение системных администраторов.</w:t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textDirection w:val="lrTb"/>
            <w:noWrap w:val="false"/>
          </w:tcPr>
          <w:p>
            <w:pPr>
              <w:pStyle w:val="1231"/>
              <w:numPr>
                <w:ilvl w:val="0"/>
                <w:numId w:val="83"/>
              </w:numPr>
              <w:ind w:left="0" w:right="0" w:firstLine="0"/>
              <w:spacing w:after="0" w:afterAutospacing="0" w:line="240" w:lineRule="auto"/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pPr>
            <w:r>
              <w:rPr>
                <w:rStyle w:val="1232"/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</w:rPr>
            </w:r>
            <w:r>
              <w:rPr>
                <w:rStyle w:val="1232"/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</w:rPr>
              <w:t xml:space="preserve">Журнал изменений опытной эксплуатации;</w:t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  <w:p>
            <w:pPr>
              <w:pStyle w:val="1231"/>
              <w:numPr>
                <w:ilvl w:val="0"/>
                <w:numId w:val="83"/>
              </w:numPr>
              <w:ind w:left="0" w:right="0" w:firstLine="0"/>
              <w:spacing w:after="0" w:afterAutospacing="0" w:line="240" w:lineRule="auto"/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pPr>
            <w:r>
              <w:rPr>
                <w:rStyle w:val="1232"/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</w:rPr>
            </w:r>
            <w:r>
              <w:rPr>
                <w:rStyle w:val="1232"/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</w:rPr>
              <w:t xml:space="preserve">Руководство системного администратор</w:t>
            </w:r>
            <w:r>
              <w:rPr>
                <w:rStyle w:val="1232"/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</w:rPr>
              <w:t xml:space="preserve">а.</w:t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</w:tc>
      </w:tr>
      <w:tr>
        <w:tblPrEx/>
        <w:trPr>
          <w:trHeight w:val="245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5" w:type="dxa"/>
            <w:vMerge w:val="restart"/>
            <w:textDirection w:val="lrTb"/>
            <w:noWrap w:val="false"/>
          </w:tcPr>
          <w:p>
            <w:pPr>
              <w:pStyle w:val="1202"/>
              <w:numPr>
                <w:ilvl w:val="0"/>
                <w:numId w:val="79"/>
              </w:numPr>
              <w:ind w:left="0" w:right="0" w:firstLine="0"/>
              <w:jc w:val="left"/>
              <w:spacing w:line="240" w:lineRule="auto"/>
              <w:shd w:val="nil" w:color="000000"/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09" w:type="dxa"/>
            <w:vMerge w:val="restart"/>
            <w:textDirection w:val="lrTb"/>
            <w:noWrap w:val="false"/>
          </w:tcPr>
          <w:p>
            <w:pPr>
              <w:ind w:left="0" w:firstLine="0"/>
              <w:jc w:val="left"/>
              <w:spacing w:line="240" w:lineRule="auto"/>
              <w:shd w:val="nil" w:color="0000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  <w:t xml:space="preserve">Ввод в действие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В течение 9 рабочих дней с даты окончания Этапа 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, но не позднее 30.12.2026.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0" w:type="dxa"/>
            <w:vMerge w:val="restart"/>
            <w:textDirection w:val="lrTb"/>
            <w:noWrap w:val="false"/>
          </w:tcPr>
          <w:p>
            <w:pPr>
              <w:pStyle w:val="1231"/>
              <w:numPr>
                <w:ilvl w:val="0"/>
                <w:numId w:val="84"/>
              </w:numPr>
              <w:ind w:left="0" w:right="0" w:firstLine="0"/>
              <w:spacing w:after="0" w:afterAutospacing="0" w:line="240" w:lineRule="auto"/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pPr>
            <w:r>
              <w:rPr>
                <w:rStyle w:val="1232"/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  <w:t xml:space="preserve">Сбор предложений по внесению изменений от смежных с функциональным заказчиком подразделений;</w:t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  <w:p>
            <w:pPr>
              <w:pStyle w:val="1231"/>
              <w:numPr>
                <w:ilvl w:val="0"/>
                <w:numId w:val="84"/>
              </w:numPr>
              <w:ind w:left="0" w:right="0" w:firstLine="0"/>
              <w:spacing w:after="0" w:afterAutospacing="0" w:line="240" w:lineRule="auto"/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  <w:t xml:space="preserve">Проведение корректировки разработанной функциональности;</w:t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  <w:p>
            <w:pPr>
              <w:pStyle w:val="1231"/>
              <w:numPr>
                <w:ilvl w:val="0"/>
                <w:numId w:val="84"/>
              </w:numPr>
              <w:ind w:left="0" w:right="0" w:firstLine="0"/>
              <w:spacing w:after="0" w:afterAutospacing="0" w:line="240" w:lineRule="auto"/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  <w:t xml:space="preserve">Подготовка испытаний;</w:t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  <w:p>
            <w:pPr>
              <w:pStyle w:val="1231"/>
              <w:numPr>
                <w:ilvl w:val="0"/>
                <w:numId w:val="84"/>
              </w:numPr>
              <w:ind w:left="0" w:right="0" w:firstLine="0"/>
              <w:spacing w:after="0" w:afterAutospacing="0" w:line="240" w:lineRule="auto"/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  <w:t xml:space="preserve">Проведение приемочных испытаний;</w:t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  <w:p>
            <w:pPr>
              <w:pStyle w:val="1231"/>
              <w:numPr>
                <w:ilvl w:val="0"/>
                <w:numId w:val="84"/>
              </w:numPr>
              <w:ind w:left="0" w:right="0" w:firstLine="0"/>
              <w:spacing w:after="0" w:afterAutospacing="0" w:line="240" w:lineRule="auto"/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  <w:t xml:space="preserve">Подготовка документации;</w:t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  <w:p>
            <w:pPr>
              <w:pStyle w:val="1231"/>
              <w:numPr>
                <w:ilvl w:val="0"/>
                <w:numId w:val="84"/>
              </w:numPr>
              <w:ind w:left="0" w:right="0" w:firstLine="0"/>
              <w:spacing w:after="0" w:afterAutospacing="0" w:line="240" w:lineRule="auto"/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  <w14:ligatures w14:val="none"/>
              </w:rPr>
              <w:t xml:space="preserve">Обучение пользователей.</w:t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  <w:p>
            <w:pPr>
              <w:ind w:left="0" w:right="0" w:firstLine="0"/>
              <w:jc w:val="left"/>
              <w:spacing w:after="0" w:afterAutospacing="0" w:line="240" w:lineRule="auto"/>
              <w:shd w:val="nil" w:color="0000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vMerge w:val="restart"/>
            <w:textDirection w:val="lrTb"/>
            <w:noWrap w:val="false"/>
          </w:tcPr>
          <w:p>
            <w:pPr>
              <w:pStyle w:val="1231"/>
              <w:numPr>
                <w:ilvl w:val="0"/>
                <w:numId w:val="85"/>
              </w:numPr>
              <w:ind w:left="0" w:right="0" w:firstLine="0"/>
              <w:spacing w:after="0" w:afterAutospacing="0" w:line="240" w:lineRule="auto"/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pPr>
            <w:r>
              <w:rPr>
                <w:rStyle w:val="1232"/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</w:rPr>
            </w:r>
            <w:r>
              <w:rPr>
                <w:rStyle w:val="1232"/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</w:rPr>
              <w:t xml:space="preserve">Журнал изменений фазы «Ввод в действие»;</w:t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  <w:p>
            <w:pPr>
              <w:pStyle w:val="1231"/>
              <w:numPr>
                <w:ilvl w:val="0"/>
                <w:numId w:val="85"/>
              </w:numPr>
              <w:ind w:left="0" w:right="0" w:firstLine="0"/>
              <w:spacing w:after="0" w:afterAutospacing="0" w:line="240" w:lineRule="auto"/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pPr>
            <w:r>
              <w:rPr>
                <w:rStyle w:val="1232"/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</w:rPr>
            </w:r>
            <w:r>
              <w:rPr>
                <w:rStyle w:val="1232"/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</w:rPr>
              <w:t xml:space="preserve">Актуализированное о</w:t>
            </w:r>
            <w:r>
              <w:rPr>
                <w:rStyle w:val="1232"/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</w:rPr>
              <w:t xml:space="preserve">писание настроек и разработок;</w:t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  <w:p>
            <w:pPr>
              <w:pStyle w:val="1231"/>
              <w:numPr>
                <w:ilvl w:val="0"/>
                <w:numId w:val="85"/>
              </w:numPr>
              <w:ind w:left="0" w:right="0" w:firstLine="0"/>
              <w:spacing w:after="0" w:afterAutospacing="0" w:line="240" w:lineRule="auto"/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pPr>
            <w:r>
              <w:rPr>
                <w:rStyle w:val="1232"/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</w:rPr>
            </w:r>
            <w:r>
              <w:rPr>
                <w:rStyle w:val="1232"/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</w:rPr>
              <w:t xml:space="preserve">Актуализированное руководство пользователя;</w:t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  <w:p>
            <w:pPr>
              <w:pStyle w:val="1231"/>
              <w:numPr>
                <w:ilvl w:val="0"/>
                <w:numId w:val="85"/>
              </w:numPr>
              <w:ind w:left="0" w:right="0" w:firstLine="0"/>
              <w:spacing w:after="0" w:afterAutospacing="0" w:line="240" w:lineRule="auto"/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pPr>
            <w:r>
              <w:rPr>
                <w:rStyle w:val="1232"/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</w:rPr>
            </w:r>
            <w:r>
              <w:rPr>
                <w:rStyle w:val="1232"/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</w:rPr>
              <w:t xml:space="preserve">Актуализированное руководство системного администратора;</w:t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  <w:p>
            <w:pPr>
              <w:pStyle w:val="1231"/>
              <w:numPr>
                <w:ilvl w:val="0"/>
                <w:numId w:val="85"/>
              </w:numPr>
              <w:ind w:left="0" w:right="0" w:firstLine="0"/>
              <w:spacing w:after="0" w:afterAutospacing="0" w:line="240" w:lineRule="auto"/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pPr>
            <w:r>
              <w:rPr>
                <w:rStyle w:val="1232"/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</w:rPr>
            </w:r>
            <w:r>
              <w:rPr>
                <w:rStyle w:val="1232"/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</w:rPr>
              <w:t xml:space="preserve">Исходный текст (код) </w:t>
            </w:r>
            <w:r>
              <w:rPr>
                <w:rStyle w:val="1232"/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</w:rPr>
              <w:t xml:space="preserve">и дистрибутив программы </w:t>
            </w:r>
            <w:r>
              <w:rPr>
                <w:rStyle w:val="1232"/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</w:rPr>
              <w:t xml:space="preserve">на CD/DVD;</w:t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  <w:p>
            <w:pPr>
              <w:pStyle w:val="1231"/>
              <w:numPr>
                <w:ilvl w:val="0"/>
                <w:numId w:val="85"/>
              </w:numPr>
              <w:ind w:left="0" w:right="0" w:firstLine="0"/>
              <w:spacing w:after="0" w:afterAutospacing="0" w:line="240" w:lineRule="auto"/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pPr>
            <w:r>
              <w:rPr>
                <w:rStyle w:val="1232"/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</w:rPr>
            </w:r>
            <w:r>
              <w:rPr>
                <w:rStyle w:val="1232"/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</w:rPr>
              <w:t xml:space="preserve">Программа и методика приемо-сдаточных испытаний;</w:t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  <w:p>
            <w:pPr>
              <w:pStyle w:val="1231"/>
              <w:numPr>
                <w:ilvl w:val="0"/>
                <w:numId w:val="85"/>
              </w:numPr>
              <w:ind w:left="0" w:right="0" w:firstLine="0"/>
              <w:spacing w:after="0" w:afterAutospacing="0" w:line="240" w:lineRule="auto"/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pPr>
            <w:r>
              <w:rPr>
                <w:rStyle w:val="1232"/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</w:rPr>
            </w:r>
            <w:r>
              <w:rPr>
                <w:rStyle w:val="1232"/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</w:rPr>
              <w:t xml:space="preserve">Протокол приемо-сдаточных испытаний.</w:t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  <w:p>
            <w:pPr>
              <w:pStyle w:val="1231"/>
              <w:numPr>
                <w:ilvl w:val="0"/>
                <w:numId w:val="85"/>
              </w:numPr>
              <w:ind w:left="0" w:right="0" w:firstLine="0"/>
              <w:spacing w:after="0" w:afterAutospacing="0" w:line="240" w:lineRule="auto"/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pPr>
            <w:r>
              <w:rPr>
                <w:rStyle w:val="1232"/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  <w14:ligatures w14:val="none"/>
              </w:rPr>
              <w:t xml:space="preserve">Видео-запись обучающей сессии (или иные материалы, подготовленные с участием Исполнителя, подтверждающее проведение работ);</w:t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  <w:p>
            <w:pPr>
              <w:pStyle w:val="1231"/>
              <w:numPr>
                <w:ilvl w:val="0"/>
                <w:numId w:val="85"/>
              </w:numPr>
              <w:ind w:left="0" w:right="0" w:firstLine="0"/>
              <w:spacing w:after="0" w:afterAutospacing="0" w:line="240" w:lineRule="auto"/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ru-RU"/>
                <w14:ligatures w14:val="none"/>
              </w:rPr>
              <w:t xml:space="preserve">Отчет о проделанной работе.</w:t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</w:tc>
      </w:tr>
    </w:tbl>
    <w:p>
      <w:pPr>
        <w:jc w:val="both"/>
        <w:spacing w:after="0" w:afterAutospacing="0" w:line="240" w:lineRule="auto"/>
        <w:shd w:val="nil" w:color="000000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  <w:sectPr>
          <w:footnotePr/>
          <w:endnotePr/>
          <w:type w:val="nextPage"/>
          <w:pgSz w:w="16838" w:h="11906" w:orient="landscape"/>
          <w:pgMar w:top="1134" w:right="1134" w:bottom="1129" w:left="1134" w:header="709" w:footer="709" w:gutter="0"/>
          <w:cols w:num="1" w:sep="0" w:space="1701" w:equalWidth="1"/>
          <w:docGrid w:linePitch="360"/>
        </w:sect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</w:p>
    <w:p>
      <w:pPr>
        <w:ind w:firstLine="708"/>
        <w:jc w:val="both"/>
        <w:spacing w:after="0" w:afterAutospacing="0" w:line="240" w:lineRule="auto"/>
        <w:shd w:val="nil" w:color="000000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  <w:t xml:space="preserve">Все работы выполняются с учетом уже существующих проектных решений и требований к безопасности и преемственности Системы.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</w:p>
    <w:p>
      <w:pPr>
        <w:ind w:firstLine="708"/>
        <w:jc w:val="both"/>
        <w:spacing w:after="0" w:afterAutospacing="0" w:line="240" w:lineRule="auto"/>
        <w:shd w:val="nil" w:color="000000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  <w:t xml:space="preserve">Требования к интеграционным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  <w:lang w:eastAsia="ru-RU"/>
        </w:rPr>
        <w:t xml:space="preserve">компонентам системы и взаимосвязанных систем предъявляются в рамках частных технических заданий по направлениям.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</w:p>
    <w:p>
      <w:pPr>
        <w:pStyle w:val="1204"/>
        <w:ind w:left="709" w:right="0" w:firstLine="0"/>
        <w:keepLines/>
        <w:keepNext/>
        <w:spacing w:line="240" w:lineRule="auto"/>
        <w:shd w:val="clear" w:color="auto" w:fill="auto"/>
        <w:tabs>
          <w:tab w:val="left" w:pos="426" w:leader="none"/>
        </w:tabs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pPr>
      <w:r>
        <w:rPr>
          <w:sz w:val="24"/>
          <w:szCs w:val="24"/>
        </w:rPr>
        <w:t xml:space="preserve">3.</w:t>
        <w:tab/>
        <w:t xml:space="preserve">Требования к Исполнител</w:t>
      </w:r>
      <w:r>
        <w:rPr>
          <w:sz w:val="24"/>
          <w:szCs w:val="24"/>
        </w:rPr>
        <w:t xml:space="preserve">ю</w:t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r>
    </w:p>
    <w:p>
      <w:pPr>
        <w:ind w:left="0" w:right="0" w:firstLine="708"/>
        <w:jc w:val="both"/>
        <w:spacing w:after="0" w:afterAutospacing="0" w:line="240" w:lineRule="auto"/>
        <w:shd w:val="nil" w:color="000000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  <w:t xml:space="preserve">По настоящему ТЗ Исполнитель должен обладать следующими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  <w:t xml:space="preserve">опытом: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r>
    </w:p>
    <w:p>
      <w:pPr>
        <w:pStyle w:val="1202"/>
        <w:numPr>
          <w:ilvl w:val="0"/>
          <w:numId w:val="148"/>
        </w:numPr>
        <w:ind w:left="0" w:right="0" w:firstLine="709"/>
        <w:jc w:val="both"/>
        <w:spacing w:after="0" w:afterAutospacing="0" w:line="240" w:lineRule="auto"/>
        <w:shd w:val="nil" w:color="000000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  <w:t xml:space="preserve">Сертификат, удостоверяющий Исполнителя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  <w:t xml:space="preserve"> в статусе официального партнера Фирмы «1С»;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r>
    </w:p>
    <w:p>
      <w:pPr>
        <w:pStyle w:val="1202"/>
        <w:numPr>
          <w:ilvl w:val="0"/>
          <w:numId w:val="148"/>
        </w:numPr>
        <w:ind w:left="0" w:right="0" w:firstLine="709"/>
        <w:jc w:val="both"/>
        <w:spacing w:after="0" w:afterAutospacing="0" w:line="240" w:lineRule="auto"/>
        <w:shd w:val="nil" w:color="000000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pPr>
      <w:r>
        <w:rPr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  <w:t xml:space="preserve">Сертификат Системы менеджмента качества ГОСТ Р ИСО 9001-2015 (ISO 9001:2015) (при наличии)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r>
    </w:p>
    <w:p>
      <w:pPr>
        <w:ind w:left="0" w:right="0" w:firstLine="708"/>
        <w:jc w:val="both"/>
        <w:spacing w:after="0" w:afterAutospacing="0" w:line="240" w:lineRule="auto"/>
        <w:shd w:val="nil" w:color="auto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  <w:t xml:space="preserve">По настоящему ТЗ Исполнитель должен привлечь достаточное для выполнения работ количество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  <w:t xml:space="preserve">согласован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  <w:t xml:space="preserve">ных с Заказчиком квалифицированных специалистов Исполнителя на весь срок действия договора по настоящему ТЗ.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</w:rPr>
        <w:t xml:space="preserve">Допускается наличие у одного специалиста нескольких сертификатов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</w:rPr>
        <w:t xml:space="preserve">. Перечень необходимых сертификатов: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r>
    </w:p>
    <w:p>
      <w:pPr>
        <w:pStyle w:val="1021"/>
        <w:ind w:left="0" w:right="0" w:firstLine="709"/>
        <w:jc w:val="both"/>
        <w:spacing w:after="0" w:afterAutospacing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1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С:Профессионал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. ERP Управление предприятием ред. 2.5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;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1021"/>
        <w:ind w:left="0" w:right="0" w:firstLine="709"/>
        <w:jc w:val="both"/>
        <w:spacing w:after="0" w:afterAutospacing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1С:Профессионал Управление торговлей 8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;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1021"/>
        <w:ind w:left="0" w:right="0" w:firstLine="709"/>
        <w:jc w:val="both"/>
        <w:spacing w:after="0" w:afterAutospacing="0" w:line="24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1С:Профессионал Платформа 8.2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ind w:left="0" w:right="0" w:firstLine="709"/>
        <w:jc w:val="both"/>
        <w:spacing w:after="0" w:afterAutospacing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1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С:Профессионал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 Платформа 8.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3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;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1021"/>
        <w:ind w:left="0" w:right="0" w:firstLine="709"/>
        <w:jc w:val="both"/>
        <w:spacing w:after="0" w:afterAutospacing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1С:Профессионал ЗУП 8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;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1021"/>
        <w:ind w:left="0" w:right="0" w:firstLine="709"/>
        <w:jc w:val="both"/>
        <w:spacing w:after="0" w:afterAutospacing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1С:Профессионал Документооборот 8, ред. 3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;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1021"/>
        <w:ind w:left="0" w:right="0" w:firstLine="709"/>
        <w:jc w:val="both"/>
        <w:spacing w:after="0" w:afterAutospacing="0" w:line="24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1С:Эксперт по технологическим вопросам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ind w:left="0" w:right="0" w:firstLine="709"/>
        <w:jc w:val="both"/>
        <w:spacing w:after="0" w:afterAutospacing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1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С:Специалист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-консультант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по внедрению подсистем управленческого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учета в 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«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1С:ERP Управление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предприятием 2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»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;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ind w:left="0" w:right="0" w:firstLine="709"/>
        <w:jc w:val="both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1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С:Специалист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-консультант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по внедрению подсистем регламентированного учета в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«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1С:ERP Управление предприятием 2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»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</w:p>
    <w:p>
      <w:pPr>
        <w:pStyle w:val="1021"/>
        <w:ind w:left="0" w:right="0" w:firstLine="709"/>
        <w:jc w:val="both"/>
        <w:spacing w:after="0" w:afterAutospacing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1C:Специалист-консультант по внедрению подсистемы «Бюджетирование» в «1С: ERP Управление предприятием»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;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1021"/>
        <w:ind w:left="0" w:right="0" w:firstLine="709"/>
        <w:jc w:val="both"/>
        <w:spacing w:after="0" w:afterAutospacing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1С:Бухгалтерия 8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;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ind w:left="0" w:right="0" w:firstLine="709"/>
        <w:jc w:val="both"/>
        <w:spacing w:after="0" w:afterAutospacing="0" w:line="240" w:lineRule="auto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  <w:t xml:space="preserve">1С:Руководитель корпоративных проектов в области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  <w:t xml:space="preserve"> оказания комплексных услуг по построению системы управления предприятием на базе программ «1С:Предприятие 8».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</w:p>
    <w:p>
      <w:pPr>
        <w:ind w:firstLine="708"/>
        <w:jc w:val="both"/>
        <w:spacing w:after="0" w:afterAutospacing="0" w:line="240" w:lineRule="auto"/>
        <w:shd w:val="nil" w:color="000000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  <w14:ligatures w14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  <w14:ligatures w14:val="none"/>
        </w:rPr>
      </w:r>
    </w:p>
    <w:p>
      <w:pPr>
        <w:pStyle w:val="1204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  <w:t xml:space="preserve">ЧАСТНЫЕ ТЕХНИЧЕСКИЕ ЗАДАНИЯ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</w:p>
    <w:p>
      <w:pPr>
        <w:pStyle w:val="1204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</w:p>
    <w:p>
      <w:pPr>
        <w:jc w:val="center"/>
        <w:spacing w:after="0" w:afterAutospacing="0" w:line="240" w:lineRule="auto"/>
        <w:shd w:val="nil" w:color="000000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  <w:t xml:space="preserve">ЧАСТНОЕ ТЕХНИЧЕСКОЕ ЗАДАНИЕ НА АВТОМАТИЗАЦИЮ ПО НАПРАВЛЕНИЮ ПРОИЗВОДСТВЕННАЯ ПРОГРАММА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</w:p>
    <w:p>
      <w:pPr>
        <w:jc w:val="center"/>
        <w:spacing w:after="0" w:afterAutospacing="0" w:line="240" w:lineRule="auto"/>
        <w:shd w:val="nil" w:color="000000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</w:p>
    <w:p>
      <w:pPr>
        <w:ind w:firstLine="708"/>
        <w:jc w:val="left"/>
        <w:spacing w:after="0" w:afterAutospacing="0" w:line="240" w:lineRule="auto"/>
        <w:shd w:val="nil" w:color="000000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highlight w:val="none"/>
        </w:rPr>
        <w:t xml:space="preserve">ЦЕЛЬ РАБОТ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</w:p>
    <w:p>
      <w:pPr>
        <w:pStyle w:val="1221"/>
        <w:ind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highlight w:val="none"/>
          <w:shd w:val="clear" w:color="auto" w:fill="ffff00"/>
        </w:rPr>
      </w:pPr>
      <w:r>
        <w:rPr>
          <w:rFonts w:ascii="Times New Roman" w:hAnsi="Times New Roman" w:eastAsia="Times New Roman" w:cs="Times New Roman" w:eastAsiaTheme="majorEastAsia"/>
          <w:color w:val="000000" w:themeColor="text1"/>
          <w:sz w:val="24"/>
          <w:szCs w:val="24"/>
          <w:highlight w:val="none"/>
        </w:rPr>
        <w:t xml:space="preserve">Создание функционала обусловлено необходимостью оптимизации нагрузки на работников Администрации АО «Газпром диагностика» и инженерно-технические центры (далее – ИТЦ) при работах: </w:t>
      </w:r>
      <w:r>
        <w:rPr>
          <w:rFonts w:ascii="Times New Roman" w:hAnsi="Times New Roman" w:cs="Times New Roman"/>
          <w:color w:val="000000" w:themeColor="text1"/>
          <w:highlight w:val="none"/>
          <w:shd w:val="clear" w:color="auto" w:fill="ffff00"/>
        </w:rPr>
      </w:r>
      <w:r>
        <w:rPr>
          <w:rFonts w:ascii="Times New Roman" w:hAnsi="Times New Roman" w:cs="Times New Roman"/>
          <w:color w:val="000000" w:themeColor="text1"/>
          <w:highlight w:val="none"/>
          <w:shd w:val="clear" w:color="auto" w:fill="ffff00"/>
        </w:rPr>
      </w:r>
    </w:p>
    <w:p>
      <w:pPr>
        <w:pStyle w:val="1221"/>
        <w:numPr>
          <w:ilvl w:val="0"/>
          <w:numId w:val="133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highlight w:val="none"/>
          <w:shd w:val="clear" w:color="auto" w:fill="ffff00"/>
        </w:rPr>
      </w:pPr>
      <w:r>
        <w:rPr>
          <w:rFonts w:ascii="Times New Roman" w:hAnsi="Times New Roman" w:eastAsia="Times New Roman" w:cs="Times New Roman" w:eastAsiaTheme="majorEastAsia"/>
          <w:color w:val="000000" w:themeColor="text1"/>
          <w:sz w:val="24"/>
          <w:szCs w:val="24"/>
          <w:highlight w:val="none"/>
        </w:rPr>
        <w:t xml:space="preserve">по техническому диагностированию и экспертизе промышленной безопасности объектов дочерних обществ ПАО «Газпром»;</w:t>
      </w:r>
      <w:r>
        <w:rPr>
          <w:rFonts w:ascii="Times New Roman" w:hAnsi="Times New Roman" w:cs="Times New Roman"/>
          <w:color w:val="000000" w:themeColor="text1"/>
          <w:highlight w:val="none"/>
          <w:shd w:val="clear" w:color="auto" w:fill="ffff00"/>
        </w:rPr>
      </w:r>
      <w:r>
        <w:rPr>
          <w:rFonts w:ascii="Times New Roman" w:hAnsi="Times New Roman" w:cs="Times New Roman"/>
          <w:color w:val="000000" w:themeColor="text1"/>
          <w:highlight w:val="none"/>
          <w:shd w:val="clear" w:color="auto" w:fill="ffff00"/>
        </w:rPr>
      </w:r>
    </w:p>
    <w:p>
      <w:pPr>
        <w:pStyle w:val="1221"/>
        <w:numPr>
          <w:ilvl w:val="0"/>
          <w:numId w:val="133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highlight w:val="none"/>
          <w:shd w:val="clear" w:color="auto" w:fill="ffff00"/>
        </w:rPr>
      </w:pPr>
      <w:r>
        <w:rPr>
          <w:rFonts w:ascii="Times New Roman" w:hAnsi="Times New Roman" w:eastAsia="Times New Roman" w:cs="Times New Roman" w:eastAsiaTheme="majorEastAsia"/>
          <w:color w:val="000000" w:themeColor="text1"/>
          <w:sz w:val="24"/>
          <w:szCs w:val="24"/>
          <w:highlight w:val="none"/>
        </w:rPr>
        <w:t xml:space="preserve">по договорам на о</w:t>
      </w:r>
      <w:r>
        <w:rPr>
          <w:rFonts w:ascii="Times New Roman" w:hAnsi="Times New Roman" w:eastAsia="Times New Roman" w:cs="Times New Roman" w:eastAsiaTheme="majorEastAsia"/>
          <w:color w:val="000000" w:themeColor="text1"/>
          <w:sz w:val="24"/>
          <w:szCs w:val="24"/>
          <w:highlight w:val="none"/>
        </w:rPr>
        <w:t xml:space="preserve">казание услуг по строительному контролю Заказчика </w:t>
        <w:br/>
        <w:t xml:space="preserve">за подводно-техническими работами при ремонте подводных переходов;</w:t>
      </w:r>
      <w:r>
        <w:rPr>
          <w:rFonts w:ascii="Times New Roman" w:hAnsi="Times New Roman" w:cs="Times New Roman"/>
          <w:color w:val="000000" w:themeColor="text1"/>
          <w:highlight w:val="none"/>
          <w:shd w:val="clear" w:color="auto" w:fill="ffff00"/>
        </w:rPr>
      </w:r>
      <w:r>
        <w:rPr>
          <w:rFonts w:ascii="Times New Roman" w:hAnsi="Times New Roman" w:cs="Times New Roman"/>
          <w:color w:val="000000" w:themeColor="text1"/>
          <w:highlight w:val="none"/>
          <w:shd w:val="clear" w:color="auto" w:fill="ffff00"/>
        </w:rPr>
      </w:r>
    </w:p>
    <w:p>
      <w:pPr>
        <w:pStyle w:val="1221"/>
        <w:numPr>
          <w:ilvl w:val="0"/>
          <w:numId w:val="133"/>
        </w:num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highlight w:val="none"/>
          <w:shd w:val="clear" w:color="auto" w:fill="ffff00"/>
        </w:rPr>
      </w:pPr>
      <w:r>
        <w:rPr>
          <w:rFonts w:ascii="Times New Roman" w:hAnsi="Times New Roman" w:eastAsia="Times New Roman" w:cs="Times New Roman" w:eastAsiaTheme="majorEastAsia"/>
          <w:color w:val="000000" w:themeColor="text1"/>
          <w:sz w:val="24"/>
          <w:szCs w:val="24"/>
          <w:highlight w:val="none"/>
        </w:rPr>
        <w:t xml:space="preserve">и др. видам.</w:t>
      </w:r>
      <w:r>
        <w:rPr>
          <w:rFonts w:ascii="Times New Roman" w:hAnsi="Times New Roman" w:cs="Times New Roman"/>
          <w:color w:val="000000" w:themeColor="text1"/>
          <w:highlight w:val="none"/>
          <w:shd w:val="clear" w:color="auto" w:fill="ffff00"/>
        </w:rPr>
      </w:r>
      <w:r>
        <w:rPr>
          <w:rFonts w:ascii="Times New Roman" w:hAnsi="Times New Roman" w:cs="Times New Roman"/>
          <w:color w:val="000000" w:themeColor="text1"/>
          <w:highlight w:val="none"/>
          <w:shd w:val="clear" w:color="auto" w:fill="ffff00"/>
        </w:rPr>
      </w:r>
    </w:p>
    <w:p>
      <w:pPr>
        <w:pStyle w:val="1221"/>
        <w:ind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highlight w:val="none"/>
          <w:shd w:val="clear" w:color="auto" w:fill="ffff00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shd w:val="clear" w:color="auto" w:fill="ffff00"/>
        </w:rPr>
      </w:r>
      <w:r>
        <w:rPr>
          <w:rFonts w:ascii="Times New Roman" w:hAnsi="Times New Roman" w:cs="Times New Roman"/>
          <w:color w:val="000000" w:themeColor="text1"/>
          <w:highlight w:val="none"/>
          <w:shd w:val="clear" w:color="auto" w:fill="ffff00"/>
        </w:rPr>
      </w:r>
      <w:r>
        <w:rPr>
          <w:rFonts w:ascii="Times New Roman" w:hAnsi="Times New Roman" w:cs="Times New Roman"/>
          <w:color w:val="000000" w:themeColor="text1"/>
          <w:highlight w:val="none"/>
          <w:shd w:val="clear" w:color="auto" w:fill="ffff00"/>
        </w:rPr>
      </w:r>
    </w:p>
    <w:p>
      <w:pPr>
        <w:pStyle w:val="1022"/>
        <w:ind w:right="0" w:firstLine="708"/>
        <w:jc w:val="both"/>
        <w:pageBreakBefore w:val="0"/>
        <w:spacing w:before="0" w:after="0" w:afterAutospacing="0" w:line="240" w:lineRule="auto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  <w:t xml:space="preserve">БИЗНЕС-ТРЕБОВАНИЕ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r>
    </w:p>
    <w:p>
      <w:pPr>
        <w:pStyle w:val="1022"/>
        <w:ind w:left="0" w:right="0" w:firstLine="708"/>
        <w:jc w:val="both"/>
        <w:pageBreakBefore w:val="0"/>
        <w:spacing w:before="0" w:after="0" w:afterAutospacing="0" w:line="240" w:lineRule="auto"/>
        <w:rPr>
          <w:rFonts w:ascii="Times New Roman" w:hAnsi="Times New Roman" w:cs="Times New Roman"/>
          <w:color w:val="000000" w:themeColor="text1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Механизм должен осуществлять автоматическое формирование и ежедневное обновление прое</w:t>
      </w: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 xml:space="preserve">кта плана камерального этапа работ;</w:t>
      </w:r>
      <w:r>
        <w:rPr>
          <w:rFonts w:ascii="Times New Roman" w:hAnsi="Times New Roman" w:cs="Times New Roman"/>
          <w:color w:val="000000" w:themeColor="text1"/>
          <w:highlight w:val="none"/>
        </w:rPr>
      </w:r>
      <w:r>
        <w:rPr>
          <w:rFonts w:ascii="Times New Roman" w:hAnsi="Times New Roman" w:cs="Times New Roman"/>
          <w:color w:val="000000" w:themeColor="text1"/>
          <w:highlight w:val="none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ab/>
        <w:t xml:space="preserve">Механизм должен предоставлять возможность установки фильтров: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1229"/>
        <w:ind w:left="0" w:right="0" w:firstLine="708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Обязательные: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68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 год планирования;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68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 вид производственной программы;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68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 Исполнитель организация.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708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Дополнительные фильтры для отбора: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68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 ИТЦ/участок (предусмотреть выбор «Включая участки»);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68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 Производственное подразделение;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68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 Принципал;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68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 Подразделение принципала;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68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 Вид работ;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68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 xml:space="preserve">- </w:t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 xml:space="preserve">Экспертная организация;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68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 xml:space="preserve">- Договор (возможен выбор нескольких Договоров по одной экспертной организации, путем проставления соответствующих галочек).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680"/>
        <w:jc w:val="both"/>
        <w:spacing w:before="0" w:beforeAutospacing="0" w:after="0" w:afterAutospacing="0" w:line="240" w:lineRule="auto"/>
        <w:widowControl/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 xml:space="preserve">- Период выполнения камерального этапа работ (с хх.хх.хххх по хх.хх.хххх).</w:t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</w:r>
    </w:p>
    <w:p>
      <w:pPr>
        <w:pStyle w:val="1229"/>
        <w:ind w:left="0" w:right="0" w:firstLine="680"/>
        <w:jc w:val="both"/>
        <w:spacing w:before="0" w:beforeAutospacing="0" w:after="0" w:afterAutospacing="0" w:line="240" w:lineRule="auto"/>
        <w:widowControl/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 xml:space="preserve">На основании плана камерального этапа работ Система должна формировать заявку на выпуск заключения экспертизы промышленной безопасности (далее – ЗЭПБ).</w:t>
      </w: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</w:r>
    </w:p>
    <w:p>
      <w:pPr>
        <w:pStyle w:val="1229"/>
        <w:ind w:left="0" w:right="0" w:firstLine="680"/>
        <w:jc w:val="both"/>
        <w:spacing w:before="0" w:beforeAutospacing="0" w:after="0" w:afterAutospacing="0" w:line="240" w:lineRule="auto"/>
        <w:widowControl/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Механизм должен автоматически получать данные о выезде экспертной организации, фактах завершения полевого этапа работ, а также автоматически осуществлять корректировку плановой сдачи отчетной документации в зависимости от окончания полевого этапа работ.</w:t>
      </w: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</w:r>
    </w:p>
    <w:p>
      <w:pPr>
        <w:pStyle w:val="1229"/>
        <w:ind w:left="0" w:right="0" w:firstLine="680"/>
        <w:jc w:val="both"/>
        <w:spacing w:before="0" w:beforeAutospacing="0" w:after="0" w:afterAutospacing="0" w:line="240" w:lineRule="auto"/>
        <w:widowControl/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Все ручные корректировки должны фиксироваться в системе (кто, когда, какое изменение внесено).</w:t>
      </w: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</w:r>
    </w:p>
    <w:p>
      <w:pPr>
        <w:pStyle w:val="1229"/>
        <w:ind w:left="0" w:right="0" w:firstLine="680"/>
        <w:jc w:val="both"/>
        <w:spacing w:before="0" w:beforeAutospacing="0" w:after="0" w:afterAutospacing="0" w:line="240" w:lineRule="auto"/>
        <w:widowControl/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Механизм должен формировать уведомления для информирования пользователей о назначении новых задач, изменениях в плане и нарушениях сроков. </w:t>
      </w: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</w:r>
    </w:p>
    <w:p>
      <w:pPr>
        <w:pStyle w:val="1229"/>
        <w:ind w:left="0" w:right="0" w:firstLine="68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Процесс формирования и актуализации плана должен выполняться </w:t>
        <w:br/>
        <w:t xml:space="preserve">в автоматическом режиме.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left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</w:r>
    </w:p>
    <w:p>
      <w:pPr>
        <w:pStyle w:val="1229"/>
        <w:ind w:left="0" w:right="0" w:firstLine="708"/>
        <w:jc w:val="left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b w:val="0"/>
          <w:bCs w:val="0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Алгоритм формирования плана камерального этапа работ</w:t>
      </w:r>
      <w:r>
        <w:rPr>
          <w:rFonts w:ascii="Times New Roman" w:hAnsi="Times New Roman" w:cs="Times New Roman"/>
          <w:b w:val="0"/>
          <w:bCs w:val="0"/>
          <w:color w:val="000000" w:themeColor="text1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none"/>
        </w:rPr>
      </w:r>
    </w:p>
    <w:p>
      <w:pPr>
        <w:pStyle w:val="1229"/>
        <w:ind w:left="0" w:right="0" w:firstLine="709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Источники данных для формирования плана: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709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 информация об объекте (из Производственной программы);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709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 плановые даты начала и окончания полевого этапа работ из оперативного плана полевого этапа выполнения работ,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709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 плановые даты предоставления Принципалу оформленных технических отчетов (далее – ТО) и ЗЭПБ (из календарного плана-графика (далее – КПГ);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709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 фактические даты окончания полевого этапа работ (из документов «выполнения полевых работ»);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709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 плановое количество технических отчетов и заключений экспертизы промышленной безопасности (из производственной программы);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709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 данные о специализации в т.ч. приоритетной специализации (из Справочника специалистов), текущей загрузке и текущем статусе (командировка, отпуск и т.д.)</w:t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white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none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ab/>
        <w:t xml:space="preserve">Формирование перечня объектов.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ab/>
        <w:t xml:space="preserve">Создать в блоке «Камеральный этап диагностических работ» создать сервис «План камеральных работ».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ab/>
        <w:t xml:space="preserve">Для работы с сервисом предусмотреть закладки: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ab/>
        <w:t xml:space="preserve">- «План камеральных работ» (состав будет определен дополнительно);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68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 «Заявка на выпуск ЗЭПБ»;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68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 «Акт приема-передачи ТО»;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68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 «Акт приема-передачи ЗЭПБ»;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68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 «Загрузчики».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ab/>
        <w:t xml:space="preserve">Наполнение объектами вкладки «План камеральных работ» происходит автоматически после загрузки в систему утвержденных КПГ.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ab/>
        <w:t xml:space="preserve">Формируется перечень объектов и плановые сроки предоставления ТО и ЗЭПБ.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ab/>
        <w:t xml:space="preserve">На вкладке «План камеральных работ» предусмотреть возможность установки фильтров для отбора.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68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Обязательные: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68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 год планирования;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68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 вид производственной программы;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68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 Исполнитель организация.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68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Дополнительные фильтры для отбора: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68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 ИТЦ/участок (предусмотреть выбор «Включая участки»);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68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 Производственное подразделение;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68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 Принципал;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68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 Подразделение принципала;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68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 Вид работ;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68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 x/y/z;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68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 xml:space="preserve">– </w:t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 xml:space="preserve">Экспертная организация;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68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 xml:space="preserve">- Договор (возможен выбор нескольких Договоров по одной экспертной организации, путем проставления соответствующих галочек).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68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 Период выполнения камеральных работ (с хх.хх.хххх по хх.хх.хххх);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68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При нажатии кнопки «Сформировать», формируется перечень объектов по заданным параметрам;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ab/>
        <w:t xml:space="preserve">На вкладке «План камеральных работ» «Действие по отмеченным позициям», которая вызывает выпадающий список действий: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ab/>
        <w:t xml:space="preserve">- «Формирование заявки на выпуск ЗЭПБ» - </w:t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По отмеченному перечню объектов формирует заявку на выпуск ЗЭПБ по выбранному алгоритму (раздел 10);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ab/>
        <w:t xml:space="preserve">- «Формирование Акта приема-передачи ТО» - в случае если итогом работ является ТО.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ab/>
        <w:t xml:space="preserve">- «Формирование Акта приема-передачи ЗЭПБ» - в случае если итогом работ является ЗЭПБ.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ab/>
        <w:t xml:space="preserve">На вкладке «Загрузчики» предусмотреть кнопки вызова загрузчиков: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ab/>
        <w:t xml:space="preserve">- Загрузчи</w:t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lang w:val="ru-RU" w:eastAsia="zh-CN" w:bidi="hi-IN"/>
        </w:rPr>
        <w:t xml:space="preserve">к «Актов проведения осмотра объекта экспертизы».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lang w:val="ru-RU" w:eastAsia="zh-CN" w:bidi="hi-IN"/>
        </w:rPr>
        <w:tab/>
        <w:t xml:space="preserve">Открывается поле в которое помещается 2 (два) файла: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lang w:val="ru-RU" w:eastAsia="zh-CN" w:bidi="hi-IN"/>
        </w:rPr>
        <w:t xml:space="preserve">один в формате табличного редактора (единая форма закрепленная до</w:t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lang w:val="ru-RU" w:eastAsia="zh-CN" w:bidi="hi-IN"/>
        </w:rPr>
        <w:t xml:space="preserve">говором подряда), второй в формате *.pdf. Загрузчик распознает x/y/z и дату осмотра. При нажатии кнопки «Загрузить», система подтягивает по распознанным x/y/z, дату осмотра и файл *.pdf в столбцы 18 и 19 соответственно в закладке «План камеральных работ». 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ab/>
        <w:t xml:space="preserve">- Загрузчи</w:t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lang w:val="ru-RU" w:eastAsia="zh-CN" w:bidi="hi-IN"/>
        </w:rPr>
        <w:t xml:space="preserve">к «Передача ТО в экспертную организацию».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lang w:val="ru-RU" w:eastAsia="zh-CN" w:bidi="hi-IN"/>
        </w:rPr>
        <w:tab/>
        <w:t xml:space="preserve">Открывается документ в котором окно для ввода даты и № письма, и поле в которое помещается 2 (два) файла: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lang w:val="ru-RU" w:eastAsia="zh-CN" w:bidi="hi-IN"/>
        </w:rPr>
        <w:t xml:space="preserve">один в формате табличного редактора (Реестр ТО), второй в ф</w:t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lang w:val="ru-RU" w:eastAsia="zh-CN" w:bidi="hi-IN"/>
        </w:rPr>
        <w:t xml:space="preserve">ормате *.pdf. Загрузчик распознает x/y/z. При нажатии кнопки «Загрузить», система подтягивает по распознанным x/y/z и файл *.pdf в столбцы 29 - № письма, 30 — дату письма, 31 — сканированный образ письма соответственно в закладке «План камеральных работ». 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lang w:val="ru-RU" w:eastAsia="zh-CN" w:bidi="hi-IN"/>
        </w:rPr>
        <w:tab/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lang w:val="ru-RU" w:eastAsia="zh-CN" w:bidi="hi-IN"/>
        </w:rPr>
        <w:t xml:space="preserve">- Загрузчик «Замечания от ДЭО».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lang w:val="ru-RU" w:eastAsia="zh-CN" w:bidi="hi-IN"/>
        </w:rPr>
        <w:tab/>
        <w:t xml:space="preserve">Открывается документ в котором окно для ввода даты и поле в которое помещается 2 (два) файла: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lang w:val="ru-RU" w:eastAsia="zh-CN" w:bidi="hi-IN"/>
        </w:rPr>
        <w:tab/>
        <w:t xml:space="preserve">один в формате табличного редактора (Рее</w:t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lang w:val="ru-RU" w:eastAsia="zh-CN" w:bidi="hi-IN"/>
        </w:rPr>
        <w:t xml:space="preserve">стр замечаний от дочернего эксплуатирующего о</w:t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lang w:val="ru-RU" w:eastAsia="zh-CN" w:bidi="hi-IN"/>
        </w:rPr>
        <w:t xml:space="preserve">бщества (далее – ДЭО), второй в формате *.pdf. Загрузчик распознает x/y/z. При нажатии кнопки «Загрузить», система подтягивает по распознанным x/y/z и файл *.pdf в столбцы 38 —статус (при отсутствии замечаний и загруженном , 39 — дата получения замечаний. 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021"/>
        <w:ind w:left="0" w:right="0" w:firstLine="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ab/>
        <w:t xml:space="preserve">- Загрузчи</w:t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lang w:val="ru-RU" w:eastAsia="zh-CN" w:bidi="hi-IN"/>
        </w:rPr>
        <w:t xml:space="preserve">к «Акты приема-передачи ОД».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lang w:val="ru-RU" w:eastAsia="zh-CN" w:bidi="hi-IN"/>
        </w:rPr>
        <w:tab/>
        <w:t xml:space="preserve">Открывается документ в котором окно для ввода даты акта, и поле в которое помещается 2 (два) файла: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709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lang w:val="ru-RU" w:eastAsia="zh-CN" w:bidi="hi-IN"/>
        </w:rPr>
        <w:t xml:space="preserve">один в формате табличного </w:t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lang w:val="ru-RU" w:eastAsia="zh-CN" w:bidi="hi-IN"/>
        </w:rPr>
        <w:t xml:space="preserve">редактора (Акт приема-передачи отчетных документов (далее – ОД), второй в формате *.pdf. Загрузчик распознает x/y/z. При нажатии кнопки «Загрузить», система подтягивает по распознанным x/y/z и файл *.pdf в столбцы 40 — Акт в формате *.pdf, 41 — дату Акта. 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lang w:val="ru-RU" w:eastAsia="zh-CN" w:bidi="hi-IN"/>
        </w:rPr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lang w:val="ru-RU" w:eastAsia="zh-CN" w:bidi="hi-IN"/>
        </w:rPr>
        <w:tab/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Описание вкладки «План камеральных работ» приведено в Таблице 2.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left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b/>
          <w:bCs w:val="0"/>
          <w:i w:val="0"/>
          <w:caps w:val="0"/>
          <w:smallCaps w:val="0"/>
          <w:color w:val="000000" w:themeColor="text1"/>
          <w:spacing w:val="0"/>
          <w:sz w:val="22"/>
          <w:szCs w:val="22"/>
          <w:highlight w:val="none"/>
        </w:rPr>
      </w:pPr>
      <w:r>
        <w:rPr>
          <w:rFonts w:ascii="Times New Roman" w:hAnsi="Times New Roman" w:eastAsia="Times New Roman" w:cs="Times New Roman"/>
          <w:b/>
          <w:bCs w:val="0"/>
          <w:i w:val="0"/>
          <w:caps w:val="0"/>
          <w:smallCaps w:val="0"/>
          <w:color w:val="000000" w:themeColor="text1"/>
          <w:spacing w:val="0"/>
          <w:sz w:val="22"/>
          <w:szCs w:val="22"/>
        </w:rPr>
      </w:r>
      <w:r>
        <w:rPr>
          <w:rFonts w:ascii="Times New Roman" w:hAnsi="Times New Roman" w:cs="Times New Roman"/>
          <w:b/>
          <w:bCs w:val="0"/>
          <w:i w:val="0"/>
          <w:caps w:val="0"/>
          <w:smallCaps w:val="0"/>
          <w:color w:val="000000" w:themeColor="text1"/>
          <w:spacing w:val="0"/>
          <w:sz w:val="22"/>
          <w:szCs w:val="22"/>
          <w:highlight w:val="none"/>
        </w:rPr>
      </w:r>
      <w:r>
        <w:rPr>
          <w:rFonts w:ascii="Times New Roman" w:hAnsi="Times New Roman" w:cs="Times New Roman"/>
          <w:b/>
          <w:bCs w:val="0"/>
          <w:i w:val="0"/>
          <w:caps w:val="0"/>
          <w:smallCaps w:val="0"/>
          <w:color w:val="000000" w:themeColor="text1"/>
          <w:spacing w:val="0"/>
          <w:sz w:val="22"/>
          <w:szCs w:val="22"/>
          <w:highlight w:val="none"/>
        </w:rPr>
      </w:r>
    </w:p>
    <w:p>
      <w:pPr>
        <w:pStyle w:val="1229"/>
        <w:ind w:left="0" w:right="0" w:firstLine="0"/>
        <w:jc w:val="left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b/>
          <w:bCs w:val="0"/>
          <w:i w:val="0"/>
          <w:caps w:val="0"/>
          <w:smallCaps w:val="0"/>
          <w:color w:val="000000" w:themeColor="text1"/>
          <w:spacing w:val="0"/>
          <w:sz w:val="22"/>
          <w:szCs w:val="22"/>
          <w:highlight w:val="none"/>
        </w:rPr>
        <w:sectPr>
          <w:footnotePr/>
          <w:endnotePr/>
          <w:type w:val="nextPage"/>
          <w:pgSz w:w="11906" w:h="16838" w:orient="portrait"/>
          <w:pgMar w:top="1134" w:right="1129" w:bottom="1134" w:left="1134" w:header="709" w:footer="709" w:gutter="0"/>
          <w:cols w:num="1" w:sep="0" w:space="1701" w:equalWidth="1"/>
          <w:docGrid w:linePitch="360"/>
        </w:sectPr>
      </w:pPr>
      <w:r>
        <w:rPr>
          <w:rFonts w:ascii="Times New Roman" w:hAnsi="Times New Roman" w:eastAsia="Times New Roman" w:cs="Times New Roman"/>
          <w:b/>
          <w:bCs w:val="0"/>
          <w:i w:val="0"/>
          <w:caps w:val="0"/>
          <w:smallCaps w:val="0"/>
          <w:color w:val="000000" w:themeColor="text1"/>
          <w:spacing w:val="0"/>
          <w:sz w:val="22"/>
          <w:szCs w:val="22"/>
        </w:rPr>
      </w:r>
      <w:r>
        <w:rPr>
          <w:rFonts w:ascii="Times New Roman" w:hAnsi="Times New Roman" w:cs="Times New Roman"/>
          <w:b/>
          <w:bCs w:val="0"/>
          <w:i w:val="0"/>
          <w:caps w:val="0"/>
          <w:smallCaps w:val="0"/>
          <w:color w:val="000000" w:themeColor="text1"/>
          <w:spacing w:val="0"/>
          <w:sz w:val="22"/>
          <w:szCs w:val="22"/>
          <w:highlight w:val="none"/>
        </w:rPr>
      </w:r>
      <w:r>
        <w:rPr>
          <w:rFonts w:ascii="Times New Roman" w:hAnsi="Times New Roman" w:cs="Times New Roman"/>
          <w:b/>
          <w:bCs w:val="0"/>
          <w:i w:val="0"/>
          <w:caps w:val="0"/>
          <w:smallCaps w:val="0"/>
          <w:color w:val="000000" w:themeColor="text1"/>
          <w:spacing w:val="0"/>
          <w:sz w:val="22"/>
          <w:szCs w:val="22"/>
          <w:highlight w:val="none"/>
        </w:rPr>
      </w:r>
    </w:p>
    <w:p>
      <w:pPr>
        <w:pStyle w:val="1229"/>
        <w:ind w:left="0" w:right="0" w:firstLine="0"/>
        <w:jc w:val="right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 xml:space="preserve">Таблица</w:t>
      </w: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 xml:space="preserve"> 2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tbl>
      <w:tblPr>
        <w:tblW w:w="14575" w:type="dxa"/>
        <w:tblInd w:w="55" w:type="dxa"/>
        <w:tblLayout w:type="fixed"/>
        <w:tblCellMar>
          <w:left w:w="55" w:type="dxa"/>
          <w:top w:w="55" w:type="dxa"/>
          <w:right w:w="55" w:type="dxa"/>
          <w:bottom w:w="55" w:type="dxa"/>
        </w:tblCellMar>
        <w:tblLook w:val="04A0" w:firstRow="1" w:lastRow="0" w:firstColumn="1" w:lastColumn="0" w:noHBand="0" w:noVBand="1"/>
      </w:tblPr>
      <w:tblGrid>
        <w:gridCol w:w="651"/>
        <w:gridCol w:w="1099"/>
        <w:gridCol w:w="563"/>
        <w:gridCol w:w="848"/>
        <w:gridCol w:w="627"/>
        <w:gridCol w:w="1425"/>
        <w:gridCol w:w="1249"/>
        <w:gridCol w:w="850"/>
        <w:gridCol w:w="1074"/>
        <w:gridCol w:w="1752"/>
        <w:gridCol w:w="1023"/>
        <w:gridCol w:w="851"/>
        <w:gridCol w:w="850"/>
        <w:gridCol w:w="962"/>
        <w:gridCol w:w="751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51" w:type="dxa"/>
            <w:vMerge w:val="restart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Действие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99" w:type="dxa"/>
            <w:vMerge w:val="restart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Индикатор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объекта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п/п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48" w:type="dxa"/>
            <w:vMerge w:val="restart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x/y/z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151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Информация по объекту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74" w:type="dxa"/>
            <w:vMerge w:val="restart"/>
            <w:textDirection w:val="lrTb"/>
            <w:noWrap w:val="false"/>
          </w:tcPr>
          <w:p>
            <w:pPr>
              <w:pStyle w:val="102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 w:eastAsia="zh-CN" w:bidi="hi-IN"/>
              </w:rPr>
              <w:t xml:space="preserve">Статус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102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 w:eastAsia="zh-CN" w:bidi="hi-IN"/>
              </w:rPr>
              <w:t xml:space="preserve">полевого этапа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52" w:type="dxa"/>
            <w:vMerge w:val="restart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Исполнитель камеральных работ в ИТЦ (ФИО)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4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Количество отчетной документации (план)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12" w:type="dxa"/>
            <w:textDirection w:val="lrTb"/>
            <w:noWrap w:val="false"/>
          </w:tcPr>
          <w:p>
            <w:pPr>
              <w:pStyle w:val="102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 w:eastAsia="zh-CN" w:bidi="hi-IN"/>
              </w:rPr>
              <w:t xml:space="preserve">Срок сдачи отчетной документации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1021"/>
              <w:ind w:left="0" w:right="0" w:firstLine="0"/>
              <w:jc w:val="center"/>
              <w:widowControl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 w:eastAsia="zh-CN" w:bidi="hi-IN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 w:eastAsia="zh-CN" w:bidi="hi-IN"/>
              </w:rPr>
              <w:t xml:space="preserve">по КПГ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" w:type="dxa"/>
            <w:vMerge w:val="restart"/>
            <w:textDirection w:val="lrTb"/>
            <w:noWrap w:val="false"/>
          </w:tcPr>
          <w:p>
            <w:pPr>
              <w:pStyle w:val="102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hi-IN"/>
              </w:rPr>
              <w:t xml:space="preserve">=&gt;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51" w:type="dxa"/>
            <w:vMerge w:val="continue"/>
            <w:textDirection w:val="lrTb"/>
            <w:noWrap w:val="false"/>
          </w:tcPr>
          <w:p>
            <w:pPr>
              <w:pStyle w:val="1234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99" w:type="dxa"/>
            <w:vMerge w:val="continue"/>
            <w:textDirection w:val="lrTb"/>
            <w:noWrap w:val="false"/>
          </w:tcPr>
          <w:p>
            <w:pPr>
              <w:pStyle w:val="1234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63" w:type="dxa"/>
            <w:vMerge w:val="continue"/>
            <w:textDirection w:val="lrTb"/>
            <w:noWrap w:val="false"/>
          </w:tcPr>
          <w:p>
            <w:pPr>
              <w:pStyle w:val="1234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48" w:type="dxa"/>
            <w:vMerge w:val="continue"/>
            <w:textDirection w:val="lrTb"/>
            <w:noWrap w:val="false"/>
          </w:tcPr>
          <w:p>
            <w:pPr>
              <w:pStyle w:val="1234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627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ДЭО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425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Подразделение принципала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Наименование объекта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1234"/>
              <w:jc w:val="center"/>
              <w:tabs>
                <w:tab w:val="left" w:pos="675" w:leader="none"/>
                <w:tab w:val="clear" w:pos="709" w:leader="none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Вид работ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74" w:type="dxa"/>
            <w:vMerge w:val="continue"/>
            <w:textDirection w:val="lrTb"/>
            <w:noWrap w:val="false"/>
          </w:tcPr>
          <w:p>
            <w:pPr>
              <w:pStyle w:val="1234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52" w:type="dxa"/>
            <w:vMerge w:val="continue"/>
            <w:textDirection w:val="lrTb"/>
            <w:noWrap w:val="false"/>
          </w:tcPr>
          <w:p>
            <w:pPr>
              <w:pStyle w:val="1234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23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ТО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ЗЭПБ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ТО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962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ЗЭПБ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" w:type="dxa"/>
            <w:vMerge w:val="continue"/>
            <w:textDirection w:val="lrTb"/>
            <w:noWrap w:val="false"/>
          </w:tcPr>
          <w:p>
            <w:pPr>
              <w:pStyle w:val="1234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651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99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563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848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627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5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425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6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7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8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74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9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752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10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23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11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12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13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962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14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15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651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˅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99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563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848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627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425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74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752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23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962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651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□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99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563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848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627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425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249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74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752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23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962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</w:tr>
    </w:tbl>
    <w:p>
      <w:pPr>
        <w:pStyle w:val="1229"/>
        <w:ind w:left="0" w:right="0" w:firstLine="0"/>
        <w:jc w:val="right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none"/>
          <w:shd w:val="clear" w:color="auto" w:fill="auto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none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none"/>
          <w:shd w:val="clear" w:color="auto" w:fill="auto"/>
        </w:rPr>
      </w:r>
    </w:p>
    <w:tbl>
      <w:tblPr>
        <w:tblW w:w="14575" w:type="dxa"/>
        <w:tblInd w:w="55" w:type="dxa"/>
        <w:tblLayout w:type="fixed"/>
        <w:tblCellMar>
          <w:left w:w="55" w:type="dxa"/>
          <w:top w:w="55" w:type="dxa"/>
          <w:right w:w="55" w:type="dxa"/>
          <w:bottom w:w="55" w:type="dxa"/>
        </w:tblCellMar>
        <w:tblLook w:val="04A0" w:firstRow="1" w:lastRow="0" w:firstColumn="1" w:lastColumn="0" w:noHBand="0" w:noVBand="1"/>
      </w:tblPr>
      <w:tblGrid>
        <w:gridCol w:w="1575"/>
        <w:gridCol w:w="1025"/>
        <w:gridCol w:w="963"/>
        <w:gridCol w:w="1137"/>
        <w:gridCol w:w="1074"/>
        <w:gridCol w:w="1251"/>
        <w:gridCol w:w="1737"/>
        <w:gridCol w:w="1157"/>
        <w:gridCol w:w="1641"/>
        <w:gridCol w:w="964"/>
        <w:gridCol w:w="1189"/>
        <w:gridCol w:w="861"/>
      </w:tblGrid>
      <w:tr>
        <w:tblPrEx/>
        <w:trPr>
          <w:trHeight w:val="101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575" w:type="dxa"/>
            <w:vMerge w:val="restart"/>
            <w:textDirection w:val="lrTb"/>
            <w:noWrap w:val="false"/>
          </w:tcPr>
          <w:p>
            <w:pPr>
              <w:pStyle w:val="1234"/>
              <w:ind w:left="57" w:right="0" w:firstLine="0"/>
              <w:jc w:val="center"/>
              <w:spacing w:before="0" w:after="0"/>
              <w:widowControl w:val="of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uppressLineNumbers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Экспертная организация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988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Заявка на выезд Экспертной организации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211" w:type="dxa"/>
            <w:textDirection w:val="lrTb"/>
            <w:noWrap w:val="false"/>
          </w:tcPr>
          <w:p>
            <w:pPr>
              <w:pStyle w:val="102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Отметка об осмотре объекта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251" w:type="dxa"/>
            <w:vMerge w:val="restart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Первичная отчетная документация (ПОД)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894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Проверка ПОД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94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Технический отчет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61" w:type="dxa"/>
            <w:vMerge w:val="restart"/>
            <w:textDirection w:val="lrTb"/>
            <w:noWrap w:val="false"/>
          </w:tcPr>
          <w:p>
            <w:pPr>
              <w:pStyle w:val="102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hi-IN"/>
              </w:rPr>
              <w:t xml:space="preserve">=&gt;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575" w:type="dxa"/>
            <w:vMerge w:val="continue"/>
            <w:textDirection w:val="lrTb"/>
            <w:noWrap w:val="false"/>
          </w:tcPr>
          <w:p>
            <w:pPr>
              <w:pStyle w:val="1234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№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963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Дата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137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дата осмотра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74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акт осмотра (файл *.pdf)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251" w:type="dxa"/>
            <w:vMerge w:val="continue"/>
            <w:textDirection w:val="lrTb"/>
            <w:noWrap w:val="false"/>
          </w:tcPr>
          <w:p>
            <w:pPr>
              <w:pStyle w:val="1234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37" w:type="dxa"/>
            <w:textDirection w:val="lrTb"/>
            <w:noWrap w:val="false"/>
          </w:tcPr>
          <w:p>
            <w:pPr>
              <w:pStyle w:val="102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Статус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1021"/>
              <w:ind w:left="0" w:right="0" w:firstLine="0"/>
              <w:jc w:val="center"/>
              <w:widowControl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(Комплект полный / комплект не полный)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57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Дата установки статуса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641" w:type="dxa"/>
            <w:textDirection w:val="lrTb"/>
            <w:noWrap w:val="false"/>
          </w:tcPr>
          <w:p>
            <w:pPr>
              <w:pStyle w:val="102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Статус готовности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1021"/>
              <w:ind w:left="57" w:right="0" w:firstLine="0"/>
              <w:jc w:val="center"/>
              <w:spacing w:before="0" w:after="0"/>
              <w:widowControl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(в работе/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1021"/>
              <w:ind w:left="57" w:right="0" w:firstLine="0"/>
              <w:jc w:val="center"/>
              <w:spacing w:before="0" w:after="0"/>
              <w:widowControl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завершен)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Дата установки статуса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189" w:type="dxa"/>
            <w:textDirection w:val="lrTb"/>
            <w:noWrap w:val="false"/>
          </w:tcPr>
          <w:p>
            <w:pPr>
              <w:pStyle w:val="1021"/>
              <w:ind w:left="0" w:right="-57" w:firstLine="0"/>
              <w:jc w:val="center"/>
              <w:spacing w:before="0" w:after="0"/>
              <w:widowControl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lang w:val="ru-RU" w:eastAsia="zh-CN" w:bidi="hi-IN"/>
              </w:rPr>
              <w:t xml:space="preserve">Файл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1021"/>
              <w:ind w:left="0" w:right="-57" w:firstLine="0"/>
              <w:jc w:val="center"/>
              <w:spacing w:before="0" w:after="0"/>
              <w:widowControl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lang w:val="ru-RU" w:eastAsia="zh-CN" w:bidi="hi-IN"/>
              </w:rPr>
              <w:t xml:space="preserve">(*.pdf / *.doc)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1021"/>
              <w:ind w:left="0" w:right="-57" w:firstLine="0"/>
              <w:jc w:val="center"/>
              <w:spacing w:before="0" w:after="0"/>
              <w:widowControl/>
              <w:rPr>
                <w:rFonts w:ascii="Times New Roman" w:hAnsi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lang w:val="ru-RU" w:eastAsia="zh-CN" w:bidi="hi-IN"/>
              </w:rPr>
            </w:r>
            <w:r>
              <w:rPr>
                <w:rFonts w:ascii="Times New Roman" w:hAnsi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61" w:type="dxa"/>
            <w:vMerge w:val="continue"/>
            <w:textDirection w:val="lrTb"/>
            <w:noWrap w:val="false"/>
          </w:tcPr>
          <w:p>
            <w:pPr>
              <w:pStyle w:val="1234"/>
              <w:jc w:val="center"/>
              <w:rPr>
                <w:rFonts w:ascii="PT Astra Serif" w:hAnsi="PT Astra Serif"/>
                <w:b w:val="0"/>
                <w:i w:val="0"/>
                <w:caps w:val="0"/>
                <w:small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ascii="PT Astra Serif" w:hAnsi="PT Astra Serif"/>
                <w:b w:val="0"/>
                <w:i w:val="0"/>
                <w:caps w:val="0"/>
                <w:smallCaps w:val="0"/>
                <w:color w:val="000000"/>
                <w:spacing w:val="0"/>
                <w:sz w:val="20"/>
                <w:szCs w:val="20"/>
              </w:rPr>
            </w:r>
            <w:r>
              <w:rPr>
                <w:rFonts w:ascii="PT Astra Serif" w:hAnsi="PT Astra Serif"/>
                <w:b w:val="0"/>
                <w:i w:val="0"/>
                <w:caps w:val="0"/>
                <w:smallCaps w:val="0"/>
                <w:color w:val="000000"/>
                <w:spacing w:val="0"/>
                <w:sz w:val="20"/>
                <w:szCs w:val="20"/>
              </w:rPr>
            </w:r>
            <w:r>
              <w:rPr>
                <w:rFonts w:ascii="PT Astra Serif" w:hAnsi="PT Astra Serif"/>
                <w:b w:val="0"/>
                <w:i w:val="0"/>
                <w:caps w:val="0"/>
                <w:smallCaps w:val="0"/>
                <w:color w:val="000000"/>
                <w:spacing w:val="0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1575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15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16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963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17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137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18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74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19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251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20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737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21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157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22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641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23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189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25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61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26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1575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25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963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137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74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251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737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157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641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189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61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</w:tr>
    </w:tbl>
    <w:p>
      <w:pPr>
        <w:pStyle w:val="1229"/>
        <w:ind w:left="0" w:right="0" w:firstLine="0"/>
        <w:jc w:val="center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none"/>
          <w:shd w:val="clear" w:color="auto" w:fill="auto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none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none"/>
          <w:shd w:val="clear" w:color="auto" w:fill="auto"/>
        </w:rPr>
      </w:r>
    </w:p>
    <w:tbl>
      <w:tblPr>
        <w:tblW w:w="5000" w:type="pct"/>
        <w:tblInd w:w="55" w:type="dxa"/>
        <w:tblLayout w:type="fixed"/>
        <w:tblCellMar>
          <w:left w:w="55" w:type="dxa"/>
          <w:top w:w="55" w:type="dxa"/>
          <w:right w:w="55" w:type="dxa"/>
          <w:bottom w:w="55" w:type="dxa"/>
        </w:tblCellMar>
        <w:tblLook w:val="04A0" w:firstRow="1" w:lastRow="0" w:firstColumn="1" w:lastColumn="0" w:noHBand="0" w:noVBand="1"/>
      </w:tblPr>
      <w:tblGrid>
        <w:gridCol w:w="336"/>
        <w:gridCol w:w="510"/>
        <w:gridCol w:w="1014"/>
        <w:gridCol w:w="559"/>
        <w:gridCol w:w="575"/>
        <w:gridCol w:w="565"/>
        <w:gridCol w:w="1002"/>
        <w:gridCol w:w="896"/>
        <w:gridCol w:w="834"/>
        <w:gridCol w:w="680"/>
        <w:gridCol w:w="991"/>
        <w:gridCol w:w="1579"/>
        <w:gridCol w:w="1019"/>
        <w:gridCol w:w="960"/>
        <w:gridCol w:w="720"/>
        <w:gridCol w:w="1021"/>
        <w:gridCol w:w="1309"/>
      </w:tblGrid>
      <w:tr>
        <w:tblPrEx/>
        <w:trPr/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60" w:type="dxa"/>
            <w:textDirection w:val="lrTb"/>
            <w:noWrap w:val="false"/>
          </w:tcPr>
          <w:p>
            <w:pPr>
              <w:pStyle w:val="1234"/>
              <w:ind w:left="0" w:right="0" w:firstLine="0"/>
              <w:jc w:val="center"/>
              <w:widowControl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Заявка на выпуск заключения экспертизы промышленной безопасности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699" w:type="dxa"/>
            <w:textDirection w:val="lrTb"/>
            <w:noWrap w:val="false"/>
          </w:tcPr>
          <w:p>
            <w:pPr>
              <w:pStyle w:val="1234"/>
              <w:ind w:left="0" w:right="0" w:firstLine="0"/>
              <w:jc w:val="center"/>
              <w:widowControl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Передача ТО в экспертную организацию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732" w:type="dxa"/>
            <w:textDirection w:val="lrTb"/>
            <w:noWrap w:val="false"/>
          </w:tcPr>
          <w:p>
            <w:pPr>
              <w:pStyle w:val="1234"/>
              <w:ind w:left="0" w:right="0" w:firstLine="0"/>
              <w:jc w:val="center"/>
              <w:widowControl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Заключение экспертизы промышленной безопасности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671" w:type="dxa"/>
            <w:textDirection w:val="lrTb"/>
            <w:noWrap w:val="false"/>
          </w:tcPr>
          <w:p>
            <w:pPr>
              <w:pStyle w:val="1234"/>
              <w:ind w:left="0" w:right="0" w:firstLine="0"/>
              <w:jc w:val="center"/>
              <w:widowControl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Передача ТО и/или ЗЭПБ в ДЭО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558" w:type="dxa"/>
            <w:textDirection w:val="lrTb"/>
            <w:noWrap w:val="false"/>
          </w:tcPr>
          <w:p>
            <w:pPr>
              <w:pStyle w:val="1234"/>
              <w:ind w:left="0" w:right="0" w:firstLine="0"/>
              <w:jc w:val="center"/>
              <w:widowControl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Замечания от ДЭО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41" w:type="dxa"/>
            <w:textDirection w:val="lrTb"/>
            <w:noWrap w:val="false"/>
          </w:tcPr>
          <w:p>
            <w:pPr>
              <w:pStyle w:val="102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lang w:val="ru-RU" w:eastAsia="zh-CN" w:bidi="hi-IN"/>
              </w:rPr>
              <w:t xml:space="preserve">Акт приема-передачи ОД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09" w:type="dxa"/>
            <w:vMerge w:val="restart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lang w:val="ru-RU" w:eastAsia="zh-CN" w:bidi="hi-IN"/>
              </w:rPr>
              <w:t xml:space="preserve">Назначенный срок безопасной эксплуатации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336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№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510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Дата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ссылка на документ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559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письма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575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Дата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565" w:type="dxa"/>
            <w:textDirection w:val="lrTb"/>
            <w:noWrap w:val="false"/>
          </w:tcPr>
          <w:p>
            <w:pPr>
              <w:pStyle w:val="102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Файл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1021"/>
              <w:ind w:left="0" w:right="0" w:firstLine="0"/>
              <w:jc w:val="center"/>
              <w:widowControl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*.pdf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02" w:type="dxa"/>
            <w:textDirection w:val="lrTb"/>
            <w:noWrap w:val="false"/>
          </w:tcPr>
          <w:p>
            <w:pPr>
              <w:pStyle w:val="102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Статус готовности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1021"/>
              <w:ind w:left="0" w:right="0" w:firstLine="0"/>
              <w:jc w:val="center"/>
              <w:widowControl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(в работе/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1021"/>
              <w:ind w:left="0" w:right="0" w:firstLine="0"/>
              <w:jc w:val="center"/>
              <w:widowControl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завершен)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896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Дата установки статуса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834" w:type="dxa"/>
            <w:textDirection w:val="lrTb"/>
            <w:noWrap w:val="false"/>
          </w:tcPr>
          <w:p>
            <w:pPr>
              <w:pStyle w:val="102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Файл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1021"/>
              <w:ind w:left="0" w:right="0" w:firstLine="0"/>
              <w:jc w:val="center"/>
              <w:widowControl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(*.pdf / *.doc)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680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письма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Дата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579" w:type="dxa"/>
            <w:textDirection w:val="lrTb"/>
            <w:noWrap w:val="false"/>
          </w:tcPr>
          <w:p>
            <w:pPr>
              <w:pStyle w:val="102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Статус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1021"/>
              <w:ind w:left="0" w:right="0" w:firstLine="0"/>
              <w:jc w:val="center"/>
              <w:widowControl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(отсутствуют/ получены/ устранены)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19" w:type="dxa"/>
            <w:textDirection w:val="lrTb"/>
            <w:noWrap w:val="false"/>
          </w:tcPr>
          <w:p>
            <w:pPr>
              <w:pStyle w:val="102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Дата установки статуса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960" w:type="dxa"/>
            <w:textDirection w:val="lrTb"/>
            <w:noWrap w:val="false"/>
          </w:tcPr>
          <w:p>
            <w:pPr>
              <w:pStyle w:val="102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Перечень замечаний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720" w:type="dxa"/>
            <w:textDirection w:val="lrTb"/>
            <w:noWrap w:val="false"/>
          </w:tcPr>
          <w:p>
            <w:pPr>
              <w:pStyle w:val="102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Файл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1021"/>
              <w:ind w:left="0" w:right="0" w:firstLine="0"/>
              <w:jc w:val="center"/>
              <w:widowControl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*.pdf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21" w:type="dxa"/>
            <w:textDirection w:val="lrTb"/>
            <w:noWrap w:val="false"/>
          </w:tcPr>
          <w:p>
            <w:pPr>
              <w:pStyle w:val="102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</w:rPr>
              <w:t xml:space="preserve">Дата загрузки документа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09" w:type="dxa"/>
            <w:vMerge w:val="continue"/>
            <w:textDirection w:val="lrTb"/>
            <w:noWrap w:val="false"/>
          </w:tcPr>
          <w:p>
            <w:pPr>
              <w:pStyle w:val="1234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336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26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510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27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28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559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29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575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30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565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02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32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896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834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680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35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36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579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37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19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38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960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 w:eastAsia="zh-CN" w:bidi="hi-IN"/>
              </w:rPr>
              <w:t xml:space="preserve">39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720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 w:eastAsia="zh-CN" w:bidi="hi-IN"/>
              </w:rPr>
              <w:t xml:space="preserve">40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21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 w:eastAsia="zh-CN" w:bidi="hi-IN"/>
              </w:rPr>
              <w:t xml:space="preserve">41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09" w:type="dxa"/>
            <w:textDirection w:val="lrTb"/>
            <w:noWrap w:val="false"/>
          </w:tcPr>
          <w:p>
            <w:pPr>
              <w:pStyle w:val="12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 w:eastAsia="zh-CN" w:bidi="hi-IN"/>
              </w:rPr>
              <w:t xml:space="preserve">42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336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510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559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575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565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02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896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834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680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579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19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960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720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21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09" w:type="dxa"/>
            <w:textDirection w:val="lrTb"/>
            <w:noWrap w:val="false"/>
          </w:tcPr>
          <w:p>
            <w:pPr>
              <w:pStyle w:val="12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</w:tbl>
    <w:p>
      <w:pPr>
        <w:pStyle w:val="1229"/>
        <w:ind w:left="0" w:right="0" w:firstLine="0"/>
        <w:jc w:val="left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none"/>
          <w:shd w:val="clear" w:color="auto" w:fill="auto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none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none"/>
          <w:shd w:val="clear" w:color="auto" w:fill="auto"/>
        </w:rPr>
      </w:r>
    </w:p>
    <w:p>
      <w:pPr>
        <w:pStyle w:val="1229"/>
        <w:ind w:left="0" w:right="0" w:firstLine="0"/>
        <w:jc w:val="left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 xml:space="preserve">1. Установка флажка для выбора объекта;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1229"/>
        <w:ind w:left="0" w:right="0" w:firstLine="0"/>
        <w:jc w:val="left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none"/>
          <w:shd w:val="clear" w:color="auto" w:fill="auto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none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none"/>
          <w:shd w:val="clear" w:color="auto" w:fill="auto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 xml:space="preserve">2. Индикатор объекта устанавливается для идентификации нарушений сроков подготовки отчетной документации.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 xml:space="preserve">Красный индикатор устанавливается если срок предоставления ОД по утвержденному КПГ: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ab/>
        <w:t xml:space="preserve">а) Итог работ - технический отчет 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ab/>
        <w:t xml:space="preserve">- срок предоставления ОД по утвержденному КПГ менее 30 календарных дней. (Дата предоставления ТО утв. КПГ — дата завершения работ факт. &lt; 30 календарных дней).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ab/>
        <w:t xml:space="preserve">- индикатор устанавливается когда расчетный срок предоставления ТО получается </w:t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 xml:space="preserve">меньше даты завершения полевых работ</w:t>
      </w: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 xml:space="preserve">. (Дата утвержденного КПГ - 30 календарных дней &lt; даты завершения полевого этапа).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ab/>
        <w:t xml:space="preserve">При этом срок предоставления ТО остается равный сроку утвержденного КПГ.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ab/>
        <w:t xml:space="preserve">б) Итог работ - заключение экспертизы промышленной безопасности: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ab/>
        <w:t xml:space="preserve">- срок предоставления ОД по утвержденному КПГ менее 52 календарных дней. (Дата предоставления ЗЭПБ утв. КПГ— дата завершения работ утв. КПГ&lt; 52 календарных дней).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 xml:space="preserve">- индикатор устанавливается когда расчетный срок предоставления ЗЭПБ превышает срок установленный КПГ. (дата завершения работ факт. + 52 календарных дня &gt; даты утв. КПГ).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1229"/>
        <w:ind w:left="0" w:right="0" w:firstLine="0"/>
        <w:jc w:val="left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none"/>
          <w:shd w:val="clear" w:color="auto" w:fill="auto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none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none"/>
          <w:shd w:val="clear" w:color="auto" w:fill="auto"/>
        </w:rPr>
      </w:r>
    </w:p>
    <w:p>
      <w:pPr>
        <w:pStyle w:val="1229"/>
        <w:ind w:left="0" w:right="0" w:firstLine="0"/>
        <w:jc w:val="left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 xml:space="preserve">3. Номер строки по порядку;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1229"/>
        <w:ind w:left="0" w:right="0" w:firstLine="0"/>
        <w:jc w:val="left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none"/>
          <w:shd w:val="clear" w:color="auto" w:fill="auto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none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none"/>
          <w:shd w:val="clear" w:color="auto" w:fill="auto"/>
        </w:rPr>
      </w:r>
    </w:p>
    <w:p>
      <w:pPr>
        <w:pStyle w:val="1229"/>
        <w:ind w:left="0" w:right="0" w:firstLine="0"/>
        <w:jc w:val="left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 xml:space="preserve">4. x/y/z по объекту;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1229"/>
        <w:ind w:left="0" w:right="0" w:firstLine="0"/>
        <w:jc w:val="left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none"/>
          <w:shd w:val="clear" w:color="auto" w:fill="auto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none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none"/>
          <w:shd w:val="clear" w:color="auto" w:fill="auto"/>
        </w:rPr>
      </w:r>
    </w:p>
    <w:p>
      <w:pPr>
        <w:pStyle w:val="1229"/>
        <w:ind w:left="0" w:right="0" w:firstLine="0"/>
        <w:jc w:val="left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 xml:space="preserve">5.-8. Информация по объекту из пообъектного плана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1229"/>
        <w:ind w:left="0" w:right="0" w:firstLine="0"/>
        <w:jc w:val="left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 xml:space="preserve">- ДЭО;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1229"/>
        <w:ind w:left="0" w:right="0" w:firstLine="0"/>
        <w:jc w:val="left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 xml:space="preserve">- Подразделение принципала;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1229"/>
        <w:ind w:left="0" w:right="0" w:firstLine="0"/>
        <w:jc w:val="left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 xml:space="preserve">- Наименование объекта;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1229"/>
        <w:ind w:left="0" w:right="0" w:firstLine="0"/>
        <w:jc w:val="left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sectPr>
          <w:footnotePr/>
          <w:endnotePr/>
          <w:type w:val="nextPage"/>
          <w:pgSz w:w="16838" w:h="11906" w:orient="landscape"/>
          <w:pgMar w:top="1134" w:right="1134" w:bottom="1134" w:left="1134" w:header="709" w:footer="709" w:gutter="0"/>
          <w:cols w:num="1" w:sep="0" w:space="1701" w:equalWidth="1"/>
          <w:docGrid w:linePitch="360"/>
        </w:sect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 xml:space="preserve">- Вид работ;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pStyle w:val="1229"/>
        <w:ind w:left="0" w:right="0" w:firstLine="0"/>
        <w:jc w:val="left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 xml:space="preserve">9. </w:t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 xml:space="preserve">Статус полевого этапа устанавливается по его окончанию.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left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none"/>
          <w:shd w:val="clear" w:color="auto" w:fill="auto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none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none"/>
          <w:shd w:val="clear" w:color="auto" w:fill="auto"/>
        </w:rPr>
      </w:r>
    </w:p>
    <w:p>
      <w:pPr>
        <w:pStyle w:val="1229"/>
        <w:ind w:left="0" w:right="0" w:firstLine="0"/>
        <w:jc w:val="left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 xml:space="preserve">10. Исполнитель камеральных работ назначается </w:t>
      </w: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по факту завершения полевого этапа работ и установки соответствующего статуса («Завершен»). Алгоритм назначения исполнителя камеральных работ описан ранее.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left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</w:p>
    <w:p>
      <w:pPr>
        <w:pStyle w:val="1229"/>
        <w:ind w:left="0" w:right="0" w:firstLine="0"/>
        <w:jc w:val="left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11. Количество технических отчетов, согласно пообъектному плану;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left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</w:p>
    <w:p>
      <w:pPr>
        <w:pStyle w:val="1229"/>
        <w:ind w:left="0" w:right="0" w:firstLine="0"/>
        <w:jc w:val="left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12. Количество заключений экспертизы промышленной безопасности, согласно пообъектному плану;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left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</w:p>
    <w:p>
      <w:pPr>
        <w:pStyle w:val="1229"/>
        <w:ind w:left="0" w:right="0" w:firstLine="0"/>
        <w:jc w:val="left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13. Срок сдачи технических отчетов, согласно данным утвержденного КПГ;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left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По факту завершения полевого этапа работ срок сдачи технического отчета уточняется, выполняя эти два условия.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left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1 вариант. Столбец 13 = А — Б, где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left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А - срок сдачи ТО Принципалу, установленный КПГ;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left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Б — 30 дней согласно Регламенту</w:t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4"/>
          <w:szCs w:val="24"/>
          <w:shd w:val="clear" w:color="auto" w:fill="auto"/>
        </w:rPr>
        <w:t xml:space="preserve">, а также с учетом Порядка взаимодействия участников бизнес процесса «Диагностическое обследование» при организации и проведении диагностических работ на объекте ПАО «Газпром» (письмо от 26.12.2025 №06/45/2-2975)</w:t>
      </w: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left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В случае если расчетная дата меньше даты завершения полевого этапа работ в столбце 2 устанавливается красный индикатор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2 вариант. Столбец 13 = Б + С, где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Б — 30 дней согласно Регламенту</w:t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4"/>
          <w:szCs w:val="24"/>
          <w:shd w:val="clear" w:color="auto" w:fill="auto"/>
        </w:rPr>
        <w:t xml:space="preserve">, а также с учетом Порядка взаимодействия участников бизнес процесса «Диагностическое обследование» при организации и проведении диагностических работ на объекте ПАО «Газпром» (письмо от 26.12.2025 №06/45/2-2975)</w:t>
      </w: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С — дата завершения полевого этапа работ.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Если при расчете уточненной даты предоставления ОД вариант 1 &lt; варианта 2, то в столбец 13 устанавливается вариант 1.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Дата сдачи технического отчета не пересчитывается в случае если уточненная дата завершения камерального этапа превышает дату утвержденного КПГ.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14. Срок сдачи заключений экспертизы промышленной безопасности, согласно данным утвержденного КПГ;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По факту завершения полевого этапа работ срок сдачи технического отчета уточняется, выполняя эти два условия.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1 вариант. Столбец 14 = А — Б, где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А - срок сдачи ТО Принципалу, установленный КПГ;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Б — 52 дней согласно Регламенту</w:t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4"/>
          <w:szCs w:val="24"/>
          <w:shd w:val="clear" w:color="auto" w:fill="auto"/>
        </w:rPr>
        <w:t xml:space="preserve">, а также с учетом Порядка взаимодействия участников бизнес процесса «Диагностическое обследование» при организации и проведении диагностических работ на объекте ПАО «Газпром» (письмо от 26.12.2025 №06/45/2-2975)</w:t>
      </w: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В случае если расчетная дата меньше даты завершения полевого этапа работ в столбце 2 устанавливается красный индикатор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2 вариант. Столбец 14 = Б + С, где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Б — 52 дней согласно Регламенту</w:t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4"/>
          <w:szCs w:val="24"/>
          <w:shd w:val="clear" w:color="auto" w:fill="auto"/>
        </w:rPr>
        <w:t xml:space="preserve">, а также с учетом Порядка взаимодействия участников бизнес процесса «Диагностическое обследование» при организации и проведении диагностических работ на объекте ПАО «Газпром» (письмо от 26.12.2025 №06/45/2-2975)</w:t>
      </w: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С — дата завершения полевого этапа работ.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  <w:shd w:val="clear" w:color="auto" w:fill="auto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  <w:shd w:val="clear" w:color="auto" w:fill="auto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Если при расчете уточненной даты предоставления ОД вариант 1 &lt; варианта 2, то в столбец 14 устанавливается вариант 1.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Дата сдачи ЗЭПБ не пересчитывается в случае если уточненная дата завершения камерального этапа превышает дату утвержденного КПГ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15. Экспертная организация назначается при формировании заявки на выезд экспертной организации (Раздел 11);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16. Номер заявки на выезд экспертной организации. Информация из Системы (Раздел 11). При нажатии на номер — открывается Заявка.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17. Дата заявки на выезд экспертной организации. Информация из Системы (Раздел 11).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18. Дата проведения осмотра объекта экспертной организацией.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19. Документ подтверждающий проведение осмотра. (ссылка на файл). При нажатии на номер — открывается Акт осмотра.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20. Первичная отчетная документация. В ячейке предусмотреть выпадающий список ссылок на документы в форматах *.pdf/*.doc и т.д. (Протоколы, фото материалы, Паспорт объекта, схемы, свидетельство о регистрации ОПО и т.д.), с возможностью их просмотра.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21. Статус проверки первичной отчетной документации (далее – ПОД):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  <w:lang w:val="ru-RU" w:eastAsia="zh-CN" w:bidi="hi-IN"/>
        </w:rPr>
        <w:t xml:space="preserve">«Комплект полный» </w:t>
      </w: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документы приняты в работу для оформления технического отчета,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  <w:lang w:val="ru-RU" w:eastAsia="zh-CN" w:bidi="hi-IN"/>
        </w:rPr>
        <w:t xml:space="preserve">«Комплект не полный» в</w:t>
      </w: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ыявлены замечания к комплекту и направлен запрос на доработку (уточнение данных или предоставление дополнительных материалов).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22. Дата установки статуса проверки ПОД.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23. Статус готовности технического отчета (в работе / завершен)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«В работе» - устанавливается автоматически после подтверждения полного комплекта ПОД;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«Завершен» после передачи ТО в экспертную организацию (далее – ЭО) (в случае если итогом камерального этапа является ЗЭПБ) или после загрузки Акта приема-передачи ОД в формате *.pdf, оформленного сторонами.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24. Дата установки статуса.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25. Отражается ссылка на предзаполненный технический отчет. 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ab/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26-28. Заявка на выпуск ЗЭПБ. Заполняется исходя из данных оформленных заявок на выпуск ЗЭПБ (раздел 10).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- номер заявки, дата заявки и ссылка на документа (файл заявки).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29-31. Передача ТО в экспертную организацию, автоматическое заполнение столбцов информацией из закладки «Заявка на выпуск ЗЭПБ» №, дата заявки и ссылка на файл (с возможностью просмотра документа).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32-34. Статус готовности ЗЭПБ (в работе / завершен):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«В работе» устанавливается автоматически после передачи ТО в ЭО (столбец 31).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«Завершен» устанавливается автоматически после загрузки Акта приема-передачи ОД.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35-36. Отображается № и дата письма.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Необходимо предусмотреть автоматическое заполнение данных из 1С производственный документооборот.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  <w:shd w:val="clear" w:color="auto" w:fill="auto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  <w:shd w:val="clear" w:color="auto" w:fill="auto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37-38. Предусмотреть окошко для заполнения замечаниями полученными от ДЭО столбец 37).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В столбце 38 проставляется дата получения замечаний (по умолчанию устанавливается дата внесения замечаний).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  <w:shd w:val="clear" w:color="auto" w:fill="auto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  <w:shd w:val="clear" w:color="auto" w:fill="auto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39. Перечень замечаний от ДЭО.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40-41. Предусмотреть отображение Акта приема-передачи ОД (столбец 40), и даты (столбец 41). 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eastAsia="Times New Roman" w:cs="Times New Roman"/>
          <w:color w:val="000000" w:themeColor="text1"/>
          <w:highlight w:val="none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</w:rPr>
        <w:t xml:space="preserve">42. Назначенный</w:t>
      </w:r>
      <w:r>
        <w:rPr>
          <w:rStyle w:val="1228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shd w:val="clear" w:color="auto" w:fill="auto"/>
          <w:lang w:val="ru-RU" w:eastAsia="zh-CN" w:bidi="hi-IN"/>
        </w:rPr>
        <w:t xml:space="preserve"> срок безопасной эксплуатации.</w:t>
      </w:r>
      <w:r>
        <w:rPr>
          <w:rFonts w:ascii="Times New Roman" w:hAnsi="Times New Roman" w:eastAsia="Times New Roman" w:cs="Times New Roman"/>
          <w:color w:val="000000" w:themeColor="text1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highlight w:val="none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tabs>
          <w:tab w:val="left" w:pos="0" w:leader="none"/>
          <w:tab w:val="clear" w:pos="709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708"/>
        <w:jc w:val="left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/>
          <w:bCs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 xml:space="preserve">Алгоритм распределения исполнителя камерального этапа работ</w:t>
      </w:r>
      <w:r>
        <w:rPr>
          <w:rFonts w:ascii="Times New Roman" w:hAnsi="Times New Roman" w:cs="Times New Roman"/>
          <w:b/>
          <w:bCs/>
          <w:color w:val="000000" w:themeColor="text1"/>
        </w:rPr>
      </w:r>
      <w:r>
        <w:rPr>
          <w:rFonts w:ascii="Times New Roman" w:hAnsi="Times New Roman" w:cs="Times New Roman"/>
          <w:b/>
          <w:bCs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none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ab/>
        <w:t xml:space="preserve">Источники данных для формирования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 </w:t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ab/>
        <w:t xml:space="preserve">- </w:t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</w:rPr>
        <w:t xml:space="preserve">Данные о плановой занятости специалистов на полевом этапе работ (даты, объекты (x/y/z), командировка)</w:t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 из оперативного плана полевого этапа выполнения работ;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709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 Данные об объектах для выполнения камерального этапа работ, плановые даты предоставления Принципалу оформленных ТО и ЗЭПБ (из КПГ);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709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 плановые даты предоставления ТО в экспертную организацию для формирования ЗЭПБ (раздел 6, п.6.3 таблица №1: значение столбца 13 минус 42 дня);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709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 фактические даты окончания полевых работ (из документов «выполнения полевых работ» в АСУ ПП);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709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 плановое количество технических отчетов и заключений экспертизы промышленной безопасности (из производственной программы);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709"/>
        <w:jc w:val="both"/>
        <w:spacing w:before="0" w:beforeAutospacing="0" w:after="0" w:afterAutospacing="0" w:line="240" w:lineRule="auto"/>
        <w:widowControl/>
        <w:tabs>
          <w:tab w:val="clear" w:pos="709" w:leader="none"/>
          <w:tab w:val="left" w:pos="739" w:leader="none"/>
          <w:tab w:val="left" w:pos="793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 xml:space="preserve">- г</w:t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  <w:highlight w:val="white"/>
        </w:rPr>
        <w:t xml:space="preserve">рафик статусов состояний исполнителей: Информация о текущем </w:t>
        <w:br/>
        <w:t xml:space="preserve">и плановом статусе каждого исполнителя («Свободен», «Командировка», «Камеральная работа», «Отпуск/Больничный/Аттестация», «Не доступен»)</w:t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 xml:space="preserve">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709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 оперативный план полевых работ: Данные о плановой занятости специалистов на полевом этапе работ (даты, объекты (x/y/z), командировка);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709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 справочник трудоемкости: Но</w:t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  <w:lang w:val="ru-RU" w:eastAsia="zh-CN" w:bidi="hi-IN"/>
        </w:rPr>
        <w:t xml:space="preserve">рмативная трудоемкость по видам работ для расчета планируемой загрузки.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709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  <w:lang w:val="ru-RU" w:eastAsia="zh-CN" w:bidi="hi-IN"/>
        </w:rPr>
        <w:t xml:space="preserve">- производственный календарь: Требуется интеграция с кадровыми системами для автоматического получения данных или актуализация в ручном режиме с определенной периодичностью. Интеграция необходима для автоматического</w:t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  <w:lang w:val="ru-RU" w:eastAsia="zh-CN" w:bidi="hi-IN"/>
        </w:rPr>
        <w:t xml:space="preserve"> получения данных о доступности сотрудников: даты нахождения сотрудника в офисе, командировке, отпуске, больничном или периоды обучения, что позволит Системе достоверно определить «окна» для возможности привлечения полевых сотрудников к камеральной работе.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left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lang w:val="ru-RU" w:eastAsia="zh-CN" w:bidi="hi-IN"/>
        </w:rPr>
        <w:tab/>
        <w:t xml:space="preserve">Требования к данным справочника специалистов.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709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white"/>
          <w:lang w:val="ru-RU" w:eastAsia="zh-CN" w:bidi="hi-IN"/>
        </w:rPr>
        <w:t xml:space="preserve">Для формирования отчетных форм, указанны</w:t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  <w:lang w:val="ru-RU" w:eastAsia="zh-CN" w:bidi="hi-IN"/>
        </w:rPr>
        <w:t xml:space="preserve">х в разделе 12, в Сис</w:t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white"/>
          <w:lang w:val="ru-RU" w:eastAsia="zh-CN" w:bidi="hi-IN"/>
        </w:rPr>
        <w:t xml:space="preserve">теме должен вестись справочник специалистов со следующей структурой данных. Таблица описывает обязательные для учета атрибуты (поля) каждого исполнителя.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709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white"/>
          <w:lang w:val="ru-RU" w:eastAsia="zh-CN" w:bidi="hi-IN"/>
        </w:rPr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white"/>
        </w:rPr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white"/>
        </w:rPr>
      </w:r>
    </w:p>
    <w:tbl>
      <w:tblPr>
        <w:tblW w:w="5000" w:type="pct"/>
        <w:tblInd w:w="55" w:type="dxa"/>
        <w:tblLayout w:type="fixed"/>
        <w:tblCellMar>
          <w:left w:w="55" w:type="dxa"/>
          <w:top w:w="55" w:type="dxa"/>
          <w:right w:w="55" w:type="dxa"/>
          <w:bottom w:w="55" w:type="dxa"/>
        </w:tblCellMar>
        <w:tblLook w:val="04A0" w:firstRow="1" w:lastRow="0" w:firstColumn="1" w:lastColumn="0" w:noHBand="0" w:noVBand="1"/>
      </w:tblPr>
      <w:tblGrid>
        <w:gridCol w:w="500"/>
        <w:gridCol w:w="963"/>
        <w:gridCol w:w="1304"/>
        <w:gridCol w:w="2046"/>
        <w:gridCol w:w="1924"/>
        <w:gridCol w:w="2900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00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№ </w:t>
            </w: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п/п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963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Ф.И.О.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304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Таб. номер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046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Приоритетная специализация*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924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Специализация 1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00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Специализация 2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</w:tr>
      <w:tr>
        <w:tblPrEx/>
        <w:trPr>
          <w:trHeight w:val="291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500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1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963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2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304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3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046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4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924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5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00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6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500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1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963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304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222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046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Комплексное обследование </w:t>
            </w: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г</w:t>
            </w: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а</w:t>
            </w: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з</w:t>
            </w: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о</w:t>
            </w: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р</w:t>
            </w: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а</w:t>
            </w: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с</w:t>
            </w: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п</w:t>
            </w: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р</w:t>
            </w: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е</w:t>
            </w: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д</w:t>
            </w: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е</w:t>
            </w: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л</w:t>
            </w: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и</w:t>
            </w: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т</w:t>
            </w: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е</w:t>
            </w: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л</w:t>
            </w: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ь</w:t>
            </w: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н</w:t>
            </w: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о</w:t>
            </w: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й</w:t>
            </w: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 </w:t>
            </w: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с</w:t>
            </w: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т</w:t>
            </w: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а</w:t>
            </w: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нции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924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Обследование ТПА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00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Style w:val="1228"/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highlight w:val="white"/>
                <w:lang w:val="ru-RU" w:eastAsia="zh-CN" w:bidi="hi-IN"/>
              </w:rPr>
              <w:t xml:space="preserve">Обследование камер запуска и приема ВУ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</w:tr>
    </w:tbl>
    <w:p>
      <w:pPr>
        <w:pStyle w:val="1229"/>
        <w:ind w:left="0" w:right="0" w:firstLine="709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position w:val="0"/>
          <w:sz w:val="20"/>
          <w:szCs w:val="20"/>
          <w:highlight w:val="white"/>
          <w:vertAlign w:val="baseline"/>
          <w:lang w:val="ru-RU" w:eastAsia="zh-CN" w:bidi="hi-IN"/>
        </w:rPr>
        <w:t xml:space="preserve">*Специализация указывается в соответствии с Перечнем направлений деятельности и видов работ при диагностическом обследовании, техническом обслуживании и ремонте объектов ПАО «Газпром».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709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white"/>
          <w:lang w:val="ru-RU" w:eastAsia="zh-CN" w:bidi="hi-IN"/>
        </w:rPr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white"/>
        </w:rPr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white"/>
        </w:rPr>
      </w:r>
    </w:p>
    <w:p>
      <w:pPr>
        <w:pStyle w:val="1229"/>
        <w:ind w:left="0" w:right="0" w:firstLine="709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white"/>
          <w:lang w:val="ru-RU" w:eastAsia="zh-CN" w:bidi="hi-IN"/>
        </w:rPr>
        <w:t xml:space="preserve">Данные из справочника используются Системой для автоматического расчета и последующего отображения в отчетных формах</w:t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white"/>
          <w:lang w:val="ru-RU" w:eastAsia="zh-CN" w:bidi="hi-IN"/>
        </w:rPr>
        <w:t xml:space="preserve">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709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white"/>
          <w:lang w:val="ru-RU" w:eastAsia="zh-CN" w:bidi="hi-IN"/>
        </w:rPr>
        <w:t xml:space="preserve">Данные для Справочника спец</w:t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white"/>
          <w:lang w:val="ru-RU" w:eastAsia="zh-CN" w:bidi="hi-IN"/>
        </w:rPr>
        <w:t xml:space="preserve">иалистов заполняются и поддерживаются в актуальном состоянии уполномоченными сотрудниками в ИТЦ и направляются ПОДЛО. 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709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white"/>
          <w:lang w:val="ru-RU" w:eastAsia="zh-CN" w:bidi="hi-IN"/>
        </w:rPr>
        <w:t xml:space="preserve">Специализация указывается на основании фактической квалификации сотрудника и перечня видов работ по ДТОиР объектов ПАО «Газпром». 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left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white"/>
          <w:lang w:val="ru-RU" w:eastAsia="zh-CN" w:bidi="hi-IN"/>
        </w:rPr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white"/>
        </w:rPr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white"/>
        </w:rPr>
      </w:r>
    </w:p>
    <w:p>
      <w:pPr>
        <w:pStyle w:val="1229"/>
        <w:ind w:left="0" w:right="0" w:firstLine="0"/>
        <w:jc w:val="left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white"/>
          <w:lang w:val="ru-RU" w:eastAsia="zh-CN" w:bidi="hi-IN"/>
        </w:rPr>
        <w:tab/>
        <w:t xml:space="preserve">Требования к данным справочника трудоемкости работ: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left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white"/>
          <w:lang w:val="ru-RU" w:eastAsia="zh-CN" w:bidi="hi-IN"/>
        </w:rPr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white"/>
        </w:rPr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white"/>
        </w:rPr>
      </w:r>
    </w:p>
    <w:tbl>
      <w:tblPr>
        <w:tblW w:w="10149" w:type="dxa"/>
        <w:tblInd w:w="55" w:type="dxa"/>
        <w:tblLayout w:type="fixed"/>
        <w:tblCellMar>
          <w:left w:w="55" w:type="dxa"/>
          <w:top w:w="55" w:type="dxa"/>
          <w:right w:w="55" w:type="dxa"/>
          <w:bottom w:w="55" w:type="dxa"/>
        </w:tblCellMar>
        <w:tblLook w:val="04A0" w:firstRow="1" w:lastRow="0" w:firstColumn="1" w:lastColumn="0" w:noHBand="0" w:noVBand="1"/>
      </w:tblPr>
      <w:tblGrid>
        <w:gridCol w:w="716"/>
        <w:gridCol w:w="1147"/>
        <w:gridCol w:w="2267"/>
        <w:gridCol w:w="1870"/>
        <w:gridCol w:w="913"/>
        <w:gridCol w:w="1027"/>
        <w:gridCol w:w="2208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16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№ </w:t>
            </w: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п/п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47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Код вида работ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267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Наименование вида работ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0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Принципал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913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Ед. изм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27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Кол-во ТУ/ЗиС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8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Нормативная трудоемкость, часов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716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147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2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267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870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913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5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27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6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8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7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716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147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ЛЧМГ-1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267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Обследование магистральных газопроводов и отводов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870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все ДО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913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пункт плана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27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8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8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716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2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147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АЖД-1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267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Обследование переходов под автомобильными и ж/д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870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все ДО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913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шт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27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8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8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716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147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ОПГ-1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267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Обследование пересечений газопроводов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870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все ДО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913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шт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27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8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8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716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147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ТПА-1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267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Обследование ТПА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870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все ДО (кроме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ООО «Газпром переработка»)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913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шт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27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8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6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716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5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147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ТПА-2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267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Обследование ТПА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870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все ДО (кроме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ООО «Газпром переработка»)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913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шт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27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2-20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8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12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716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6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147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ТПА-3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267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Обследование ТПА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870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все ДО (кроме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ООО «Газпром переработка»)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913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шт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27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21-350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8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18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716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7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147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ТПА-4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267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Обследование ТПА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870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ООО «Газпром переработка»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913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шт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27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8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8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716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8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147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ТПА-5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267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Обследование ТПА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870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ООО «Газпром переработка»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913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шт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27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2-20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8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16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716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9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147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ТПА-6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267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Обследование ТПА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870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ООО «Газпром переработка»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913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шт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027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21-350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8" w:type="dxa"/>
            <w:textDirection w:val="lrTb"/>
            <w:noWrap w:val="false"/>
          </w:tcPr>
          <w:p>
            <w:pPr>
              <w:pStyle w:val="102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0"/>
                <w:szCs w:val="20"/>
                <w:u w:val="none"/>
                <w:vertAlign w:val="baseline"/>
              </w:rPr>
              <w:t xml:space="preserve">24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</w:tr>
    </w:tbl>
    <w:p>
      <w:pPr>
        <w:pStyle w:val="1229"/>
        <w:ind w:left="0" w:right="0" w:firstLine="0"/>
        <w:jc w:val="left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white"/>
        </w:rPr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white"/>
        </w:rPr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highlight w:val="white"/>
        </w:rPr>
      </w:r>
    </w:p>
    <w:p>
      <w:pPr>
        <w:pStyle w:val="1229"/>
        <w:ind w:left="0" w:right="0" w:firstLine="0"/>
        <w:jc w:val="left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ab/>
        <w:t xml:space="preserve">Назначение исполнителя камерального этапа работ в ИТЦ: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709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  <w:lang w:val="ru-RU" w:eastAsia="zh-CN" w:bidi="hi-IN"/>
        </w:rPr>
        <w:t xml:space="preserve">Назначение исполнителя камерального этапа работ.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709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  <w:lang w:val="ru-RU" w:eastAsia="zh-CN" w:bidi="hi-IN"/>
        </w:rPr>
        <w:t xml:space="preserve">На основании полученных данных система анализирует источники данных по сотрудникам и назначает исполнителями камерального этапа работ учитывая их специализацию.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709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  <w:lang w:val="ru-RU" w:eastAsia="zh-CN" w:bidi="hi-IN"/>
        </w:rPr>
        <w:t xml:space="preserve">Распределение камерального этапа работ между специалистами, проходит с учетом  на момент установки статуса полевого этапа работ  «Завершен». 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709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  <w:lang w:val="ru-RU" w:eastAsia="zh-CN" w:bidi="hi-IN"/>
        </w:rPr>
        <w:t xml:space="preserve">Исключаются из распределения специалисты со статусами: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709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  <w:lang w:val="ru-RU" w:eastAsia="zh-CN" w:bidi="hi-IN"/>
        </w:rPr>
        <w:t xml:space="preserve">- Отпуск;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709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  <w:lang w:val="ru-RU" w:eastAsia="zh-CN" w:bidi="hi-IN"/>
        </w:rPr>
        <w:t xml:space="preserve">- Командировка;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709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  <w:lang w:val="ru-RU" w:eastAsia="zh-CN" w:bidi="hi-IN"/>
        </w:rPr>
        <w:t xml:space="preserve">- Больничный;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709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  <w:lang w:val="ru-RU" w:eastAsia="zh-CN" w:bidi="hi-IN"/>
        </w:rPr>
        <w:t xml:space="preserve">- Плановое обучение или аттестация;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709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  <w:lang w:val="ru-RU" w:eastAsia="zh-CN" w:bidi="hi-IN"/>
        </w:rPr>
        <w:t xml:space="preserve">- Не доступен (выставляется в ручном режиме).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  <w:lang w:val="ru-RU" w:eastAsia="zh-CN" w:bidi="hi-IN"/>
        </w:rPr>
        <w:tab/>
        <w:t xml:space="preserve">Приоритет по исполнителю полевых работ. Сист</w:t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  <w:lang w:val="ru-RU" w:eastAsia="zh-CN" w:bidi="hi-IN"/>
        </w:rPr>
        <w:t xml:space="preserve">ема назначает камеральный этап тому специалисту, который выполнял полевые работы. Если специалист недоступен, то проходит подбор свободного исполнителя, у которого в общем списке специализаций (Справочник специалиста) присутствует требуемый вид работ</w:t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</w:rPr>
        <w:t xml:space="preserve">: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709" w:right="0" w:firstLine="0"/>
        <w:jc w:val="left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 приемочное (первичное) обследование,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709" w:right="0" w:firstLine="0"/>
        <w:jc w:val="left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 детальное комплексное обследование,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709" w:right="0" w:firstLine="0"/>
        <w:jc w:val="left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 комплексное периодическое обследование,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709" w:right="0" w:firstLine="0"/>
        <w:jc w:val="left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 специальное комплексное обследование,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709" w:right="0" w:firstLine="0"/>
        <w:jc w:val="left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 обследование ЗиС,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709" w:right="0" w:firstLine="0"/>
        <w:jc w:val="left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 обследование подъемных сооружений,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709" w:right="0" w:firstLine="0"/>
        <w:jc w:val="left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 обследование подкрановых путей;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709" w:right="0" w:firstLine="0"/>
        <w:jc w:val="left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</w:rPr>
        <w:t xml:space="preserve">- и т.д.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709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  <w:lang w:val="ru-RU" w:eastAsia="zh-CN" w:bidi="hi-IN"/>
        </w:rPr>
        <w:t xml:space="preserve">Общая плановая загрузка по камеральным работам рассчитывается на каждый день и доступна в отчетной форме</w:t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  <w:lang w:val="ru-RU" w:eastAsia="zh-CN" w:bidi="hi-IN"/>
        </w:rPr>
        <w:t xml:space="preserve">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68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:shd w:val="clear" w:color="auto" w:fill="auto"/>
        </w:rPr>
        <w:t xml:space="preserve">В случае, к</w:t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</w:rPr>
        <w:t xml:space="preserve">огда текущий Исполнитель переводится в статус, исключающий работу (например, «больничный» или «внеплановая командировка») Система обязана найти замену и направить уведомление, а также предложение для перераспределения работы ответственному руководителю.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68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</w:rPr>
        <w:t xml:space="preserve">Ручное назначение и корректировка плана</w:t>
      </w: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000000" w:themeColor="text1"/>
          <w:spacing w:val="0"/>
          <w:sz w:val="24"/>
          <w:szCs w:val="24"/>
          <w14:ligatures w14:val="none"/>
        </w:rPr>
        <w:t xml:space="preserve"> камерального этапа работ.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709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</w:rPr>
        <w:t xml:space="preserve">Система должна предоставлять возможность ручного назначения и ручной корректировки сформированного плана камерального этапа работ.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709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color w:val="000000" w:themeColor="text1"/>
        </w:rPr>
      </w:pPr>
      <w:r>
        <w:rPr>
          <w:rStyle w:val="1228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</w:rPr>
        <w:t xml:space="preserve">Право на ручное изменение имеет руководитель отдела/службы ИТЦ, в котором работает Исполнитель.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1229"/>
        <w:ind w:left="0" w:right="0" w:firstLine="0"/>
        <w:jc w:val="both"/>
        <w:spacing w:before="0" w:beforeAutospacing="0" w:after="0" w:afterAutospacing="0" w:line="240" w:lineRule="auto"/>
        <w:widowControl/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color w:val="000000" w:themeColor="text1"/>
          <w:spacing w:val="0"/>
          <w:sz w:val="24"/>
          <w:szCs w:val="24"/>
        </w:rPr>
      </w:r>
    </w:p>
    <w:p>
      <w:pPr>
        <w:contextualSpacing/>
        <w:jc w:val="center"/>
        <w:shd w:val="nil" w:color="auto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  <w14:ligatures w14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  <w:t xml:space="preserve">ЧАСТНОЕ ТЕХНИЧЕСКОЕ ЗАДАНИЕ НА АВТОМАТИЗАЦИЮ ПО НАПРАВЛЕНИЮ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  <w14:ligatures w14:val="none"/>
        </w:rPr>
      </w:r>
    </w:p>
    <w:p>
      <w:pPr>
        <w:contextualSpacing/>
        <w:jc w:val="center"/>
        <w:shd w:val="nil" w:color="000000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  <w14:ligatures w14:val="none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  <w:lang w:eastAsia="ru-RU"/>
        </w:rPr>
        <w:t xml:space="preserve">КАЗНАЧЕЙСТВО (БЮДЖЕТИРОВАНИЕ, УПРАВЛЕНЧЕСКИЙ УЧЕТ И Т.Д.)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  <w14:ligatures w14:val="none"/>
        </w:rPr>
      </w:r>
    </w:p>
    <w:p>
      <w:pPr>
        <w:jc w:val="center"/>
        <w:spacing w:after="0" w:afterAutospacing="0" w:line="240" w:lineRule="auto"/>
        <w:shd w:val="nil" w:color="000000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r>
    </w:p>
    <w:p>
      <w:pPr>
        <w:ind w:firstLine="708"/>
        <w:jc w:val="left"/>
        <w:spacing w:after="0" w:afterAutospacing="0" w:line="240" w:lineRule="auto"/>
        <w:shd w:val="nil" w:color="000000"/>
        <w:rPr>
          <w:rFonts w:ascii="Times New Roman" w:hAnsi="Times New Roman" w:cs="Times New Roman"/>
          <w:color w:val="000000" w:themeColor="text1"/>
          <w:highlight w:val="none"/>
        </w:rPr>
      </w:pPr>
      <w:r>
        <w:rPr>
          <w:rFonts w:ascii="Times New Roman" w:hAnsi="Times New Roman" w:cs="Times New Roman"/>
          <w:color w:val="000000" w:themeColor="text1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highlight w:val="none"/>
        </w:rPr>
        <w:t xml:space="preserve">ЦЕЛЬ РАБОТ</w:t>
      </w:r>
      <w:r>
        <w:rPr>
          <w:rFonts w:ascii="Times New Roman" w:hAnsi="Times New Roman" w:cs="Times New Roman"/>
          <w:color w:val="000000" w:themeColor="text1"/>
          <w:highlight w:val="none"/>
        </w:rPr>
      </w:r>
      <w:r>
        <w:rPr>
          <w:rFonts w:ascii="Times New Roman" w:hAnsi="Times New Roman" w:cs="Times New Roman"/>
          <w:color w:val="000000" w:themeColor="text1"/>
          <w:highlight w:val="none"/>
        </w:rPr>
      </w:r>
    </w:p>
    <w:p>
      <w:pPr>
        <w:ind w:firstLine="708"/>
        <w:jc w:val="left"/>
        <w:spacing w:after="0" w:afterAutospacing="0" w:line="240" w:lineRule="auto"/>
        <w:shd w:val="nil" w:color="000000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/>
          <w:color w:val="000000" w:themeColor="text1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реализация формирования аналитики реализуемых услуг в разрезе себестоимости и валовой прибыли по каждому виду работ объекта диагностики (XYZ) в Системе;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</w:p>
    <w:p>
      <w:pPr>
        <w:ind w:firstLine="708"/>
        <w:jc w:val="left"/>
        <w:spacing w:after="0" w:afterAutospacing="0" w:line="240" w:lineRule="auto"/>
        <w:shd w:val="nil" w:color="000000"/>
        <w:rPr>
          <w:rFonts w:ascii="Times New Roman" w:hAnsi="Times New Roman" w:cs="Times New Roman"/>
          <w:color w:val="000000" w:themeColor="text1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оптимизация работы специалистов.</w:t>
      </w:r>
      <w:r>
        <w:rPr>
          <w:rFonts w:ascii="Times New Roman" w:hAnsi="Times New Roman" w:cs="Times New Roman"/>
          <w:color w:val="000000" w:themeColor="text1"/>
          <w:highlight w:val="none"/>
        </w:rPr>
      </w:r>
      <w:r>
        <w:rPr>
          <w:rFonts w:ascii="Times New Roman" w:hAnsi="Times New Roman" w:cs="Times New Roman"/>
          <w:color w:val="000000" w:themeColor="text1"/>
          <w:highlight w:val="none"/>
        </w:rPr>
      </w:r>
    </w:p>
    <w:p>
      <w:pPr>
        <w:jc w:val="center"/>
        <w:spacing w:after="0" w:afterAutospacing="0" w:line="240" w:lineRule="auto"/>
        <w:shd w:val="nil" w:color="000000"/>
        <w:rPr>
          <w:rFonts w:ascii="Times New Roman" w:hAnsi="Times New Roman" w:cs="Times New Roman"/>
          <w:color w:val="000000" w:themeColor="text1"/>
          <w:highlight w:val="none"/>
        </w:rPr>
      </w:pPr>
      <w:r>
        <w:rPr>
          <w:rFonts w:ascii="Times New Roman" w:hAnsi="Times New Roman" w:cs="Times New Roman"/>
          <w:color w:val="000000" w:themeColor="text1"/>
          <w:highlight w:val="none"/>
        </w:rPr>
      </w:r>
      <w:r>
        <w:rPr>
          <w:rFonts w:ascii="Times New Roman" w:hAnsi="Times New Roman" w:cs="Times New Roman"/>
          <w:color w:val="000000" w:themeColor="text1"/>
          <w:highlight w:val="none"/>
        </w:rPr>
      </w:r>
      <w:r>
        <w:rPr>
          <w:rFonts w:ascii="Times New Roman" w:hAnsi="Times New Roman" w:cs="Times New Roman"/>
          <w:color w:val="000000" w:themeColor="text1"/>
          <w:highlight w:val="none"/>
        </w:rPr>
      </w:r>
    </w:p>
    <w:p>
      <w:pPr>
        <w:pStyle w:val="1022"/>
        <w:ind w:right="0" w:firstLine="708"/>
        <w:jc w:val="both"/>
        <w:pageBreakBefore w:val="0"/>
        <w:spacing w:before="0" w:after="0" w:afterAutospacing="0" w:line="240" w:lineRule="auto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  <w:t xml:space="preserve">БИЗНЕС-ТРЕБОВАНИЕ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r>
    </w:p>
    <w:p>
      <w:pPr>
        <w:pStyle w:val="1221"/>
        <w:ind w:left="0" w:right="0" w:firstLine="709"/>
        <w:jc w:val="both"/>
        <w:spacing w:before="0" w:beforeAutospacing="0" w:after="0" w:afterAutospacing="0" w:line="288" w:lineRule="atLeast"/>
        <w:rPr>
          <w:rFonts w:ascii="Times New Roman" w:hAnsi="Times New Roman" w:cs="Times New Roman"/>
          <w:color w:val="000000" w:themeColor="text1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shd w:val="clear" w:color="auto" w:fill="ffffff"/>
        </w:rPr>
        <w:t xml:space="preserve">В качестве ведущего документа отвечающего за формирование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shd w:val="clear" w:color="auto" w:fill="ffffff"/>
        </w:rPr>
        <w:t xml:space="preserve">себестоимости в текущем бизнес-процессе производства работ (выполнения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shd w:val="clear" w:color="auto" w:fill="ffffff"/>
        </w:rPr>
        <w:t xml:space="preserve">услуг), предлагается включить элемент типового объекта подсистемы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shd w:val="clear" w:color="auto" w:fill="ffffff"/>
        </w:rPr>
        <w:t xml:space="preserve">производства – документ «Производство без заказа» с группировкой «Без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shd w:val="clear" w:color="auto" w:fill="ffffff"/>
        </w:rPr>
        <w:t xml:space="preserve">затрат».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shd w:val="clear" w:color="auto" w:fill="ffffff"/>
        </w:rPr>
        <w:t xml:space="preserve">Соответственно относить затраты на работы с детализацией по сводному коду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shd w:val="clear" w:color="auto" w:fill="ffffff"/>
        </w:rPr>
        <w:t xml:space="preserve">вида работ помогут верно настроенные статьи расходов.</w:t>
      </w:r>
      <w:r>
        <w:rPr>
          <w:rFonts w:ascii="Times New Roman" w:hAnsi="Times New Roman" w:cs="Times New Roman"/>
          <w:color w:val="000000" w:themeColor="text1"/>
          <w:highlight w:val="none"/>
        </w:rPr>
      </w:r>
      <w:r>
        <w:rPr>
          <w:rFonts w:ascii="Times New Roman" w:hAnsi="Times New Roman" w:cs="Times New Roman"/>
          <w:color w:val="000000" w:themeColor="text1"/>
          <w:highlight w:val="none"/>
        </w:rPr>
      </w:r>
    </w:p>
    <w:p>
      <w:pPr>
        <w:pStyle w:val="1221"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Документом, подтверждающим окончательную стоимость выполненных работ, является «Формирование </w:t>
      </w: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Номенклатуры продажи». Он станет основанием создания документа «Производство без заказа», который будет влиять на </w:t>
      </w: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формирование себестоимости номенклатуры. Для этой цели документ будет являться Партией производства, на нее будут </w:t>
      </w: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отнесены все затраты на выполненные работы. Для оптимизации процесса, документ планируется создавать автоматически.</w:t>
      </w:r>
      <w:r>
        <w:rPr>
          <w:rFonts w:ascii="Times New Roman" w:hAnsi="Times New Roman" w:cs="Times New Roman"/>
          <w:color w:val="000000" w:themeColor="text1"/>
          <w:highlight w:val="none"/>
        </w:rPr>
      </w:r>
      <w:r>
        <w:rPr>
          <w:rFonts w:ascii="Times New Roman" w:hAnsi="Times New Roman" w:cs="Times New Roman"/>
          <w:color w:val="000000" w:themeColor="text1"/>
          <w:highlight w:val="none"/>
        </w:rPr>
      </w:r>
    </w:p>
    <w:p>
      <w:pPr>
        <w:pStyle w:val="1221"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Основным инструментом для отнесения расходов является корректно настроенная Статья расходов. Для сквозного </w:t>
      </w: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примера,  необходимо настроить статью расходов с наименованием Затраты на производство, указать тип аналитики расходов – </w:t>
      </w: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партия производства и статью калькуляции Общепроизводственные расходы. Списание будет происходить на расходы на </w:t>
      </w: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себестоимость производства (прямые). Необходимо указать счет учета накопления и списания расходов, выбрав в настройку </w:t>
      </w: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статьи группу финансового учета со счетом 20</w:t>
      </w: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.</w:t>
      </w:r>
      <w:r>
        <w:rPr>
          <w:rFonts w:ascii="Times New Roman" w:hAnsi="Times New Roman" w:cs="Times New Roman"/>
          <w:color w:val="000000" w:themeColor="text1"/>
          <w:highlight w:val="none"/>
        </w:rPr>
      </w:r>
      <w:r>
        <w:rPr>
          <w:rFonts w:ascii="Times New Roman" w:hAnsi="Times New Roman" w:cs="Times New Roman"/>
          <w:color w:val="000000" w:themeColor="text1"/>
          <w:highlight w:val="none"/>
        </w:rPr>
      </w:r>
    </w:p>
    <w:p>
      <w:pPr>
        <w:pStyle w:val="1221"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Документ будет создан автоматически после проведения документа «Формирование номенклатуры продажи». </w:t>
      </w: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Подразделение на закладке Основное должно быть производственным, поэтому в Подразделение которое будет участвовать в </w:t>
      </w: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этом документе потребуется перевести в статус производственного.</w:t>
      </w:r>
      <w:r>
        <w:rPr>
          <w:rFonts w:ascii="Times New Roman" w:hAnsi="Times New Roman" w:cs="Times New Roman"/>
          <w:color w:val="000000" w:themeColor="text1"/>
          <w:highlight w:val="none"/>
        </w:rPr>
      </w:r>
      <w:r>
        <w:rPr>
          <w:rFonts w:ascii="Times New Roman" w:hAnsi="Times New Roman" w:cs="Times New Roman"/>
          <w:color w:val="000000" w:themeColor="text1"/>
          <w:highlight w:val="none"/>
        </w:rPr>
      </w:r>
    </w:p>
    <w:p>
      <w:pPr>
        <w:pStyle w:val="1221"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Из документа «Формирование номенклатуры продажи», наименование номенклатуры необходимо поместить в каждую строку </w:t>
      </w: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производственного документа. Артикул в строке - это типовое поле карточки номенклатуры и будет иметь такую же запись как и </w:t>
      </w: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сводный код объекта диагностики. Таким образом, возникает связь наименования номенклатуры + сводный код объекта. </w:t>
      </w: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В колонке «Доля стоимости» будет располагаться коэффициент плановой стоимости как фактической по общей сумме акта </w:t>
      </w: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приема-передачи. Получателем является подразделение на которое требуется отнести стоимость работ. </w:t>
      </w: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Документ «Производство без заказа» создается автоматически после проведения документа формирования.</w:t>
      </w:r>
      <w:r>
        <w:rPr>
          <w:rFonts w:ascii="Times New Roman" w:hAnsi="Times New Roman" w:cs="Times New Roman"/>
          <w:color w:val="000000" w:themeColor="text1"/>
          <w:highlight w:val="none"/>
        </w:rPr>
      </w:r>
      <w:r>
        <w:rPr>
          <w:rFonts w:ascii="Times New Roman" w:hAnsi="Times New Roman" w:cs="Times New Roman"/>
          <w:color w:val="000000" w:themeColor="text1"/>
          <w:highlight w:val="none"/>
        </w:rPr>
      </w:r>
    </w:p>
    <w:p>
      <w:pPr>
        <w:pStyle w:val="1221"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Выполненные работы субподрядчиками, оформленные документом «Приобретение товаров и услуг», должны содержать </w:t>
      </w: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строки с номенклатурой поставщика и статью расходов с отнесением стоимости закупаемых работ на партии производства. </w:t>
      </w: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Таким образом, основным условием отражения себестоимости по каждому виду выполненных работ (сводному коду) является </w:t>
      </w: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отнесение всех затрат и расходов на партию производства, то есть документ Производство без заказа с группировкой </w:t>
      </w: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«Затраты не указываются». </w:t>
      </w: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Данные о себестоимости будут собраны на каждый вид работ в зависимости от правил которые будут заданы в </w:t>
      </w: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распределении документа партии.</w:t>
      </w:r>
      <w:r>
        <w:rPr>
          <w:rFonts w:ascii="Times New Roman" w:hAnsi="Times New Roman" w:cs="Times New Roman"/>
          <w:color w:val="000000" w:themeColor="text1"/>
          <w:highlight w:val="none"/>
        </w:rPr>
      </w:r>
      <w:r>
        <w:rPr>
          <w:rFonts w:ascii="Times New Roman" w:hAnsi="Times New Roman" w:cs="Times New Roman"/>
          <w:color w:val="000000" w:themeColor="text1"/>
          <w:highlight w:val="none"/>
        </w:rPr>
      </w:r>
    </w:p>
    <w:p>
      <w:pPr>
        <w:pStyle w:val="1221"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Для распределения расходов по заработной плате, командировочным расходам и прочих косвенных расходов, </w:t>
      </w: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если нет синхронизации с зарплатной подсистемой, возможно использовать механизм учета выработки сотрудников путем отражения расходов по </w:t>
      </w: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финансовому учету. </w:t>
      </w: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Статья расходов распределит сумму оплаты труда на партию производства, а по кор. счету возможно указать явно или</w:t>
      </w: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обезличено аналитику заполнив карточку физического лица.</w:t>
      </w:r>
      <w:r>
        <w:rPr>
          <w:rFonts w:ascii="Times New Roman" w:hAnsi="Times New Roman" w:cs="Times New Roman"/>
          <w:color w:val="000000" w:themeColor="text1"/>
          <w:highlight w:val="none"/>
        </w:rPr>
      </w:r>
      <w:r>
        <w:rPr>
          <w:rFonts w:ascii="Times New Roman" w:hAnsi="Times New Roman" w:cs="Times New Roman"/>
          <w:color w:val="000000" w:themeColor="text1"/>
          <w:highlight w:val="none"/>
        </w:rPr>
      </w:r>
    </w:p>
    <w:p>
      <w:pPr>
        <w:pStyle w:val="1221"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Данные о себестоимости и рентабельности продаж Общества должны быть доступны для просмотре в отчетах управленческого и бухгалтерского учета после закрытия месяца.</w:t>
      </w: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 Д</w:t>
      </w: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анные по объему реализованных </w:t>
      </w: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работ и </w:t>
      </w: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работ с остаточной себестоимостью </w:t>
      </w: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и количеством должны быть доступны</w:t>
      </w: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 в отчете </w:t>
      </w: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«Ведомость по партиям товаров </w:t>
      </w: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  <w:t xml:space="preserve">предприятия».</w:t>
      </w: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highlight w:val="none"/>
          <w14:ligatures w14:val="none"/>
        </w:rPr>
      </w:r>
    </w:p>
    <w:sectPr>
      <w:headerReference w:type="default" r:id="rId9"/>
      <w:headerReference w:type="first" r:id="rId10"/>
      <w:footnotePr/>
      <w:endnotePr/>
      <w:type w:val="nextPage"/>
      <w:pgSz w:w="11906" w:h="16838" w:orient="portrait"/>
      <w:pgMar w:top="1134" w:right="850" w:bottom="1134" w:left="85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Wingdings">
    <w:panose1 w:val="05010000000000000000"/>
  </w:font>
  <w:font w:name="Symbol">
    <w:panose1 w:val="05010000000000000000"/>
  </w:font>
  <w:font w:name="Liberation Serif">
    <w:panose1 w:val="02020603050405020304"/>
  </w:font>
  <w:font w:name="Tahoma">
    <w:panose1 w:val="020B0604030504040204"/>
  </w:font>
  <w:font w:name="Tempora LGC Uni">
    <w:panose1 w:val="02020603050405020304"/>
  </w:font>
  <w:font w:name="Lohit Devanagari">
    <w:panose1 w:val="020B0600000000000000"/>
  </w:font>
  <w:font w:name="Courier New">
    <w:panose1 w:val="02070309020205020404"/>
  </w:font>
  <w:font w:name="Calibri">
    <w:panose1 w:val="020F0502020204030204"/>
  </w:font>
  <w:font w:name="Segoe UI">
    <w:panose1 w:val="020B0503020204020204"/>
  </w:font>
  <w:font w:name="Times New Roman">
    <w:panose1 w:val="02020603050405020304"/>
  </w:font>
  <w:font w:name="PT Astra Serif">
    <w:panose1 w:val="020A0603040505020204"/>
  </w:font>
  <w:font w:name="Arial Unicode MS">
    <w:panose1 w:val="020B06040202020202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1184"/>
        <w:rPr>
          <w:rFonts w:ascii="Times New Roman" w:hAnsi="Times New Roman" w:cs="Times New Roman"/>
        </w:rPr>
      </w:pPr>
      <w:r>
        <w:rPr>
          <w:rStyle w:val="1186"/>
          <w:rFonts w:ascii="Times New Roman" w:hAnsi="Times New Roman" w:eastAsia="Times New Roman" w:cs="Times New Roman"/>
        </w:rPr>
        <w:footnoteRef/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В исключительных случаях Заказчик может разрешить 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оказание услуг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сотрудниками Исполнителя в иных местах.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</w:footnote>
  <w:footnote w:id="3">
    <w:p>
      <w:pPr>
        <w:pStyle w:val="1184"/>
        <w:rPr>
          <w:rFonts w:ascii="Times New Roman" w:hAnsi="Times New Roman" w:cs="Times New Roman"/>
        </w:rPr>
      </w:pPr>
      <w:r>
        <w:rPr>
          <w:rStyle w:val="1186"/>
          <w:rFonts w:ascii="Times New Roman" w:hAnsi="Times New Roman" w:eastAsia="Times New Roman" w:cs="Times New Roman"/>
        </w:rPr>
        <w:footnoteRef/>
      </w:r>
      <w:r>
        <w:rPr>
          <w:rFonts w:ascii="Times New Roman" w:hAnsi="Times New Roman" w:eastAsia="Times New Roman" w:cs="Times New Roman"/>
        </w:rPr>
        <w:t xml:space="preserve"> Функциональные требования могут быть уточнены в рамках направления без изменения объемов и стоимости работ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51"/>
      <w:jc w:val="center"/>
      <w:rPr>
        <w:rFonts w:ascii="Times New Roman" w:hAnsi="Times New Roman" w:cs="Times New Roman"/>
        <w:sz w:val="24"/>
        <w:szCs w:val="24"/>
      </w:rPr>
    </w:pPr>
    <w:r>
      <w:fldChar w:fldCharType="begin"/>
    </w:r>
    <w:r>
      <w:instrText xml:space="preserve">PAGE \* MERGEFORMAT</w:instrText>
    </w:r>
    <w:r>
      <w:fldChar w:fldCharType="separate"/>
    </w:r>
    <w:r>
      <w:rPr>
        <w:rFonts w:ascii="Times New Roman" w:hAnsi="Times New Roman" w:eastAsia="Times New Roman" w:cs="Times New Roman"/>
        <w:sz w:val="24"/>
        <w:szCs w:val="24"/>
      </w:rPr>
      <w:t xml:space="preserve">3</w:t>
    </w:r>
    <w:r>
      <w:rPr>
        <w:rFonts w:ascii="Times New Roman" w:hAnsi="Times New Roman" w:eastAsia="Times New Roman" w:cs="Times New Roman"/>
        <w:sz w:val="24"/>
        <w:szCs w:val="24"/>
      </w:rPr>
      <w:fldChar w:fldCharType="end"/>
    </w:r>
    <w:r>
      <w:rPr>
        <w:rFonts w:ascii="Times New Roman" w:hAnsi="Times New Roman" w:cs="Times New Roman"/>
        <w:sz w:val="24"/>
        <w:szCs w:val="24"/>
      </w:rPr>
    </w:r>
    <w:r>
      <w:rPr>
        <w:rFonts w:ascii="Times New Roman" w:hAnsi="Times New Roman" w:cs="Times New Roman"/>
        <w:sz w:val="24"/>
        <w:szCs w:val="24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51"/>
      <w:jc w:val="center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•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307" w:hanging="360"/>
      </w:pPr>
      <w:rPr>
        <w:rFonts w:hint="default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614" w:hanging="720"/>
      </w:pPr>
      <w:rPr>
        <w:rFonts w:hint="default"/>
        <w:b/>
        <w:sz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561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486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581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762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8069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9016" w:hanging="144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</w:pPr>
      <w:rPr>
        <w:rFonts w:hint="default"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0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%1.%2."/>
      <w:lvlJc w:val="left"/>
      <w:pPr>
        <w:ind w:left="0" w:firstLine="0"/>
      </w:pPr>
      <w:rPr>
        <w:rFonts w:hint="default"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0"/>
        <w:u w:val="none"/>
        <w:lang w:val="ru-RU" w:eastAsia="ru-RU" w:bidi="ru-RU"/>
      </w:r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</w:pPr>
      <w:rPr>
        <w:rFonts w:hint="default"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0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%1.%2."/>
      <w:lvlJc w:val="left"/>
      <w:pPr>
        <w:ind w:left="0" w:firstLine="0"/>
      </w:pPr>
      <w:rPr>
        <w:rFonts w:hint="default"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0"/>
        <w:u w:val="none"/>
        <w:lang w:val="ru-RU" w:eastAsia="ru-RU" w:bidi="ru-RU"/>
      </w:r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</w:abstractNum>
  <w:abstractNum w:abstractNumId="5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isLgl w:val="false"/>
      <w:suff w:val="tab"/>
      <w:lvlText w:val="%1.%2."/>
      <w:lvlJc w:val="left"/>
      <w:pPr>
        <w:ind w:left="733" w:hanging="450"/>
      </w:pPr>
      <w:rPr>
        <w:rFonts w:hint="default"/>
        <w:sz w:val="24"/>
      </w:rPr>
    </w:lvl>
    <w:lvl w:ilvl="2">
      <w:start w:val="3"/>
      <w:numFmt w:val="decimal"/>
      <w:isLgl w:val="false"/>
      <w:suff w:val="tab"/>
      <w:lvlText w:val="%1.%2.%3."/>
      <w:lvlJc w:val="left"/>
      <w:pPr>
        <w:ind w:left="1286" w:hanging="720"/>
      </w:pPr>
      <w:rPr>
        <w:rFonts w:hint="default"/>
        <w:b/>
        <w:bCs/>
        <w:sz w:val="24"/>
        <w:highlight w:val="none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569" w:hanging="720"/>
      </w:pPr>
      <w:rPr>
        <w:rFonts w:hint="default"/>
        <w:b/>
        <w:bCs/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2778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704" w:hanging="1440"/>
      </w:pPr>
      <w:rPr>
        <w:rFonts w:hint="default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8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307" w:hanging="360"/>
      </w:pPr>
      <w:rPr>
        <w:rFonts w:hint="default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614" w:hanging="720"/>
      </w:pPr>
      <w:rPr>
        <w:rFonts w:hint="default"/>
        <w:b/>
        <w:sz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561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486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581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762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8069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9016" w:hanging="1440"/>
      </w:pPr>
      <w:rPr>
        <w:rFonts w:hint="default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0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02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74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46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18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90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2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34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060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307" w:hanging="360"/>
      </w:pPr>
      <w:rPr>
        <w:rFonts w:hint="default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614" w:hanging="720"/>
      </w:pPr>
      <w:rPr>
        <w:rFonts w:hint="default"/>
        <w:b/>
        <w:sz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561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486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581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762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8069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9016" w:hanging="1440"/>
      </w:pPr>
      <w:rPr>
        <w:rFonts w:hint="default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860" w:hanging="435"/>
      </w:pPr>
      <w:rPr>
        <w:rFonts w:hint="default" w:ascii="Calibri" w:hAnsi="Calibri"/>
      </w:rPr>
    </w:lvl>
    <w:lvl w:ilvl="1">
      <w:start w:val="1"/>
      <w:numFmt w:val="bullet"/>
      <w:isLgl w:val="false"/>
      <w:suff w:val="tab"/>
      <w:lvlText w:val="o"/>
      <w:lvlJc w:val="left"/>
      <w:pPr>
        <w:ind w:left="150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2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4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6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8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0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2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45" w:hanging="360"/>
      </w:pPr>
      <w:rPr>
        <w:rFonts w:hint="default" w:ascii="Wingdings" w:hAnsi="Wingdings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  <w:sz w:val="24"/>
      </w:rPr>
    </w:lvl>
    <w:lvl w:ilvl="1">
      <w:start w:val="4"/>
      <w:numFmt w:val="decimal"/>
      <w:isLgl w:val="false"/>
      <w:suff w:val="tab"/>
      <w:lvlText w:val="%1.%2."/>
      <w:lvlJc w:val="left"/>
      <w:pPr>
        <w:ind w:left="663" w:hanging="45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146" w:hanging="720"/>
      </w:pPr>
      <w:rPr>
        <w:rFonts w:hint="default"/>
        <w:b/>
        <w:sz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2358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144" w:hanging="1440"/>
      </w:pPr>
      <w:rPr>
        <w:rFonts w:hint="default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</w:pPr>
      <w:rPr>
        <w:rFonts w:hint="default"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0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%1.%2."/>
      <w:lvlJc w:val="left"/>
      <w:pPr>
        <w:ind w:left="0" w:firstLine="0"/>
      </w:pPr>
      <w:rPr>
        <w:rFonts w:hint="default"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0"/>
        <w:u w:val="none"/>
        <w:lang w:val="ru-RU" w:eastAsia="ru-RU" w:bidi="ru-RU"/>
      </w:r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</w:abstractNum>
  <w:abstractNum w:abstractNumId="18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3"/>
      <w:numFmt w:val="decimal"/>
      <w:isLgl w:val="false"/>
      <w:suff w:val="tab"/>
      <w:lvlText w:val="%1.%2."/>
      <w:lvlJc w:val="left"/>
      <w:pPr>
        <w:ind w:left="592" w:hanging="450"/>
      </w:pPr>
      <w:rPr>
        <w:rFonts w:hint="default"/>
        <w:b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004" w:hanging="720"/>
      </w:pPr>
      <w:rPr>
        <w:rFonts w:hint="default"/>
        <w:b/>
        <w:bCs w:val="0"/>
        <w:sz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146" w:hanging="720"/>
      </w:pPr>
      <w:rPr>
        <w:rFonts w:hint="default"/>
        <w:b w:val="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648" w:hanging="1080"/>
      </w:pPr>
      <w:rPr>
        <w:rFonts w:hint="default"/>
        <w:b w:val="0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790" w:hanging="1080"/>
      </w:pPr>
      <w:rPr>
        <w:rFonts w:hint="default"/>
        <w:b w:val="0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932" w:hanging="1080"/>
      </w:pPr>
      <w:rPr>
        <w:rFonts w:hint="default"/>
        <w:b w:val="0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434" w:hanging="1440"/>
      </w:pPr>
      <w:rPr>
        <w:rFonts w:hint="default"/>
        <w:b w:val="0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576" w:hanging="1440"/>
      </w:pPr>
      <w:rPr>
        <w:rFonts w:hint="default"/>
        <w:b w:val="0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1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isLgl w:val="false"/>
      <w:suff w:val="tab"/>
      <w:lvlText w:val="%1.%2."/>
      <w:lvlJc w:val="left"/>
      <w:pPr>
        <w:ind w:left="733" w:hanging="450"/>
      </w:pPr>
      <w:rPr>
        <w:rFonts w:hint="default"/>
        <w:sz w:val="24"/>
      </w:rPr>
    </w:lvl>
    <w:lvl w:ilvl="2">
      <w:start w:val="3"/>
      <w:numFmt w:val="decimal"/>
      <w:isLgl w:val="false"/>
      <w:suff w:val="tab"/>
      <w:lvlText w:val="%1.%2.%3."/>
      <w:lvlJc w:val="left"/>
      <w:pPr>
        <w:ind w:left="1286" w:hanging="720"/>
      </w:pPr>
      <w:rPr>
        <w:rFonts w:hint="default"/>
        <w:b/>
        <w:bCs/>
        <w:sz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569" w:hanging="720"/>
      </w:pPr>
      <w:rPr>
        <w:rFonts w:hint="default"/>
        <w:b/>
        <w:bCs/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2778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704" w:hanging="1440"/>
      </w:pPr>
      <w:rPr>
        <w:rFonts w:hint="default"/>
      </w:rPr>
    </w:lvl>
  </w:abstractNum>
  <w:abstractNum w:abstractNumId="22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isLgl w:val="false"/>
      <w:suff w:val="tab"/>
      <w:lvlText w:val="%1.%2."/>
      <w:lvlJc w:val="left"/>
      <w:pPr>
        <w:ind w:left="733" w:hanging="450"/>
      </w:pPr>
      <w:rPr>
        <w:rFonts w:hint="default"/>
        <w:sz w:val="24"/>
      </w:rPr>
    </w:lvl>
    <w:lvl w:ilvl="2">
      <w:start w:val="3"/>
      <w:numFmt w:val="decimal"/>
      <w:isLgl w:val="false"/>
      <w:suff w:val="tab"/>
      <w:lvlText w:val="%1.%2.%3."/>
      <w:lvlJc w:val="left"/>
      <w:pPr>
        <w:ind w:left="1286" w:hanging="720"/>
      </w:pPr>
      <w:rPr>
        <w:rFonts w:hint="default"/>
        <w:b/>
        <w:bCs/>
        <w:sz w:val="24"/>
        <w:highlight w:val="none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569" w:hanging="720"/>
      </w:pPr>
      <w:rPr>
        <w:rFonts w:hint="default"/>
        <w:b/>
        <w:bCs/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2778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704" w:hanging="1440"/>
      </w:pPr>
      <w:rPr>
        <w:rFonts w:hint="default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</w:pPr>
      <w:rPr>
        <w:rFonts w:hint="default"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0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%1.%2."/>
      <w:lvlJc w:val="left"/>
      <w:pPr>
        <w:ind w:left="0" w:firstLine="0"/>
      </w:pPr>
      <w:rPr>
        <w:rFonts w:hint="default"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0"/>
        <w:u w:val="none"/>
        <w:lang w:val="ru-RU" w:eastAsia="ru-RU" w:bidi="ru-RU"/>
      </w:r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</w:abstractNum>
  <w:abstractNum w:abstractNumId="26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isLgl w:val="false"/>
      <w:suff w:val="tab"/>
      <w:lvlText w:val="%1.%2."/>
      <w:lvlJc w:val="left"/>
      <w:pPr>
        <w:ind w:left="592" w:hanging="45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004" w:hanging="720"/>
      </w:pPr>
      <w:rPr>
        <w:rFonts w:hint="default"/>
        <w:b/>
        <w:sz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146" w:hanging="720"/>
      </w:pPr>
      <w:rPr>
        <w:rFonts w:hint="default"/>
        <w:b/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576" w:hanging="1440"/>
      </w:pPr>
      <w:rPr>
        <w:rFonts w:hint="default"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</w:pPr>
      <w:rPr>
        <w:rFonts w:hint="default"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%1.%2."/>
      <w:lvlJc w:val="left"/>
      <w:pPr>
        <w:ind w:left="0" w:firstLine="0"/>
      </w:pPr>
      <w:rPr>
        <w:rFonts w:hint="default"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  <w:lang w:val="ru-RU" w:eastAsia="ru-RU" w:bidi="ru-RU"/>
      </w:r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9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307" w:hanging="360"/>
      </w:pPr>
      <w:rPr>
        <w:rFonts w:hint="default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614" w:hanging="720"/>
      </w:pPr>
      <w:rPr>
        <w:rFonts w:hint="default"/>
        <w:b/>
        <w:sz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561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486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581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762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8069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9016" w:hanging="1440"/>
      </w:pPr>
      <w:rPr>
        <w:rFonts w:hint="default"/>
      </w:r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230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3026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746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466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5186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906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626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7346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8066" w:hanging="360"/>
      </w:pPr>
      <w:rPr>
        <w:rFonts w:hint="default" w:ascii="Wingdings" w:hAnsi="Wingdings"/>
      </w:r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2" w:hanging="360"/>
        <w:tabs>
          <w:tab w:val="num" w:pos="0" w:leader="none"/>
        </w:tabs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decimal"/>
      <w:isLgl w:val="false"/>
      <w:suff w:val="tab"/>
      <w:lvlText w:val="%1.%2."/>
      <w:lvlJc w:val="left"/>
      <w:pPr>
        <w:ind w:left="1572" w:hanging="720"/>
        <w:tabs>
          <w:tab w:val="num" w:pos="0" w:leader="none"/>
        </w:tabs>
      </w:pPr>
      <w:rPr>
        <w:rFonts w:ascii="Times New Roman" w:hAnsi="Times New Roman" w:eastAsia="Times New Roman" w:cs="Times New Roman"/>
        <w:sz w:val="28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572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932" w:hanging="108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932" w:hanging="108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292" w:hanging="144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652" w:hanging="180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652" w:hanging="180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012" w:hanging="2160"/>
        <w:tabs>
          <w:tab w:val="num" w:pos="0" w:leader="none"/>
        </w:tabs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  <w:rPr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4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8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860" w:hanging="435"/>
      </w:pPr>
      <w:rPr>
        <w:rFonts w:hint="default" w:ascii="Calibri" w:hAnsi="Calibri"/>
      </w:rPr>
    </w:lvl>
    <w:lvl w:ilvl="1">
      <w:start w:val="1"/>
      <w:numFmt w:val="bullet"/>
      <w:isLgl w:val="false"/>
      <w:suff w:val="tab"/>
      <w:lvlText w:val="o"/>
      <w:lvlJc w:val="left"/>
      <w:pPr>
        <w:ind w:left="150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2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4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6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8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0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2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45" w:hanging="360"/>
      </w:pPr>
      <w:rPr>
        <w:rFonts w:hint="default" w:ascii="Wingdings" w:hAnsi="Wingdings"/>
      </w:rPr>
    </w:lvl>
  </w:abstractNum>
  <w:abstractNum w:abstractNumId="4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</w:pPr>
      <w:rPr>
        <w:rFonts w:hint="default"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0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%1.%2."/>
      <w:lvlJc w:val="left"/>
      <w:pPr>
        <w:ind w:left="0" w:firstLine="0"/>
      </w:pPr>
      <w:rPr>
        <w:rFonts w:hint="default"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0"/>
        <w:u w:val="none"/>
        <w:lang w:val="ru-RU" w:eastAsia="ru-RU" w:bidi="ru-RU"/>
      </w:r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</w:abstractNum>
  <w:abstractNum w:abstractNumId="5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</w:pPr>
      <w:rPr>
        <w:rFonts w:hint="default"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0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%1.%2."/>
      <w:lvlJc w:val="left"/>
      <w:pPr>
        <w:ind w:left="0" w:firstLine="0"/>
      </w:pPr>
      <w:rPr>
        <w:rFonts w:hint="default"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0"/>
        <w:u w:val="none"/>
        <w:lang w:val="ru-RU" w:eastAsia="ru-RU" w:bidi="ru-RU"/>
      </w:r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</w:abstractNum>
  <w:abstractNum w:abstractNumId="5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5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5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5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94" w:hanging="360"/>
      </w:pPr>
      <w:rPr>
        <w:rFonts w:hint="default"/>
        <w:b/>
      </w:rPr>
    </w:lvl>
    <w:lvl w:ilvl="1">
      <w:start w:val="1"/>
      <w:numFmt w:val="decimal"/>
      <w:isLgl/>
      <w:suff w:val="tab"/>
      <w:lvlText w:val="%1.%2."/>
      <w:lvlJc w:val="left"/>
      <w:pPr>
        <w:ind w:left="1854" w:hanging="720"/>
      </w:pPr>
      <w:rPr>
        <w:rFonts w:hint="default"/>
        <w:b/>
      </w:rPr>
    </w:lvl>
    <w:lvl w:ilvl="2">
      <w:start w:val="1"/>
      <w:numFmt w:val="decimal"/>
      <w:isLgl/>
      <w:suff w:val="tab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574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934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294" w:hanging="2160"/>
      </w:pPr>
      <w:rPr>
        <w:rFonts w:hint="default"/>
      </w:rPr>
    </w:lvl>
  </w:abstractNum>
  <w:abstractNum w:abstractNumId="5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57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287" w:hanging="360"/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5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94" w:hanging="360"/>
      </w:pPr>
      <w:rPr>
        <w:rFonts w:hint="default"/>
        <w:b/>
      </w:rPr>
    </w:lvl>
    <w:lvl w:ilvl="1">
      <w:start w:val="1"/>
      <w:numFmt w:val="decimal"/>
      <w:isLgl/>
      <w:suff w:val="tab"/>
      <w:lvlText w:val="%1.%2."/>
      <w:lvlJc w:val="left"/>
      <w:pPr>
        <w:ind w:left="1854" w:hanging="720"/>
      </w:pPr>
      <w:rPr>
        <w:rFonts w:hint="default"/>
        <w:b/>
      </w:rPr>
    </w:lvl>
    <w:lvl w:ilvl="2">
      <w:start w:val="1"/>
      <w:numFmt w:val="decimal"/>
      <w:isLgl/>
      <w:suff w:val="tab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574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934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294" w:hanging="2160"/>
      </w:pPr>
      <w:rPr>
        <w:rFonts w:hint="default"/>
      </w:rPr>
    </w:lvl>
  </w:abstractNum>
  <w:abstractNum w:abstractNumId="5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94" w:hanging="360"/>
      </w:pPr>
      <w:rPr>
        <w:rFonts w:hint="default"/>
        <w:b/>
      </w:rPr>
    </w:lvl>
    <w:lvl w:ilvl="1">
      <w:start w:val="1"/>
      <w:numFmt w:val="decimal"/>
      <w:isLgl/>
      <w:suff w:val="tab"/>
      <w:lvlText w:val="%1.%2."/>
      <w:lvlJc w:val="left"/>
      <w:pPr>
        <w:ind w:left="1854" w:hanging="720"/>
      </w:pPr>
      <w:rPr>
        <w:rFonts w:hint="default"/>
        <w:b/>
      </w:rPr>
    </w:lvl>
    <w:lvl w:ilvl="2">
      <w:start w:val="1"/>
      <w:numFmt w:val="decimal"/>
      <w:isLgl/>
      <w:suff w:val="tab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574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934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294" w:hanging="2160"/>
      </w:pPr>
      <w:rPr>
        <w:rFonts w:hint="default"/>
      </w:rPr>
    </w:lvl>
  </w:abstractNum>
  <w:abstractNum w:abstractNumId="6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6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  <w:rPr>
        <w:b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65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287" w:hanging="360"/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6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94" w:hanging="360"/>
      </w:pPr>
      <w:rPr>
        <w:rFonts w:hint="default"/>
        <w:b/>
      </w:rPr>
    </w:lvl>
    <w:lvl w:ilvl="1">
      <w:start w:val="1"/>
      <w:numFmt w:val="decimal"/>
      <w:isLgl/>
      <w:suff w:val="tab"/>
      <w:lvlText w:val="%1.%2."/>
      <w:lvlJc w:val="left"/>
      <w:pPr>
        <w:ind w:left="1854" w:hanging="720"/>
      </w:pPr>
      <w:rPr>
        <w:rFonts w:hint="default"/>
        <w:b/>
      </w:rPr>
    </w:lvl>
    <w:lvl w:ilvl="2">
      <w:start w:val="1"/>
      <w:numFmt w:val="decimal"/>
      <w:isLgl/>
      <w:suff w:val="tab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574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934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294" w:hanging="2160"/>
      </w:pPr>
      <w:rPr>
        <w:rFonts w:hint="default"/>
      </w:rPr>
    </w:lvl>
  </w:abstractNum>
  <w:abstractNum w:abstractNumId="6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  <w:rPr>
        <w:b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  <w:rPr>
        <w:sz w:val="24"/>
      </w:r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7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  <w:tabs>
          <w:tab w:val="num" w:pos="0" w:leader="none"/>
        </w:tabs>
      </w:pPr>
      <w:rPr>
        <w:b/>
        <w:bCs/>
        <w:sz w:val="24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72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b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7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7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7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  <w:rPr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7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8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8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8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8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8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8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  <w:rPr>
        <w:b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8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  <w:rPr>
        <w:b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8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</w:pPr>
      <w:rPr>
        <w:rFonts w:hint="default"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0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%1.%2."/>
      <w:lvlJc w:val="left"/>
      <w:pPr>
        <w:ind w:left="0" w:firstLine="0"/>
      </w:pPr>
      <w:rPr>
        <w:rFonts w:hint="default"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0"/>
        <w:u w:val="none"/>
        <w:lang w:val="ru-RU" w:eastAsia="ru-RU" w:bidi="ru-RU"/>
      </w:r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</w:abstractNum>
  <w:abstractNum w:abstractNumId="8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</w:pPr>
      <w:rPr>
        <w:rFonts w:hint="default"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0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%1.%2."/>
      <w:lvlJc w:val="left"/>
      <w:pPr>
        <w:ind w:left="0" w:firstLine="0"/>
      </w:pPr>
      <w:rPr>
        <w:rFonts w:hint="default"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0"/>
        <w:u w:val="none"/>
        <w:lang w:val="ru-RU" w:eastAsia="ru-RU" w:bidi="ru-RU"/>
      </w:r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</w:abstractNum>
  <w:abstractNum w:abstractNumId="9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9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9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9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9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9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</w:pPr>
      <w:rPr>
        <w:rFonts w:hint="default"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0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%1.%2."/>
      <w:lvlJc w:val="left"/>
      <w:pPr>
        <w:ind w:left="0" w:firstLine="0"/>
      </w:pPr>
      <w:rPr>
        <w:rFonts w:hint="default"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0"/>
        <w:u w:val="none"/>
        <w:lang w:val="ru-RU" w:eastAsia="ru-RU" w:bidi="ru-RU"/>
      </w:r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</w:abstractNum>
  <w:abstractNum w:abstractNumId="9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</w:pPr>
      <w:rPr>
        <w:rFonts w:hint="default"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0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%1.%2."/>
      <w:lvlJc w:val="left"/>
      <w:pPr>
        <w:ind w:left="0" w:firstLine="0"/>
      </w:pPr>
      <w:rPr>
        <w:rFonts w:hint="default"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0"/>
        <w:u w:val="none"/>
        <w:lang w:val="ru-RU" w:eastAsia="ru-RU" w:bidi="ru-RU"/>
      </w:r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</w:abstractNum>
  <w:abstractNum w:abstractNumId="9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9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9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0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0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0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0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0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0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  <w:rPr>
        <w:b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0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  <w:rPr>
        <w:b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0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  <w:rPr>
        <w:b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0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  <w:rPr>
        <w:b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  <w:rPr>
        <w:sz w:val="24"/>
      </w:r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0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  <w:rPr>
        <w:b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1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  <w:rPr>
        <w:b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  <w:rPr>
        <w:sz w:val="24"/>
      </w:r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1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1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2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  <w:tabs>
          <w:tab w:val="num" w:pos="0" w:leader="none"/>
        </w:tabs>
      </w:pPr>
      <w:rPr>
        <w:b/>
        <w:bCs/>
        <w:sz w:val="24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1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2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  <w:rPr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3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3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3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</w:pPr>
      <w:rPr>
        <w:rFonts w:hint="default"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0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%1.%2."/>
      <w:lvlJc w:val="left"/>
      <w:pPr>
        <w:ind w:left="0" w:firstLine="0"/>
      </w:pPr>
      <w:rPr>
        <w:rFonts w:hint="default"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0"/>
        <w:u w:val="none"/>
        <w:lang w:val="ru-RU" w:eastAsia="ru-RU" w:bidi="ru-RU"/>
      </w:r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</w:abstractNum>
  <w:abstractNum w:abstractNumId="1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</w:pPr>
      <w:rPr>
        <w:rFonts w:hint="default"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0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%1.%2."/>
      <w:lvlJc w:val="left"/>
      <w:pPr>
        <w:ind w:left="0" w:firstLine="0"/>
      </w:pPr>
      <w:rPr>
        <w:rFonts w:hint="default"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0"/>
        <w:u w:val="none"/>
        <w:lang w:val="ru-RU" w:eastAsia="ru-RU" w:bidi="ru-RU"/>
      </w:r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</w:abstractNum>
  <w:abstractNum w:abstractNumId="1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  <w:rPr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3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4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4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4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4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30"/>
  </w:num>
  <w:num w:numId="3">
    <w:abstractNumId w:val="27"/>
  </w:num>
  <w:num w:numId="4">
    <w:abstractNumId w:val="6"/>
  </w:num>
  <w:num w:numId="5">
    <w:abstractNumId w:val="23"/>
  </w:num>
  <w:num w:numId="6">
    <w:abstractNumId w:val="13"/>
  </w:num>
  <w:num w:numId="7">
    <w:abstractNumId w:val="19"/>
  </w:num>
  <w:num w:numId="8">
    <w:abstractNumId w:val="15"/>
  </w:num>
  <w:num w:numId="9">
    <w:abstractNumId w:val="18"/>
  </w:num>
  <w:num w:numId="10">
    <w:abstractNumId w:val="22"/>
  </w:num>
  <w:num w:numId="11">
    <w:abstractNumId w:val="16"/>
  </w:num>
  <w:num w:numId="12">
    <w:abstractNumId w:val="26"/>
  </w:num>
  <w:num w:numId="13">
    <w:abstractNumId w:val="11"/>
  </w:num>
  <w:num w:numId="14">
    <w:abstractNumId w:val="0"/>
  </w:num>
  <w:num w:numId="15">
    <w:abstractNumId w:val="10"/>
  </w:num>
  <w:num w:numId="16">
    <w:abstractNumId w:val="25"/>
  </w:num>
  <w:num w:numId="17">
    <w:abstractNumId w:val="4"/>
  </w:num>
  <w:num w:numId="18">
    <w:abstractNumId w:val="9"/>
  </w:num>
  <w:num w:numId="19">
    <w:abstractNumId w:val="24"/>
  </w:num>
  <w:num w:numId="20">
    <w:abstractNumId w:val="12"/>
  </w:num>
  <w:num w:numId="21">
    <w:abstractNumId w:val="21"/>
  </w:num>
  <w:num w:numId="22">
    <w:abstractNumId w:val="29"/>
  </w:num>
  <w:num w:numId="23">
    <w:abstractNumId w:val="1"/>
  </w:num>
  <w:num w:numId="24">
    <w:abstractNumId w:val="8"/>
  </w:num>
  <w:num w:numId="25">
    <w:abstractNumId w:val="14"/>
  </w:num>
  <w:num w:numId="26">
    <w:abstractNumId w:val="28"/>
  </w:num>
  <w:num w:numId="27">
    <w:abstractNumId w:val="3"/>
  </w:num>
  <w:num w:numId="28">
    <w:abstractNumId w:val="7"/>
  </w:num>
  <w:num w:numId="29">
    <w:abstractNumId w:val="5"/>
  </w:num>
  <w:num w:numId="30">
    <w:abstractNumId w:val="2"/>
  </w:num>
  <w:num w:numId="31">
    <w:abstractNumId w:val="20"/>
  </w:num>
  <w:num w:numId="32">
    <w:abstractNumId w:val="31"/>
  </w:num>
  <w:num w:numId="3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  <w:num w:numId="55">
    <w:abstractNumId w:val="54"/>
  </w:num>
  <w:num w:numId="56">
    <w:abstractNumId w:val="55"/>
  </w:num>
  <w:num w:numId="57">
    <w:abstractNumId w:val="56"/>
  </w:num>
  <w:num w:numId="58">
    <w:abstractNumId w:val="57"/>
  </w:num>
  <w:num w:numId="59">
    <w:abstractNumId w:val="58"/>
  </w:num>
  <w:num w:numId="60">
    <w:abstractNumId w:val="59"/>
  </w:num>
  <w:num w:numId="61">
    <w:abstractNumId w:val="60"/>
  </w:num>
  <w:num w:numId="62">
    <w:abstractNumId w:val="61"/>
  </w:num>
  <w:num w:numId="63">
    <w:abstractNumId w:val="62"/>
  </w:num>
  <w:num w:numId="64">
    <w:abstractNumId w:val="63"/>
  </w:num>
  <w:num w:numId="65">
    <w:abstractNumId w:val="64"/>
  </w:num>
  <w:num w:numId="66">
    <w:abstractNumId w:val="65"/>
  </w:num>
  <w:num w:numId="67">
    <w:abstractNumId w:val="66"/>
  </w:num>
  <w:num w:numId="68">
    <w:abstractNumId w:val="67"/>
  </w:num>
  <w:num w:numId="69">
    <w:abstractNumId w:val="68"/>
  </w:num>
  <w:num w:numId="70">
    <w:abstractNumId w:val="69"/>
  </w:num>
  <w:num w:numId="71">
    <w:abstractNumId w:val="70"/>
  </w:num>
  <w:num w:numId="72">
    <w:abstractNumId w:val="71"/>
  </w:num>
  <w:num w:numId="73">
    <w:abstractNumId w:val="72"/>
  </w:num>
  <w:num w:numId="74">
    <w:abstractNumId w:val="73"/>
  </w:num>
  <w:num w:numId="75">
    <w:abstractNumId w:val="74"/>
  </w:num>
  <w:num w:numId="76">
    <w:abstractNumId w:val="75"/>
  </w:num>
  <w:num w:numId="77">
    <w:abstractNumId w:val="76"/>
  </w:num>
  <w:num w:numId="78">
    <w:abstractNumId w:val="77"/>
  </w:num>
  <w:num w:numId="79">
    <w:abstractNumId w:val="78"/>
  </w:num>
  <w:num w:numId="80">
    <w:abstractNumId w:val="79"/>
  </w:num>
  <w:num w:numId="81">
    <w:abstractNumId w:val="80"/>
  </w:num>
  <w:num w:numId="82">
    <w:abstractNumId w:val="81"/>
  </w:num>
  <w:num w:numId="83">
    <w:abstractNumId w:val="82"/>
  </w:num>
  <w:num w:numId="84">
    <w:abstractNumId w:val="83"/>
  </w:num>
  <w:num w:numId="85">
    <w:abstractNumId w:val="84"/>
  </w:num>
  <w:num w:numId="86">
    <w:abstractNumId w:val="85"/>
  </w:num>
  <w:num w:numId="87">
    <w:abstractNumId w:val="86"/>
  </w:num>
  <w:num w:numId="88">
    <w:abstractNumId w:val="87"/>
  </w:num>
  <w:num w:numId="89">
    <w:abstractNumId w:val="88"/>
  </w:num>
  <w:num w:numId="90">
    <w:abstractNumId w:val="89"/>
  </w:num>
  <w:num w:numId="91">
    <w:abstractNumId w:val="90"/>
  </w:num>
  <w:num w:numId="92">
    <w:abstractNumId w:val="91"/>
  </w:num>
  <w:num w:numId="93">
    <w:abstractNumId w:val="92"/>
  </w:num>
  <w:num w:numId="94">
    <w:abstractNumId w:val="93"/>
  </w:num>
  <w:num w:numId="95">
    <w:abstractNumId w:val="94"/>
  </w:num>
  <w:num w:numId="96">
    <w:abstractNumId w:val="95"/>
  </w:num>
  <w:num w:numId="97">
    <w:abstractNumId w:val="96"/>
  </w:num>
  <w:num w:numId="98">
    <w:abstractNumId w:val="97"/>
  </w:num>
  <w:num w:numId="99">
    <w:abstractNumId w:val="98"/>
  </w:num>
  <w:num w:numId="100">
    <w:abstractNumId w:val="99"/>
  </w:num>
  <w:num w:numId="101">
    <w:abstractNumId w:val="100"/>
  </w:num>
  <w:num w:numId="102">
    <w:abstractNumId w:val="101"/>
  </w:num>
  <w:num w:numId="103">
    <w:abstractNumId w:val="102"/>
  </w:num>
  <w:num w:numId="104">
    <w:abstractNumId w:val="103"/>
  </w:num>
  <w:num w:numId="105">
    <w:abstractNumId w:val="104"/>
  </w:num>
  <w:num w:numId="106">
    <w:abstractNumId w:val="105"/>
  </w:num>
  <w:num w:numId="107">
    <w:abstractNumId w:val="106"/>
  </w:num>
  <w:num w:numId="108">
    <w:abstractNumId w:val="107"/>
  </w:num>
  <w:num w:numId="109">
    <w:abstractNumId w:val="108"/>
  </w:num>
  <w:num w:numId="110">
    <w:abstractNumId w:val="109"/>
  </w:num>
  <w:num w:numId="111">
    <w:abstractNumId w:val="110"/>
  </w:num>
  <w:num w:numId="112">
    <w:abstractNumId w:val="111"/>
  </w:num>
  <w:num w:numId="113">
    <w:abstractNumId w:val="112"/>
  </w:num>
  <w:num w:numId="114">
    <w:abstractNumId w:val="113"/>
  </w:num>
  <w:num w:numId="115">
    <w:abstractNumId w:val="114"/>
  </w:num>
  <w:num w:numId="116">
    <w:abstractNumId w:val="115"/>
  </w:num>
  <w:num w:numId="117">
    <w:abstractNumId w:val="116"/>
  </w:num>
  <w:num w:numId="118">
    <w:abstractNumId w:val="117"/>
  </w:num>
  <w:num w:numId="119">
    <w:abstractNumId w:val="118"/>
  </w:num>
  <w:num w:numId="120">
    <w:abstractNumId w:val="119"/>
  </w:num>
  <w:num w:numId="121">
    <w:abstractNumId w:val="120"/>
  </w:num>
  <w:num w:numId="122">
    <w:abstractNumId w:val="121"/>
  </w:num>
  <w:num w:numId="123">
    <w:abstractNumId w:val="122"/>
  </w:num>
  <w:num w:numId="124">
    <w:abstractNumId w:val="123"/>
  </w:num>
  <w:num w:numId="125">
    <w:abstractNumId w:val="124"/>
  </w:num>
  <w:num w:numId="126">
    <w:abstractNumId w:val="125"/>
  </w:num>
  <w:num w:numId="127">
    <w:abstractNumId w:val="126"/>
  </w:num>
  <w:num w:numId="128">
    <w:abstractNumId w:val="127"/>
  </w:num>
  <w:num w:numId="129">
    <w:abstractNumId w:val="128"/>
  </w:num>
  <w:num w:numId="130">
    <w:abstractNumId w:val="129"/>
  </w:num>
  <w:num w:numId="131">
    <w:abstractNumId w:val="130"/>
  </w:num>
  <w:num w:numId="132">
    <w:abstractNumId w:val="131"/>
  </w:num>
  <w:num w:numId="133">
    <w:abstractNumId w:val="132"/>
  </w:num>
  <w:num w:numId="134">
    <w:abstractNumId w:val="133"/>
  </w:num>
  <w:num w:numId="135">
    <w:abstractNumId w:val="134"/>
  </w:num>
  <w:num w:numId="136">
    <w:abstractNumId w:val="135"/>
  </w:num>
  <w:num w:numId="137">
    <w:abstractNumId w:val="136"/>
  </w:num>
  <w:num w:numId="138">
    <w:abstractNumId w:val="137"/>
  </w:num>
  <w:num w:numId="139">
    <w:abstractNumId w:val="138"/>
  </w:num>
  <w:num w:numId="140">
    <w:abstractNumId w:val="139"/>
  </w:num>
  <w:num w:numId="141">
    <w:abstractNumId w:val="140"/>
  </w:num>
  <w:num w:numId="142">
    <w:abstractNumId w:val="141"/>
  </w:num>
  <w:num w:numId="143">
    <w:abstractNumId w:val="142"/>
  </w:num>
  <w:num w:numId="144">
    <w:abstractNumId w:val="143"/>
  </w:num>
  <w:num w:numId="145">
    <w:abstractNumId w:val="144"/>
  </w:num>
  <w:num w:numId="146">
    <w:abstractNumId w:val="145"/>
  </w:num>
  <w:num w:numId="147">
    <w:abstractNumId w:val="146"/>
  </w:num>
  <w:num w:numId="148">
    <w:abstractNumId w:val="1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003">
    <w:name w:val="Heading 1 Char"/>
    <w:basedOn w:val="1031"/>
    <w:link w:val="1022"/>
    <w:uiPriority w:val="9"/>
    <w:rPr>
      <w:rFonts w:ascii="Arial" w:hAnsi="Arial" w:eastAsia="Arial" w:cs="Arial"/>
      <w:sz w:val="40"/>
      <w:szCs w:val="40"/>
    </w:rPr>
  </w:style>
  <w:style w:type="character" w:styleId="1004">
    <w:name w:val="Heading 2 Char"/>
    <w:basedOn w:val="1031"/>
    <w:link w:val="1023"/>
    <w:uiPriority w:val="9"/>
    <w:rPr>
      <w:rFonts w:ascii="Arial" w:hAnsi="Arial" w:eastAsia="Arial" w:cs="Arial"/>
      <w:sz w:val="34"/>
    </w:rPr>
  </w:style>
  <w:style w:type="character" w:styleId="1005">
    <w:name w:val="Heading 3 Char"/>
    <w:basedOn w:val="1031"/>
    <w:link w:val="1024"/>
    <w:uiPriority w:val="9"/>
    <w:rPr>
      <w:rFonts w:ascii="Arial" w:hAnsi="Arial" w:eastAsia="Arial" w:cs="Arial"/>
      <w:sz w:val="30"/>
      <w:szCs w:val="30"/>
    </w:rPr>
  </w:style>
  <w:style w:type="character" w:styleId="1006">
    <w:name w:val="Heading 4 Char"/>
    <w:basedOn w:val="1031"/>
    <w:link w:val="1025"/>
    <w:uiPriority w:val="9"/>
    <w:rPr>
      <w:rFonts w:ascii="Arial" w:hAnsi="Arial" w:eastAsia="Arial" w:cs="Arial"/>
      <w:b/>
      <w:bCs/>
      <w:sz w:val="26"/>
      <w:szCs w:val="26"/>
    </w:rPr>
  </w:style>
  <w:style w:type="character" w:styleId="1007">
    <w:name w:val="Heading 5 Char"/>
    <w:basedOn w:val="1031"/>
    <w:link w:val="1026"/>
    <w:uiPriority w:val="9"/>
    <w:rPr>
      <w:rFonts w:ascii="Arial" w:hAnsi="Arial" w:eastAsia="Arial" w:cs="Arial"/>
      <w:b/>
      <w:bCs/>
      <w:sz w:val="24"/>
      <w:szCs w:val="24"/>
    </w:rPr>
  </w:style>
  <w:style w:type="character" w:styleId="1008">
    <w:name w:val="Heading 6 Char"/>
    <w:basedOn w:val="1031"/>
    <w:link w:val="1027"/>
    <w:uiPriority w:val="9"/>
    <w:rPr>
      <w:rFonts w:ascii="Arial" w:hAnsi="Arial" w:eastAsia="Arial" w:cs="Arial"/>
      <w:b/>
      <w:bCs/>
      <w:sz w:val="22"/>
      <w:szCs w:val="22"/>
    </w:rPr>
  </w:style>
  <w:style w:type="character" w:styleId="1009">
    <w:name w:val="Heading 7 Char"/>
    <w:basedOn w:val="1031"/>
    <w:link w:val="102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1010">
    <w:name w:val="Heading 8 Char"/>
    <w:basedOn w:val="1031"/>
    <w:link w:val="1029"/>
    <w:uiPriority w:val="9"/>
    <w:rPr>
      <w:rFonts w:ascii="Arial" w:hAnsi="Arial" w:eastAsia="Arial" w:cs="Arial"/>
      <w:i/>
      <w:iCs/>
      <w:sz w:val="22"/>
      <w:szCs w:val="22"/>
    </w:rPr>
  </w:style>
  <w:style w:type="character" w:styleId="1011">
    <w:name w:val="Heading 9 Char"/>
    <w:basedOn w:val="1031"/>
    <w:link w:val="1030"/>
    <w:uiPriority w:val="9"/>
    <w:rPr>
      <w:rFonts w:ascii="Arial" w:hAnsi="Arial" w:eastAsia="Arial" w:cs="Arial"/>
      <w:i/>
      <w:iCs/>
      <w:sz w:val="21"/>
      <w:szCs w:val="21"/>
    </w:rPr>
  </w:style>
  <w:style w:type="character" w:styleId="1012">
    <w:name w:val="Title Char"/>
    <w:basedOn w:val="1031"/>
    <w:link w:val="1043"/>
    <w:uiPriority w:val="10"/>
    <w:rPr>
      <w:sz w:val="48"/>
      <w:szCs w:val="48"/>
    </w:rPr>
  </w:style>
  <w:style w:type="character" w:styleId="1013">
    <w:name w:val="Subtitle Char"/>
    <w:basedOn w:val="1031"/>
    <w:link w:val="1045"/>
    <w:uiPriority w:val="11"/>
    <w:rPr>
      <w:sz w:val="24"/>
      <w:szCs w:val="24"/>
    </w:rPr>
  </w:style>
  <w:style w:type="character" w:styleId="1014">
    <w:name w:val="Quote Char"/>
    <w:link w:val="1047"/>
    <w:uiPriority w:val="29"/>
    <w:rPr>
      <w:i/>
    </w:rPr>
  </w:style>
  <w:style w:type="character" w:styleId="1015">
    <w:name w:val="Intense Quote Char"/>
    <w:link w:val="1049"/>
    <w:uiPriority w:val="30"/>
    <w:rPr>
      <w:i/>
    </w:rPr>
  </w:style>
  <w:style w:type="character" w:styleId="1016">
    <w:name w:val="Header Char"/>
    <w:basedOn w:val="1031"/>
    <w:link w:val="1051"/>
    <w:uiPriority w:val="99"/>
  </w:style>
  <w:style w:type="character" w:styleId="1017">
    <w:name w:val="Footer Char"/>
    <w:basedOn w:val="1031"/>
    <w:link w:val="1053"/>
    <w:uiPriority w:val="99"/>
  </w:style>
  <w:style w:type="character" w:styleId="1018">
    <w:name w:val="Caption Char"/>
    <w:basedOn w:val="1031"/>
    <w:link w:val="1055"/>
    <w:uiPriority w:val="35"/>
    <w:rPr>
      <w:b/>
      <w:bCs/>
      <w:color w:val="4f81bd" w:themeColor="accent1"/>
      <w:sz w:val="18"/>
      <w:szCs w:val="18"/>
    </w:rPr>
  </w:style>
  <w:style w:type="character" w:styleId="1019">
    <w:name w:val="Footnote Text Char"/>
    <w:link w:val="1184"/>
    <w:uiPriority w:val="99"/>
    <w:rPr>
      <w:sz w:val="18"/>
    </w:rPr>
  </w:style>
  <w:style w:type="character" w:styleId="1020">
    <w:name w:val="Endnote Text Char"/>
    <w:link w:val="1187"/>
    <w:uiPriority w:val="99"/>
    <w:rPr>
      <w:sz w:val="20"/>
    </w:rPr>
  </w:style>
  <w:style w:type="paragraph" w:styleId="1021" w:default="1">
    <w:name w:val="Normal"/>
    <w:qFormat/>
  </w:style>
  <w:style w:type="paragraph" w:styleId="1022">
    <w:name w:val="Heading 1"/>
    <w:basedOn w:val="1021"/>
    <w:next w:val="1021"/>
    <w:link w:val="1034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1023">
    <w:name w:val="Heading 2"/>
    <w:basedOn w:val="1021"/>
    <w:next w:val="1021"/>
    <w:link w:val="1035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1024">
    <w:name w:val="Heading 3"/>
    <w:basedOn w:val="1021"/>
    <w:next w:val="1021"/>
    <w:link w:val="1036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1025">
    <w:name w:val="Heading 4"/>
    <w:basedOn w:val="1021"/>
    <w:next w:val="1021"/>
    <w:link w:val="1037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1026">
    <w:name w:val="Heading 5"/>
    <w:basedOn w:val="1021"/>
    <w:next w:val="1021"/>
    <w:link w:val="1038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1027">
    <w:name w:val="Heading 6"/>
    <w:basedOn w:val="1021"/>
    <w:next w:val="1021"/>
    <w:link w:val="1039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1028">
    <w:name w:val="Heading 7"/>
    <w:basedOn w:val="1021"/>
    <w:next w:val="1021"/>
    <w:link w:val="1040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1029">
    <w:name w:val="Heading 8"/>
    <w:basedOn w:val="1021"/>
    <w:next w:val="1021"/>
    <w:link w:val="1041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1030">
    <w:name w:val="Heading 9"/>
    <w:basedOn w:val="1021"/>
    <w:next w:val="1021"/>
    <w:link w:val="1042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1031" w:default="1">
    <w:name w:val="Default Paragraph Font"/>
    <w:uiPriority w:val="1"/>
    <w:semiHidden/>
    <w:unhideWhenUsed/>
  </w:style>
  <w:style w:type="table" w:styleId="10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1033" w:default="1">
    <w:name w:val="No List"/>
    <w:uiPriority w:val="99"/>
    <w:semiHidden/>
    <w:unhideWhenUsed/>
  </w:style>
  <w:style w:type="character" w:styleId="1034" w:customStyle="1">
    <w:name w:val="Заголовок 1 Знак"/>
    <w:link w:val="1022"/>
    <w:uiPriority w:val="9"/>
    <w:rPr>
      <w:rFonts w:ascii="Arial" w:hAnsi="Arial" w:eastAsia="Arial" w:cs="Arial"/>
      <w:sz w:val="40"/>
      <w:szCs w:val="40"/>
    </w:rPr>
  </w:style>
  <w:style w:type="character" w:styleId="1035" w:customStyle="1">
    <w:name w:val="Заголовок 2 Знак"/>
    <w:link w:val="1023"/>
    <w:uiPriority w:val="9"/>
    <w:rPr>
      <w:rFonts w:ascii="Arial" w:hAnsi="Arial" w:eastAsia="Arial" w:cs="Arial"/>
      <w:sz w:val="34"/>
    </w:rPr>
  </w:style>
  <w:style w:type="character" w:styleId="1036" w:customStyle="1">
    <w:name w:val="Заголовок 3 Знак"/>
    <w:link w:val="1024"/>
    <w:uiPriority w:val="9"/>
    <w:rPr>
      <w:rFonts w:ascii="Arial" w:hAnsi="Arial" w:eastAsia="Arial" w:cs="Arial"/>
      <w:sz w:val="30"/>
      <w:szCs w:val="30"/>
    </w:rPr>
  </w:style>
  <w:style w:type="character" w:styleId="1037" w:customStyle="1">
    <w:name w:val="Заголовок 4 Знак"/>
    <w:link w:val="1025"/>
    <w:uiPriority w:val="9"/>
    <w:rPr>
      <w:rFonts w:ascii="Arial" w:hAnsi="Arial" w:eastAsia="Arial" w:cs="Arial"/>
      <w:b/>
      <w:bCs/>
      <w:sz w:val="26"/>
      <w:szCs w:val="26"/>
    </w:rPr>
  </w:style>
  <w:style w:type="character" w:styleId="1038" w:customStyle="1">
    <w:name w:val="Заголовок 5 Знак"/>
    <w:link w:val="1026"/>
    <w:uiPriority w:val="9"/>
    <w:rPr>
      <w:rFonts w:ascii="Arial" w:hAnsi="Arial" w:eastAsia="Arial" w:cs="Arial"/>
      <w:b/>
      <w:bCs/>
      <w:sz w:val="24"/>
      <w:szCs w:val="24"/>
    </w:rPr>
  </w:style>
  <w:style w:type="character" w:styleId="1039" w:customStyle="1">
    <w:name w:val="Заголовок 6 Знак"/>
    <w:link w:val="1027"/>
    <w:uiPriority w:val="9"/>
    <w:rPr>
      <w:rFonts w:ascii="Arial" w:hAnsi="Arial" w:eastAsia="Arial" w:cs="Arial"/>
      <w:b/>
      <w:bCs/>
      <w:sz w:val="22"/>
      <w:szCs w:val="22"/>
    </w:rPr>
  </w:style>
  <w:style w:type="character" w:styleId="1040" w:customStyle="1">
    <w:name w:val="Заголовок 7 Знак"/>
    <w:link w:val="102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1041" w:customStyle="1">
    <w:name w:val="Заголовок 8 Знак"/>
    <w:link w:val="1029"/>
    <w:uiPriority w:val="9"/>
    <w:rPr>
      <w:rFonts w:ascii="Arial" w:hAnsi="Arial" w:eastAsia="Arial" w:cs="Arial"/>
      <w:i/>
      <w:iCs/>
      <w:sz w:val="22"/>
      <w:szCs w:val="22"/>
    </w:rPr>
  </w:style>
  <w:style w:type="character" w:styleId="1042" w:customStyle="1">
    <w:name w:val="Заголовок 9 Знак"/>
    <w:link w:val="1030"/>
    <w:uiPriority w:val="9"/>
    <w:rPr>
      <w:rFonts w:ascii="Arial" w:hAnsi="Arial" w:eastAsia="Arial" w:cs="Arial"/>
      <w:i/>
      <w:iCs/>
      <w:sz w:val="21"/>
      <w:szCs w:val="21"/>
    </w:rPr>
  </w:style>
  <w:style w:type="paragraph" w:styleId="1043">
    <w:name w:val="Title"/>
    <w:basedOn w:val="1021"/>
    <w:next w:val="1021"/>
    <w:link w:val="1044"/>
    <w:uiPriority w:val="10"/>
    <w:qFormat/>
    <w:pPr>
      <w:contextualSpacing/>
      <w:spacing w:before="300"/>
    </w:pPr>
    <w:rPr>
      <w:sz w:val="48"/>
      <w:szCs w:val="48"/>
    </w:rPr>
  </w:style>
  <w:style w:type="character" w:styleId="1044" w:customStyle="1">
    <w:name w:val="Заголовок Знак"/>
    <w:link w:val="1043"/>
    <w:uiPriority w:val="10"/>
    <w:rPr>
      <w:sz w:val="48"/>
      <w:szCs w:val="48"/>
    </w:rPr>
  </w:style>
  <w:style w:type="paragraph" w:styleId="1045">
    <w:name w:val="Subtitle"/>
    <w:basedOn w:val="1021"/>
    <w:next w:val="1021"/>
    <w:link w:val="1046"/>
    <w:uiPriority w:val="11"/>
    <w:qFormat/>
    <w:pPr>
      <w:spacing w:before="200"/>
    </w:pPr>
    <w:rPr>
      <w:sz w:val="24"/>
      <w:szCs w:val="24"/>
    </w:rPr>
  </w:style>
  <w:style w:type="character" w:styleId="1046" w:customStyle="1">
    <w:name w:val="Подзаголовок Знак"/>
    <w:link w:val="1045"/>
    <w:uiPriority w:val="11"/>
    <w:rPr>
      <w:sz w:val="24"/>
      <w:szCs w:val="24"/>
    </w:rPr>
  </w:style>
  <w:style w:type="paragraph" w:styleId="1047">
    <w:name w:val="Quote"/>
    <w:basedOn w:val="1021"/>
    <w:next w:val="1021"/>
    <w:link w:val="1048"/>
    <w:uiPriority w:val="29"/>
    <w:qFormat/>
    <w:pPr>
      <w:ind w:left="720" w:right="720"/>
    </w:pPr>
    <w:rPr>
      <w:i/>
    </w:rPr>
  </w:style>
  <w:style w:type="character" w:styleId="1048" w:customStyle="1">
    <w:name w:val="Цитата 2 Знак"/>
    <w:link w:val="1047"/>
    <w:uiPriority w:val="29"/>
    <w:rPr>
      <w:i/>
    </w:rPr>
  </w:style>
  <w:style w:type="paragraph" w:styleId="1049">
    <w:name w:val="Intense Quote"/>
    <w:basedOn w:val="1021"/>
    <w:next w:val="1021"/>
    <w:link w:val="105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1050" w:customStyle="1">
    <w:name w:val="Выделенная цитата Знак"/>
    <w:link w:val="1049"/>
    <w:uiPriority w:val="30"/>
    <w:rPr>
      <w:i/>
    </w:rPr>
  </w:style>
  <w:style w:type="paragraph" w:styleId="1051">
    <w:name w:val="Header"/>
    <w:basedOn w:val="1021"/>
    <w:link w:val="105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1052" w:customStyle="1">
    <w:name w:val="Верхний колонтитул Знак"/>
    <w:link w:val="1051"/>
    <w:uiPriority w:val="99"/>
  </w:style>
  <w:style w:type="paragraph" w:styleId="1053">
    <w:name w:val="Footer"/>
    <w:basedOn w:val="1021"/>
    <w:link w:val="105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1054" w:customStyle="1">
    <w:name w:val="Нижний колонтитул Знак"/>
    <w:link w:val="1053"/>
    <w:uiPriority w:val="99"/>
  </w:style>
  <w:style w:type="paragraph" w:styleId="1055">
    <w:name w:val="Caption"/>
    <w:basedOn w:val="1021"/>
    <w:next w:val="1021"/>
    <w:link w:val="1056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styleId="1056" w:customStyle="1">
    <w:name w:val="Название объекта Знак"/>
    <w:link w:val="1055"/>
    <w:uiPriority w:val="35"/>
    <w:rPr>
      <w:b/>
      <w:bCs/>
      <w:color w:val="5b9bd5" w:themeColor="accent1"/>
      <w:sz w:val="18"/>
      <w:szCs w:val="18"/>
    </w:rPr>
  </w:style>
  <w:style w:type="table" w:styleId="1057">
    <w:name w:val="Table Grid"/>
    <w:basedOn w:val="1032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058" w:customStyle="1">
    <w:name w:val="Table Grid Light"/>
    <w:basedOn w:val="103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059">
    <w:name w:val="Plain Table 1"/>
    <w:basedOn w:val="103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060">
    <w:name w:val="Plain Table 2"/>
    <w:basedOn w:val="103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061">
    <w:name w:val="Plain Table 3"/>
    <w:basedOn w:val="10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1062">
    <w:name w:val="Plain Table 4"/>
    <w:basedOn w:val="10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3">
    <w:name w:val="Plain Table 5"/>
    <w:basedOn w:val="10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1064">
    <w:name w:val="Grid Table 1 Light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5" w:customStyle="1">
    <w:name w:val="Grid Table 1 Light - Accent 1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6" w:customStyle="1">
    <w:name w:val="Grid Table 1 Light - Accent 2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7" w:customStyle="1">
    <w:name w:val="Grid Table 1 Light - Accent 3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8" w:customStyle="1">
    <w:name w:val="Grid Table 1 Light - Accent 4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9" w:customStyle="1">
    <w:name w:val="Grid Table 1 Light - Accent 5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70" w:customStyle="1">
    <w:name w:val="Grid Table 1 Light - Accent 6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71">
    <w:name w:val="Grid Table 2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2" w:customStyle="1">
    <w:name w:val="Grid Table 2 - Accent 1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3" w:customStyle="1">
    <w:name w:val="Grid Table 2 - Accent 2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4" w:customStyle="1">
    <w:name w:val="Grid Table 2 - Accent 3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5" w:customStyle="1">
    <w:name w:val="Grid Table 2 - Accent 4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6" w:customStyle="1">
    <w:name w:val="Grid Table 2 - Accent 5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7" w:customStyle="1">
    <w:name w:val="Grid Table 2 - Accent 6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8">
    <w:name w:val="Grid Table 3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9" w:customStyle="1">
    <w:name w:val="Grid Table 3 - Accent 1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0" w:customStyle="1">
    <w:name w:val="Grid Table 3 - Accent 2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1" w:customStyle="1">
    <w:name w:val="Grid Table 3 - Accent 3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2" w:customStyle="1">
    <w:name w:val="Grid Table 3 - Accent 4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3" w:customStyle="1">
    <w:name w:val="Grid Table 3 - Accent 5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4" w:customStyle="1">
    <w:name w:val="Grid Table 3 - Accent 6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5">
    <w:name w:val="Grid Table 4"/>
    <w:basedOn w:val="10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1086" w:customStyle="1">
    <w:name w:val="Grid Table 4 - Accent 1"/>
    <w:basedOn w:val="10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1087" w:customStyle="1">
    <w:name w:val="Grid Table 4 - Accent 2"/>
    <w:basedOn w:val="10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1088" w:customStyle="1">
    <w:name w:val="Grid Table 4 - Accent 3"/>
    <w:basedOn w:val="10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1089" w:customStyle="1">
    <w:name w:val="Grid Table 4 - Accent 4"/>
    <w:basedOn w:val="10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1090" w:customStyle="1">
    <w:name w:val="Grid Table 4 - Accent 5"/>
    <w:basedOn w:val="10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1091" w:customStyle="1">
    <w:name w:val="Grid Table 4 - Accent 6"/>
    <w:basedOn w:val="10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1092">
    <w:name w:val="Grid Table 5 Dark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1093" w:customStyle="1">
    <w:name w:val="Grid Table 5 Dark- Accent 1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1094" w:customStyle="1">
    <w:name w:val="Grid Table 5 Dark - Accent 2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1095" w:customStyle="1">
    <w:name w:val="Grid Table 5 Dark - Accent 3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1096" w:customStyle="1">
    <w:name w:val="Grid Table 5 Dark- Accent 4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1097" w:customStyle="1">
    <w:name w:val="Grid Table 5 Dark - Accent 5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1098" w:customStyle="1">
    <w:name w:val="Grid Table 5 Dark - Accent 6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1099">
    <w:name w:val="Grid Table 6 Colorful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1100" w:customStyle="1">
    <w:name w:val="Grid Table 6 Colorful - Accent 1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1101" w:customStyle="1">
    <w:name w:val="Grid Table 6 Colorful - Accent 2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1102" w:customStyle="1">
    <w:name w:val="Grid Table 6 Colorful - Accent 3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1103" w:customStyle="1">
    <w:name w:val="Grid Table 6 Colorful - Accent 4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1104" w:customStyle="1">
    <w:name w:val="Grid Table 6 Colorful - Accent 5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1105" w:customStyle="1">
    <w:name w:val="Grid Table 6 Colorful - Accent 6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1106">
    <w:name w:val="Grid Table 7 Colorful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7" w:customStyle="1">
    <w:name w:val="Grid Table 7 Colorful - Accent 1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8" w:customStyle="1">
    <w:name w:val="Grid Table 7 Colorful - Accent 2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9" w:customStyle="1">
    <w:name w:val="Grid Table 7 Colorful - Accent 3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0" w:customStyle="1">
    <w:name w:val="Grid Table 7 Colorful - Accent 4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1" w:customStyle="1">
    <w:name w:val="Grid Table 7 Colorful - Accent 5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2" w:customStyle="1">
    <w:name w:val="Grid Table 7 Colorful - Accent 6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3">
    <w:name w:val="List Table 1 Light"/>
    <w:basedOn w:val="10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4" w:customStyle="1">
    <w:name w:val="List Table 1 Light - Accent 1"/>
    <w:basedOn w:val="10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5" w:customStyle="1">
    <w:name w:val="List Table 1 Light - Accent 2"/>
    <w:basedOn w:val="10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6" w:customStyle="1">
    <w:name w:val="List Table 1 Light - Accent 3"/>
    <w:basedOn w:val="10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7" w:customStyle="1">
    <w:name w:val="List Table 1 Light - Accent 4"/>
    <w:basedOn w:val="10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8" w:customStyle="1">
    <w:name w:val="List Table 1 Light - Accent 5"/>
    <w:basedOn w:val="10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9" w:customStyle="1">
    <w:name w:val="List Table 1 Light - Accent 6"/>
    <w:basedOn w:val="10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0">
    <w:name w:val="List Table 2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1121" w:customStyle="1">
    <w:name w:val="List Table 2 - Accent 1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1122" w:customStyle="1">
    <w:name w:val="List Table 2 - Accent 2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1123" w:customStyle="1">
    <w:name w:val="List Table 2 - Accent 3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1124" w:customStyle="1">
    <w:name w:val="List Table 2 - Accent 4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1125" w:customStyle="1">
    <w:name w:val="List Table 2 - Accent 5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1126" w:customStyle="1">
    <w:name w:val="List Table 2 - Accent 6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1127">
    <w:name w:val="List Table 3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28" w:customStyle="1">
    <w:name w:val="List Table 3 - Accent 1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29" w:customStyle="1">
    <w:name w:val="List Table 3 - Accent 2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30" w:customStyle="1">
    <w:name w:val="List Table 3 - Accent 3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31" w:customStyle="1">
    <w:name w:val="List Table 3 - Accent 4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32" w:customStyle="1">
    <w:name w:val="List Table 3 - Accent 5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33" w:customStyle="1">
    <w:name w:val="List Table 3 - Accent 6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34">
    <w:name w:val="List Table 4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35" w:customStyle="1">
    <w:name w:val="List Table 4 - Accent 1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36" w:customStyle="1">
    <w:name w:val="List Table 4 - Accent 2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37" w:customStyle="1">
    <w:name w:val="List Table 4 - Accent 3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38" w:customStyle="1">
    <w:name w:val="List Table 4 - Accent 4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39" w:customStyle="1">
    <w:name w:val="List Table 4 - Accent 5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40" w:customStyle="1">
    <w:name w:val="List Table 4 - Accent 6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41">
    <w:name w:val="List Table 5 Dark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142" w:customStyle="1">
    <w:name w:val="List Table 5 Dark - Accent 1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143" w:customStyle="1">
    <w:name w:val="List Table 5 Dark - Accent 2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144" w:customStyle="1">
    <w:name w:val="List Table 5 Dark - Accent 3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145" w:customStyle="1">
    <w:name w:val="List Table 5 Dark - Accent 4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146" w:customStyle="1">
    <w:name w:val="List Table 5 Dark - Accent 5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147" w:customStyle="1">
    <w:name w:val="List Table 5 Dark - Accent 6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148">
    <w:name w:val="List Table 6 Colorful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1149" w:customStyle="1">
    <w:name w:val="List Table 6 Colorful - Accent 1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1150" w:customStyle="1">
    <w:name w:val="List Table 6 Colorful - Accent 2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1151" w:customStyle="1">
    <w:name w:val="List Table 6 Colorful - Accent 3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1152" w:customStyle="1">
    <w:name w:val="List Table 6 Colorful - Accent 4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1153" w:customStyle="1">
    <w:name w:val="List Table 6 Colorful - Accent 5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1154" w:customStyle="1">
    <w:name w:val="List Table 6 Colorful - Accent 6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1155">
    <w:name w:val="List Table 7 Colorful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56" w:customStyle="1">
    <w:name w:val="List Table 7 Colorful - Accent 1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57" w:customStyle="1">
    <w:name w:val="List Table 7 Colorful - Accent 2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58" w:customStyle="1">
    <w:name w:val="List Table 7 Colorful - Accent 3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59" w:customStyle="1">
    <w:name w:val="List Table 7 Colorful - Accent 4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60" w:customStyle="1">
    <w:name w:val="List Table 7 Colorful - Accent 5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61" w:customStyle="1">
    <w:name w:val="List Table 7 Colorful - Accent 6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62" w:customStyle="1">
    <w:name w:val="Lined - Accent"/>
    <w:basedOn w:val="103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163" w:customStyle="1">
    <w:name w:val="Lined - Accent 1"/>
    <w:basedOn w:val="103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1164" w:customStyle="1">
    <w:name w:val="Lined - Accent 2"/>
    <w:basedOn w:val="103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1165" w:customStyle="1">
    <w:name w:val="Lined - Accent 3"/>
    <w:basedOn w:val="103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1166" w:customStyle="1">
    <w:name w:val="Lined - Accent 4"/>
    <w:basedOn w:val="103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1167" w:customStyle="1">
    <w:name w:val="Lined - Accent 5"/>
    <w:basedOn w:val="103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1168" w:customStyle="1">
    <w:name w:val="Lined - Accent 6"/>
    <w:basedOn w:val="103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1169" w:customStyle="1">
    <w:name w:val="Bordered &amp; Lined - Accent"/>
    <w:basedOn w:val="103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170" w:customStyle="1">
    <w:name w:val="Bordered &amp; Lined - Accent 1"/>
    <w:basedOn w:val="103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1171" w:customStyle="1">
    <w:name w:val="Bordered &amp; Lined - Accent 2"/>
    <w:basedOn w:val="103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1172" w:customStyle="1">
    <w:name w:val="Bordered &amp; Lined - Accent 3"/>
    <w:basedOn w:val="103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1173" w:customStyle="1">
    <w:name w:val="Bordered &amp; Lined - Accent 4"/>
    <w:basedOn w:val="103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1174" w:customStyle="1">
    <w:name w:val="Bordered &amp; Lined - Accent 5"/>
    <w:basedOn w:val="103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1175" w:customStyle="1">
    <w:name w:val="Bordered &amp; Lined - Accent 6"/>
    <w:basedOn w:val="103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1176" w:customStyle="1">
    <w:name w:val="Bordered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1177" w:customStyle="1">
    <w:name w:val="Bordered - Accent 1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1178" w:customStyle="1">
    <w:name w:val="Bordered - Accent 2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1179" w:customStyle="1">
    <w:name w:val="Bordered - Accent 3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1180" w:customStyle="1">
    <w:name w:val="Bordered - Accent 4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1181" w:customStyle="1">
    <w:name w:val="Bordered - Accent 5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1182" w:customStyle="1">
    <w:name w:val="Bordered - Accent 6"/>
    <w:basedOn w:val="10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1183">
    <w:name w:val="Hyperlink"/>
    <w:uiPriority w:val="99"/>
    <w:unhideWhenUsed/>
    <w:rPr>
      <w:color w:val="0563c1" w:themeColor="hyperlink"/>
      <w:u w:val="single"/>
    </w:rPr>
  </w:style>
  <w:style w:type="paragraph" w:styleId="1184">
    <w:name w:val="footnote text"/>
    <w:basedOn w:val="1021"/>
    <w:link w:val="1185"/>
    <w:uiPriority w:val="99"/>
    <w:semiHidden/>
    <w:unhideWhenUsed/>
    <w:pPr>
      <w:spacing w:after="40" w:line="240" w:lineRule="auto"/>
    </w:pPr>
    <w:rPr>
      <w:sz w:val="18"/>
    </w:rPr>
  </w:style>
  <w:style w:type="character" w:styleId="1185" w:customStyle="1">
    <w:name w:val="Текст сноски Знак"/>
    <w:link w:val="1184"/>
    <w:uiPriority w:val="99"/>
    <w:rPr>
      <w:sz w:val="18"/>
    </w:rPr>
  </w:style>
  <w:style w:type="character" w:styleId="1186">
    <w:name w:val="footnote reference"/>
    <w:uiPriority w:val="99"/>
    <w:unhideWhenUsed/>
    <w:rPr>
      <w:vertAlign w:val="superscript"/>
    </w:rPr>
  </w:style>
  <w:style w:type="paragraph" w:styleId="1187">
    <w:name w:val="endnote text"/>
    <w:basedOn w:val="1021"/>
    <w:link w:val="1188"/>
    <w:uiPriority w:val="99"/>
    <w:semiHidden/>
    <w:unhideWhenUsed/>
    <w:pPr>
      <w:spacing w:after="0" w:line="240" w:lineRule="auto"/>
    </w:pPr>
    <w:rPr>
      <w:sz w:val="20"/>
    </w:rPr>
  </w:style>
  <w:style w:type="character" w:styleId="1188" w:customStyle="1">
    <w:name w:val="Текст концевой сноски Знак"/>
    <w:link w:val="1187"/>
    <w:uiPriority w:val="99"/>
    <w:rPr>
      <w:sz w:val="20"/>
    </w:rPr>
  </w:style>
  <w:style w:type="character" w:styleId="1189">
    <w:name w:val="endnote reference"/>
    <w:uiPriority w:val="99"/>
    <w:semiHidden/>
    <w:unhideWhenUsed/>
    <w:rPr>
      <w:vertAlign w:val="superscript"/>
    </w:rPr>
  </w:style>
  <w:style w:type="paragraph" w:styleId="1190">
    <w:name w:val="toc 1"/>
    <w:basedOn w:val="1021"/>
    <w:next w:val="1021"/>
    <w:uiPriority w:val="39"/>
    <w:unhideWhenUsed/>
    <w:pPr>
      <w:spacing w:after="57"/>
    </w:pPr>
  </w:style>
  <w:style w:type="paragraph" w:styleId="1191">
    <w:name w:val="toc 2"/>
    <w:basedOn w:val="1021"/>
    <w:next w:val="1021"/>
    <w:uiPriority w:val="39"/>
    <w:unhideWhenUsed/>
    <w:pPr>
      <w:ind w:left="283"/>
      <w:spacing w:after="57"/>
    </w:pPr>
  </w:style>
  <w:style w:type="paragraph" w:styleId="1192">
    <w:name w:val="toc 3"/>
    <w:basedOn w:val="1021"/>
    <w:next w:val="1021"/>
    <w:uiPriority w:val="39"/>
    <w:unhideWhenUsed/>
    <w:pPr>
      <w:ind w:left="567"/>
      <w:spacing w:after="57"/>
    </w:pPr>
  </w:style>
  <w:style w:type="paragraph" w:styleId="1193">
    <w:name w:val="toc 4"/>
    <w:basedOn w:val="1021"/>
    <w:next w:val="1021"/>
    <w:uiPriority w:val="39"/>
    <w:unhideWhenUsed/>
    <w:pPr>
      <w:ind w:left="850"/>
      <w:spacing w:after="57"/>
    </w:pPr>
  </w:style>
  <w:style w:type="paragraph" w:styleId="1194">
    <w:name w:val="toc 5"/>
    <w:basedOn w:val="1021"/>
    <w:next w:val="1021"/>
    <w:uiPriority w:val="39"/>
    <w:unhideWhenUsed/>
    <w:pPr>
      <w:ind w:left="1134"/>
      <w:spacing w:after="57"/>
    </w:pPr>
  </w:style>
  <w:style w:type="paragraph" w:styleId="1195">
    <w:name w:val="toc 6"/>
    <w:basedOn w:val="1021"/>
    <w:next w:val="1021"/>
    <w:uiPriority w:val="39"/>
    <w:unhideWhenUsed/>
    <w:pPr>
      <w:ind w:left="1417"/>
      <w:spacing w:after="57"/>
    </w:pPr>
  </w:style>
  <w:style w:type="paragraph" w:styleId="1196">
    <w:name w:val="toc 7"/>
    <w:basedOn w:val="1021"/>
    <w:next w:val="1021"/>
    <w:uiPriority w:val="39"/>
    <w:unhideWhenUsed/>
    <w:pPr>
      <w:ind w:left="1701"/>
      <w:spacing w:after="57"/>
    </w:pPr>
  </w:style>
  <w:style w:type="paragraph" w:styleId="1197">
    <w:name w:val="toc 8"/>
    <w:basedOn w:val="1021"/>
    <w:next w:val="1021"/>
    <w:uiPriority w:val="39"/>
    <w:unhideWhenUsed/>
    <w:pPr>
      <w:ind w:left="1984"/>
      <w:spacing w:after="57"/>
    </w:pPr>
  </w:style>
  <w:style w:type="paragraph" w:styleId="1198">
    <w:name w:val="toc 9"/>
    <w:basedOn w:val="1021"/>
    <w:next w:val="1021"/>
    <w:uiPriority w:val="39"/>
    <w:unhideWhenUsed/>
    <w:pPr>
      <w:ind w:left="2268"/>
      <w:spacing w:after="57"/>
    </w:pPr>
  </w:style>
  <w:style w:type="paragraph" w:styleId="1199">
    <w:name w:val="TOC Heading"/>
    <w:uiPriority w:val="39"/>
    <w:unhideWhenUsed/>
  </w:style>
  <w:style w:type="paragraph" w:styleId="1200">
    <w:name w:val="table of figures"/>
    <w:basedOn w:val="1021"/>
    <w:next w:val="1021"/>
    <w:uiPriority w:val="99"/>
    <w:unhideWhenUsed/>
    <w:pPr>
      <w:spacing w:after="0"/>
    </w:pPr>
  </w:style>
  <w:style w:type="paragraph" w:styleId="1201">
    <w:name w:val="No Spacing"/>
    <w:basedOn w:val="1021"/>
    <w:uiPriority w:val="1"/>
    <w:qFormat/>
    <w:pPr>
      <w:spacing w:after="0" w:line="240" w:lineRule="auto"/>
    </w:pPr>
  </w:style>
  <w:style w:type="paragraph" w:styleId="1202">
    <w:name w:val="List Paragraph"/>
    <w:basedOn w:val="1021"/>
    <w:uiPriority w:val="34"/>
    <w:qFormat/>
    <w:pPr>
      <w:contextualSpacing/>
      <w:ind w:left="720"/>
    </w:pPr>
  </w:style>
  <w:style w:type="paragraph" w:styleId="1203" w:customStyle="1">
    <w:name w:val="Основной текст1"/>
    <w:uiPriority w:val="99"/>
    <w:pPr>
      <w:jc w:val="both"/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1204" w:customStyle="1">
    <w:name w:val="Заголовок №2"/>
    <w:qFormat/>
    <w:pPr>
      <w:ind w:hanging="360"/>
      <w:jc w:val="both"/>
      <w:spacing w:after="0" w:line="370" w:lineRule="exact"/>
      <w:shd w:val="clear" w:color="auto" w:fill="ffffff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1"/>
    </w:pPr>
    <w:rPr>
      <w:rFonts w:ascii="Times New Roman" w:hAnsi="Times New Roman" w:eastAsia="Times New Roman" w:cs="Times New Roman"/>
      <w:b/>
      <w:bCs/>
      <w:sz w:val="26"/>
      <w:szCs w:val="26"/>
      <w:lang w:eastAsia="ru-RU"/>
    </w:rPr>
  </w:style>
  <w:style w:type="paragraph" w:styleId="1205" w:customStyle="1">
    <w:name w:val="Основной текст4"/>
    <w:qFormat/>
    <w:pPr>
      <w:ind w:hanging="440"/>
      <w:jc w:val="both"/>
      <w:spacing w:after="0" w:line="370" w:lineRule="exact"/>
      <w:shd w:val="clear" w:color="auto" w:fill="ffffff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sz w:val="26"/>
      <w:szCs w:val="26"/>
      <w:lang w:eastAsia="ru-RU"/>
    </w:rPr>
  </w:style>
  <w:style w:type="paragraph" w:styleId="1206" w:customStyle="1">
    <w:name w:val="Название поля/пункт меню"/>
    <w:qFormat/>
    <w:pPr>
      <w:jc w:val="both"/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Arial" w:hAnsi="Arial" w:eastAsia="Times New Roman" w:cs="Times New Roman"/>
      <w:i/>
      <w:sz w:val="20"/>
      <w:szCs w:val="20"/>
      <w:lang w:eastAsia="ru-RU"/>
    </w:rPr>
  </w:style>
  <w:style w:type="paragraph" w:styleId="1207" w:customStyle="1">
    <w:name w:val="Основной текст (3)"/>
    <w:qFormat/>
    <w:pPr>
      <w:ind w:hanging="720"/>
      <w:jc w:val="both"/>
      <w:spacing w:after="60" w:line="0" w:lineRule="atLeast"/>
      <w:shd w:val="clear" w:color="auto" w:fill="ffffff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b/>
      <w:bCs/>
      <w:sz w:val="26"/>
      <w:szCs w:val="26"/>
      <w:lang w:eastAsia="ru-RU"/>
    </w:rPr>
  </w:style>
  <w:style w:type="paragraph" w:styleId="1208" w:customStyle="1">
    <w:name w:val="Обычный (веб)1"/>
    <w:uiPriority w:val="99"/>
    <w:qFormat/>
    <w:pPr>
      <w:spacing w:before="100" w:beforeAutospacing="1" w:after="100" w:afterAutospacing="1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209" w:customStyle="1">
    <w:name w:val="Основной текст + 11 pt"/>
    <w:qFormat/>
    <w:rPr>
      <w:color w:val="000000"/>
      <w:spacing w:val="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styleId="1210" w:customStyle="1">
    <w:name w:val="Подпись к таблице (2)"/>
    <w:pPr>
      <w:spacing w:after="0" w:line="0" w:lineRule="atLeast"/>
      <w:shd w:val="clear" w:color="auto" w:fill="ffffff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sz w:val="26"/>
      <w:szCs w:val="26"/>
      <w:lang w:eastAsia="ru-RU"/>
    </w:rPr>
  </w:style>
  <w:style w:type="paragraph" w:styleId="1211" w:customStyle="1">
    <w:name w:val="Основной текст2"/>
    <w:uiPriority w:val="99"/>
    <w:pPr>
      <w:ind w:hanging="420"/>
      <w:jc w:val="center"/>
      <w:spacing w:before="4920" w:after="60" w:line="0" w:lineRule="atLeast"/>
      <w:shd w:val="clear" w:color="auto" w:fill="ffffff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color w:val="000000"/>
      <w:lang w:eastAsia="ru-RU" w:bidi="ru-RU"/>
    </w:rPr>
  </w:style>
  <w:style w:type="paragraph" w:styleId="1212">
    <w:name w:val="annotation text"/>
    <w:basedOn w:val="1021"/>
    <w:link w:val="1213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1213" w:customStyle="1">
    <w:name w:val="Текст примечания Знак"/>
    <w:basedOn w:val="1031"/>
    <w:link w:val="1212"/>
    <w:uiPriority w:val="99"/>
    <w:semiHidden/>
    <w:rPr>
      <w:sz w:val="20"/>
      <w:szCs w:val="20"/>
    </w:rPr>
  </w:style>
  <w:style w:type="character" w:styleId="1214">
    <w:name w:val="annotation reference"/>
    <w:basedOn w:val="1031"/>
    <w:uiPriority w:val="99"/>
    <w:semiHidden/>
    <w:unhideWhenUsed/>
    <w:rPr>
      <w:sz w:val="16"/>
      <w:szCs w:val="16"/>
    </w:rPr>
  </w:style>
  <w:style w:type="paragraph" w:styleId="1215">
    <w:name w:val="Balloon Text"/>
    <w:basedOn w:val="1021"/>
    <w:link w:val="121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1216" w:customStyle="1">
    <w:name w:val="Текст выноски Знак"/>
    <w:basedOn w:val="1031"/>
    <w:link w:val="1215"/>
    <w:uiPriority w:val="99"/>
    <w:semiHidden/>
    <w:rPr>
      <w:rFonts w:ascii="Segoe UI" w:hAnsi="Segoe UI" w:cs="Segoe UI"/>
      <w:sz w:val="18"/>
      <w:szCs w:val="18"/>
    </w:rPr>
  </w:style>
  <w:style w:type="paragraph" w:styleId="1217" w:customStyle="1">
    <w:name w:val="ИАЦ. Текст-таблица"/>
    <w:qFormat/>
    <w:pPr>
      <w:contextualSpacing w:val="0"/>
      <w:ind w:left="0" w:right="0" w:firstLine="0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Arial Unicode MS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6"/>
      <w:szCs w:val="20"/>
      <w:highlight w:val="none"/>
      <w:u w:val="none"/>
      <w:vertAlign w:val="baseline"/>
      <w:rtl w:val="0"/>
      <w:cs w:val="0"/>
      <w:lang w:val="en-US" w:eastAsia="en-US" w:bidi="ar-SA"/>
      <w14:ligatures w14:val="none"/>
    </w:rPr>
  </w:style>
  <w:style w:type="paragraph" w:styleId="1218" w:customStyle="1">
    <w:name w:val="Основной текст (2)"/>
    <w:pPr>
      <w:contextualSpacing w:val="0"/>
      <w:ind w:left="0" w:right="0" w:hanging="700"/>
      <w:jc w:val="left"/>
      <w:keepLines w:val="0"/>
      <w:keepNext w:val="0"/>
      <w:pageBreakBefore w:val="0"/>
      <w:spacing w:before="0" w:beforeAutospacing="0" w:after="0" w:afterAutospacing="0" w:line="320" w:lineRule="exact"/>
      <w:shd w:val="clear" w:color="auto" w:fill="ffffff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6"/>
      <w:szCs w:val="26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219" w:customStyle="1">
    <w:name w:val="ЗАГОЛОВОК (титульная)"/>
    <w:basedOn w:val="1220"/>
    <w:pPr>
      <w:contextualSpacing w:val="0"/>
      <w:ind w:left="0" w:right="0" w:firstLine="0"/>
      <w:jc w:val="center"/>
      <w:keepLines w:val="0"/>
      <w:keepNext w:val="0"/>
      <w:pageBreakBefore w:val="0"/>
      <w:spacing w:before="0" w:beforeAutospacing="0" w:after="0" w:afterAutospacing="0" w:line="36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0"/>
      <w:suppressLineNumbers w:val="0"/>
    </w:pPr>
    <w:rPr>
      <w:rFonts w:ascii="Times New Roman" w:hAnsi="Times New Roman" w:cs="Times New Roman" w:eastAsiaTheme="majorEastAsia"/>
      <w:b/>
      <w:bCs/>
      <w:i w:val="0"/>
      <w:iCs w:val="0"/>
      <w:caps/>
      <w:smallCaps w:val="0"/>
      <w:strike w:val="0"/>
      <w:vanish w:val="0"/>
      <w:color w:val="auto"/>
      <w:spacing w:val="0"/>
      <w:position w:val="0"/>
      <w:sz w:val="28"/>
      <w:szCs w:val="28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220" w:customStyle="1">
    <w:name w:val="Обычный1"/>
    <w:pPr>
      <w:contextualSpacing w:val="0"/>
      <w:ind w:left="0" w:right="0" w:firstLine="851"/>
      <w:jc w:val="both"/>
      <w:keepLines w:val="0"/>
      <w:keepNext w:val="0"/>
      <w:pageBreakBefore w:val="0"/>
      <w:spacing w:before="0" w:beforeAutospacing="0" w:after="0" w:afterAutospacing="0" w:line="36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cs="Times New Roman" w:eastAsiaTheme="majorEastAsia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221" w:customStyle="1">
    <w:name w:val="Normal (Web)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222" w:customStyle="1">
    <w:name w:val="ConsPlusNormal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eastAsia="Times New Roman" w:cs="Calibri" w:asciiTheme="minorHAnsi" w:hAnsiTheme="minorHAns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zh-CN" w:bidi="ar-SA"/>
      <w14:ligatures w14:val="none"/>
    </w:rPr>
  </w:style>
  <w:style w:type="paragraph" w:styleId="1223" w:customStyle="1">
    <w:name w:val="ConsPlusNonformat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ourier New" w:hAnsi="Courier New" w:eastAsia="Times New Roman" w:cs="Courier New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zh-CN" w:bidi="ar-SA"/>
      <w14:ligatures w14:val="none"/>
    </w:rPr>
  </w:style>
  <w:style w:type="paragraph" w:styleId="1224" w:customStyle="1">
    <w:name w:val="_ОснТекст"/>
    <w:pPr>
      <w:contextualSpacing w:val="0"/>
      <w:ind w:left="0" w:right="0" w:firstLine="567"/>
      <w:jc w:val="both"/>
      <w:keepLines w:val="0"/>
      <w:keepNext w:val="0"/>
      <w:pageBreakBefore w:val="0"/>
      <w:spacing w:before="0" w:beforeAutospacing="0" w:after="0" w:afterAutospacing="0" w:line="36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225" w:customStyle="1">
    <w:name w:val="ТАБ-заг."/>
    <w:link w:val="1222"/>
    <w:qFormat/>
    <w:pPr>
      <w:contextualSpacing w:val="0"/>
      <w:ind w:left="0" w:right="0" w:firstLine="0"/>
      <w:jc w:val="center"/>
      <w:keepLines w:val="0"/>
      <w:keepNext/>
      <w:pageBreakBefore w:val="0"/>
      <w:spacing w:before="60" w:beforeAutospacing="0" w:after="6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Calibri"/>
      <w:b/>
      <w:bCs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paragraph" w:styleId="1226" w:customStyle="1">
    <w:name w:val="ТАБ-текст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Calibr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18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paragraph" w:styleId="1227" w:customStyle="1">
    <w:name w:val="Normal1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1228" w:customStyle="1">
    <w:name w:val="Strong"/>
    <w:qFormat/>
    <w:rPr>
      <w:b/>
      <w:bCs/>
    </w:rPr>
  </w:style>
  <w:style w:type="paragraph" w:styleId="1229" w:customStyle="1">
    <w:name w:val="Body Text"/>
    <w:basedOn w:val="1120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14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empora LGC Uni" w:hAnsi="Tempora LGC Uni" w:eastAsia="Tahoma" w:cs="Lohit Devanagar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zh-CN" w:bidi="hi-IN"/>
      <w14:ligatures w14:val="none"/>
    </w:rPr>
  </w:style>
  <w:style w:type="paragraph" w:styleId="1230" w:customStyle="1">
    <w:name w:val="Второй уровень"/>
    <w:basedOn w:val="1076"/>
    <w:qFormat/>
    <w:pPr>
      <w:numPr>
        <w:ilvl w:val="0"/>
        <w:numId w:val="0"/>
      </w:numPr>
      <w:contextualSpacing/>
      <w:ind w:left="0" w:right="0" w:firstLine="709"/>
      <w:jc w:val="both"/>
      <w:keepLines w:val="0"/>
      <w:keepNext w:val="0"/>
      <w:pageBreakBefore w:val="0"/>
      <w:spacing w:before="6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ahoma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en-US" w:eastAsia="en-US" w:bidi="ar-SA"/>
      <w14:ligatures w14:val="none"/>
    </w:rPr>
  </w:style>
  <w:style w:type="character" w:styleId="1231" w:customStyle="1">
    <w:name w:val="Emphasis"/>
    <w:uiPriority w:val="20"/>
    <w:qFormat/>
    <w:rPr>
      <w:i/>
      <w:iCs/>
    </w:rPr>
  </w:style>
  <w:style w:type="character" w:styleId="1232" w:customStyle="1">
    <w:name w:val="Номер в таблице_character"/>
    <w:rPr>
      <w:lang w:val="ru-RU"/>
    </w:rPr>
  </w:style>
  <w:style w:type="paragraph" w:styleId="1233" w:customStyle="1">
    <w:name w:val="Списки в таблице"/>
    <w:qFormat/>
    <w:pPr>
      <w:numPr>
        <w:ilvl w:val="0"/>
        <w:numId w:val="0"/>
      </w:numPr>
      <w:contextualSpacing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8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234" w:customStyle="1">
    <w:name w:val="Содержимое таблицы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/>
    </w:pPr>
    <w:rPr>
      <w:rFonts w:ascii="Liberation Serif" w:hAnsi="Liberation Serif" w:eastAsia="Tahoma" w:cs="Lohit Devanagar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zh-CN" w:bidi="hi-IN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Земцова Наталья Николаевна</dc:creator>
  <cp:lastModifiedBy>a.ryabikin</cp:lastModifiedBy>
  <cp:revision>65</cp:revision>
  <dcterms:created xsi:type="dcterms:W3CDTF">2026-05-06T07:14:00Z</dcterms:created>
  <dcterms:modified xsi:type="dcterms:W3CDTF">2026-09-30T06:12:19Z</dcterms:modified>
</cp:coreProperties>
</file>