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Техническое задание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выполнение работ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развитию программного обеспечения </w:t>
        <w:br/>
        <w:t xml:space="preserve">на базе 1С:ERP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04"/>
        <w:numPr>
          <w:ilvl w:val="0"/>
          <w:numId w:val="52"/>
        </w:numPr>
        <w:ind w:firstLine="709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Общие сведения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Сведения о Заказчике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5"/>
        <w:ind w:firstLine="709"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Заказчик – АО «Газпром диагностика» (далее – Общество).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Сроки проведения работ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5"/>
        <w:ind w:firstLine="709"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 даты заключения договора по 30.12.2026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Место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проведения работ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5"/>
        <w:ind w:firstLine="709"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Местом оказания услуг является офис Заказчика по адресу: Российская Федерация,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br/>
        <w:t xml:space="preserve">г. Санкт-Петербург, улица Гренадерская, дом 7 литера А</w:t>
      </w:r>
      <w:r>
        <w:rPr>
          <w:rStyle w:val="1186"/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footnoteReference w:id="2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1204"/>
        <w:numPr>
          <w:ilvl w:val="0"/>
          <w:numId w:val="52"/>
        </w:numPr>
        <w:ind w:firstLine="709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Цель, результаты проводимых работ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Цель: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развитие программного обеспечения на базе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1С:ERP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в соответствии с настоящим Техническим заданием (далее – ТЗ)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, принятое Заказчиком модернизированное программное обеспечение в комплекте с соответствующей документацией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Характеристика объекта работ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Объектом выполнения работ по данному ТЗ является информационная система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1С:ERP на платформе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1С: Предприятие 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 в составе следующих программных и функциональных компонентов (далее – Система):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10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бухгалтерский учет;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9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роизводственная программа;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103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управление холдингом/предприятием;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9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управление закупками/торговлей (приобретение товаров и услуг);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104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казначейство (бюджетирование, управленческий учет и т.д.);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9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диспетчерский учет;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9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интеграционные компоненты системы и взаимосвязанных систем в рамках двухсторонних взаимодействий.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Результаты: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Модернизированное программное обеспечение Системы в соответствии с Частными техническими заданиями (далее – ЧТЗ) согласно настоящему ТЗ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 рамках выполнения работ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Исполнитель обязуется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1202"/>
        <w:numPr>
          <w:ilvl w:val="0"/>
          <w:numId w:val="41"/>
        </w:num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Выполнить работы по реализации функциональности Системы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, представленной </w:t>
        <w:br/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Частных технических заданиях согласно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настоящему Техническому заданию,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 соответствии </w:t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с Составом, сроками и содержанием работ, указанным в Таблице 1;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1202"/>
        <w:numPr>
          <w:ilvl w:val="0"/>
          <w:numId w:val="41"/>
        </w:num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Разработать комплект документации на реализованную функциональность </w:t>
        <w:br/>
        <w:t xml:space="preserve">в соответствии с Таблицей 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и предоставить его Заказчику в печатной (в одном экземпляре) </w:t>
        <w:br/>
        <w:t xml:space="preserve">и электронной формах.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shd w:val="nil" w:color="auto"/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  <w:sectPr>
          <w:footnotePr/>
          <w:endnotePr/>
          <w:type w:val="nextPage"/>
          <w:pgSz w:w="11906" w:h="16838" w:orient="portrait"/>
          <w:pgMar w:top="1134" w:right="1129" w:bottom="1134" w:left="1134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</w:p>
    <w:p>
      <w:pPr>
        <w:pStyle w:val="1203"/>
        <w:ind w:left="0" w:firstLine="0"/>
        <w:jc w:val="right"/>
        <w:spacing w:before="0" w:after="0" w:afterAutospacing="0" w:line="283" w:lineRule="exact"/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Cs w:val="24"/>
          <w:highlight w:val="none"/>
        </w:rPr>
        <w:t xml:space="preserve">Таблица 1. Состав, сроки и содержание работ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</w:p>
    <w:tbl>
      <w:tblPr>
        <w:tblW w:w="5012" w:type="pct"/>
        <w:tblInd w:w="-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825"/>
        <w:gridCol w:w="3009"/>
        <w:gridCol w:w="3118"/>
        <w:gridCol w:w="4110"/>
        <w:gridCol w:w="3543"/>
      </w:tblGrid>
      <w:tr>
        <w:tblPrEx/>
        <w:trPr>
          <w:cantSplit/>
          <w:trHeight w:val="227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Наименование фазы (этапа)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Срок выполнения работ по этапу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Работы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Наименование отчетных документов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>
          <w:cantSplit/>
          <w:trHeight w:val="227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Align w:val="center"/>
            <w:textDirection w:val="lrTb"/>
            <w:noWrap w:val="false"/>
          </w:tcPr>
          <w:p>
            <w:pPr>
              <w:contextualSpacing/>
              <w:ind w:left="-108" w:right="-116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vAlign w:val="center"/>
            <w:textDirection w:val="lrTb"/>
            <w:noWrap/>
          </w:tcPr>
          <w:p>
            <w:pPr>
              <w:contextualSpacing/>
              <w:ind w:right="-93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contextualSpacing/>
              <w:ind w:right="-93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contextualSpacing/>
              <w:ind w:right="-93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contextualSpacing/>
              <w:ind w:right="-93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1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79"/>
              </w:numPr>
              <w:ind w:left="0" w:right="0" w:firstLine="0"/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textDirection w:val="lrTb"/>
            <w:noWrap w:val="false"/>
          </w:tcPr>
          <w:p>
            <w:pPr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Проектирование создаваемых/обновляемых компонентов Системы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течение 5 рабочих дней с даты заключения Договора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но не позднее 30.12.2026.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77"/>
              </w:numPr>
              <w:ind w:left="0" w:right="0" w:firstLine="0"/>
              <w:spacing w:line="240" w:lineRule="auto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Проведение работ по уточнению функциональных требований</w:t>
            </w:r>
            <w:r>
              <w:rPr>
                <w:rStyle w:val="1186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;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1233"/>
              <w:numPr>
                <w:ilvl w:val="0"/>
                <w:numId w:val="77"/>
              </w:numPr>
              <w:ind w:left="0" w:right="0" w:firstLine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Разработка проектной документации.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78"/>
              </w:numPr>
              <w:ind w:left="0" w:right="0" w:firstLine="0"/>
              <w:spacing w:line="240" w:lineRule="auto"/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  <w:t xml:space="preserve">Уточненные ЧТЗ с описанием проектных решений (перечень изменений, вносимых в Систему).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79"/>
              </w:numPr>
              <w:ind w:left="0" w:right="0" w:firstLine="0"/>
              <w:jc w:val="left"/>
              <w:spacing w:line="240" w:lineRule="auto"/>
              <w:shd w:val="nil" w:color="000000"/>
              <w:tabs>
                <w:tab w:val="left" w:pos="850" w:leader="none"/>
              </w:tabs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textDirection w:val="lrTb"/>
            <w:noWrap w:val="false"/>
          </w:tcPr>
          <w:p>
            <w:pPr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азработка функциональности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течение 15 рабочих дней с даты окончания Этапа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но не позднее 30.12.2026.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80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Разработка программных средств Системы;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0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Размещение на тестовом контуре.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82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Описание настроек и разработок;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2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Руководство пользователя.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17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79"/>
              </w:numPr>
              <w:ind w:left="0" w:right="0" w:firstLine="0"/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textDirection w:val="lrTb"/>
            <w:noWrap w:val="false"/>
          </w:tcPr>
          <w:p>
            <w:pPr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Проведение опытной эксплуатации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течение 15 рабочих дней с даты окончания Этапа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но не позднее 30.12.2026.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81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Сбор предложений по внесению изменений от основного функционального заказчика;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1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Проведение корректировки разработанной функциональности;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1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Обучение системных администраторов.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83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Журнал изменений опытной эксплуатации;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3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Руководство системного администратор</w:t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а.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2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Merge w:val="restart"/>
            <w:textDirection w:val="lrTb"/>
            <w:noWrap w:val="false"/>
          </w:tcPr>
          <w:p>
            <w:pPr>
              <w:pStyle w:val="1202"/>
              <w:numPr>
                <w:ilvl w:val="0"/>
                <w:numId w:val="79"/>
              </w:numPr>
              <w:ind w:left="0" w:right="0" w:firstLine="0"/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  <w:t xml:space="preserve">Ввод в действие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течение 9 рабочих дней с даты окончания Этапа 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но не позднее 30.12.2026.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Merge w:val="restart"/>
            <w:textDirection w:val="lrTb"/>
            <w:noWrap w:val="false"/>
          </w:tcPr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Сбор предложений по внесению изменений от смежных с функциональным заказчиком подразделений;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Проведение корректировки разработанной функциональности;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Подготовка испытаний;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Проведение приемочных испытаний;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Подготовка документации;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  <w:t xml:space="preserve">Обучение пользователей.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left="0" w:right="0" w:firstLine="0"/>
              <w:jc w:val="left"/>
              <w:spacing w:after="0" w:afterAutospacing="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Merge w:val="restart"/>
            <w:textDirection w:val="lrTb"/>
            <w:noWrap w:val="false"/>
          </w:tcPr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Журнал изменений фазы «Ввод в действие»;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Актуализированное о</w:t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писание настроек и разработок;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Актуализированное руководство пользователя;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Актуализированное руководство системного администратора;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Исходный текст (код) </w:t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и дистрибутив программы </w:t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на CD/DVD;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Программа и методика приемо-сдаточных испытаний;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Протокол приемо-сдаточных испытаний.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  <w:t xml:space="preserve">Видео-запись обучающей сессии (или иные материалы, подготовленные с участием Исполнителя, подтверждающее проведение работ);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  <w:t xml:space="preserve">Отчет о проделанной работе.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</w:tbl>
    <w:p>
      <w:pPr>
        <w:jc w:val="both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ectPr>
          <w:footnotePr/>
          <w:endnotePr/>
          <w:type w:val="nextPage"/>
          <w:pgSz w:w="16838" w:h="11906" w:orient="landscape"/>
          <w:pgMar w:top="1134" w:right="1134" w:bottom="1129" w:left="1134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Все работы выполняются с учетом уже существующих проектных решений и требований к безопасности и преемственности Системы.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Требования к интеграционным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компонентам системы и взаимосвязанных систем предъявляются в рамках частных технических заданий по направлениям.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1204"/>
        <w:ind w:left="709" w:right="0" w:firstLine="0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sz w:val="24"/>
          <w:szCs w:val="24"/>
        </w:rPr>
        <w:t xml:space="preserve">3.</w:t>
        <w:tab/>
        <w:t xml:space="preserve">Требования к Исполнител</w:t>
      </w:r>
      <w:r>
        <w:rPr>
          <w:sz w:val="24"/>
          <w:szCs w:val="24"/>
        </w:rPr>
        <w:t xml:space="preserve">ю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По настоящему ТЗ Исполнитель должен обладать следующими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опытом: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2"/>
        <w:numPr>
          <w:ilvl w:val="0"/>
          <w:numId w:val="148"/>
        </w:numPr>
        <w:ind w:left="0" w:right="0" w:firstLine="709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Сертификат, удостоверяющий Исполнителя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 в статусе официального партнера Фирмы «1С»;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2"/>
        <w:numPr>
          <w:ilvl w:val="0"/>
          <w:numId w:val="148"/>
        </w:numPr>
        <w:ind w:left="0" w:right="0" w:firstLine="709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Сертификат Системы менеджмента качества ГОСТ Р ИСО 9001-2015 (ISO 9001:2015) (при наличии)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ind w:left="0" w:right="0" w:firstLine="708"/>
        <w:jc w:val="both"/>
        <w:spacing w:after="0" w:afterAutospacing="0" w:line="240" w:lineRule="auto"/>
        <w:shd w:val="nil" w:color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По настоящему ТЗ Исполнитель должен привлечь достаточное для выполнения работ количество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согласован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ных с Заказчиком квалифицированных специалистов Исполнителя на весь срок действия договора по настоящему ТЗ.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Допускается наличие у одного специалиста нескольких сертификатов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. Перечень необходимых сертификатов: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С:Профессионал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 ERP Управление предприятием ред. 2.5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1С:Профессионал Управление торговлей 8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1С:Профессионал Платформа 8.2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С:Профессионал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Платформа 8.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1С:Профессионал ЗУП 8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1С:Профессионал Документооборот 8, ред. 3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1С:Эксперт по технологическим вопросам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С:Специалист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-консультант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по внедрению подсистем управленческого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учета в 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1С:ERP Управление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предприятием 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С:Специалист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-консультант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по внедрению подсистем регламентированного учета в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1С:ERP Управление предприятием 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1C:Специалист-консультант по внедрению подсистемы «Бюджетирование» в «1С: ERP Управление предприятием»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1С:Бухгалтерия 8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1С:Руководитель корпоративных проектов в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оказания комплексных услуг по построению системы управления предприятием на базе программ «1С:Предприятие 8».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ЧАСТНЫЕ ТЕХНИЧЕСКИЕ ЗАДАНИЯ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04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ЧАСТНОЕ ТЕХНИЧЕСКОЕ ЗАДАНИЕ НА АВТОМАТИЗАЦИЮ ПО НАПРАВЛЕНИЮ ПРОИЗВОДСТВЕННАЯ ПРОГРАММА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firstLine="708"/>
        <w:jc w:val="left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  <w:t xml:space="preserve">ЦЕЛЬ РАБОТ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21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Создание функционала обусловлено необходимостью оптимизации нагрузки на работников Администрации АО «Газпром диагностика» и инженерно-технические центры (далее – ИТЦ) при работах: </w:t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221"/>
        <w:numPr>
          <w:ilvl w:val="0"/>
          <w:numId w:val="13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по техническому диагностированию и экспертизе промышленной безопасности объектов дочерних обществ ПАО «Газпром»;</w:t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221"/>
        <w:numPr>
          <w:ilvl w:val="0"/>
          <w:numId w:val="13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по договорам на о</w:t>
      </w: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казание услуг по строительному контролю Заказчика </w:t>
        <w:br/>
        <w:t xml:space="preserve">за подводно-техническими работами при ремонте подводных переходов;</w:t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221"/>
        <w:numPr>
          <w:ilvl w:val="0"/>
          <w:numId w:val="13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и др. видам.</w:t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221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022"/>
        <w:ind w:right="0" w:firstLine="708"/>
        <w:jc w:val="both"/>
        <w:pageBreakBefore w:val="0"/>
        <w:spacing w:before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БИЗНЕС-ТРЕБОВАНИЕ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022"/>
        <w:ind w:left="0" w:right="0" w:firstLine="708"/>
        <w:jc w:val="both"/>
        <w:pageBreakBefore w:val="0"/>
        <w:spacing w:before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Механизм должен осуществлять автоматическое формирование и ежедневное обновление прое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кта плана камерального этапа работ;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Механизм должен предоставлять возможность установки фильтров: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708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Обязательные: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год планирования;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вид производственной программы;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Исполнитель организация.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8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Дополнительные фильтры для отбора: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ИТЦ/участок (предусмотреть выбор «Включая участки»);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Производственное подразделение;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Принципал;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Подразделение принципала;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Вид работ;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Экспертная организация;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Договор (возможен выбор нескольких Договоров по одной экспертной организации, путем проставления соответствующих галочек).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Период выполнения камерального этапа работ (с хх.хх.хххх по хх.хх.хххх).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На основании плана камерального этапа работ Система должна формировать заявку на выпуск заключения экспертизы промышленной безопасности (далее – ЗЭПБ).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Механизм должен автоматически получать данные о выезде экспертной организации, фактах завершения полевого этапа работ, а также автоматически осуществлять корректировку плановой сдачи отчетной документации в зависимости от окончания полевого этапа работ.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Все ручные корректировки должны фиксироваться в системе (кто, когда, какое изменение внесено).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Механизм должен формировать уведомления для информирования пользователей о назначении новых задач, изменениях в плане и нарушениях сроков. 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Процесс формирования и актуализации плана должен выполняться </w:t>
        <w:br/>
        <w:t xml:space="preserve">в автоматическом режиме.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708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Алгоритм формирования плана камерального этапа работ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Источники данных для формирования плана: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информация об объекте (из Производственной программы);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плановые даты начала и окончания полевого этапа работ из оперативного плана полевого этапа выполнения работ,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плановые даты предоставления Принципалу оформленных технических отчетов (далее – ТО) и ЗЭПБ (из календарного плана-графика (далее – КПГ);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фактические даты окончания полевого этапа работ (из документов «выполнения полевых работ»);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плановое количество технических отчетов и заключений экспертизы промышленной безопасности (из производственной программы);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данные о специализации в т.ч. приоритетной специализации (из Справочника специалистов), текущей загрузке и текущем статусе (командировка, отпуск и т.д.)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Формирование перечня объектов.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Создать в блоке «Камеральный этап диагностических работ» создать сервис «План камеральных работ».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Для работы с сервисом предусмотреть закладки: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«План камеральных работ» (состав будет определен дополнительно);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«Заявка на выпуск ЗЭПБ»;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«Акт приема-передачи ТО»;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«Акт приема-передачи ЗЭПБ»;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«Загрузчики».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Наполнение объектами вкладки «План камеральных работ» происходит автоматически после загрузки в систему утвержденных КПГ.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Формируется перечень объектов и плановые сроки предоставления ТО и ЗЭПБ.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На вкладке «План камеральных работ» предусмотреть возможность установки фильтров для отбора.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Обязательные: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год планирования;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вид производственной программы;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Исполнитель организация.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Дополнительные фильтры для отбора: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ИТЦ/участок (предусмотреть выбор «Включая участки»);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Производственное подразделение;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Принципал;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Подразделение принципала;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Вид работ;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x/y/z;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–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Экспертная организация;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Договор (возможен выбор нескольких Договоров по одной экспертной организации, путем проставления соответствующих галочек).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Период выполнения камеральных работ (с хх.хх.хххх по хх.хх.хххх);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При нажатии кнопки «Сформировать», формируется перечень объектов по заданным параметрам;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На вкладке «План камеральных работ» «Действие по отмеченным позициям», которая вызывает выпадающий список действий: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- «Формирование заявки на выпуск ЗЭПБ» -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По отмеченному перечню объектов формирует заявку на выпуск ЗЭПБ по выбранному алгоритму (раздел 10);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«Формирование Акта приема-передачи ТО» - в случае если итогом работ является ТО.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«Формирование Акта приема-передачи ЗЭПБ» - в случае если итогом работ является ЗЭПБ.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На вкладке «Загрузчики» предусмотреть кнопки вызова загрузчиков: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Загрузчи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к «Актов проведения осмотра объекта экспертизы».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Открывается поле в которое помещается 2 (два) файла: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один в формате табличного редактора (единая форма закрепленная до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говором подряда), второй в формате *.pdf. Загрузчик распознает x/y/z и дату осмотра. При нажатии кнопки «Загрузить», система подтягивает по распознанным x/y/z, дату осмотра и файл *.pdf в столбцы 18 и 19 соответственно в закладке «План камеральных работ».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Загрузчи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к «Передача ТО в экспертную организацию».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Открывается документ в котором окно для ввода даты и № письма, и поле в которое помещается 2 (два) файла: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один в формате табличного редактора (Реестр ТО), второй в ф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ормате *.pdf. Загрузчик распознает x/y/z. При нажатии кнопки «Загрузить», система подтягивает по распознанным x/y/z и файл *.pdf в столбцы 29 - № письма, 30 — дату письма, 31 — сканированный образ письма соответственно в закладке «План камеральных работ».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 Загрузчик «Замечания от ДЭО».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Открывается документ в котором окно для ввода даты и поле в которое помещается 2 (два) файла: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один в формате табличного редактора (Рее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стр замечаний от дочернего эксплуатирующего о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бщества (далее – ДЭО), второй в формате *.pdf. Загрузчик распознает x/y/z. При нажатии кнопки «Загрузить», система подтягивает по распознанным x/y/z и файл *.pdf в столбцы 38 —статус (при отсутствии замечаний и загруженном , 39 — дата получения замечаний.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021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Загрузчи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к «Акты приема-передачи ОД».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Открывается документ в котором окно для ввода даты акта, и поле в которое помещается 2 (два) файла: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один в формате табличного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редактора (Акт приема-передачи отчетных документов (далее – ОД), второй в формате *.pdf. Загрузчик распознает x/y/z. При нажатии кнопки «Загрузить», система подтягивает по распознанным x/y/z и файл *.pdf в столбцы 40 — Акт в формате *.pdf, 41 — дату Акта.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Описание вкладки «План камеральных работ» приведено в Таблице 2.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  <w:sectPr>
          <w:footnotePr/>
          <w:endnotePr/>
          <w:type w:val="nextPage"/>
          <w:pgSz w:w="11906" w:h="16838" w:orient="portrait"/>
          <w:pgMar w:top="1134" w:right="1129" w:bottom="1134" w:left="1134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r>
    </w:p>
    <w:p>
      <w:pPr>
        <w:pStyle w:val="1229"/>
        <w:ind w:left="0" w:right="0" w:firstLine="0"/>
        <w:jc w:val="righ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Таблица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 2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W w:w="14575" w:type="dxa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651"/>
        <w:gridCol w:w="1099"/>
        <w:gridCol w:w="563"/>
        <w:gridCol w:w="848"/>
        <w:gridCol w:w="627"/>
        <w:gridCol w:w="1425"/>
        <w:gridCol w:w="1249"/>
        <w:gridCol w:w="850"/>
        <w:gridCol w:w="1074"/>
        <w:gridCol w:w="1752"/>
        <w:gridCol w:w="1023"/>
        <w:gridCol w:w="851"/>
        <w:gridCol w:w="850"/>
        <w:gridCol w:w="962"/>
        <w:gridCol w:w="75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51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Действие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9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Индикатор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объекта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48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x/y/z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Информация по объекту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74" w:type="dxa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Статус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полевого этапа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52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Исполнитель камеральных работ в ИТЦ (ФИО)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Количество отчетной документации (план)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2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Срок сдачи отчетной документации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по КПГ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hi-IN"/>
              </w:rPr>
              <w:t xml:space="preserve">=&gt;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51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9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48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2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ДЭО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Подразделение принципала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Наименование объекта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jc w:val="center"/>
              <w:tabs>
                <w:tab w:val="left" w:pos="675" w:leader="none"/>
                <w:tab w:val="clear" w:pos="7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Вид работ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74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52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ТО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ЗЭПБ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ТО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ЗЭПБ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6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2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52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6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˅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2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5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6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□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2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5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</w:tbl>
    <w:p>
      <w:pPr>
        <w:pStyle w:val="1229"/>
        <w:ind w:left="0" w:right="0" w:firstLine="0"/>
        <w:jc w:val="righ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tbl>
      <w:tblPr>
        <w:tblW w:w="14575" w:type="dxa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1575"/>
        <w:gridCol w:w="1025"/>
        <w:gridCol w:w="963"/>
        <w:gridCol w:w="1137"/>
        <w:gridCol w:w="1074"/>
        <w:gridCol w:w="1251"/>
        <w:gridCol w:w="1737"/>
        <w:gridCol w:w="1157"/>
        <w:gridCol w:w="1641"/>
        <w:gridCol w:w="964"/>
        <w:gridCol w:w="1189"/>
        <w:gridCol w:w="861"/>
      </w:tblGrid>
      <w:tr>
        <w:tblPrEx/>
        <w:trPr>
          <w:trHeight w:val="10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75" w:type="dxa"/>
            <w:vMerge w:val="restart"/>
            <w:textDirection w:val="lrTb"/>
            <w:noWrap w:val="false"/>
          </w:tcPr>
          <w:p>
            <w:pPr>
              <w:pStyle w:val="1234"/>
              <w:ind w:left="57" w:right="0" w:firstLine="0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Экспертная организация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Заявка на выезд Экспертной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11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Отметка об осмотре объекта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51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Первичная отчетная документация (ПОД)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9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Проверка ПОД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9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Технический отчет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hi-IN"/>
              </w:rPr>
              <w:t xml:space="preserve">=&gt;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75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осмотра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акт осмотра (файл *.pdf)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51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37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Статус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(Комплект полный / комплект не полный)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5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установки статуса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41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Статус готовности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57" w:right="0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(в работе/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57" w:right="0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завершен)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установки статуса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89" w:type="dxa"/>
            <w:textDirection w:val="lrTb"/>
            <w:noWrap w:val="false"/>
          </w:tcPr>
          <w:p>
            <w:pPr>
              <w:pStyle w:val="1021"/>
              <w:ind w:left="0" w:right="-57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  <w:t xml:space="preserve">Файл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-57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  <w:t xml:space="preserve">(*.pdf / *.doc)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-57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57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3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5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4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8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57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3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5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4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8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</w:tbl>
    <w:p>
      <w:pPr>
        <w:pStyle w:val="1229"/>
        <w:ind w:left="0" w:right="0" w:firstLine="0"/>
        <w:jc w:val="center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tbl>
      <w:tblPr>
        <w:tblW w:w="5000" w:type="pct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336"/>
        <w:gridCol w:w="510"/>
        <w:gridCol w:w="1014"/>
        <w:gridCol w:w="559"/>
        <w:gridCol w:w="575"/>
        <w:gridCol w:w="565"/>
        <w:gridCol w:w="1002"/>
        <w:gridCol w:w="896"/>
        <w:gridCol w:w="834"/>
        <w:gridCol w:w="680"/>
        <w:gridCol w:w="991"/>
        <w:gridCol w:w="1579"/>
        <w:gridCol w:w="1019"/>
        <w:gridCol w:w="960"/>
        <w:gridCol w:w="720"/>
        <w:gridCol w:w="1021"/>
        <w:gridCol w:w="1309"/>
      </w:tblGrid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60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Заявка на выпуск заключения экспертизы промышленной 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Передача ТО в экспертную организацию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Заключение экспертизы промышленной 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71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Передача ТО и/или ЗЭПБ в ДЭО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8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Замечания от ДЭО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41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  <w:t xml:space="preserve">Акт приема-передачи ОД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  <w:t xml:space="preserve">Назначенный срок безопасной эксплуатации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336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ссылка на документ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письма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7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Файл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*.pdf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02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Статус готовности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(в работе/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завершен)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96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установки статуса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34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Файл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(*.pdf / *.doc)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8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письма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Статус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(отсутствуют/ получены/ устранены)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установки статуса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0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Перечень замечаний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Файл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*.pdf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1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загрузки документа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vMerge w:val="continue"/>
            <w:textDirection w:val="lrTb"/>
            <w:noWrap w:val="false"/>
          </w:tcPr>
          <w:p>
            <w:pPr>
              <w:pStyle w:val="1234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336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7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02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96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3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8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39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40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41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42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336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7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0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96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3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8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1. Установка флажка для выбора объекта;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2. Индикатор объекта устанавливается для идентификации нарушений сроков подготовки отчетной документации.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Красный индикатор устанавливается если срок предоставления ОД по утвержденному КПГ: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а) Итог работ - технический отчет 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- срок предоставления ОД по утвержденному КПГ менее 30 календарных дней. (Дата предоставления ТО утв. КПГ — дата завершения работ факт. &lt; 30 календарных дней).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- индикатор устанавливается когда расчетный срок предоставления ТО получается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меньше даты завершения полевых работ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. (Дата утвержденного КПГ - 30 календарных дней &lt; даты завершения полевого этапа).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При этом срок предоставления ТО остается равный сроку утвержденного КПГ.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б) Итог работ - заключение экспертизы промышленной безопасности: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- срок предоставления ОД по утвержденному КПГ менее 52 календарных дней. (Дата предоставления ЗЭПБ утв. КПГ— дата завершения работ утв. КПГ&lt; 52 календарных дней).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индикатор устанавливается когда расчетный срок предоставления ЗЭПБ превышает срок установленный КПГ. (дата завершения работ факт. + 52 календарных дня &gt; даты утв. КПГ).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3. Номер строки по порядку;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4. x/y/z по объекту;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5.-8. Информация по объекту из пообъектного плана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ДЭО;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Подразделение принципала;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Наименование объекта;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sectPr>
          <w:footnotePr/>
          <w:endnotePr/>
          <w:type w:val="nextPage"/>
          <w:pgSz w:w="16838" w:h="11906" w:orient="landscape"/>
          <w:pgMar w:top="1134" w:right="1134" w:bottom="1134" w:left="1134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Вид работ;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9.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Статус полевого этапа устанавливается по его окончанию.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10. Исполнитель камеральных работ назначается 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по факту завершения полевого этапа работ и установки соответствующего статуса («Завершен»). Алгоритм назначения исполнителя камеральных работ описан ранее.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11. Количество технических отчетов, согласно пообъектному плану;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12. Количество заключений экспертизы промышленной безопасности, согласно пообъектному плану;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13. Срок сдачи технических отчетов, согласно данным утвержденного КПГ;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По факту завершения полевого этапа работ срок сдачи технического отчета уточняется, выполняя эти два условия.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 вариант. Столбец 13 = А — Б, где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А - срок сдачи ТО Принципалу, установленный КПГ;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Б — 30 дней согласно Регламенту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</w:rPr>
        <w:t xml:space="preserve">, а также с учетом Порядка взаимодействия участников бизнес процесса «Диагностическое обследование» при организации и проведении диагностических работ на объекте ПАО «Газпром» (письмо от 26.12.2025 №06/45/2-2975)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В случае если расчетная дата меньше даты завершения полевого этапа работ в столбце 2 устанавливается красный индикатор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 вариант. Столбец 13 = Б + С, где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Б — 30 дней согласно Регламенту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</w:rPr>
        <w:t xml:space="preserve">, а также с учетом Порядка взаимодействия участников бизнес процесса «Диагностическое обследование» при организации и проведении диагностических работ на объекте ПАО «Газпром» (письмо от 26.12.2025 №06/45/2-2975)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С — дата завершения полевого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Если при расчете уточненной даты предоставления ОД вариант 1 &lt; варианта 2, то в столбец 13 устанавливается вариант 1.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Дата сдачи технического отчета не пересчитывается в случае если уточненная дата завершения камерального этапа превышает дату утвержденного КПГ.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14. Срок сдачи заключений экспертизы промышленной безопасности, согласно данным утвержденного КПГ;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По факту завершения полевого этапа работ срок сдачи технического отчета уточняется, выполняя эти два условия.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 вариант. Столбец 14 = А — Б, где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А - срок сдачи ТО Принципалу, установленный КПГ;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Б — 52 дней согласно Регламенту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</w:rPr>
        <w:t xml:space="preserve">, а также с учетом Порядка взаимодействия участников бизнес процесса «Диагностическое обследование» при организации и проведении диагностических работ на объекте ПАО «Газпром» (письмо от 26.12.2025 №06/45/2-2975)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В случае если расчетная дата меньше даты завершения полевого этапа работ в столбце 2 устанавливается красный индикатор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 вариант. Столбец 14 = Б + С, где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Б — 52 дней согласно Регламенту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</w:rPr>
        <w:t xml:space="preserve">, а также с учетом Порядка взаимодействия участников бизнес процесса «Диагностическое обследование» при организации и проведении диагностических работ на объекте ПАО «Газпром» (письмо от 26.12.2025 №06/45/2-2975)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С — дата завершения полевого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Если при расчете уточненной даты предоставления ОД вариант 1 &lt; варианта 2, то в столбец 14 устанавливается вариант 1.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Дата сдачи ЗЭПБ не пересчитывается в случае если уточненная дата завершения камерального этапа превышает дату утвержденного КПГ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15. Экспертная организация назначается при формировании заявки на выезд экспертной организации (Раздел 11);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16. Номер заявки на выезд экспертной организации. Информация из Системы (Раздел 11). При нажатии на номер — открывается Заявка.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17. Дата заявки на выезд экспертной организации. Информация из Системы (Раздел 11).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18. Дата проведения осмотра объекта экспертной организацией.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19. Документ подтверждающий проведение осмотра. (ссылка на файл). При нажатии на номер — открывается Акт осмотра.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20. Первичная отчетная документация. В ячейке предусмотреть выпадающий список ссылок на документы в форматах *.pdf/*.doc и т.д. (Протоколы, фото материалы, Паспорт объекта, схемы, свидетельство о регистрации ОПО и т.д.), с возможностью их просмотра.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21. Статус проверки первичной отчетной документации (далее – ПОД):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  <w:lang w:val="ru-RU" w:eastAsia="zh-CN" w:bidi="hi-IN"/>
        </w:rPr>
        <w:t xml:space="preserve">«Комплект полный» 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документы приняты в работу для оформления технического отчета,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  <w:lang w:val="ru-RU" w:eastAsia="zh-CN" w:bidi="hi-IN"/>
        </w:rPr>
        <w:t xml:space="preserve">«Комплект не полный» в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ыявлены замечания к комплекту и направлен запрос на доработку (уточнение данных или предоставление дополнительных материалов).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22. Дата установки статуса проверки ПОД.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23. Статус готовности технического отчета (в работе / завершен)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«В работе» - устанавливается автоматически после подтверждения полного комплекта ПОД;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«Завершен» после передачи ТО в экспертную организацию (далее – ЭО) (в случае если итогом камерального этапа является ЗЭПБ) или после загрузки Акта приема-передачи ОД в формате *.pdf, оформленного сторонами.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24. Дата установки статуса.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25. Отражается ссылка на предзаполненный технический отчет.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ab/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26-28. Заявка на выпуск ЗЭПБ. Заполняется исходя из данных оформленных заявок на выпуск ЗЭПБ (раздел 10).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- номер заявки, дата заявки и ссылка на документа (файл заявки).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29-31. Передача ТО в экспертную организацию, автоматическое заполнение столбцов информацией из закладки «Заявка на выпуск ЗЭПБ» №, дата заявки и ссылка на файл (с возможностью просмотра документа).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32-34. Статус готовности ЗЭПБ (в работе / завершен):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«В работе» устанавливается автоматически после передачи ТО в ЭО (столбец 31).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«Завершен» устанавливается автоматически после загрузки Акта приема-передачи ОД.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35-36. Отображается № и дата письма.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Необходимо предусмотреть автоматическое заполнение данных из 1С производственный документооборот.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37-38. Предусмотреть окошко для заполнения замечаниями полученными от ДЭО столбец 37).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В столбце 38 проставляется дата получения замечаний (по умолчанию устанавливается дата внесения замечаний).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39. Перечень замечаний от ДЭО.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40-41. Предусмотреть отображение Акта приема-передачи ОД (столбец 40), и даты (столбец 41).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eastAsia="Times New Roman" w:cs="Times New Roman"/>
          <w:color w:val="000000" w:themeColor="text1"/>
          <w:highlight w:val="none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42. Назначенный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  <w:lang w:val="ru-RU" w:eastAsia="zh-CN" w:bidi="hi-IN"/>
        </w:rPr>
        <w:t xml:space="preserve"> срок безопасной эксплуатации.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8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Алгоритм распределения исполнителя камерального этапа работ</w:t>
      </w:r>
      <w:r>
        <w:rPr>
          <w:rFonts w:ascii="Times New Roman" w:hAnsi="Times New Roman" w:cs="Times New Roman"/>
          <w:b/>
          <w:bCs/>
          <w:color w:val="000000" w:themeColor="text1"/>
        </w:rPr>
      </w:r>
      <w:r>
        <w:rPr>
          <w:rFonts w:ascii="Times New Roman" w:hAnsi="Times New Roman" w:cs="Times New Roman"/>
          <w:b/>
          <w:bCs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Источники данных для формирования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 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 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Данные о плановой занятости специалистов на полевом этапе работ (даты, объекты (x/y/z), командировка)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 из оперативного плана полевого этапа выполнения работ;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Данные об объектах для выполнения камерального этапа работ, плановые даты предоставления Принципалу оформленных ТО и ЗЭПБ (из КПГ);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плановые даты предоставления ТО в экспертную организацию для формирования ЗЭПБ (раздел 6, п.6.3 таблица №1: значение столбца 13 минус 42 дня);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фактические даты окончания полевых работ (из документов «выполнения полевых работ» в АСУ ПП);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плановое количество технических отчетов и заключений экспертизы промышленной безопасности (из производственной программы);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tabs>
          <w:tab w:val="clear" w:pos="709" w:leader="none"/>
          <w:tab w:val="left" w:pos="739" w:leader="none"/>
          <w:tab w:val="left" w:pos="793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г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  <w:t xml:space="preserve">рафик статусов состояний исполнителей: Информация о текущем </w:t>
        <w:br/>
        <w:t xml:space="preserve">и плановом статусе каждого исполнителя («Свободен», «Командировка», «Камеральная работа», «Отпуск/Больничный/Аттестация», «Не доступен»)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оперативный план полевых работ: Данные о плановой занятости специалистов на полевом этапе работ (даты, объекты (x/y/z), командировка);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справочник трудоемкости: Но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рмативная трудоемкость по видам работ для расчета планируемой загрузки.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  <w:lang w:val="ru-RU" w:eastAsia="zh-CN" w:bidi="hi-IN"/>
        </w:rPr>
        <w:t xml:space="preserve">- производственный календарь: Требуется интеграция с кадровыми системами для автоматического получения данных или актуализация в ручном режиме с определенной периодичностью. Интеграция необходима для автоматического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  <w:lang w:val="ru-RU" w:eastAsia="zh-CN" w:bidi="hi-IN"/>
        </w:rPr>
        <w:t xml:space="preserve"> получения данных о доступности сотрудников: даты нахождения сотрудника в офисе, командировке, отпуске, больничном или периоды обучения, что позволит Системе достоверно определить «окна» для возможности привлечения полевых сотрудников к камеральной работе.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Требования к данным справочника специалистов.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Для формирования отчетных форм, указанны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  <w:lang w:val="ru-RU" w:eastAsia="zh-CN" w:bidi="hi-IN"/>
        </w:rPr>
        <w:t xml:space="preserve">х в разделе 12, в Сис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теме должен вестись справочник специалистов со следующей структурой данных. Таблица описывает обязательные для учета атрибуты (поля) каждого исполнителя.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tbl>
      <w:tblPr>
        <w:tblW w:w="5000" w:type="pct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00"/>
        <w:gridCol w:w="963"/>
        <w:gridCol w:w="1304"/>
        <w:gridCol w:w="2046"/>
        <w:gridCol w:w="1924"/>
        <w:gridCol w:w="290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№ 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Ф.И.О.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Таб. номер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4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Приоритетная специализация*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Специализация 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Специализация 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29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4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5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222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4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Комплексное обследование 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г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а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з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о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р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а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с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п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р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е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д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е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л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и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т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е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л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ь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н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о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й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 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с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т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а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нции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Обследование камер запуска и приема ВУ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position w:val="0"/>
          <w:sz w:val="20"/>
          <w:szCs w:val="20"/>
          <w:highlight w:val="white"/>
          <w:vertAlign w:val="baseline"/>
          <w:lang w:val="ru-RU" w:eastAsia="zh-CN" w:bidi="hi-IN"/>
        </w:rPr>
        <w:t xml:space="preserve">*Специализация указывается в соответствии с Перечнем направлений деятельности и видов работ при диагностическом обследовании, техническом обслуживании и ремонте объектов ПАО «Газпром».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Данные из справочника используются Системой для автоматического расчета и последующего отображения в отчетных формах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Данные для Справочника спец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иалистов заполняются и поддерживаются в актуальном состоянии уполномоченными сотрудниками в ИТЦ и направляются ПОДЛО.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Специализация указывается на основании фактической квалификации сотрудника и перечня видов работ по ДТОиР объектов ПАО «Газпром».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ab/>
        <w:t xml:space="preserve">Требования к данным справочника трудоемкости работ: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tbl>
      <w:tblPr>
        <w:tblW w:w="10149" w:type="dxa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716"/>
        <w:gridCol w:w="1147"/>
        <w:gridCol w:w="2267"/>
        <w:gridCol w:w="1870"/>
        <w:gridCol w:w="913"/>
        <w:gridCol w:w="1027"/>
        <w:gridCol w:w="220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Код вида работ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Наименование вида работ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Принципал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Ед. изм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Кол-во ТУ/ЗиС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Нормативная трудоемкость, часов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ЛЧМГ-1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магистральных газопроводов и отводов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пункт плана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АЖД-1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переходов под автомобильными и ж/д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ОПГ-1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пересечений газопроводов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 (кроме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 (кроме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2-20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 (кроме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21-350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2-20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21-350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</w:tbl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Назначение исполнителя камерального этапа работ в ИТЦ: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Назначение исполнителя камерального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На основании полученных данных система анализирует источники данных по сотрудникам и назначает исполнителями камерального этапа работ учитывая их специализацию.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Распределение камерального этапа работ между специалистами, проходит с учетом  на момент установки статуса полевого этапа работ  «Завершен».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Исключаются из распределения специалисты со статусами: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Отпуск;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Командировка;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Больничный;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Плановое обучение или аттестация;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Не доступен (выставляется в ручном режиме).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Приоритет по исполнителю полевых работ. Сист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ема назначает камеральный этап тому специалисту, который выполнял полевые работы. Если специалист недоступен, то проходит подбор свободного исполнителя, у которого в общем списке специализаций (Справочник специалиста) присутствует требуемый вид работ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приемочное (первичное) обследование,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детальное комплексное обследование,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комплексное периодическое обследование,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специальное комплексное обследование,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обследование ЗиС,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обследование подъемных сооружений,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обследование подкрановых путей;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 т.д.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Общая плановая загрузка по камеральным работам рассчитывается на каждый день и доступна в отчетной форме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  <w:lang w:val="ru-RU" w:eastAsia="zh-CN" w:bidi="hi-IN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В случае, к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огда текущий Исполнитель переводится в статус, исключающий работу (например, «больничный» или «внеплановая командировка») Система обязана найти замену и направить уведомление, а также предложение для перераспределения работы ответственному руководителю.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Ручное назначение и корректировка плана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14:ligatures w14:val="none"/>
        </w:rPr>
        <w:t xml:space="preserve"> камерального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Система должна предоставлять возможность ручного назначения и ручной корректировки сформированного плана камерального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Право на ручное изменение имеет руководитель отдела/службы ИТЦ, в котором работает Исполнитель.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contextualSpacing/>
        <w:jc w:val="center"/>
        <w:shd w:val="nil" w:color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ЧАСТНОЕ ТЕХНИЧЕСКОЕ ЗАДАНИЕ НА АВТОМАТИЗАЦИЮ ПО НАПРАВЛЕНИЮ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/>
        <w:jc w:val="center"/>
        <w:shd w:val="nil" w:color="000000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КАЗНАЧЕЙСТВО (БЮДЖЕТИРОВАНИЕ, УПРАВЛЕНЧЕСКИЙ УЧЕТ И Т.Д.)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p>
      <w:pPr>
        <w:jc w:val="center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firstLine="708"/>
        <w:jc w:val="left"/>
        <w:spacing w:after="0" w:afterAutospacing="0" w:line="240" w:lineRule="auto"/>
        <w:shd w:val="nil" w:color="000000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  <w:t xml:space="preserve">ЦЕЛЬ РАБОТ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ind w:firstLine="708"/>
        <w:jc w:val="left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реализация формирования аналитики реализуемых услуг в разрезе себестоимости и валовой прибыли по каждому виду работ объекта диагностики (XYZ) в Системе;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firstLine="708"/>
        <w:jc w:val="left"/>
        <w:spacing w:after="0" w:afterAutospacing="0" w:line="240" w:lineRule="auto"/>
        <w:shd w:val="nil" w:color="000000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оптимизация работы специалистов.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jc w:val="center"/>
        <w:spacing w:after="0" w:afterAutospacing="0" w:line="240" w:lineRule="auto"/>
        <w:shd w:val="nil" w:color="000000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022"/>
        <w:ind w:right="0" w:firstLine="708"/>
        <w:jc w:val="both"/>
        <w:pageBreakBefore w:val="0"/>
        <w:spacing w:before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БИЗНЕС-ТРЕБОВАНИЕ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88" w:lineRule="atLeast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В качестве ведущего документа отвечающего за формирование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себестоимости в текущем бизнес-процессе производства работ (выполнения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услуг), предлагается включить элемент типового объекта подсистемы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производства – документ «Производство без заказа» с группировкой «Без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затрат».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Соответственно относить затраты на работы с детализацией по сводному коду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вида работ помогут верно настроенные статьи расходов.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Документом, подтверждающим окончательную стоимость выполненных работ, является «Формирование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Номенклатуры продажи». Он станет основанием создания документа «Производство без заказа», который будет влиять на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формирование себестоимости номенклатуры. Для этой цели документ будет являться Партией производства, на нее будут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отнесены все затраты на выполненные работы. Для оптимизации процесса, документ планируется создавать автоматически.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Основным инструментом для отнесения расходов является корректно настроенная Статья расходов. Для сквозного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примера,  необходимо настроить статью расходов с наименованием Затраты на производство, указать тип аналитики расходов –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партия производства и статью калькуляции Общепроизводственные расходы. Списание будет происходить на расходы на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себестоимость производства (прямые). Необходимо указать счет учета накопления и списания расходов, выбрав в настройку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статьи группу финансового учета со счетом 20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Документ будет создан автоматически после проведения документа «Формирование номенклатуры продажи».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Подразделение на закладке Основное должно быть производственным, поэтому в Подразделение которое будет участвовать в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этом документе потребуется перевести в статус производственного.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Из документа «Формирование номенклатуры продажи», наименование номенклатуры необходимо поместить в каждую строку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производственного документа. Артикул в строке - это типовое поле карточки номенклатуры и будет иметь такую же запись как и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сводный код объекта диагностики. Таким образом, возникает связь наименования номенклатуры + сводный код объекта.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В колонке «Доля стоимости» будет располагаться коэффициент плановой стоимости как фактической по общей сумме акта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приема-передачи. Получателем является подразделение на которое требуется отнести стоимость работ.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Документ «Производство без заказа» создается автоматически после проведения документа формирования.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Выполненные работы субподрядчиками, оформленные документом «Приобретение товаров и услуг», должны содержать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строки с номенклатурой поставщика и статью расходов с отнесением стоимости закупаемых работ на партии производства.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Таким образом, основным условием отражения себестоимости по каждому виду выполненных работ (сводному коду) является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отнесение всех затрат и расходов на партию производства, то есть документ Производство без заказа с группировкой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«Затраты не указываются».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Данные о себестоимости будут собраны на каждый вид работ в зависимости от правил которые будут заданы в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распределении документа партии.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Для распределения расходов по заработной плате, командировочным расходам и прочих косвенных расходов,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если нет синхронизации с зарплатной подсистемой, возможно использовать механизм учета выработки сотрудников путем отражения расходов по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финансовому учету.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Статья расходов распределит сумму оплаты труда на партию производства, а по кор. счету возможно указать явно или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обезличено аналитику заполнив карточку физического лица.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Данные о себестоимости и рентабельности продаж Общества должны быть доступны для просмотре в отчетах управленческого и бухгалтерского учета после закрытия месяца.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 Д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анные по объему реализованных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работ и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работ с остаточной себестоимостью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и количеством должны быть доступны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 в отчете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«Ведомость по партиям товаров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предприятия».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0" w:bottom="1134" w:left="85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Liberation Serif">
    <w:panose1 w:val="02020603050405020304"/>
  </w:font>
  <w:font w:name="Tahoma">
    <w:panose1 w:val="020B0604030504040204"/>
  </w:font>
  <w:font w:name="Tempora LGC Uni">
    <w:panose1 w:val="02020603050405020304"/>
  </w:font>
  <w:font w:name="Lohit Devanagari">
    <w:panose1 w:val="020B0600000000000000"/>
  </w:font>
  <w:font w:name="Courier New">
    <w:panose1 w:val="02070309020205020404"/>
  </w:font>
  <w:font w:name="Calibri">
    <w:panose1 w:val="020F0502020204030204"/>
  </w:font>
  <w:font w:name="Segoe UI">
    <w:panose1 w:val="020B0503020204020204"/>
  </w:font>
  <w:font w:name="Times New Roman">
    <w:panose1 w:val="02020603050405020304"/>
  </w:font>
  <w:font w:name="PT Astra Serif">
    <w:panose1 w:val="020A06030405050202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184"/>
        <w:rPr>
          <w:rFonts w:ascii="Times New Roman" w:hAnsi="Times New Roman" w:cs="Times New Roman"/>
        </w:rPr>
      </w:pPr>
      <w:r>
        <w:rPr>
          <w:rStyle w:val="1186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В исключительных случаях Заказчик может разрешить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оказание услуг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сотрудниками Исполнителя в иных местах.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3">
    <w:p>
      <w:pPr>
        <w:pStyle w:val="1184"/>
        <w:rPr>
          <w:rFonts w:ascii="Times New Roman" w:hAnsi="Times New Roman" w:cs="Times New Roman"/>
        </w:rPr>
      </w:pPr>
      <w:r>
        <w:rPr>
          <w:rStyle w:val="1186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Функциональные требования могут быть уточнены в рамках направления без изменения объемов и стоимости работ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1"/>
      <w:jc w:val="center"/>
      <w:rPr>
        <w:rFonts w:ascii="Times New Roman" w:hAnsi="Times New Roman" w:cs="Times New Roman"/>
        <w:sz w:val="24"/>
        <w:szCs w:val="24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4"/>
        <w:szCs w:val="24"/>
      </w:rPr>
      <w:t xml:space="preserve">3</w:t>
    </w:r>
    <w:r>
      <w:rPr>
        <w:rFonts w:ascii="Times New Roman" w:hAnsi="Times New Roman" w:eastAsia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1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07" w:hanging="360"/>
      </w:pPr>
      <w:rPr>
        <w:rFonts w:hint="default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1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7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16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33" w:hanging="450"/>
      </w:pPr>
      <w:rPr>
        <w:rFonts w:hint="default"/>
        <w:sz w:val="24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  <w:b/>
        <w:bCs/>
        <w:sz w:val="24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  <w:b/>
        <w:bCs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07" w:hanging="360"/>
      </w:pPr>
      <w:rPr>
        <w:rFonts w:hint="default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1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7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16" w:hanging="144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7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4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1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3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06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07" w:hanging="360"/>
      </w:pPr>
      <w:rPr>
        <w:rFonts w:hint="default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1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7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16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860" w:hanging="435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sz w:val="24"/>
      </w:rPr>
    </w:lvl>
    <w:lvl w:ilvl="1">
      <w:start w:val="4"/>
      <w:numFmt w:val="decimal"/>
      <w:isLgl w:val="false"/>
      <w:suff w:val="tab"/>
      <w:lvlText w:val="%1.%2."/>
      <w:lvlJc w:val="left"/>
      <w:pPr>
        <w:ind w:left="663" w:hanging="4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isLgl w:val="false"/>
      <w:suff w:val="tab"/>
      <w:lvlText w:val="%1.%2."/>
      <w:lvlJc w:val="left"/>
      <w:pPr>
        <w:ind w:left="592" w:hanging="45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  <w:b/>
        <w:bCs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932" w:hanging="108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76" w:hanging="1440"/>
      </w:pPr>
      <w:rPr>
        <w:rFonts w:hint="default"/>
        <w:b w:val="0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33" w:hanging="450"/>
      </w:pPr>
      <w:rPr>
        <w:rFonts w:hint="default"/>
        <w:sz w:val="24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  <w:b/>
        <w:bCs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  <w:b/>
        <w:bCs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2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33" w:hanging="450"/>
      </w:pPr>
      <w:rPr>
        <w:rFonts w:hint="default"/>
        <w:sz w:val="24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  <w:b/>
        <w:bCs/>
        <w:sz w:val="24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  <w:b/>
        <w:bCs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2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  <w:b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07" w:hanging="360"/>
      </w:pPr>
      <w:rPr>
        <w:rFonts w:hint="default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1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7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16" w:hanging="14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3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0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7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4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1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9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6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066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2" w:hanging="36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572" w:hanging="72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932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92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652" w:hanging="180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652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12" w:hanging="2160"/>
        <w:tabs>
          <w:tab w:val="num" w:pos="0" w:leader="none"/>
        </w:tabs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860" w:hanging="435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  <w:rPr>
        <w:sz w:val="24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b/>
        <w:bCs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9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  <w:rPr>
        <w:sz w:val="24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  <w:rPr>
        <w:sz w:val="24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b/>
        <w:bCs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0"/>
  </w:num>
  <w:num w:numId="3">
    <w:abstractNumId w:val="27"/>
  </w:num>
  <w:num w:numId="4">
    <w:abstractNumId w:val="6"/>
  </w:num>
  <w:num w:numId="5">
    <w:abstractNumId w:val="23"/>
  </w:num>
  <w:num w:numId="6">
    <w:abstractNumId w:val="13"/>
  </w:num>
  <w:num w:numId="7">
    <w:abstractNumId w:val="19"/>
  </w:num>
  <w:num w:numId="8">
    <w:abstractNumId w:val="15"/>
  </w:num>
  <w:num w:numId="9">
    <w:abstractNumId w:val="18"/>
  </w:num>
  <w:num w:numId="10">
    <w:abstractNumId w:val="22"/>
  </w:num>
  <w:num w:numId="11">
    <w:abstractNumId w:val="16"/>
  </w:num>
  <w:num w:numId="12">
    <w:abstractNumId w:val="26"/>
  </w:num>
  <w:num w:numId="13">
    <w:abstractNumId w:val="11"/>
  </w:num>
  <w:num w:numId="14">
    <w:abstractNumId w:val="0"/>
  </w:num>
  <w:num w:numId="15">
    <w:abstractNumId w:val="10"/>
  </w:num>
  <w:num w:numId="16">
    <w:abstractNumId w:val="25"/>
  </w:num>
  <w:num w:numId="17">
    <w:abstractNumId w:val="4"/>
  </w:num>
  <w:num w:numId="18">
    <w:abstractNumId w:val="9"/>
  </w:num>
  <w:num w:numId="19">
    <w:abstractNumId w:val="24"/>
  </w:num>
  <w:num w:numId="20">
    <w:abstractNumId w:val="12"/>
  </w:num>
  <w:num w:numId="21">
    <w:abstractNumId w:val="21"/>
  </w:num>
  <w:num w:numId="22">
    <w:abstractNumId w:val="29"/>
  </w:num>
  <w:num w:numId="23">
    <w:abstractNumId w:val="1"/>
  </w:num>
  <w:num w:numId="24">
    <w:abstractNumId w:val="8"/>
  </w:num>
  <w:num w:numId="25">
    <w:abstractNumId w:val="14"/>
  </w:num>
  <w:num w:numId="26">
    <w:abstractNumId w:val="28"/>
  </w:num>
  <w:num w:numId="27">
    <w:abstractNumId w:val="3"/>
  </w:num>
  <w:num w:numId="28">
    <w:abstractNumId w:val="7"/>
  </w:num>
  <w:num w:numId="29">
    <w:abstractNumId w:val="5"/>
  </w:num>
  <w:num w:numId="30">
    <w:abstractNumId w:val="2"/>
  </w:num>
  <w:num w:numId="31">
    <w:abstractNumId w:val="20"/>
  </w:num>
  <w:num w:numId="32">
    <w:abstractNumId w:val="31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  <w:num w:numId="132">
    <w:abstractNumId w:val="131"/>
  </w:num>
  <w:num w:numId="133">
    <w:abstractNumId w:val="132"/>
  </w:num>
  <w:num w:numId="134">
    <w:abstractNumId w:val="133"/>
  </w:num>
  <w:num w:numId="135">
    <w:abstractNumId w:val="134"/>
  </w:num>
  <w:num w:numId="136">
    <w:abstractNumId w:val="135"/>
  </w:num>
  <w:num w:numId="137">
    <w:abstractNumId w:val="136"/>
  </w:num>
  <w:num w:numId="138">
    <w:abstractNumId w:val="137"/>
  </w:num>
  <w:num w:numId="139">
    <w:abstractNumId w:val="138"/>
  </w:num>
  <w:num w:numId="140">
    <w:abstractNumId w:val="139"/>
  </w:num>
  <w:num w:numId="141">
    <w:abstractNumId w:val="140"/>
  </w:num>
  <w:num w:numId="142">
    <w:abstractNumId w:val="141"/>
  </w:num>
  <w:num w:numId="143">
    <w:abstractNumId w:val="142"/>
  </w:num>
  <w:num w:numId="144">
    <w:abstractNumId w:val="143"/>
  </w:num>
  <w:num w:numId="145">
    <w:abstractNumId w:val="144"/>
  </w:num>
  <w:num w:numId="146">
    <w:abstractNumId w:val="145"/>
  </w:num>
  <w:num w:numId="147">
    <w:abstractNumId w:val="146"/>
  </w:num>
  <w:num w:numId="148">
    <w:abstractNumId w:val="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003">
    <w:name w:val="Heading 1 Char"/>
    <w:basedOn w:val="1031"/>
    <w:link w:val="1022"/>
    <w:uiPriority w:val="9"/>
    <w:rPr>
      <w:rFonts w:ascii="Arial" w:hAnsi="Arial" w:eastAsia="Arial" w:cs="Arial"/>
      <w:sz w:val="40"/>
      <w:szCs w:val="40"/>
    </w:rPr>
  </w:style>
  <w:style w:type="character" w:styleId="1004">
    <w:name w:val="Heading 2 Char"/>
    <w:basedOn w:val="1031"/>
    <w:link w:val="1023"/>
    <w:uiPriority w:val="9"/>
    <w:rPr>
      <w:rFonts w:ascii="Arial" w:hAnsi="Arial" w:eastAsia="Arial" w:cs="Arial"/>
      <w:sz w:val="34"/>
    </w:rPr>
  </w:style>
  <w:style w:type="character" w:styleId="1005">
    <w:name w:val="Heading 3 Char"/>
    <w:basedOn w:val="1031"/>
    <w:link w:val="1024"/>
    <w:uiPriority w:val="9"/>
    <w:rPr>
      <w:rFonts w:ascii="Arial" w:hAnsi="Arial" w:eastAsia="Arial" w:cs="Arial"/>
      <w:sz w:val="30"/>
      <w:szCs w:val="30"/>
    </w:rPr>
  </w:style>
  <w:style w:type="character" w:styleId="1006">
    <w:name w:val="Heading 4 Char"/>
    <w:basedOn w:val="1031"/>
    <w:link w:val="1025"/>
    <w:uiPriority w:val="9"/>
    <w:rPr>
      <w:rFonts w:ascii="Arial" w:hAnsi="Arial" w:eastAsia="Arial" w:cs="Arial"/>
      <w:b/>
      <w:bCs/>
      <w:sz w:val="26"/>
      <w:szCs w:val="26"/>
    </w:rPr>
  </w:style>
  <w:style w:type="character" w:styleId="1007">
    <w:name w:val="Heading 5 Char"/>
    <w:basedOn w:val="1031"/>
    <w:link w:val="1026"/>
    <w:uiPriority w:val="9"/>
    <w:rPr>
      <w:rFonts w:ascii="Arial" w:hAnsi="Arial" w:eastAsia="Arial" w:cs="Arial"/>
      <w:b/>
      <w:bCs/>
      <w:sz w:val="24"/>
      <w:szCs w:val="24"/>
    </w:rPr>
  </w:style>
  <w:style w:type="character" w:styleId="1008">
    <w:name w:val="Heading 6 Char"/>
    <w:basedOn w:val="1031"/>
    <w:link w:val="1027"/>
    <w:uiPriority w:val="9"/>
    <w:rPr>
      <w:rFonts w:ascii="Arial" w:hAnsi="Arial" w:eastAsia="Arial" w:cs="Arial"/>
      <w:b/>
      <w:bCs/>
      <w:sz w:val="22"/>
      <w:szCs w:val="22"/>
    </w:rPr>
  </w:style>
  <w:style w:type="character" w:styleId="1009">
    <w:name w:val="Heading 7 Char"/>
    <w:basedOn w:val="1031"/>
    <w:link w:val="10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10">
    <w:name w:val="Heading 8 Char"/>
    <w:basedOn w:val="1031"/>
    <w:link w:val="1029"/>
    <w:uiPriority w:val="9"/>
    <w:rPr>
      <w:rFonts w:ascii="Arial" w:hAnsi="Arial" w:eastAsia="Arial" w:cs="Arial"/>
      <w:i/>
      <w:iCs/>
      <w:sz w:val="22"/>
      <w:szCs w:val="22"/>
    </w:rPr>
  </w:style>
  <w:style w:type="character" w:styleId="1011">
    <w:name w:val="Heading 9 Char"/>
    <w:basedOn w:val="1031"/>
    <w:link w:val="1030"/>
    <w:uiPriority w:val="9"/>
    <w:rPr>
      <w:rFonts w:ascii="Arial" w:hAnsi="Arial" w:eastAsia="Arial" w:cs="Arial"/>
      <w:i/>
      <w:iCs/>
      <w:sz w:val="21"/>
      <w:szCs w:val="21"/>
    </w:rPr>
  </w:style>
  <w:style w:type="character" w:styleId="1012">
    <w:name w:val="Title Char"/>
    <w:basedOn w:val="1031"/>
    <w:link w:val="1043"/>
    <w:uiPriority w:val="10"/>
    <w:rPr>
      <w:sz w:val="48"/>
      <w:szCs w:val="48"/>
    </w:rPr>
  </w:style>
  <w:style w:type="character" w:styleId="1013">
    <w:name w:val="Subtitle Char"/>
    <w:basedOn w:val="1031"/>
    <w:link w:val="1045"/>
    <w:uiPriority w:val="11"/>
    <w:rPr>
      <w:sz w:val="24"/>
      <w:szCs w:val="24"/>
    </w:rPr>
  </w:style>
  <w:style w:type="character" w:styleId="1014">
    <w:name w:val="Quote Char"/>
    <w:link w:val="1047"/>
    <w:uiPriority w:val="29"/>
    <w:rPr>
      <w:i/>
    </w:rPr>
  </w:style>
  <w:style w:type="character" w:styleId="1015">
    <w:name w:val="Intense Quote Char"/>
    <w:link w:val="1049"/>
    <w:uiPriority w:val="30"/>
    <w:rPr>
      <w:i/>
    </w:rPr>
  </w:style>
  <w:style w:type="character" w:styleId="1016">
    <w:name w:val="Header Char"/>
    <w:basedOn w:val="1031"/>
    <w:link w:val="1051"/>
    <w:uiPriority w:val="99"/>
  </w:style>
  <w:style w:type="character" w:styleId="1017">
    <w:name w:val="Footer Char"/>
    <w:basedOn w:val="1031"/>
    <w:link w:val="1053"/>
    <w:uiPriority w:val="99"/>
  </w:style>
  <w:style w:type="character" w:styleId="1018">
    <w:name w:val="Caption Char"/>
    <w:basedOn w:val="1031"/>
    <w:link w:val="1055"/>
    <w:uiPriority w:val="35"/>
    <w:rPr>
      <w:b/>
      <w:bCs/>
      <w:color w:val="4f81bd" w:themeColor="accent1"/>
      <w:sz w:val="18"/>
      <w:szCs w:val="18"/>
    </w:rPr>
  </w:style>
  <w:style w:type="character" w:styleId="1019">
    <w:name w:val="Footnote Text Char"/>
    <w:link w:val="1184"/>
    <w:uiPriority w:val="99"/>
    <w:rPr>
      <w:sz w:val="18"/>
    </w:rPr>
  </w:style>
  <w:style w:type="character" w:styleId="1020">
    <w:name w:val="Endnote Text Char"/>
    <w:link w:val="1187"/>
    <w:uiPriority w:val="99"/>
    <w:rPr>
      <w:sz w:val="20"/>
    </w:rPr>
  </w:style>
  <w:style w:type="paragraph" w:styleId="1021" w:default="1">
    <w:name w:val="Normal"/>
    <w:qFormat/>
  </w:style>
  <w:style w:type="paragraph" w:styleId="1022">
    <w:name w:val="Heading 1"/>
    <w:basedOn w:val="1021"/>
    <w:next w:val="1021"/>
    <w:link w:val="103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1023">
    <w:name w:val="Heading 2"/>
    <w:basedOn w:val="1021"/>
    <w:next w:val="1021"/>
    <w:link w:val="103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1024">
    <w:name w:val="Heading 3"/>
    <w:basedOn w:val="1021"/>
    <w:next w:val="1021"/>
    <w:link w:val="103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1025">
    <w:name w:val="Heading 4"/>
    <w:basedOn w:val="1021"/>
    <w:next w:val="1021"/>
    <w:link w:val="103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026">
    <w:name w:val="Heading 5"/>
    <w:basedOn w:val="1021"/>
    <w:next w:val="1021"/>
    <w:link w:val="103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027">
    <w:name w:val="Heading 6"/>
    <w:basedOn w:val="1021"/>
    <w:next w:val="1021"/>
    <w:link w:val="103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1028">
    <w:name w:val="Heading 7"/>
    <w:basedOn w:val="1021"/>
    <w:next w:val="1021"/>
    <w:link w:val="104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1029">
    <w:name w:val="Heading 8"/>
    <w:basedOn w:val="1021"/>
    <w:next w:val="1021"/>
    <w:link w:val="104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1030">
    <w:name w:val="Heading 9"/>
    <w:basedOn w:val="1021"/>
    <w:next w:val="1021"/>
    <w:link w:val="104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31" w:default="1">
    <w:name w:val="Default Paragraph Font"/>
    <w:uiPriority w:val="1"/>
    <w:semiHidden/>
    <w:unhideWhenUsed/>
  </w:style>
  <w:style w:type="table" w:styleId="10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33" w:default="1">
    <w:name w:val="No List"/>
    <w:uiPriority w:val="99"/>
    <w:semiHidden/>
    <w:unhideWhenUsed/>
  </w:style>
  <w:style w:type="character" w:styleId="1034" w:customStyle="1">
    <w:name w:val="Заголовок 1 Знак"/>
    <w:link w:val="1022"/>
    <w:uiPriority w:val="9"/>
    <w:rPr>
      <w:rFonts w:ascii="Arial" w:hAnsi="Arial" w:eastAsia="Arial" w:cs="Arial"/>
      <w:sz w:val="40"/>
      <w:szCs w:val="40"/>
    </w:rPr>
  </w:style>
  <w:style w:type="character" w:styleId="1035" w:customStyle="1">
    <w:name w:val="Заголовок 2 Знак"/>
    <w:link w:val="1023"/>
    <w:uiPriority w:val="9"/>
    <w:rPr>
      <w:rFonts w:ascii="Arial" w:hAnsi="Arial" w:eastAsia="Arial" w:cs="Arial"/>
      <w:sz w:val="34"/>
    </w:rPr>
  </w:style>
  <w:style w:type="character" w:styleId="1036" w:customStyle="1">
    <w:name w:val="Заголовок 3 Знак"/>
    <w:link w:val="1024"/>
    <w:uiPriority w:val="9"/>
    <w:rPr>
      <w:rFonts w:ascii="Arial" w:hAnsi="Arial" w:eastAsia="Arial" w:cs="Arial"/>
      <w:sz w:val="30"/>
      <w:szCs w:val="30"/>
    </w:rPr>
  </w:style>
  <w:style w:type="character" w:styleId="1037" w:customStyle="1">
    <w:name w:val="Заголовок 4 Знак"/>
    <w:link w:val="1025"/>
    <w:uiPriority w:val="9"/>
    <w:rPr>
      <w:rFonts w:ascii="Arial" w:hAnsi="Arial" w:eastAsia="Arial" w:cs="Arial"/>
      <w:b/>
      <w:bCs/>
      <w:sz w:val="26"/>
      <w:szCs w:val="26"/>
    </w:rPr>
  </w:style>
  <w:style w:type="character" w:styleId="1038" w:customStyle="1">
    <w:name w:val="Заголовок 5 Знак"/>
    <w:link w:val="1026"/>
    <w:uiPriority w:val="9"/>
    <w:rPr>
      <w:rFonts w:ascii="Arial" w:hAnsi="Arial" w:eastAsia="Arial" w:cs="Arial"/>
      <w:b/>
      <w:bCs/>
      <w:sz w:val="24"/>
      <w:szCs w:val="24"/>
    </w:rPr>
  </w:style>
  <w:style w:type="character" w:styleId="1039" w:customStyle="1">
    <w:name w:val="Заголовок 6 Знак"/>
    <w:link w:val="1027"/>
    <w:uiPriority w:val="9"/>
    <w:rPr>
      <w:rFonts w:ascii="Arial" w:hAnsi="Arial" w:eastAsia="Arial" w:cs="Arial"/>
      <w:b/>
      <w:bCs/>
      <w:sz w:val="22"/>
      <w:szCs w:val="22"/>
    </w:rPr>
  </w:style>
  <w:style w:type="character" w:styleId="1040" w:customStyle="1">
    <w:name w:val="Заголовок 7 Знак"/>
    <w:link w:val="10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41" w:customStyle="1">
    <w:name w:val="Заголовок 8 Знак"/>
    <w:link w:val="1029"/>
    <w:uiPriority w:val="9"/>
    <w:rPr>
      <w:rFonts w:ascii="Arial" w:hAnsi="Arial" w:eastAsia="Arial" w:cs="Arial"/>
      <w:i/>
      <w:iCs/>
      <w:sz w:val="22"/>
      <w:szCs w:val="22"/>
    </w:rPr>
  </w:style>
  <w:style w:type="character" w:styleId="1042" w:customStyle="1">
    <w:name w:val="Заголовок 9 Знак"/>
    <w:link w:val="1030"/>
    <w:uiPriority w:val="9"/>
    <w:rPr>
      <w:rFonts w:ascii="Arial" w:hAnsi="Arial" w:eastAsia="Arial" w:cs="Arial"/>
      <w:i/>
      <w:iCs/>
      <w:sz w:val="21"/>
      <w:szCs w:val="21"/>
    </w:rPr>
  </w:style>
  <w:style w:type="paragraph" w:styleId="1043">
    <w:name w:val="Title"/>
    <w:basedOn w:val="1021"/>
    <w:next w:val="1021"/>
    <w:link w:val="1044"/>
    <w:uiPriority w:val="10"/>
    <w:qFormat/>
    <w:pPr>
      <w:contextualSpacing/>
      <w:spacing w:before="300"/>
    </w:pPr>
    <w:rPr>
      <w:sz w:val="48"/>
      <w:szCs w:val="48"/>
    </w:rPr>
  </w:style>
  <w:style w:type="character" w:styleId="1044" w:customStyle="1">
    <w:name w:val="Заголовок Знак"/>
    <w:link w:val="1043"/>
    <w:uiPriority w:val="10"/>
    <w:rPr>
      <w:sz w:val="48"/>
      <w:szCs w:val="48"/>
    </w:rPr>
  </w:style>
  <w:style w:type="paragraph" w:styleId="1045">
    <w:name w:val="Subtitle"/>
    <w:basedOn w:val="1021"/>
    <w:next w:val="1021"/>
    <w:link w:val="1046"/>
    <w:uiPriority w:val="11"/>
    <w:qFormat/>
    <w:pPr>
      <w:spacing w:before="200"/>
    </w:pPr>
    <w:rPr>
      <w:sz w:val="24"/>
      <w:szCs w:val="24"/>
    </w:rPr>
  </w:style>
  <w:style w:type="character" w:styleId="1046" w:customStyle="1">
    <w:name w:val="Подзаголовок Знак"/>
    <w:link w:val="1045"/>
    <w:uiPriority w:val="11"/>
    <w:rPr>
      <w:sz w:val="24"/>
      <w:szCs w:val="24"/>
    </w:rPr>
  </w:style>
  <w:style w:type="paragraph" w:styleId="1047">
    <w:name w:val="Quote"/>
    <w:basedOn w:val="1021"/>
    <w:next w:val="1021"/>
    <w:link w:val="1048"/>
    <w:uiPriority w:val="29"/>
    <w:qFormat/>
    <w:pPr>
      <w:ind w:left="720" w:right="720"/>
    </w:pPr>
    <w:rPr>
      <w:i/>
    </w:rPr>
  </w:style>
  <w:style w:type="character" w:styleId="1048" w:customStyle="1">
    <w:name w:val="Цитата 2 Знак"/>
    <w:link w:val="1047"/>
    <w:uiPriority w:val="29"/>
    <w:rPr>
      <w:i/>
    </w:rPr>
  </w:style>
  <w:style w:type="paragraph" w:styleId="1049">
    <w:name w:val="Intense Quote"/>
    <w:basedOn w:val="1021"/>
    <w:next w:val="1021"/>
    <w:link w:val="10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50" w:customStyle="1">
    <w:name w:val="Выделенная цитата Знак"/>
    <w:link w:val="1049"/>
    <w:uiPriority w:val="30"/>
    <w:rPr>
      <w:i/>
    </w:rPr>
  </w:style>
  <w:style w:type="paragraph" w:styleId="1051">
    <w:name w:val="Header"/>
    <w:basedOn w:val="1021"/>
    <w:link w:val="10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052" w:customStyle="1">
    <w:name w:val="Верхний колонтитул Знак"/>
    <w:link w:val="1051"/>
    <w:uiPriority w:val="99"/>
  </w:style>
  <w:style w:type="paragraph" w:styleId="1053">
    <w:name w:val="Footer"/>
    <w:basedOn w:val="1021"/>
    <w:link w:val="10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054" w:customStyle="1">
    <w:name w:val="Нижний колонтитул Знак"/>
    <w:link w:val="1053"/>
    <w:uiPriority w:val="99"/>
  </w:style>
  <w:style w:type="paragraph" w:styleId="1055">
    <w:name w:val="Caption"/>
    <w:basedOn w:val="1021"/>
    <w:next w:val="1021"/>
    <w:link w:val="105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1056" w:customStyle="1">
    <w:name w:val="Название объекта Знак"/>
    <w:link w:val="1055"/>
    <w:uiPriority w:val="35"/>
    <w:rPr>
      <w:b/>
      <w:bCs/>
      <w:color w:val="5b9bd5" w:themeColor="accent1"/>
      <w:sz w:val="18"/>
      <w:szCs w:val="18"/>
    </w:rPr>
  </w:style>
  <w:style w:type="table" w:styleId="1057">
    <w:name w:val="Table Grid"/>
    <w:basedOn w:val="10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58" w:customStyle="1">
    <w:name w:val="Table Grid Light"/>
    <w:basedOn w:val="10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59">
    <w:name w:val="Plain Table 1"/>
    <w:basedOn w:val="10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60">
    <w:name w:val="Plain Table 2"/>
    <w:basedOn w:val="10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61">
    <w:name w:val="Plain Table 3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62">
    <w:name w:val="Plain Table 4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>
    <w:name w:val="Plain Table 5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64">
    <w:name w:val="Grid Table 1 Light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 w:customStyle="1">
    <w:name w:val="Grid Table 1 Light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 w:customStyle="1">
    <w:name w:val="Grid Table 1 Light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7" w:customStyle="1">
    <w:name w:val="Grid Table 1 Light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8" w:customStyle="1">
    <w:name w:val="Grid Table 1 Light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 w:customStyle="1">
    <w:name w:val="Grid Table 1 Light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0" w:customStyle="1">
    <w:name w:val="Grid Table 1 Light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1">
    <w:name w:val="Grid Table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 w:customStyle="1">
    <w:name w:val="Grid Table 2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 w:customStyle="1">
    <w:name w:val="Grid Table 2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 w:customStyle="1">
    <w:name w:val="Grid Table 2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 w:customStyle="1">
    <w:name w:val="Grid Table 2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 w:customStyle="1">
    <w:name w:val="Grid Table 2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 w:customStyle="1">
    <w:name w:val="Grid Table 2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>
    <w:name w:val="Grid Table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 w:customStyle="1">
    <w:name w:val="Grid Table 3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 w:customStyle="1">
    <w:name w:val="Grid Table 3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 w:customStyle="1">
    <w:name w:val="Grid Table 3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 w:customStyle="1">
    <w:name w:val="Grid Table 3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 w:customStyle="1">
    <w:name w:val="Grid Table 3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 w:customStyle="1">
    <w:name w:val="Grid Table 3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>
    <w:name w:val="Grid Table 4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86" w:customStyle="1">
    <w:name w:val="Grid Table 4 - Accent 1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1087" w:customStyle="1">
    <w:name w:val="Grid Table 4 - Accent 2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088" w:customStyle="1">
    <w:name w:val="Grid Table 4 - Accent 3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089" w:customStyle="1">
    <w:name w:val="Grid Table 4 - Accent 4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090" w:customStyle="1">
    <w:name w:val="Grid Table 4 - Accent 5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1091" w:customStyle="1">
    <w:name w:val="Grid Table 4 - Accent 6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092">
    <w:name w:val="Grid Table 5 Dark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93" w:customStyle="1">
    <w:name w:val="Grid Table 5 Dark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1094" w:customStyle="1">
    <w:name w:val="Grid Table 5 Dark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095" w:customStyle="1">
    <w:name w:val="Grid Table 5 Dark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096" w:customStyle="1">
    <w:name w:val="Grid Table 5 Dark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097" w:customStyle="1">
    <w:name w:val="Grid Table 5 Dark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1098" w:customStyle="1">
    <w:name w:val="Grid Table 5 Dark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099">
    <w:name w:val="Grid Table 6 Colorful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00" w:customStyle="1">
    <w:name w:val="Grid Table 6 Colorful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1101" w:customStyle="1">
    <w:name w:val="Grid Table 6 Colorful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102" w:customStyle="1">
    <w:name w:val="Grid Table 6 Colorful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103" w:customStyle="1">
    <w:name w:val="Grid Table 6 Colorful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104" w:customStyle="1">
    <w:name w:val="Grid Table 6 Colorful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105" w:customStyle="1">
    <w:name w:val="Grid Table 6 Colorful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106">
    <w:name w:val="Grid Table 7 Colorful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7" w:customStyle="1">
    <w:name w:val="Grid Table 7 Colorful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8" w:customStyle="1">
    <w:name w:val="Grid Table 7 Colorful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9" w:customStyle="1">
    <w:name w:val="Grid Table 7 Colorful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0" w:customStyle="1">
    <w:name w:val="Grid Table 7 Colorful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1" w:customStyle="1">
    <w:name w:val="Grid Table 7 Colorful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2" w:customStyle="1">
    <w:name w:val="Grid Table 7 Colorful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3">
    <w:name w:val="List Table 1 Light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4" w:customStyle="1">
    <w:name w:val="List Table 1 Light - Accent 1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5" w:customStyle="1">
    <w:name w:val="List Table 1 Light - Accent 2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6" w:customStyle="1">
    <w:name w:val="List Table 1 Light - Accent 3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7" w:customStyle="1">
    <w:name w:val="List Table 1 Light - Accent 4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8" w:customStyle="1">
    <w:name w:val="List Table 1 Light - Accent 5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9" w:customStyle="1">
    <w:name w:val="List Table 1 Light - Accent 6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0">
    <w:name w:val="List Table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21" w:customStyle="1">
    <w:name w:val="List Table 2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1122" w:customStyle="1">
    <w:name w:val="List Table 2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123" w:customStyle="1">
    <w:name w:val="List Table 2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124" w:customStyle="1">
    <w:name w:val="List Table 2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125" w:customStyle="1">
    <w:name w:val="List Table 2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1126" w:customStyle="1">
    <w:name w:val="List Table 2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127">
    <w:name w:val="List Table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8" w:customStyle="1">
    <w:name w:val="List Table 3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9" w:customStyle="1">
    <w:name w:val="List Table 3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0" w:customStyle="1">
    <w:name w:val="List Table 3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1" w:customStyle="1">
    <w:name w:val="List Table 3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2" w:customStyle="1">
    <w:name w:val="List Table 3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3" w:customStyle="1">
    <w:name w:val="List Table 3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4">
    <w:name w:val="List Table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5" w:customStyle="1">
    <w:name w:val="List Table 4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6" w:customStyle="1">
    <w:name w:val="List Table 4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7" w:customStyle="1">
    <w:name w:val="List Table 4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8" w:customStyle="1">
    <w:name w:val="List Table 4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9" w:customStyle="1">
    <w:name w:val="List Table 4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0" w:customStyle="1">
    <w:name w:val="List Table 4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1">
    <w:name w:val="List Table 5 Dark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2" w:customStyle="1">
    <w:name w:val="List Table 5 Dark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3" w:customStyle="1">
    <w:name w:val="List Table 5 Dark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4" w:customStyle="1">
    <w:name w:val="List Table 5 Dark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5" w:customStyle="1">
    <w:name w:val="List Table 5 Dark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6" w:customStyle="1">
    <w:name w:val="List Table 5 Dark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7" w:customStyle="1">
    <w:name w:val="List Table 5 Dark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8">
    <w:name w:val="List Table 6 Colorful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49" w:customStyle="1">
    <w:name w:val="List Table 6 Colorful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150" w:customStyle="1">
    <w:name w:val="List Table 6 Colorful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151" w:customStyle="1">
    <w:name w:val="List Table 6 Colorful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152" w:customStyle="1">
    <w:name w:val="List Table 6 Colorful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153" w:customStyle="1">
    <w:name w:val="List Table 6 Colorful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154" w:customStyle="1">
    <w:name w:val="List Table 6 Colorful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155">
    <w:name w:val="List Table 7 Colorful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6" w:customStyle="1">
    <w:name w:val="List Table 7 Colorful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7" w:customStyle="1">
    <w:name w:val="List Table 7 Colorful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8" w:customStyle="1">
    <w:name w:val="List Table 7 Colorful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9" w:customStyle="1">
    <w:name w:val="List Table 7 Colorful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0" w:customStyle="1">
    <w:name w:val="List Table 7 Colorful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1" w:customStyle="1">
    <w:name w:val="List Table 7 Colorful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2" w:customStyle="1">
    <w:name w:val="Lined - Accent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63" w:customStyle="1">
    <w:name w:val="Lined - Accent 1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164" w:customStyle="1">
    <w:name w:val="Lined - Accent 2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65" w:customStyle="1">
    <w:name w:val="Lined - Accent 3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66" w:customStyle="1">
    <w:name w:val="Lined - Accent 4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67" w:customStyle="1">
    <w:name w:val="Lined - Accent 5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168" w:customStyle="1">
    <w:name w:val="Lined - Accent 6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69" w:customStyle="1">
    <w:name w:val="Bordered &amp; Lined - Accent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70" w:customStyle="1">
    <w:name w:val="Bordered &amp; Lined - Accent 1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171" w:customStyle="1">
    <w:name w:val="Bordered &amp; Lined - Accent 2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72" w:customStyle="1">
    <w:name w:val="Bordered &amp; Lined - Accent 3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73" w:customStyle="1">
    <w:name w:val="Bordered &amp; Lined - Accent 4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74" w:customStyle="1">
    <w:name w:val="Bordered &amp; Lined - Accent 5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175" w:customStyle="1">
    <w:name w:val="Bordered &amp; Lined - Accent 6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76" w:customStyle="1">
    <w:name w:val="Bordered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77" w:customStyle="1">
    <w:name w:val="Bordered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178" w:customStyle="1">
    <w:name w:val="Bordered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179" w:customStyle="1">
    <w:name w:val="Bordered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180" w:customStyle="1">
    <w:name w:val="Bordered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181" w:customStyle="1">
    <w:name w:val="Bordered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182" w:customStyle="1">
    <w:name w:val="Bordered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183">
    <w:name w:val="Hyperlink"/>
    <w:uiPriority w:val="99"/>
    <w:unhideWhenUsed/>
    <w:rPr>
      <w:color w:val="0563c1" w:themeColor="hyperlink"/>
      <w:u w:val="single"/>
    </w:rPr>
  </w:style>
  <w:style w:type="paragraph" w:styleId="1184">
    <w:name w:val="footnote text"/>
    <w:basedOn w:val="1021"/>
    <w:link w:val="1185"/>
    <w:uiPriority w:val="99"/>
    <w:semiHidden/>
    <w:unhideWhenUsed/>
    <w:pPr>
      <w:spacing w:after="40" w:line="240" w:lineRule="auto"/>
    </w:pPr>
    <w:rPr>
      <w:sz w:val="18"/>
    </w:rPr>
  </w:style>
  <w:style w:type="character" w:styleId="1185" w:customStyle="1">
    <w:name w:val="Текст сноски Знак"/>
    <w:link w:val="1184"/>
    <w:uiPriority w:val="99"/>
    <w:rPr>
      <w:sz w:val="18"/>
    </w:rPr>
  </w:style>
  <w:style w:type="character" w:styleId="1186">
    <w:name w:val="footnote reference"/>
    <w:uiPriority w:val="99"/>
    <w:unhideWhenUsed/>
    <w:rPr>
      <w:vertAlign w:val="superscript"/>
    </w:rPr>
  </w:style>
  <w:style w:type="paragraph" w:styleId="1187">
    <w:name w:val="endnote text"/>
    <w:basedOn w:val="1021"/>
    <w:link w:val="1188"/>
    <w:uiPriority w:val="99"/>
    <w:semiHidden/>
    <w:unhideWhenUsed/>
    <w:pPr>
      <w:spacing w:after="0" w:line="240" w:lineRule="auto"/>
    </w:pPr>
    <w:rPr>
      <w:sz w:val="20"/>
    </w:rPr>
  </w:style>
  <w:style w:type="character" w:styleId="1188" w:customStyle="1">
    <w:name w:val="Текст концевой сноски Знак"/>
    <w:link w:val="1187"/>
    <w:uiPriority w:val="99"/>
    <w:rPr>
      <w:sz w:val="20"/>
    </w:rPr>
  </w:style>
  <w:style w:type="character" w:styleId="1189">
    <w:name w:val="endnote reference"/>
    <w:uiPriority w:val="99"/>
    <w:semiHidden/>
    <w:unhideWhenUsed/>
    <w:rPr>
      <w:vertAlign w:val="superscript"/>
    </w:rPr>
  </w:style>
  <w:style w:type="paragraph" w:styleId="1190">
    <w:name w:val="toc 1"/>
    <w:basedOn w:val="1021"/>
    <w:next w:val="1021"/>
    <w:uiPriority w:val="39"/>
    <w:unhideWhenUsed/>
    <w:pPr>
      <w:spacing w:after="57"/>
    </w:pPr>
  </w:style>
  <w:style w:type="paragraph" w:styleId="1191">
    <w:name w:val="toc 2"/>
    <w:basedOn w:val="1021"/>
    <w:next w:val="1021"/>
    <w:uiPriority w:val="39"/>
    <w:unhideWhenUsed/>
    <w:pPr>
      <w:ind w:left="283"/>
      <w:spacing w:after="57"/>
    </w:pPr>
  </w:style>
  <w:style w:type="paragraph" w:styleId="1192">
    <w:name w:val="toc 3"/>
    <w:basedOn w:val="1021"/>
    <w:next w:val="1021"/>
    <w:uiPriority w:val="39"/>
    <w:unhideWhenUsed/>
    <w:pPr>
      <w:ind w:left="567"/>
      <w:spacing w:after="57"/>
    </w:pPr>
  </w:style>
  <w:style w:type="paragraph" w:styleId="1193">
    <w:name w:val="toc 4"/>
    <w:basedOn w:val="1021"/>
    <w:next w:val="1021"/>
    <w:uiPriority w:val="39"/>
    <w:unhideWhenUsed/>
    <w:pPr>
      <w:ind w:left="850"/>
      <w:spacing w:after="57"/>
    </w:pPr>
  </w:style>
  <w:style w:type="paragraph" w:styleId="1194">
    <w:name w:val="toc 5"/>
    <w:basedOn w:val="1021"/>
    <w:next w:val="1021"/>
    <w:uiPriority w:val="39"/>
    <w:unhideWhenUsed/>
    <w:pPr>
      <w:ind w:left="1134"/>
      <w:spacing w:after="57"/>
    </w:pPr>
  </w:style>
  <w:style w:type="paragraph" w:styleId="1195">
    <w:name w:val="toc 6"/>
    <w:basedOn w:val="1021"/>
    <w:next w:val="1021"/>
    <w:uiPriority w:val="39"/>
    <w:unhideWhenUsed/>
    <w:pPr>
      <w:ind w:left="1417"/>
      <w:spacing w:after="57"/>
    </w:pPr>
  </w:style>
  <w:style w:type="paragraph" w:styleId="1196">
    <w:name w:val="toc 7"/>
    <w:basedOn w:val="1021"/>
    <w:next w:val="1021"/>
    <w:uiPriority w:val="39"/>
    <w:unhideWhenUsed/>
    <w:pPr>
      <w:ind w:left="1701"/>
      <w:spacing w:after="57"/>
    </w:pPr>
  </w:style>
  <w:style w:type="paragraph" w:styleId="1197">
    <w:name w:val="toc 8"/>
    <w:basedOn w:val="1021"/>
    <w:next w:val="1021"/>
    <w:uiPriority w:val="39"/>
    <w:unhideWhenUsed/>
    <w:pPr>
      <w:ind w:left="1984"/>
      <w:spacing w:after="57"/>
    </w:pPr>
  </w:style>
  <w:style w:type="paragraph" w:styleId="1198">
    <w:name w:val="toc 9"/>
    <w:basedOn w:val="1021"/>
    <w:next w:val="1021"/>
    <w:uiPriority w:val="39"/>
    <w:unhideWhenUsed/>
    <w:pPr>
      <w:ind w:left="2268"/>
      <w:spacing w:after="57"/>
    </w:pPr>
  </w:style>
  <w:style w:type="paragraph" w:styleId="1199">
    <w:name w:val="TOC Heading"/>
    <w:uiPriority w:val="39"/>
    <w:unhideWhenUsed/>
  </w:style>
  <w:style w:type="paragraph" w:styleId="1200">
    <w:name w:val="table of figures"/>
    <w:basedOn w:val="1021"/>
    <w:next w:val="1021"/>
    <w:uiPriority w:val="99"/>
    <w:unhideWhenUsed/>
    <w:pPr>
      <w:spacing w:after="0"/>
    </w:pPr>
  </w:style>
  <w:style w:type="paragraph" w:styleId="1201">
    <w:name w:val="No Spacing"/>
    <w:basedOn w:val="1021"/>
    <w:uiPriority w:val="1"/>
    <w:qFormat/>
    <w:pPr>
      <w:spacing w:after="0" w:line="240" w:lineRule="auto"/>
    </w:pPr>
  </w:style>
  <w:style w:type="paragraph" w:styleId="1202">
    <w:name w:val="List Paragraph"/>
    <w:basedOn w:val="1021"/>
    <w:uiPriority w:val="34"/>
    <w:qFormat/>
    <w:pPr>
      <w:contextualSpacing/>
      <w:ind w:left="720"/>
    </w:pPr>
  </w:style>
  <w:style w:type="paragraph" w:styleId="1203" w:customStyle="1">
    <w:name w:val="Основной текст1"/>
    <w:uiPriority w:val="99"/>
    <w:pPr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204" w:customStyle="1">
    <w:name w:val="Заголовок №2"/>
    <w:qFormat/>
    <w:pPr>
      <w:ind w:hanging="360"/>
      <w:jc w:val="both"/>
      <w:spacing w:after="0" w:line="37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paragraph" w:styleId="1205" w:customStyle="1">
    <w:name w:val="Основной текст4"/>
    <w:qFormat/>
    <w:pPr>
      <w:ind w:hanging="440"/>
      <w:jc w:val="both"/>
      <w:spacing w:after="0" w:line="37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1206" w:customStyle="1">
    <w:name w:val="Название поля/пункт меню"/>
    <w:qFormat/>
    <w:pPr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i/>
      <w:sz w:val="20"/>
      <w:szCs w:val="20"/>
      <w:lang w:eastAsia="ru-RU"/>
    </w:rPr>
  </w:style>
  <w:style w:type="paragraph" w:styleId="1207" w:customStyle="1">
    <w:name w:val="Основной текст (3)"/>
    <w:qFormat/>
    <w:pPr>
      <w:ind w:hanging="720"/>
      <w:jc w:val="both"/>
      <w:spacing w:after="6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paragraph" w:styleId="1208" w:customStyle="1">
    <w:name w:val="Обычный (веб)1"/>
    <w:uiPriority w:val="99"/>
    <w:qFormat/>
    <w:pPr>
      <w:spacing w:before="100" w:beforeAutospacing="1" w:after="100" w:afterAutospacing="1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09" w:customStyle="1">
    <w:name w:val="Основной текст + 11 pt"/>
    <w:qFormat/>
    <w:rPr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1210" w:customStyle="1">
    <w:name w:val="Подпись к таблице (2)"/>
    <w:pPr>
      <w:spacing w:after="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1211" w:customStyle="1">
    <w:name w:val="Основной текст2"/>
    <w:uiPriority w:val="99"/>
    <w:pPr>
      <w:ind w:hanging="420"/>
      <w:jc w:val="center"/>
      <w:spacing w:before="4920" w:after="6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lang w:eastAsia="ru-RU" w:bidi="ru-RU"/>
    </w:rPr>
  </w:style>
  <w:style w:type="paragraph" w:styleId="1212">
    <w:name w:val="annotation text"/>
    <w:basedOn w:val="1021"/>
    <w:link w:val="1213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213" w:customStyle="1">
    <w:name w:val="Текст примечания Знак"/>
    <w:basedOn w:val="1031"/>
    <w:link w:val="1212"/>
    <w:uiPriority w:val="99"/>
    <w:semiHidden/>
    <w:rPr>
      <w:sz w:val="20"/>
      <w:szCs w:val="20"/>
    </w:rPr>
  </w:style>
  <w:style w:type="character" w:styleId="1214">
    <w:name w:val="annotation reference"/>
    <w:basedOn w:val="1031"/>
    <w:uiPriority w:val="99"/>
    <w:semiHidden/>
    <w:unhideWhenUsed/>
    <w:rPr>
      <w:sz w:val="16"/>
      <w:szCs w:val="16"/>
    </w:rPr>
  </w:style>
  <w:style w:type="paragraph" w:styleId="1215">
    <w:name w:val="Balloon Text"/>
    <w:basedOn w:val="1021"/>
    <w:link w:val="121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216" w:customStyle="1">
    <w:name w:val="Текст выноски Знак"/>
    <w:basedOn w:val="1031"/>
    <w:link w:val="1215"/>
    <w:uiPriority w:val="99"/>
    <w:semiHidden/>
    <w:rPr>
      <w:rFonts w:ascii="Segoe UI" w:hAnsi="Segoe UI" w:cs="Segoe UI"/>
      <w:sz w:val="18"/>
      <w:szCs w:val="18"/>
    </w:rPr>
  </w:style>
  <w:style w:type="paragraph" w:styleId="1217" w:customStyle="1">
    <w:name w:val="ИАЦ. Текст-таблица"/>
    <w:qFormat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218" w:customStyle="1">
    <w:name w:val="Основной текст (2)"/>
    <w:pPr>
      <w:contextualSpacing w:val="0"/>
      <w:ind w:left="0" w:right="0" w:hanging="700"/>
      <w:jc w:val="left"/>
      <w:keepLines w:val="0"/>
      <w:keepNext w:val="0"/>
      <w:pageBreakBefore w:val="0"/>
      <w:spacing w:before="0" w:beforeAutospacing="0" w:after="0" w:afterAutospacing="0" w:line="32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19" w:customStyle="1">
    <w:name w:val="ЗАГОЛОВОК (титульная)"/>
    <w:basedOn w:val="1220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cs="Times New Roman" w:eastAsiaTheme="majorEastAsia"/>
      <w:b/>
      <w:bCs/>
      <w:i w:val="0"/>
      <w:iCs w:val="0"/>
      <w:caps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0" w:customStyle="1">
    <w:name w:val="Обычный1"/>
    <w:pPr>
      <w:contextualSpacing w:val="0"/>
      <w:ind w:left="0" w:right="0" w:firstLine="851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aj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1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2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eastAsia="Times New Roman" w:cs="Calibri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223" w:customStyle="1">
    <w:name w:val="ConsPlusNonformat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224" w:customStyle="1">
    <w:name w:val="_ОснТекст"/>
    <w:pPr>
      <w:contextualSpacing w:val="0"/>
      <w:ind w:left="0" w:right="0" w:firstLine="567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5" w:customStyle="1">
    <w:name w:val="ТАБ-заг."/>
    <w:link w:val="1222"/>
    <w:qFormat/>
    <w:pPr>
      <w:contextualSpacing w:val="0"/>
      <w:ind w:left="0" w:right="0" w:firstLine="0"/>
      <w:jc w:val="center"/>
      <w:keepLines w:val="0"/>
      <w:keepNext/>
      <w:pageBreakBefore w:val="0"/>
      <w:spacing w:before="60" w:beforeAutospacing="0" w:after="6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Calibr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226" w:customStyle="1">
    <w:name w:val="ТАБ-текст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1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227" w:customStyle="1">
    <w:name w:val="Normal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228" w:customStyle="1">
    <w:name w:val="Strong"/>
    <w:qFormat/>
    <w:rPr>
      <w:b/>
      <w:bCs/>
    </w:rPr>
  </w:style>
  <w:style w:type="paragraph" w:styleId="1229" w:customStyle="1">
    <w:name w:val="Body Text"/>
    <w:basedOn w:val="112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empora LGC Uni" w:hAnsi="Tempora LGC Uni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230" w:customStyle="1">
    <w:name w:val="Второй уровень"/>
    <w:basedOn w:val="1076"/>
    <w:qFormat/>
    <w:pPr>
      <w:numPr>
        <w:ilvl w:val="0"/>
        <w:numId w:val="0"/>
      </w:numPr>
      <w:contextualSpacing/>
      <w:ind w:left="0" w:right="0" w:firstLine="709"/>
      <w:jc w:val="both"/>
      <w:keepLines w:val="0"/>
      <w:keepNext w:val="0"/>
      <w:pageBreakBefore w:val="0"/>
      <w:spacing w:before="6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ahoma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character" w:styleId="1231" w:customStyle="1">
    <w:name w:val="Emphasis"/>
    <w:uiPriority w:val="20"/>
    <w:qFormat/>
    <w:rPr>
      <w:i/>
      <w:iCs/>
    </w:rPr>
  </w:style>
  <w:style w:type="character" w:styleId="1232" w:customStyle="1">
    <w:name w:val="Номер в таблице_character"/>
    <w:rPr>
      <w:lang w:val="ru-RU"/>
    </w:rPr>
  </w:style>
  <w:style w:type="paragraph" w:styleId="1233" w:customStyle="1">
    <w:name w:val="Списки в таблице"/>
    <w:qFormat/>
    <w:pPr>
      <w:numPr>
        <w:ilvl w:val="0"/>
        <w:numId w:val="0"/>
      </w:numPr>
      <w:contextualSpacing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4" w:customStyle="1">
    <w:name w:val="Содержимое таблицы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Земцова Наталья Николаевна</dc:creator>
  <cp:lastModifiedBy>a.ryabikin</cp:lastModifiedBy>
  <cp:revision>64</cp:revision>
  <dcterms:created xsi:type="dcterms:W3CDTF">2026-05-06T07:14:00Z</dcterms:created>
  <dcterms:modified xsi:type="dcterms:W3CDTF">2026-09-30T06:11:32Z</dcterms:modified>
</cp:coreProperties>
</file>