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numbering.xml" ContentType="application/vnd.openxmlformats-officedocument.wordprocessingml.numbering+xml"/>
  <Override PartName="/word/footer4.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header6.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pPr w:horzAnchor="text" w:tblpX="250" w:vertAnchor="text" w:tblpY="1" w:leftFromText="180" w:topFromText="0" w:rightFromText="180" w:bottomFromText="0"/>
        <w:tblW w:w="9889" w:type="dxa"/>
        <w:tblLayout w:type="fixed"/>
        <w:tblLook w:val="04A0" w:firstRow="1" w:lastRow="0" w:firstColumn="1" w:lastColumn="0" w:noHBand="0" w:noVBand="1"/>
      </w:tblPr>
      <w:tblGrid>
        <w:gridCol w:w="4285"/>
        <w:gridCol w:w="5604"/>
      </w:tblGrid>
      <w:tr>
        <w:tblPrEx/>
        <w:trPr>
          <w:trHeight w:val="2116"/>
        </w:trPr>
        <w:tc>
          <w:tcPr>
            <w:tcW w:w="4285" w:type="dxa"/>
            <w:textDirection w:val="lrTb"/>
            <w:noWrap w:val="false"/>
          </w:tcPr>
          <w:p>
            <w:pPr>
              <w:jc w:val="left"/>
              <w:rPr>
                <w:bCs/>
                <w:color w:val="000000"/>
              </w:rPr>
            </w:pPr>
            <w:r>
              <w:rPr>
                <w:bCs/>
                <w:color w:val="000000"/>
              </w:rPr>
            </w:r>
            <w:r>
              <w:rPr>
                <w:bCs/>
                <w:color w:val="000000"/>
              </w:rPr>
            </w:r>
            <w:r>
              <w:rPr>
                <w:bCs/>
                <w:color w:val="000000"/>
              </w:rPr>
            </w:r>
          </w:p>
        </w:tc>
        <w:tc>
          <w:tcPr>
            <w:tcW w:w="5604" w:type="dxa"/>
            <w:textDirection w:val="lrTb"/>
            <w:noWrap w:val="false"/>
          </w:tcPr>
          <w:p>
            <w:pPr>
              <w:jc w:val="right"/>
              <w:spacing w:after="0"/>
              <w:rPr>
                <w:b/>
                <w:i/>
              </w:rPr>
            </w:pPr>
            <w:r>
              <w:rPr>
                <w:b/>
                <w:i/>
              </w:rPr>
              <w:t xml:space="preserve">Утверждена на заседании </w:t>
            </w:r>
            <w:r>
              <w:rPr>
                <w:b/>
                <w:i/>
              </w:rPr>
            </w:r>
            <w:r>
              <w:rPr>
                <w:b/>
                <w:i/>
              </w:rPr>
            </w:r>
          </w:p>
          <w:p>
            <w:pPr>
              <w:jc w:val="right"/>
              <w:spacing w:after="0"/>
              <w:rPr>
                <w:b/>
                <w:i/>
              </w:rPr>
            </w:pPr>
            <w:r>
              <w:rPr>
                <w:b/>
                <w:i/>
              </w:rPr>
              <w:t xml:space="preserve">Постоянно действующей</w:t>
            </w:r>
            <w:r>
              <w:rPr>
                <w:b/>
                <w:i/>
              </w:rPr>
              <w:t xml:space="preserve"> </w:t>
            </w:r>
            <w:r>
              <w:rPr>
                <w:b/>
                <w:i/>
              </w:rPr>
              <w:t xml:space="preserve">закупочной комиссии</w:t>
            </w:r>
            <w:r>
              <w:rPr>
                <w:b/>
                <w:i/>
              </w:rPr>
            </w:r>
            <w:r>
              <w:rPr>
                <w:b/>
                <w:i/>
              </w:rPr>
            </w:r>
          </w:p>
          <w:p>
            <w:pPr>
              <w:rPr>
                <w:bCs/>
                <w:color w:val="000000"/>
              </w:rPr>
            </w:pPr>
            <w:r>
              <w:rPr>
                <w:bCs/>
                <w:color w:val="000000"/>
              </w:rPr>
            </w:r>
            <w:r>
              <w:rPr>
                <w:bCs/>
                <w:color w:val="000000"/>
              </w:rPr>
            </w:r>
            <w:r>
              <w:rPr>
                <w:bCs/>
                <w:color w:val="000000"/>
              </w:rPr>
            </w:r>
          </w:p>
          <w:p>
            <w:pPr>
              <w:rPr>
                <w:bCs/>
                <w:color w:val="000000"/>
              </w:rPr>
            </w:pPr>
            <w:r>
              <w:rPr>
                <w:bCs/>
                <w:color w:val="000000"/>
              </w:rPr>
            </w:r>
            <w:r>
              <w:rPr>
                <w:bCs/>
                <w:color w:val="000000"/>
              </w:rPr>
            </w:r>
            <w:r>
              <w:rPr>
                <w:bCs/>
                <w:color w:val="000000"/>
              </w:rPr>
            </w:r>
          </w:p>
        </w:tc>
      </w:tr>
      <w:tr>
        <w:tblPrEx/>
        <w:trPr>
          <w:trHeight w:val="2116"/>
        </w:trPr>
        <w:tc>
          <w:tcPr>
            <w:tcW w:w="4285" w:type="dxa"/>
            <w:textDirection w:val="lrTb"/>
            <w:noWrap w:val="false"/>
          </w:tcPr>
          <w:p>
            <w:pPr>
              <w:rPr>
                <w:color w:val="000000"/>
              </w:rPr>
            </w:pPr>
            <w:r>
              <w:rPr>
                <w:color w:val="000000"/>
              </w:rPr>
            </w:r>
            <w:r>
              <w:rPr>
                <w:color w:val="000000"/>
              </w:rPr>
            </w:r>
            <w:r>
              <w:rPr>
                <w:color w:val="000000"/>
              </w:rPr>
            </w:r>
          </w:p>
          <w:p>
            <w:pPr>
              <w:rPr>
                <w:color w:val="000000"/>
              </w:rPr>
            </w:pPr>
            <w:r>
              <w:rPr>
                <w:color w:val="000000"/>
              </w:rPr>
            </w:r>
            <w:r>
              <w:rPr>
                <w:color w:val="000000"/>
              </w:rPr>
            </w:r>
            <w:r>
              <w:rPr>
                <w:color w:val="000000"/>
              </w:rPr>
            </w:r>
          </w:p>
          <w:p>
            <w:pPr>
              <w:rPr>
                <w:color w:val="000000"/>
              </w:rPr>
            </w:pPr>
            <w:r>
              <w:rPr>
                <w:color w:val="000000"/>
              </w:rPr>
            </w:r>
            <w:r>
              <w:rPr>
                <w:color w:val="000000"/>
              </w:rPr>
            </w:r>
            <w:r>
              <w:rPr>
                <w:color w:val="000000"/>
              </w:rPr>
            </w:r>
          </w:p>
          <w:p>
            <w:pPr>
              <w:rPr>
                <w:color w:val="000000"/>
              </w:rPr>
            </w:pPr>
            <w:r>
              <w:rPr>
                <w:color w:val="000000"/>
              </w:rPr>
            </w:r>
            <w:r>
              <w:rPr>
                <w:color w:val="000000"/>
              </w:rPr>
            </w:r>
            <w:r>
              <w:rPr>
                <w:color w:val="000000"/>
              </w:rPr>
            </w:r>
          </w:p>
          <w:p>
            <w:pPr>
              <w:rPr>
                <w:color w:val="000000"/>
              </w:rPr>
            </w:pPr>
            <w:r>
              <w:rPr>
                <w:color w:val="000000"/>
              </w:rPr>
            </w:r>
            <w:r>
              <w:rPr>
                <w:color w:val="000000"/>
              </w:rPr>
            </w:r>
            <w:r>
              <w:rPr>
                <w:color w:val="000000"/>
              </w:rPr>
            </w:r>
          </w:p>
          <w:p>
            <w:pPr>
              <w:rPr>
                <w:color w:val="000000"/>
              </w:rPr>
            </w:pPr>
            <w:r>
              <w:rPr>
                <w:color w:val="000000"/>
              </w:rPr>
            </w:r>
            <w:r>
              <w:rPr>
                <w:color w:val="000000"/>
              </w:rPr>
            </w:r>
            <w:r>
              <w:rPr>
                <w:color w:val="000000"/>
              </w:rPr>
            </w:r>
          </w:p>
        </w:tc>
        <w:tc>
          <w:tcPr>
            <w:tcW w:w="5604" w:type="dxa"/>
            <w:textDirection w:val="lrTb"/>
            <w:noWrap w:val="false"/>
          </w:tcPr>
          <w:p>
            <w:pPr>
              <w:rPr>
                <w:color w:val="000000"/>
              </w:rPr>
            </w:pPr>
            <w:r>
              <w:rPr>
                <w:color w:val="000000"/>
              </w:rPr>
            </w:r>
            <w:r>
              <w:rPr>
                <w:color w:val="000000"/>
              </w:rPr>
            </w:r>
            <w:r>
              <w:rPr>
                <w:color w:val="000000"/>
              </w:rPr>
            </w:r>
          </w:p>
        </w:tc>
      </w:tr>
    </w:tbl>
    <w:p>
      <w:pPr>
        <w:pStyle w:val="1357"/>
        <w:ind w:left="0" w:right="0" w:firstLine="0"/>
        <w:jc w:val="center"/>
        <w:spacing w:after="120" w:line="240" w:lineRule="auto"/>
        <w:shd w:val="clear" w:color="auto" w:fill="auto"/>
        <w:rPr>
          <w:rFonts w:ascii="Times New Roman" w:hAnsi="Times New Roman"/>
          <w:b/>
          <w:bCs/>
          <w:color w:val="auto"/>
          <w:sz w:val="24"/>
          <w:szCs w:val="24"/>
        </w:rPr>
      </w:pPr>
      <w:r>
        <w:rPr>
          <w:rFonts w:ascii="Times New Roman" w:hAnsi="Times New Roman"/>
          <w:b/>
          <w:bCs/>
          <w:color w:val="auto"/>
          <w:sz w:val="24"/>
          <w:szCs w:val="24"/>
        </w:rPr>
      </w:r>
      <w:r>
        <w:rPr>
          <w:rFonts w:ascii="Times New Roman" w:hAnsi="Times New Roman"/>
          <w:b/>
          <w:bCs/>
          <w:color w:val="auto"/>
          <w:sz w:val="24"/>
          <w:szCs w:val="24"/>
        </w:rPr>
      </w:r>
      <w:r>
        <w:rPr>
          <w:rFonts w:ascii="Times New Roman" w:hAnsi="Times New Roman"/>
          <w:b/>
          <w:bCs/>
          <w:color w:val="auto"/>
          <w:sz w:val="24"/>
          <w:szCs w:val="24"/>
        </w:rPr>
      </w:r>
    </w:p>
    <w:p>
      <w:pPr>
        <w:pStyle w:val="1357"/>
        <w:ind w:left="0" w:right="0" w:firstLine="0"/>
        <w:jc w:val="center"/>
        <w:spacing w:after="120" w:line="240" w:lineRule="auto"/>
        <w:shd w:val="clear" w:color="auto" w:fill="auto"/>
        <w:rPr>
          <w:rFonts w:ascii="Times New Roman" w:hAnsi="Times New Roman"/>
          <w:b/>
          <w:bCs/>
          <w:color w:val="auto"/>
          <w:sz w:val="24"/>
          <w:szCs w:val="24"/>
        </w:rPr>
      </w:pPr>
      <w:r>
        <w:rPr>
          <w:rFonts w:ascii="Times New Roman" w:hAnsi="Times New Roman"/>
          <w:b/>
          <w:bCs/>
          <w:color w:val="auto"/>
          <w:sz w:val="24"/>
          <w:szCs w:val="24"/>
        </w:rPr>
      </w:r>
      <w:r>
        <w:rPr>
          <w:rFonts w:ascii="Times New Roman" w:hAnsi="Times New Roman"/>
          <w:b/>
          <w:bCs/>
          <w:color w:val="auto"/>
          <w:sz w:val="24"/>
          <w:szCs w:val="24"/>
        </w:rPr>
      </w:r>
      <w:r>
        <w:rPr>
          <w:rFonts w:ascii="Times New Roman" w:hAnsi="Times New Roman"/>
          <w:b/>
          <w:bCs/>
          <w:color w:val="auto"/>
          <w:sz w:val="24"/>
          <w:szCs w:val="24"/>
        </w:rPr>
      </w:r>
    </w:p>
    <w:p>
      <w:pPr>
        <w:pStyle w:val="1357"/>
        <w:ind w:left="0" w:right="0" w:firstLine="0"/>
        <w:jc w:val="center"/>
        <w:spacing w:after="120" w:line="240" w:lineRule="auto"/>
        <w:shd w:val="clear" w:color="auto" w:fill="auto"/>
        <w:rPr>
          <w:rFonts w:ascii="Times New Roman" w:hAnsi="Times New Roman"/>
          <w:b/>
          <w:bCs/>
          <w:color w:val="auto"/>
          <w:sz w:val="24"/>
          <w:szCs w:val="24"/>
        </w:rPr>
      </w:pPr>
      <w:r>
        <w:rPr>
          <w:rFonts w:ascii="Times New Roman" w:hAnsi="Times New Roman"/>
          <w:b/>
          <w:bCs/>
          <w:color w:val="auto"/>
          <w:sz w:val="24"/>
          <w:szCs w:val="24"/>
        </w:rPr>
      </w:r>
      <w:r>
        <w:rPr>
          <w:rFonts w:ascii="Times New Roman" w:hAnsi="Times New Roman"/>
          <w:b/>
          <w:bCs/>
          <w:color w:val="auto"/>
          <w:sz w:val="24"/>
          <w:szCs w:val="24"/>
        </w:rPr>
      </w:r>
      <w:r>
        <w:rPr>
          <w:rFonts w:ascii="Times New Roman" w:hAnsi="Times New Roman"/>
          <w:b/>
          <w:bCs/>
          <w:color w:val="auto"/>
          <w:sz w:val="24"/>
          <w:szCs w:val="24"/>
        </w:rPr>
      </w:r>
    </w:p>
    <w:p>
      <w:pPr>
        <w:pStyle w:val="1357"/>
        <w:ind w:left="0" w:right="0" w:firstLine="0"/>
        <w:jc w:val="center"/>
        <w:spacing w:line="240" w:lineRule="auto"/>
        <w:shd w:val="clear" w:color="auto" w:fill="auto"/>
        <w:rPr>
          <w:rFonts w:ascii="Times New Roman" w:hAnsi="Times New Roman"/>
          <w:b/>
          <w:bCs/>
          <w:i/>
          <w:color w:val="auto"/>
          <w:sz w:val="24"/>
          <w:szCs w:val="24"/>
        </w:rPr>
      </w:pPr>
      <w:r>
        <w:rPr>
          <w:rFonts w:ascii="Times New Roman" w:hAnsi="Times New Roman"/>
          <w:b/>
          <w:bCs/>
          <w:i/>
          <w:color w:val="auto"/>
          <w:sz w:val="24"/>
          <w:szCs w:val="24"/>
        </w:rPr>
        <w:t xml:space="preserve">ДОКУМЕНТАЦИЯ О ЗАКУПКЕ</w:t>
      </w:r>
      <w:r>
        <w:rPr>
          <w:rFonts w:ascii="Times New Roman" w:hAnsi="Times New Roman"/>
          <w:b/>
          <w:bCs/>
          <w:i/>
          <w:color w:val="auto"/>
          <w:sz w:val="24"/>
          <w:szCs w:val="24"/>
        </w:rPr>
      </w:r>
      <w:r>
        <w:rPr>
          <w:rFonts w:ascii="Times New Roman" w:hAnsi="Times New Roman"/>
          <w:b/>
          <w:bCs/>
          <w:i/>
          <w:color w:val="auto"/>
          <w:sz w:val="24"/>
          <w:szCs w:val="24"/>
        </w:rPr>
      </w:r>
    </w:p>
    <w:p>
      <w:pPr>
        <w:jc w:val="center"/>
        <w:spacing w:after="0"/>
        <w:rPr>
          <w:b/>
          <w:bCs/>
          <w:i/>
          <w:sz w:val="28"/>
          <w:szCs w:val="28"/>
        </w:rPr>
      </w:pPr>
      <w:r>
        <w:rPr>
          <w:b/>
          <w:bCs/>
          <w:i/>
          <w:sz w:val="28"/>
          <w:szCs w:val="28"/>
        </w:rPr>
        <w:t xml:space="preserve">на право </w:t>
      </w:r>
      <w:r>
        <w:rPr>
          <w:b/>
          <w:bCs/>
          <w:i/>
          <w:sz w:val="28"/>
          <w:szCs w:val="28"/>
        </w:rPr>
        <w:t xml:space="preserve">заключения договора на  выполнение работ по миграции АРМ пользователей и подключение к системе совместной работы пользователей с учетом импортозамещения офисного программного обеспечения в филиале ПАО «Россети Юг» - «Кубаньэнерго»</w:t>
      </w:r>
      <w:r>
        <w:rPr>
          <w:b/>
          <w:bCs/>
          <w:i/>
          <w:sz w:val="28"/>
          <w:szCs w:val="28"/>
        </w:rPr>
      </w:r>
      <w:r>
        <w:rPr>
          <w:b/>
          <w:bCs/>
          <w:i/>
          <w:sz w:val="28"/>
          <w:szCs w:val="28"/>
        </w:rPr>
      </w:r>
    </w:p>
    <w:p>
      <w:pPr>
        <w:jc w:val="center"/>
        <w:spacing w:after="120"/>
        <w:rPr>
          <w:b/>
          <w:bCs/>
        </w:rPr>
      </w:pPr>
      <w:r>
        <w:rPr>
          <w:b/>
          <w:bCs/>
        </w:rPr>
      </w:r>
      <w:r>
        <w:rPr>
          <w:b/>
          <w:bCs/>
        </w:rPr>
      </w:r>
      <w:r>
        <w:rPr>
          <w:b/>
          <w:bCs/>
        </w:rPr>
      </w:r>
    </w:p>
    <w:p>
      <w:pPr>
        <w:jc w:val="center"/>
        <w:spacing w:after="120"/>
        <w:rPr>
          <w:b/>
          <w:bCs/>
        </w:rPr>
      </w:pPr>
      <w:r>
        <w:rPr>
          <w:b/>
          <w:bCs/>
        </w:rPr>
      </w:r>
      <w:r>
        <w:rPr>
          <w:b/>
          <w:bCs/>
        </w:rPr>
      </w:r>
      <w:r>
        <w:rPr>
          <w:b/>
          <w:bCs/>
        </w:rPr>
      </w:r>
    </w:p>
    <w:p>
      <w:pPr>
        <w:jc w:val="center"/>
        <w:spacing w:after="120"/>
        <w:rPr>
          <w:b/>
          <w:bCs/>
        </w:rPr>
      </w:pPr>
      <w:r>
        <w:rPr>
          <w:b/>
          <w:bCs/>
        </w:rPr>
      </w:r>
      <w:r>
        <w:rPr>
          <w:b/>
          <w:bCs/>
        </w:rPr>
      </w:r>
      <w:r>
        <w:rPr>
          <w:b/>
          <w:bCs/>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i/>
        </w:rPr>
      </w:pPr>
      <w:r>
        <w:rPr>
          <w:b/>
          <w:bCs/>
          <w:i/>
        </w:rPr>
      </w:r>
      <w:r>
        <w:rPr>
          <w:b/>
          <w:bCs/>
          <w:i/>
        </w:rPr>
      </w:r>
      <w:r>
        <w:rPr>
          <w:b/>
          <w:bCs/>
          <w:i/>
        </w:rPr>
      </w:r>
    </w:p>
    <w:p>
      <w:pPr>
        <w:pStyle w:val="1211"/>
        <w:jc w:val="center"/>
        <w:spacing w:after="0"/>
        <w:rPr>
          <w:b/>
          <w:bCs/>
        </w:rPr>
      </w:pPr>
      <w:r>
        <w:rPr>
          <w:b/>
          <w:bCs/>
          <w:i/>
        </w:rPr>
        <w:t xml:space="preserve">г. </w:t>
      </w:r>
      <w:r>
        <w:rPr>
          <w:b/>
          <w:i/>
        </w:rPr>
        <w:t xml:space="preserve">Краснодар</w:t>
      </w:r>
      <w:r>
        <w:rPr>
          <w:bCs/>
          <w:i/>
        </w:rPr>
        <w:br/>
      </w:r>
      <w:r>
        <w:rPr>
          <w:b/>
          <w:bCs/>
          <w:i/>
        </w:rPr>
        <w:t xml:space="preserve">2026 год</w:t>
      </w:r>
      <w:r>
        <w:rPr>
          <w:sz w:val="28"/>
          <w:szCs w:val="28"/>
        </w:rPr>
        <w:t xml:space="preserve"> </w:t>
      </w:r>
      <w:r>
        <w:rPr>
          <w:sz w:val="28"/>
          <w:szCs w:val="28"/>
        </w:rPr>
        <w:br w:type="page" w:clear="all"/>
      </w:r>
      <w:r>
        <w:rPr>
          <w:b/>
          <w:bCs/>
        </w:rPr>
      </w:r>
      <w:r>
        <w:rPr>
          <w:b/>
          <w:bCs/>
        </w:rPr>
      </w:r>
    </w:p>
    <w:p>
      <w:pPr>
        <w:pStyle w:val="1013"/>
        <w:ind w:left="567" w:firstLine="0"/>
        <w:keepNext w:val="0"/>
        <w:spacing w:before="0" w:after="0"/>
        <w:tabs>
          <w:tab w:val="clear" w:pos="432" w:leader="none"/>
        </w:tabs>
        <w:rPr>
          <w:rStyle w:val="1316"/>
          <w:b/>
          <w:i/>
          <w:caps/>
          <w:sz w:val="20"/>
          <w:szCs w:val="20"/>
        </w:rPr>
      </w:pPr>
      <w:r/>
      <w:bookmarkStart w:id="0" w:name="_Toc51"/>
      <w:r>
        <w:rPr>
          <w:rStyle w:val="1316"/>
          <w:b/>
          <w:i/>
          <w:caps/>
          <w:sz w:val="20"/>
          <w:szCs w:val="20"/>
        </w:rPr>
        <w:t xml:space="preserve">СОДЕРЖАНИЕ</w:t>
      </w:r>
      <w:bookmarkEnd w:id="0"/>
      <w:r>
        <w:rPr>
          <w:rStyle w:val="1316"/>
          <w:b/>
          <w:i/>
          <w:caps/>
          <w:sz w:val="20"/>
          <w:szCs w:val="20"/>
        </w:rPr>
      </w:r>
      <w:r>
        <w:rPr>
          <w:rStyle w:val="1316"/>
          <w:b/>
          <w:i/>
          <w:caps/>
          <w:sz w:val="20"/>
          <w:szCs w:val="20"/>
        </w:rPr>
      </w:r>
    </w:p>
    <w:p>
      <w:pPr>
        <w:pStyle w:val="1205"/>
        <w:rPr>
          <w:rStyle w:val="1316"/>
          <w:i/>
        </w:rPr>
      </w:pPr>
      <w:r>
        <w:rPr>
          <w:i/>
          <w:iCs/>
          <w:smallCaps/>
        </w:rPr>
        <w:fldChar w:fldCharType="begin"/>
      </w:r>
      <w:r>
        <w:rPr>
          <w:i/>
          <w:iCs/>
          <w:smallCaps/>
        </w:rPr>
        <w:instrText xml:space="preserve"> TOC \o "1-2" \h \z \u </w:instrText>
      </w:r>
      <w:r>
        <w:rPr>
          <w:i/>
          <w:iCs/>
          <w:smallCaps/>
        </w:rPr>
        <w:fldChar w:fldCharType="separate"/>
      </w:r>
      <w:hyperlink w:tooltip="#_Toc51" w:anchor="_Toc51" w:history="1">
        <w:r>
          <w:rPr>
            <w:rStyle w:val="1241"/>
            <w:i/>
          </w:rPr>
          <w:t xml:space="preserve">СОДЕРЖАНИЕ</w:t>
        </w:r>
        <w:r>
          <w:rPr>
            <w:i/>
          </w:rPr>
          <w:tab/>
        </w:r>
        <w:r>
          <w:rPr>
            <w:i/>
          </w:rPr>
          <w:fldChar w:fldCharType="begin"/>
        </w:r>
        <w:r>
          <w:rPr>
            <w:i/>
          </w:rPr>
          <w:instrText xml:space="preserve">PAGEREF _Toc51 \h</w:instrText>
        </w:r>
        <w:r>
          <w:rPr>
            <w:i/>
          </w:rPr>
        </w:r>
        <w:r>
          <w:rPr>
            <w:i/>
          </w:rPr>
          <w:fldChar w:fldCharType="separate"/>
        </w:r>
        <w:r>
          <w:rPr>
            <w:rStyle w:val="1241"/>
            <w:i/>
          </w:rPr>
          <w:t xml:space="preserve">2</w:t>
        </w:r>
        <w:r>
          <w:rPr>
            <w:i/>
          </w:rPr>
          <w:fldChar w:fldCharType="end"/>
        </w:r>
      </w:hyperlink>
      <w:r>
        <w:rPr>
          <w:rStyle w:val="1316"/>
          <w:i/>
        </w:rPr>
      </w:r>
      <w:r>
        <w:rPr>
          <w:rStyle w:val="1316"/>
          <w:i/>
        </w:rPr>
      </w:r>
    </w:p>
    <w:p>
      <w:pPr>
        <w:pStyle w:val="1205"/>
        <w:tabs>
          <w:tab w:val="left" w:pos="567" w:leader="none"/>
        </w:tabs>
        <w:rPr>
          <w:rStyle w:val="1316"/>
          <w:i/>
        </w:rPr>
      </w:pPr>
      <w:r/>
      <w:hyperlink w:tooltip="#_Toc52" w:anchor="_Toc52" w:history="1">
        <w:r>
          <w:rPr>
            <w:i/>
          </w:rPr>
          <w:t xml:space="preserve">I.</w:t>
        </w:r>
        <w:r>
          <w:rPr>
            <w:i/>
          </w:rPr>
          <w:tab/>
        </w:r>
        <w:r>
          <w:rPr>
            <w:rStyle w:val="1241"/>
            <w:i/>
            <w:iCs/>
          </w:rPr>
          <w:t xml:space="preserve">ОБЩИЕ УСЛОВИЯ ПРОВЕДЕНИЯ ЗАКУПКИ</w:t>
        </w:r>
        <w:r>
          <w:rPr>
            <w:i/>
          </w:rPr>
          <w:tab/>
        </w:r>
        <w:r>
          <w:rPr>
            <w:i/>
          </w:rPr>
          <w:fldChar w:fldCharType="begin"/>
        </w:r>
        <w:r>
          <w:rPr>
            <w:i/>
          </w:rPr>
          <w:instrText xml:space="preserve">PAGEREF _Toc52 \h</w:instrText>
        </w:r>
        <w:r>
          <w:rPr>
            <w:i/>
          </w:rPr>
        </w:r>
        <w:r>
          <w:rPr>
            <w:i/>
          </w:rPr>
          <w:fldChar w:fldCharType="separate"/>
        </w:r>
        <w:r>
          <w:rPr>
            <w:i/>
          </w:rPr>
          <w:t xml:space="preserve">3</w:t>
        </w:r>
        <w:r>
          <w:rPr>
            <w:i/>
          </w:rPr>
          <w:fldChar w:fldCharType="end"/>
        </w:r>
      </w:hyperlink>
      <w:r>
        <w:rPr>
          <w:rStyle w:val="1316"/>
          <w:i/>
        </w:rPr>
      </w:r>
      <w:r>
        <w:rPr>
          <w:rStyle w:val="1316"/>
          <w:i/>
        </w:rPr>
      </w:r>
    </w:p>
    <w:p>
      <w:pPr>
        <w:pStyle w:val="1205"/>
        <w:tabs>
          <w:tab w:val="left" w:pos="567" w:leader="none"/>
        </w:tabs>
        <w:rPr>
          <w:i/>
        </w:rPr>
      </w:pPr>
      <w:r/>
      <w:hyperlink w:tooltip="#_Toc53" w:anchor="_Toc53" w:history="1">
        <w:r>
          <w:rPr>
            <w:i/>
          </w:rPr>
          <w:t xml:space="preserve">1.</w:t>
        </w:r>
        <w:r>
          <w:rPr>
            <w:i/>
          </w:rPr>
          <w:tab/>
        </w:r>
        <w:r>
          <w:rPr>
            <w:rStyle w:val="1241"/>
            <w:i/>
          </w:rPr>
          <w:t xml:space="preserve">ОБЩИЕ ПОЛОЖЕНИЯ</w:t>
        </w:r>
        <w:r>
          <w:rPr>
            <w:i/>
          </w:rPr>
          <w:tab/>
        </w:r>
        <w:r>
          <w:rPr>
            <w:i/>
          </w:rPr>
          <w:fldChar w:fldCharType="begin"/>
        </w:r>
        <w:r>
          <w:rPr>
            <w:i/>
          </w:rPr>
          <w:instrText xml:space="preserve">PAGEREF _Toc53 \h</w:instrText>
        </w:r>
        <w:r>
          <w:rPr>
            <w:i/>
          </w:rPr>
        </w:r>
        <w:r>
          <w:rPr>
            <w:i/>
          </w:rPr>
          <w:fldChar w:fldCharType="separate"/>
        </w:r>
        <w:r>
          <w:rPr>
            <w:i/>
          </w:rPr>
          <w:t xml:space="preserve">3</w:t>
        </w:r>
        <w:r>
          <w:rPr>
            <w:i/>
          </w:rPr>
          <w:fldChar w:fldCharType="end"/>
        </w:r>
      </w:hyperlink>
      <w:r>
        <w:rPr>
          <w:i/>
        </w:rPr>
      </w:r>
      <w:r>
        <w:rPr>
          <w:i/>
        </w:rPr>
      </w:r>
    </w:p>
    <w:p>
      <w:pPr>
        <w:pStyle w:val="1206"/>
        <w:tabs>
          <w:tab w:val="left" w:pos="850" w:leader="none"/>
          <w:tab w:val="right" w:pos="9629" w:leader="dot"/>
        </w:tabs>
      </w:pPr>
      <w:r/>
      <w:hyperlink w:tooltip="#_Toc54" w:anchor="_Toc54" w:history="1">
        <w:r>
          <w:t xml:space="preserve">1.1.</w:t>
        </w:r>
        <w:r>
          <w:tab/>
        </w:r>
        <w:r>
          <w:rPr>
            <w:rStyle w:val="1241"/>
          </w:rPr>
          <w:t xml:space="preserve">Правовой статус документов</w:t>
        </w:r>
        <w:r>
          <w:tab/>
        </w:r>
        <w:r>
          <w:fldChar w:fldCharType="begin"/>
        </w:r>
        <w:r>
          <w:instrText xml:space="preserve">PAGEREF _Toc54 \h</w:instrText>
        </w:r>
        <w:r>
          <w:fldChar w:fldCharType="separate"/>
        </w:r>
        <w:r>
          <w:t xml:space="preserve">3</w:t>
        </w:r>
        <w:r>
          <w:fldChar w:fldCharType="end"/>
        </w:r>
      </w:hyperlink>
      <w:r/>
      <w:r/>
    </w:p>
    <w:p>
      <w:pPr>
        <w:pStyle w:val="1206"/>
        <w:tabs>
          <w:tab w:val="left" w:pos="850" w:leader="none"/>
          <w:tab w:val="right" w:pos="9629" w:leader="dot"/>
        </w:tabs>
      </w:pPr>
      <w:r/>
      <w:hyperlink w:tooltip="#_Toc55" w:anchor="_Toc55" w:history="1">
        <w:r>
          <w:t xml:space="preserve">1.2.</w:t>
        </w:r>
        <w:r>
          <w:tab/>
        </w:r>
        <w:r>
          <w:rPr>
            <w:rStyle w:val="1241"/>
          </w:rPr>
          <w:t xml:space="preserve">Заказчик, Организатор, предмет и условия проведения закупки.</w:t>
        </w:r>
        <w:r>
          <w:tab/>
        </w:r>
        <w:r>
          <w:fldChar w:fldCharType="begin"/>
        </w:r>
        <w:r>
          <w:instrText xml:space="preserve">PAGEREF _Toc55 \h</w:instrText>
        </w:r>
        <w:r>
          <w:fldChar w:fldCharType="separate"/>
        </w:r>
        <w:r>
          <w:t xml:space="preserve">3</w:t>
        </w:r>
        <w:r>
          <w:fldChar w:fldCharType="end"/>
        </w:r>
      </w:hyperlink>
      <w:r/>
      <w:r/>
    </w:p>
    <w:p>
      <w:pPr>
        <w:pStyle w:val="1206"/>
        <w:tabs>
          <w:tab w:val="left" w:pos="850" w:leader="none"/>
          <w:tab w:val="right" w:pos="9629" w:leader="dot"/>
        </w:tabs>
      </w:pPr>
      <w:r/>
      <w:hyperlink w:tooltip="#_Toc56" w:anchor="_Toc56" w:history="1">
        <w:r>
          <w:t xml:space="preserve">1.3.</w:t>
        </w:r>
        <w:r>
          <w:tab/>
        </w:r>
        <w:r>
          <w:rPr>
            <w:rStyle w:val="1241"/>
          </w:rPr>
          <w:t xml:space="preserve">Начальная (максимальная) цена договора </w:t>
        </w:r>
        <w:r>
          <w:tab/>
        </w:r>
        <w:r>
          <w:fldChar w:fldCharType="begin"/>
        </w:r>
        <w:r>
          <w:instrText xml:space="preserve">PAGEREF _Toc56 \h</w:instrText>
        </w:r>
        <w:r>
          <w:fldChar w:fldCharType="separate"/>
        </w:r>
        <w:r>
          <w:t xml:space="preserve">3</w:t>
        </w:r>
        <w:r>
          <w:fldChar w:fldCharType="end"/>
        </w:r>
      </w:hyperlink>
      <w:r/>
      <w:r/>
    </w:p>
    <w:p>
      <w:pPr>
        <w:pStyle w:val="1206"/>
        <w:tabs>
          <w:tab w:val="left" w:pos="850" w:leader="none"/>
          <w:tab w:val="right" w:pos="9629" w:leader="dot"/>
        </w:tabs>
      </w:pPr>
      <w:r/>
      <w:hyperlink w:tooltip="#_Toc57" w:anchor="_Toc57" w:history="1">
        <w:r>
          <w:t xml:space="preserve">1.4.</w:t>
        </w:r>
        <w:r>
          <w:tab/>
        </w:r>
        <w:r>
          <w:rPr>
            <w:rStyle w:val="1241"/>
          </w:rPr>
          <w:t xml:space="preserve">Требования к участникам закупки</w:t>
        </w:r>
        <w:r>
          <w:tab/>
        </w:r>
        <w:r>
          <w:fldChar w:fldCharType="begin"/>
        </w:r>
        <w:r>
          <w:instrText xml:space="preserve">PAGEREF _Toc57 \h</w:instrText>
        </w:r>
        <w:r>
          <w:fldChar w:fldCharType="separate"/>
        </w:r>
        <w:r>
          <w:t xml:space="preserve">4</w:t>
        </w:r>
        <w:r>
          <w:fldChar w:fldCharType="end"/>
        </w:r>
      </w:hyperlink>
      <w:r/>
      <w:r/>
    </w:p>
    <w:p>
      <w:pPr>
        <w:pStyle w:val="1206"/>
        <w:tabs>
          <w:tab w:val="left" w:pos="850" w:leader="none"/>
          <w:tab w:val="right" w:pos="9629" w:leader="dot"/>
        </w:tabs>
      </w:pPr>
      <w:r/>
      <w:hyperlink w:tooltip="#_Toc58" w:anchor="_Toc58" w:history="1">
        <w:r>
          <w:t xml:space="preserve">1.5.</w:t>
        </w:r>
        <w:r>
          <w:tab/>
        </w:r>
        <w:r>
          <w:rPr>
            <w:rStyle w:val="1241"/>
          </w:rPr>
          <w:t xml:space="preserve">Привлечение субподрядчиков/соисполнителей к исполнению договора</w:t>
        </w:r>
        <w:r>
          <w:tab/>
        </w:r>
        <w:r>
          <w:fldChar w:fldCharType="begin"/>
        </w:r>
        <w:r>
          <w:instrText xml:space="preserve">PAGEREF _Toc58 \h</w:instrText>
        </w:r>
        <w:r>
          <w:fldChar w:fldCharType="separate"/>
        </w:r>
        <w:r>
          <w:t xml:space="preserve">5</w:t>
        </w:r>
        <w:r>
          <w:fldChar w:fldCharType="end"/>
        </w:r>
      </w:hyperlink>
      <w:r/>
      <w:r/>
    </w:p>
    <w:p>
      <w:pPr>
        <w:pStyle w:val="1206"/>
        <w:tabs>
          <w:tab w:val="left" w:pos="850" w:leader="none"/>
          <w:tab w:val="right" w:pos="9629" w:leader="dot"/>
        </w:tabs>
      </w:pPr>
      <w:r/>
      <w:hyperlink w:tooltip="#_Toc59" w:anchor="_Toc59" w:history="1">
        <w:r>
          <w:t xml:space="preserve">1.6.</w:t>
        </w:r>
        <w:r>
          <w:tab/>
        </w:r>
        <w:r>
          <w:rPr>
            <w:rStyle w:val="1241"/>
          </w:rPr>
          <w:t xml:space="preserve">Расходы на участие в закупке и при заключении договора</w:t>
        </w:r>
        <w:r>
          <w:tab/>
        </w:r>
        <w:r>
          <w:fldChar w:fldCharType="begin"/>
        </w:r>
        <w:r>
          <w:instrText xml:space="preserve">PAGEREF _Toc59 \h</w:instrText>
        </w:r>
        <w:r>
          <w:fldChar w:fldCharType="separate"/>
        </w:r>
        <w:r>
          <w:t xml:space="preserve">6</w:t>
        </w:r>
        <w:r>
          <w:fldChar w:fldCharType="end"/>
        </w:r>
      </w:hyperlink>
      <w:r/>
      <w:r/>
    </w:p>
    <w:p>
      <w:pPr>
        <w:pStyle w:val="1206"/>
        <w:tabs>
          <w:tab w:val="left" w:pos="850" w:leader="none"/>
          <w:tab w:val="right" w:pos="9629" w:leader="dot"/>
        </w:tabs>
      </w:pPr>
      <w:r/>
      <w:hyperlink w:tooltip="#_Toc60" w:anchor="_Toc60" w:history="1">
        <w:r>
          <w:t xml:space="preserve">1.7.</w:t>
        </w:r>
        <w:r>
          <w:tab/>
        </w:r>
        <w:r>
          <w:rPr>
            <w:rStyle w:val="1241"/>
          </w:rPr>
          <w:t xml:space="preserve">Применение приоритетов, запретов, преимуществ или ограничений п</w:t>
        </w:r>
        <w:r>
          <w:rPr>
            <w:rStyle w:val="1241"/>
          </w:rPr>
          <w:t xml:space="preserve">ри закупке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r>
          <w:tab/>
        </w:r>
        <w:r>
          <w:fldChar w:fldCharType="begin"/>
        </w:r>
        <w:r>
          <w:instrText xml:space="preserve">PAGEREF _Toc60 \h</w:instrText>
        </w:r>
        <w:r>
          <w:fldChar w:fldCharType="separate"/>
        </w:r>
        <w:r>
          <w:t xml:space="preserve">6</w:t>
        </w:r>
        <w:r>
          <w:fldChar w:fldCharType="end"/>
        </w:r>
      </w:hyperlink>
      <w:r/>
      <w:r/>
    </w:p>
    <w:p>
      <w:pPr>
        <w:pStyle w:val="1205"/>
        <w:tabs>
          <w:tab w:val="left" w:pos="567" w:leader="none"/>
        </w:tabs>
        <w:rPr>
          <w:i/>
        </w:rPr>
      </w:pPr>
      <w:r/>
      <w:hyperlink w:tooltip="#_Toc61" w:anchor="_Toc61" w:history="1">
        <w:r>
          <w:rPr>
            <w:i/>
          </w:rPr>
          <w:t xml:space="preserve">2.</w:t>
        </w:r>
        <w:r>
          <w:rPr>
            <w:i/>
          </w:rPr>
          <w:tab/>
        </w:r>
        <w:r>
          <w:rPr>
            <w:rStyle w:val="1241"/>
            <w:i/>
          </w:rPr>
          <w:t xml:space="preserve">ДОКУМЕНТАЦИЯ О ЗАКУПКЕ</w:t>
        </w:r>
        <w:r>
          <w:rPr>
            <w:i/>
          </w:rPr>
          <w:tab/>
        </w:r>
        <w:r>
          <w:rPr>
            <w:i/>
          </w:rPr>
          <w:fldChar w:fldCharType="begin"/>
        </w:r>
        <w:r>
          <w:rPr>
            <w:i/>
          </w:rPr>
          <w:instrText xml:space="preserve">PAGEREF _Toc61 \h</w:instrText>
        </w:r>
        <w:r>
          <w:rPr>
            <w:i/>
          </w:rPr>
        </w:r>
        <w:r>
          <w:rPr>
            <w:i/>
          </w:rPr>
          <w:fldChar w:fldCharType="separate"/>
        </w:r>
        <w:r>
          <w:rPr>
            <w:i/>
          </w:rPr>
          <w:t xml:space="preserve">8</w:t>
        </w:r>
        <w:r>
          <w:rPr>
            <w:i/>
          </w:rPr>
          <w:fldChar w:fldCharType="end"/>
        </w:r>
      </w:hyperlink>
      <w:r>
        <w:rPr>
          <w:i/>
        </w:rPr>
      </w:r>
      <w:r>
        <w:rPr>
          <w:i/>
        </w:rPr>
      </w:r>
    </w:p>
    <w:p>
      <w:pPr>
        <w:pStyle w:val="1206"/>
        <w:tabs>
          <w:tab w:val="left" w:pos="850" w:leader="none"/>
          <w:tab w:val="right" w:pos="9629" w:leader="dot"/>
        </w:tabs>
      </w:pPr>
      <w:r/>
      <w:hyperlink w:tooltip="#_Toc62" w:anchor="_Toc62" w:history="1">
        <w:r>
          <w:t xml:space="preserve">2.1.</w:t>
        </w:r>
        <w:r>
          <w:tab/>
        </w:r>
        <w:r>
          <w:rPr>
            <w:rStyle w:val="1241"/>
          </w:rPr>
          <w:t xml:space="preserve">Предоставление документации о закупке</w:t>
        </w:r>
        <w:r>
          <w:tab/>
        </w:r>
        <w:r>
          <w:fldChar w:fldCharType="begin"/>
        </w:r>
        <w:r>
          <w:instrText xml:space="preserve">PAGEREF _Toc62 \h</w:instrText>
        </w:r>
        <w:r>
          <w:fldChar w:fldCharType="separate"/>
        </w:r>
        <w:r>
          <w:t xml:space="preserve">8</w:t>
        </w:r>
        <w:r>
          <w:fldChar w:fldCharType="end"/>
        </w:r>
      </w:hyperlink>
      <w:r/>
      <w:r/>
    </w:p>
    <w:p>
      <w:pPr>
        <w:pStyle w:val="1206"/>
        <w:tabs>
          <w:tab w:val="left" w:pos="850" w:leader="none"/>
          <w:tab w:val="right" w:pos="9629" w:leader="dot"/>
        </w:tabs>
      </w:pPr>
      <w:r/>
      <w:hyperlink w:tooltip="#_Toc63" w:anchor="_Toc63" w:history="1">
        <w:r>
          <w:t xml:space="preserve">2.2.</w:t>
        </w:r>
        <w:r>
          <w:tab/>
        </w:r>
        <w:r>
          <w:rPr>
            <w:rStyle w:val="1241"/>
          </w:rPr>
          <w:t xml:space="preserve">Разъяснение положений документации о закупке</w:t>
        </w:r>
        <w:r>
          <w:tab/>
        </w:r>
        <w:r>
          <w:fldChar w:fldCharType="begin"/>
        </w:r>
        <w:r>
          <w:instrText xml:space="preserve">PAGEREF _Toc63 \h</w:instrText>
        </w:r>
        <w:r>
          <w:fldChar w:fldCharType="separate"/>
        </w:r>
        <w:r>
          <w:t xml:space="preserve">8</w:t>
        </w:r>
        <w:r>
          <w:fldChar w:fldCharType="end"/>
        </w:r>
      </w:hyperlink>
      <w:r/>
      <w:r/>
    </w:p>
    <w:p>
      <w:pPr>
        <w:pStyle w:val="1206"/>
        <w:tabs>
          <w:tab w:val="left" w:pos="850" w:leader="none"/>
          <w:tab w:val="right" w:pos="9629" w:leader="dot"/>
        </w:tabs>
      </w:pPr>
      <w:r/>
      <w:hyperlink w:tooltip="#_Toc64" w:anchor="_Toc64" w:history="1">
        <w:r>
          <w:t xml:space="preserve">2.3.</w:t>
        </w:r>
        <w:r>
          <w:tab/>
        </w:r>
        <w:r>
          <w:rPr>
            <w:rStyle w:val="1241"/>
          </w:rPr>
          <w:t xml:space="preserve">Внесение изменений в извещение о закупке и/или документацию о закупке</w:t>
        </w:r>
        <w:r>
          <w:tab/>
        </w:r>
        <w:r>
          <w:fldChar w:fldCharType="begin"/>
        </w:r>
        <w:r>
          <w:instrText xml:space="preserve">PAGEREF _Toc64 \h</w:instrText>
        </w:r>
        <w:r>
          <w:fldChar w:fldCharType="separate"/>
        </w:r>
        <w:r>
          <w:t xml:space="preserve">8</w:t>
        </w:r>
        <w:r>
          <w:fldChar w:fldCharType="end"/>
        </w:r>
      </w:hyperlink>
      <w:r/>
      <w:r/>
    </w:p>
    <w:p>
      <w:pPr>
        <w:pStyle w:val="1206"/>
        <w:tabs>
          <w:tab w:val="left" w:pos="850" w:leader="none"/>
          <w:tab w:val="right" w:pos="9629" w:leader="dot"/>
        </w:tabs>
      </w:pPr>
      <w:r/>
      <w:hyperlink w:tooltip="#_Toc65" w:anchor="_Toc65" w:history="1">
        <w:r>
          <w:t xml:space="preserve">2.4.</w:t>
        </w:r>
        <w:r>
          <w:tab/>
        </w:r>
        <w:r>
          <w:rPr>
            <w:rStyle w:val="1241"/>
          </w:rPr>
          <w:t xml:space="preserve">Отмена закупки</w:t>
        </w:r>
        <w:r>
          <w:tab/>
        </w:r>
        <w:r>
          <w:fldChar w:fldCharType="begin"/>
        </w:r>
        <w:r>
          <w:instrText xml:space="preserve">PAGEREF _Toc65 \h</w:instrText>
        </w:r>
        <w:r>
          <w:fldChar w:fldCharType="separate"/>
        </w:r>
        <w:r>
          <w:t xml:space="preserve">9</w:t>
        </w:r>
        <w:r>
          <w:fldChar w:fldCharType="end"/>
        </w:r>
      </w:hyperlink>
      <w:r/>
      <w:r/>
    </w:p>
    <w:p>
      <w:pPr>
        <w:pStyle w:val="1205"/>
        <w:tabs>
          <w:tab w:val="left" w:pos="567" w:leader="none"/>
        </w:tabs>
        <w:rPr>
          <w:i/>
        </w:rPr>
      </w:pPr>
      <w:r/>
      <w:hyperlink w:tooltip="#_Toc66" w:anchor="_Toc66" w:history="1">
        <w:r>
          <w:rPr>
            <w:i/>
          </w:rPr>
          <w:t xml:space="preserve">3.</w:t>
        </w:r>
        <w:r>
          <w:rPr>
            <w:i/>
          </w:rPr>
          <w:tab/>
        </w:r>
        <w:r>
          <w:rPr>
            <w:rStyle w:val="1241"/>
            <w:i/>
          </w:rPr>
          <w:t xml:space="preserve">ТРЕБОВАНИЯ К СОДЕРЖАНИЮ ЗАЯВКИ НА УЧАСТИЕ В ЗАКУПКЕ</w:t>
        </w:r>
        <w:r>
          <w:rPr>
            <w:i/>
          </w:rPr>
          <w:tab/>
        </w:r>
        <w:r>
          <w:rPr>
            <w:i/>
          </w:rPr>
          <w:fldChar w:fldCharType="begin"/>
        </w:r>
        <w:r>
          <w:rPr>
            <w:i/>
          </w:rPr>
          <w:instrText xml:space="preserve">PAGEREF _Toc66 \h</w:instrText>
        </w:r>
        <w:r>
          <w:rPr>
            <w:i/>
          </w:rPr>
        </w:r>
        <w:r>
          <w:rPr>
            <w:i/>
          </w:rPr>
          <w:fldChar w:fldCharType="separate"/>
        </w:r>
        <w:r>
          <w:rPr>
            <w:i/>
          </w:rPr>
          <w:t xml:space="preserve">9</w:t>
        </w:r>
        <w:r>
          <w:rPr>
            <w:i/>
          </w:rPr>
          <w:fldChar w:fldCharType="end"/>
        </w:r>
      </w:hyperlink>
      <w:r>
        <w:rPr>
          <w:i/>
        </w:rPr>
      </w:r>
      <w:r>
        <w:rPr>
          <w:i/>
        </w:rPr>
      </w:r>
    </w:p>
    <w:p>
      <w:pPr>
        <w:pStyle w:val="1206"/>
        <w:tabs>
          <w:tab w:val="left" w:pos="850" w:leader="none"/>
          <w:tab w:val="right" w:pos="9629" w:leader="dot"/>
        </w:tabs>
      </w:pPr>
      <w:r/>
      <w:hyperlink w:tooltip="#_Toc67" w:anchor="_Toc67" w:history="1">
        <w:r>
          <w:t xml:space="preserve">3.1.</w:t>
        </w:r>
        <w:r>
          <w:tab/>
        </w:r>
        <w:r>
          <w:rPr>
            <w:rStyle w:val="1241"/>
          </w:rPr>
          <w:t xml:space="preserve">Требования к оформлению заявки на участие в закупке</w:t>
        </w:r>
        <w:r>
          <w:tab/>
        </w:r>
        <w:r>
          <w:fldChar w:fldCharType="begin"/>
        </w:r>
        <w:r>
          <w:instrText xml:space="preserve">PAGEREF _Toc67 \h</w:instrText>
        </w:r>
        <w:r>
          <w:fldChar w:fldCharType="separate"/>
        </w:r>
        <w:r>
          <w:t xml:space="preserve">9</w:t>
        </w:r>
        <w:r>
          <w:fldChar w:fldCharType="end"/>
        </w:r>
      </w:hyperlink>
      <w:r/>
      <w:r/>
    </w:p>
    <w:p>
      <w:pPr>
        <w:pStyle w:val="1206"/>
        <w:tabs>
          <w:tab w:val="left" w:pos="850" w:leader="none"/>
          <w:tab w:val="right" w:pos="9629" w:leader="dot"/>
        </w:tabs>
      </w:pPr>
      <w:r/>
      <w:hyperlink w:tooltip="#_Toc68" w:anchor="_Toc68" w:history="1">
        <w:r>
          <w:t xml:space="preserve">3.2.</w:t>
        </w:r>
        <w:r>
          <w:tab/>
        </w:r>
        <w:r>
          <w:rPr>
            <w:rStyle w:val="1241"/>
          </w:rPr>
          <w:t xml:space="preserve">Язык документов, входящих в состав заявки на участие в закупке</w:t>
        </w:r>
        <w:r>
          <w:tab/>
        </w:r>
        <w:r>
          <w:fldChar w:fldCharType="begin"/>
        </w:r>
        <w:r>
          <w:instrText xml:space="preserve">PAGEREF _Toc68 \h</w:instrText>
        </w:r>
        <w:r>
          <w:fldChar w:fldCharType="separate"/>
        </w:r>
        <w:r>
          <w:t xml:space="preserve">10</w:t>
        </w:r>
        <w:r>
          <w:fldChar w:fldCharType="end"/>
        </w:r>
      </w:hyperlink>
      <w:r/>
      <w:r/>
    </w:p>
    <w:p>
      <w:pPr>
        <w:pStyle w:val="1206"/>
        <w:tabs>
          <w:tab w:val="left" w:pos="850" w:leader="none"/>
          <w:tab w:val="right" w:pos="9629" w:leader="dot"/>
        </w:tabs>
      </w:pPr>
      <w:r/>
      <w:hyperlink w:tooltip="#_Toc69" w:anchor="_Toc69" w:history="1">
        <w:r>
          <w:t xml:space="preserve">3.3.</w:t>
        </w:r>
        <w:r>
          <w:tab/>
        </w:r>
        <w:r>
          <w:rPr>
            <w:rStyle w:val="1241"/>
          </w:rPr>
          <w:t xml:space="preserve">Требования к валюте заявки</w:t>
        </w:r>
        <w:r>
          <w:tab/>
        </w:r>
        <w:r>
          <w:fldChar w:fldCharType="begin"/>
        </w:r>
        <w:r>
          <w:instrText xml:space="preserve">PAGEREF _Toc69 \h</w:instrText>
        </w:r>
        <w:r>
          <w:fldChar w:fldCharType="separate"/>
        </w:r>
        <w:r>
          <w:t xml:space="preserve">10</w:t>
        </w:r>
        <w:r>
          <w:fldChar w:fldCharType="end"/>
        </w:r>
      </w:hyperlink>
      <w:r/>
      <w:r/>
    </w:p>
    <w:p>
      <w:pPr>
        <w:pStyle w:val="1206"/>
        <w:tabs>
          <w:tab w:val="left" w:pos="850" w:leader="none"/>
          <w:tab w:val="right" w:pos="9629" w:leader="dot"/>
        </w:tabs>
      </w:pPr>
      <w:r/>
      <w:hyperlink w:tooltip="#_Toc70" w:anchor="_Toc70" w:history="1">
        <w:r>
          <w:t xml:space="preserve">3.4.</w:t>
        </w:r>
        <w:r>
          <w:tab/>
        </w:r>
        <w:r>
          <w:rPr>
            <w:rStyle w:val="1241"/>
          </w:rPr>
          <w:t xml:space="preserve">Требования к составу заявки на участие в закупке</w:t>
        </w:r>
        <w:r>
          <w:tab/>
        </w:r>
        <w:r>
          <w:fldChar w:fldCharType="begin"/>
        </w:r>
        <w:r>
          <w:instrText xml:space="preserve">PAGEREF _Toc70 \h</w:instrText>
        </w:r>
        <w:r>
          <w:fldChar w:fldCharType="separate"/>
        </w:r>
        <w:r>
          <w:t xml:space="preserve">10</w:t>
        </w:r>
        <w:r>
          <w:fldChar w:fldCharType="end"/>
        </w:r>
      </w:hyperlink>
      <w:r/>
      <w:r/>
    </w:p>
    <w:p>
      <w:pPr>
        <w:pStyle w:val="1206"/>
        <w:tabs>
          <w:tab w:val="left" w:pos="850" w:leader="none"/>
          <w:tab w:val="right" w:pos="9629" w:leader="dot"/>
        </w:tabs>
      </w:pPr>
      <w:r/>
      <w:hyperlink w:tooltip="#_Toc71" w:anchor="_Toc71" w:history="1">
        <w:r>
          <w:t xml:space="preserve">3.5.</w:t>
        </w:r>
        <w:r>
          <w:tab/>
        </w:r>
        <w:r>
          <w:rPr>
            <w:rStyle w:val="1241"/>
          </w:rPr>
          <w:t xml:space="preserve">Требования к описанию заявки участника закупки</w:t>
        </w:r>
        <w:r>
          <w:tab/>
        </w:r>
        <w:r>
          <w:fldChar w:fldCharType="begin"/>
        </w:r>
        <w:r>
          <w:instrText xml:space="preserve">PAGEREF _Toc71 \h</w:instrText>
        </w:r>
        <w:r>
          <w:fldChar w:fldCharType="separate"/>
        </w:r>
        <w:r>
          <w:t xml:space="preserve">11</w:t>
        </w:r>
        <w:r>
          <w:fldChar w:fldCharType="end"/>
        </w:r>
      </w:hyperlink>
      <w:r/>
      <w:r/>
    </w:p>
    <w:p>
      <w:pPr>
        <w:pStyle w:val="1206"/>
        <w:tabs>
          <w:tab w:val="left" w:pos="850" w:leader="none"/>
          <w:tab w:val="right" w:pos="9629" w:leader="dot"/>
        </w:tabs>
      </w:pPr>
      <w:r/>
      <w:hyperlink w:tooltip="#_Toc72" w:anchor="_Toc72" w:history="1">
        <w:r>
          <w:t xml:space="preserve">3.6.</w:t>
        </w:r>
        <w:r>
          <w:tab/>
        </w:r>
        <w:r>
          <w:rPr>
            <w:rStyle w:val="1241"/>
          </w:rPr>
          <w:t xml:space="preserve">Требования к обеспечению заявок на участие в закупке</w:t>
        </w:r>
        <w:r>
          <w:tab/>
        </w:r>
        <w:r>
          <w:fldChar w:fldCharType="begin"/>
        </w:r>
        <w:r>
          <w:instrText xml:space="preserve">PAGEREF _Toc72 \h</w:instrText>
        </w:r>
        <w:r>
          <w:fldChar w:fldCharType="separate"/>
        </w:r>
        <w:r>
          <w:t xml:space="preserve">12</w:t>
        </w:r>
        <w:r>
          <w:fldChar w:fldCharType="end"/>
        </w:r>
      </w:hyperlink>
      <w:r/>
      <w:r/>
    </w:p>
    <w:p>
      <w:pPr>
        <w:pStyle w:val="1206"/>
        <w:tabs>
          <w:tab w:val="left" w:pos="850" w:leader="none"/>
          <w:tab w:val="right" w:pos="9629" w:leader="dot"/>
        </w:tabs>
      </w:pPr>
      <w:r/>
      <w:hyperlink w:tooltip="#_Toc73" w:anchor="_Toc73" w:history="1">
        <w:r>
          <w:t xml:space="preserve">3.7.</w:t>
        </w:r>
        <w:r>
          <w:tab/>
        </w:r>
        <w:r>
          <w:rPr>
            <w:rStyle w:val="1241"/>
          </w:rPr>
          <w:t xml:space="preserve">Порядок действий, осуществляемых Организатором в ходе проведения закупки, в случае предложения участником закупки аномально низкой цены </w:t>
        </w:r>
        <w:r>
          <w:tab/>
        </w:r>
        <w:r>
          <w:fldChar w:fldCharType="begin"/>
        </w:r>
        <w:r>
          <w:instrText xml:space="preserve">PAGEREF _Toc73 \h</w:instrText>
        </w:r>
        <w:r>
          <w:fldChar w:fldCharType="separate"/>
        </w:r>
        <w:r>
          <w:t xml:space="preserve">14</w:t>
        </w:r>
        <w:r>
          <w:fldChar w:fldCharType="end"/>
        </w:r>
      </w:hyperlink>
      <w:r/>
      <w:r/>
    </w:p>
    <w:p>
      <w:pPr>
        <w:pStyle w:val="1205"/>
        <w:tabs>
          <w:tab w:val="left" w:pos="567" w:leader="none"/>
        </w:tabs>
        <w:rPr>
          <w:i/>
        </w:rPr>
      </w:pPr>
      <w:r/>
      <w:hyperlink w:tooltip="#_Toc74" w:anchor="_Toc74" w:history="1">
        <w:r>
          <w:rPr>
            <w:i/>
          </w:rPr>
          <w:t xml:space="preserve">4.</w:t>
        </w:r>
        <w:r>
          <w:rPr>
            <w:i/>
          </w:rPr>
          <w:tab/>
        </w:r>
        <w:r>
          <w:rPr>
            <w:rStyle w:val="1241"/>
            <w:i/>
          </w:rPr>
          <w:t xml:space="preserve">ПОДАЧА ЗАЯВОК НА УЧАСТИЕ В ЗАКУПКЕ</w:t>
        </w:r>
        <w:r>
          <w:rPr>
            <w:i/>
          </w:rPr>
          <w:tab/>
        </w:r>
        <w:r>
          <w:rPr>
            <w:i/>
          </w:rPr>
          <w:fldChar w:fldCharType="begin"/>
        </w:r>
        <w:r>
          <w:rPr>
            <w:i/>
          </w:rPr>
          <w:instrText xml:space="preserve">PAGEREF _Toc74 \h</w:instrText>
        </w:r>
        <w:r>
          <w:rPr>
            <w:i/>
          </w:rPr>
        </w:r>
        <w:r>
          <w:rPr>
            <w:i/>
          </w:rPr>
          <w:fldChar w:fldCharType="separate"/>
        </w:r>
        <w:r>
          <w:rPr>
            <w:i/>
          </w:rPr>
          <w:t xml:space="preserve">15</w:t>
        </w:r>
        <w:r>
          <w:rPr>
            <w:i/>
          </w:rPr>
          <w:fldChar w:fldCharType="end"/>
        </w:r>
      </w:hyperlink>
      <w:r>
        <w:rPr>
          <w:i/>
        </w:rPr>
      </w:r>
      <w:r>
        <w:rPr>
          <w:i/>
        </w:rPr>
      </w:r>
    </w:p>
    <w:p>
      <w:pPr>
        <w:pStyle w:val="1206"/>
        <w:tabs>
          <w:tab w:val="left" w:pos="850" w:leader="none"/>
          <w:tab w:val="right" w:pos="9629" w:leader="dot"/>
        </w:tabs>
      </w:pPr>
      <w:r/>
      <w:hyperlink w:tooltip="#_Toc75" w:anchor="_Toc75" w:history="1">
        <w:r>
          <w:t xml:space="preserve">4.1.</w:t>
        </w:r>
        <w:r>
          <w:tab/>
        </w:r>
        <w:r>
          <w:rPr>
            <w:rStyle w:val="1241"/>
          </w:rPr>
          <w:t xml:space="preserve">Порядок, место, дата начала и дата окончания срока подачи заявок на участие в закупке</w:t>
        </w:r>
        <w:r>
          <w:tab/>
        </w:r>
        <w:r>
          <w:fldChar w:fldCharType="begin"/>
        </w:r>
        <w:r>
          <w:instrText xml:space="preserve">PAGEREF _Toc75 \h</w:instrText>
        </w:r>
        <w:r>
          <w:fldChar w:fldCharType="separate"/>
        </w:r>
        <w:r>
          <w:t xml:space="preserve">15</w:t>
        </w:r>
        <w:r>
          <w:fldChar w:fldCharType="end"/>
        </w:r>
      </w:hyperlink>
      <w:r/>
      <w:r/>
    </w:p>
    <w:p>
      <w:pPr>
        <w:pStyle w:val="1206"/>
        <w:tabs>
          <w:tab w:val="left" w:pos="850" w:leader="none"/>
          <w:tab w:val="right" w:pos="9629" w:leader="dot"/>
        </w:tabs>
      </w:pPr>
      <w:r/>
      <w:hyperlink w:tooltip="#_Toc76" w:anchor="_Toc76" w:history="1">
        <w:r>
          <w:t xml:space="preserve">4.2.</w:t>
        </w:r>
        <w:r>
          <w:tab/>
        </w:r>
        <w:r>
          <w:rPr>
            <w:rStyle w:val="1241"/>
          </w:rPr>
          <w:t xml:space="preserve">Изменения и отзыв заявок на участие в закупке</w:t>
        </w:r>
        <w:r>
          <w:tab/>
        </w:r>
        <w:r>
          <w:fldChar w:fldCharType="begin"/>
        </w:r>
        <w:r>
          <w:instrText xml:space="preserve">PAGEREF _Toc76 \h</w:instrText>
        </w:r>
        <w:r>
          <w:fldChar w:fldCharType="separate"/>
        </w:r>
        <w:r>
          <w:t xml:space="preserve">16</w:t>
        </w:r>
        <w:r>
          <w:fldChar w:fldCharType="end"/>
        </w:r>
      </w:hyperlink>
      <w:r/>
      <w:r/>
    </w:p>
    <w:p>
      <w:pPr>
        <w:pStyle w:val="1205"/>
        <w:tabs>
          <w:tab w:val="left" w:pos="567" w:leader="none"/>
        </w:tabs>
        <w:rPr>
          <w:i/>
        </w:rPr>
      </w:pPr>
      <w:r/>
      <w:hyperlink w:tooltip="#_Toc77" w:anchor="_Toc77" w:history="1">
        <w:r>
          <w:rPr>
            <w:i/>
          </w:rPr>
          <w:t xml:space="preserve">5.</w:t>
        </w:r>
        <w:r>
          <w:rPr>
            <w:i/>
          </w:rPr>
          <w:tab/>
        </w:r>
        <w:r>
          <w:rPr>
            <w:rStyle w:val="1241"/>
            <w:i/>
          </w:rPr>
          <w:t xml:space="preserve">ПОРЯДОК ПРОВЕДЕНИЯ ЗАКУПКИ</w:t>
        </w:r>
        <w:r>
          <w:rPr>
            <w:i/>
          </w:rPr>
          <w:tab/>
        </w:r>
        <w:r>
          <w:rPr>
            <w:i/>
          </w:rPr>
          <w:fldChar w:fldCharType="begin"/>
        </w:r>
        <w:r>
          <w:rPr>
            <w:i/>
          </w:rPr>
          <w:instrText xml:space="preserve">PAGEREF _Toc77 \h</w:instrText>
        </w:r>
        <w:r>
          <w:rPr>
            <w:i/>
          </w:rPr>
        </w:r>
        <w:r>
          <w:rPr>
            <w:i/>
          </w:rPr>
          <w:fldChar w:fldCharType="separate"/>
        </w:r>
        <w:r>
          <w:rPr>
            <w:i/>
          </w:rPr>
          <w:t xml:space="preserve">16</w:t>
        </w:r>
        <w:r>
          <w:rPr>
            <w:i/>
          </w:rPr>
          <w:fldChar w:fldCharType="end"/>
        </w:r>
      </w:hyperlink>
      <w:r>
        <w:rPr>
          <w:i/>
        </w:rPr>
      </w:r>
      <w:r>
        <w:rPr>
          <w:i/>
        </w:rPr>
      </w:r>
    </w:p>
    <w:p>
      <w:pPr>
        <w:pStyle w:val="1206"/>
        <w:tabs>
          <w:tab w:val="left" w:pos="850" w:leader="none"/>
          <w:tab w:val="right" w:pos="9629" w:leader="dot"/>
        </w:tabs>
      </w:pPr>
      <w:r/>
      <w:hyperlink w:tooltip="#_Toc78" w:anchor="_Toc78" w:history="1">
        <w:r>
          <w:t xml:space="preserve">5.1.</w:t>
        </w:r>
        <w:r>
          <w:tab/>
        </w:r>
        <w:r>
          <w:rPr>
            <w:rStyle w:val="1241"/>
          </w:rPr>
          <w:t xml:space="preserve">Постоянно действующая закупочная комиссия</w:t>
        </w:r>
        <w:r>
          <w:tab/>
        </w:r>
        <w:r>
          <w:fldChar w:fldCharType="begin"/>
        </w:r>
        <w:r>
          <w:instrText xml:space="preserve">PAGEREF _Toc78 \h</w:instrText>
        </w:r>
        <w:r>
          <w:fldChar w:fldCharType="separate"/>
        </w:r>
        <w:r>
          <w:t xml:space="preserve">16</w:t>
        </w:r>
        <w:r>
          <w:fldChar w:fldCharType="end"/>
        </w:r>
      </w:hyperlink>
      <w:r/>
      <w:r/>
    </w:p>
    <w:p>
      <w:pPr>
        <w:pStyle w:val="1206"/>
        <w:tabs>
          <w:tab w:val="left" w:pos="850" w:leader="none"/>
          <w:tab w:val="right" w:pos="9629" w:leader="dot"/>
        </w:tabs>
      </w:pPr>
      <w:r/>
      <w:hyperlink w:tooltip="#_Toc79" w:anchor="_Toc79" w:history="1">
        <w:r>
          <w:t xml:space="preserve">5.2.</w:t>
        </w:r>
        <w:r>
          <w:tab/>
        </w:r>
        <w:r>
          <w:rPr>
            <w:rStyle w:val="1241"/>
          </w:rPr>
          <w:t xml:space="preserve">Рассмотрение и оценка заявок участников закупки</w:t>
        </w:r>
        <w:r>
          <w:tab/>
        </w:r>
        <w:r>
          <w:fldChar w:fldCharType="begin"/>
        </w:r>
        <w:r>
          <w:instrText xml:space="preserve">PAGEREF _Toc79 \h</w:instrText>
        </w:r>
        <w:r>
          <w:fldChar w:fldCharType="separate"/>
        </w:r>
        <w:r>
          <w:t xml:space="preserve">16</w:t>
        </w:r>
        <w:r>
          <w:fldChar w:fldCharType="end"/>
        </w:r>
      </w:hyperlink>
      <w:r/>
      <w:r/>
    </w:p>
    <w:p>
      <w:pPr>
        <w:pStyle w:val="1206"/>
        <w:tabs>
          <w:tab w:val="left" w:pos="850" w:leader="none"/>
          <w:tab w:val="right" w:pos="9629" w:leader="dot"/>
        </w:tabs>
      </w:pPr>
      <w:r/>
      <w:hyperlink w:tooltip="#_Toc80" w:anchor="_Toc80" w:history="1">
        <w:r>
          <w:t xml:space="preserve">5.3.</w:t>
        </w:r>
        <w:r>
          <w:tab/>
        </w:r>
        <w:r>
          <w:rPr>
            <w:rStyle w:val="1241"/>
          </w:rPr>
          <w:t xml:space="preserve">Переторжка</w:t>
        </w:r>
        <w:r>
          <w:tab/>
        </w:r>
        <w:r>
          <w:fldChar w:fldCharType="begin"/>
        </w:r>
        <w:r>
          <w:instrText xml:space="preserve">PAGEREF _Toc80 \h</w:instrText>
        </w:r>
        <w:r>
          <w:fldChar w:fldCharType="separate"/>
        </w:r>
        <w:r>
          <w:t xml:space="preserve">17</w:t>
        </w:r>
        <w:r>
          <w:fldChar w:fldCharType="end"/>
        </w:r>
      </w:hyperlink>
      <w:r/>
      <w:r/>
    </w:p>
    <w:p>
      <w:pPr>
        <w:pStyle w:val="1206"/>
        <w:tabs>
          <w:tab w:val="left" w:pos="850" w:leader="none"/>
          <w:tab w:val="right" w:pos="9629" w:leader="dot"/>
        </w:tabs>
      </w:pPr>
      <w:r/>
      <w:hyperlink w:tooltip="#_Toc81" w:anchor="_Toc81" w:history="1">
        <w:r>
          <w:t xml:space="preserve">5.4.</w:t>
        </w:r>
        <w:r>
          <w:tab/>
        </w:r>
        <w:r>
          <w:rPr>
            <w:rStyle w:val="1241"/>
          </w:rPr>
          <w:t xml:space="preserve">Подведение итогов</w:t>
        </w:r>
        <w:r>
          <w:tab/>
        </w:r>
        <w:r>
          <w:fldChar w:fldCharType="begin"/>
        </w:r>
        <w:r>
          <w:instrText xml:space="preserve">PAGEREF _Toc81 \h</w:instrText>
        </w:r>
        <w:r>
          <w:fldChar w:fldCharType="separate"/>
        </w:r>
        <w:r>
          <w:t xml:space="preserve">18</w:t>
        </w:r>
        <w:r>
          <w:fldChar w:fldCharType="end"/>
        </w:r>
      </w:hyperlink>
      <w:r/>
      <w:r/>
    </w:p>
    <w:p>
      <w:pPr>
        <w:pStyle w:val="1206"/>
        <w:tabs>
          <w:tab w:val="left" w:pos="850" w:leader="none"/>
          <w:tab w:val="right" w:pos="9629" w:leader="dot"/>
        </w:tabs>
      </w:pPr>
      <w:r/>
      <w:hyperlink w:tooltip="#_Toc82" w:anchor="_Toc82" w:history="1">
        <w:r>
          <w:t xml:space="preserve">5.5.</w:t>
        </w:r>
        <w:r>
          <w:tab/>
        </w:r>
        <w:r>
          <w:rPr>
            <w:rStyle w:val="1241"/>
          </w:rPr>
          <w:t xml:space="preserve">Признание закупки несостоявшейся</w:t>
        </w:r>
        <w:r>
          <w:tab/>
        </w:r>
        <w:r>
          <w:fldChar w:fldCharType="begin"/>
        </w:r>
        <w:r>
          <w:instrText xml:space="preserve">PAGEREF _Toc82 \h</w:instrText>
        </w:r>
        <w:r>
          <w:fldChar w:fldCharType="separate"/>
        </w:r>
        <w:r>
          <w:t xml:space="preserve">19</w:t>
        </w:r>
        <w:r>
          <w:fldChar w:fldCharType="end"/>
        </w:r>
      </w:hyperlink>
      <w:r/>
      <w:r/>
    </w:p>
    <w:p>
      <w:pPr>
        <w:pStyle w:val="1206"/>
        <w:tabs>
          <w:tab w:val="left" w:pos="850" w:leader="none"/>
          <w:tab w:val="right" w:pos="9629" w:leader="dot"/>
        </w:tabs>
      </w:pPr>
      <w:r/>
      <w:hyperlink w:tooltip="#_Toc83" w:anchor="_Toc83" w:history="1">
        <w:r>
          <w:t xml:space="preserve">5.6.</w:t>
        </w:r>
        <w:r>
          <w:tab/>
        </w:r>
        <w:r>
          <w:rPr>
            <w:rStyle w:val="1241"/>
          </w:rPr>
          <w:t xml:space="preserve">Рассмотрение жалоб и обращений участников закупки</w:t>
        </w:r>
        <w:r>
          <w:tab/>
        </w:r>
        <w:r>
          <w:fldChar w:fldCharType="begin"/>
        </w:r>
        <w:r>
          <w:instrText xml:space="preserve">PAGEREF _Toc83 \h</w:instrText>
        </w:r>
        <w:r>
          <w:fldChar w:fldCharType="separate"/>
        </w:r>
        <w:r>
          <w:t xml:space="preserve">19</w:t>
        </w:r>
        <w:r>
          <w:fldChar w:fldCharType="end"/>
        </w:r>
      </w:hyperlink>
      <w:r/>
      <w:r/>
    </w:p>
    <w:p>
      <w:pPr>
        <w:pStyle w:val="1206"/>
        <w:tabs>
          <w:tab w:val="left" w:pos="850" w:leader="none"/>
          <w:tab w:val="right" w:pos="9629" w:leader="dot"/>
        </w:tabs>
      </w:pPr>
      <w:r/>
      <w:hyperlink w:tooltip="#_Toc84" w:anchor="_Toc84" w:history="1">
        <w:r>
          <w:t xml:space="preserve">5.7.</w:t>
        </w:r>
        <w:r>
          <w:tab/>
        </w:r>
        <w:r>
          <w:rPr>
            <w:rStyle w:val="1241"/>
          </w:rPr>
          <w:t xml:space="preserve">Проведение преддоговорных переговоров</w:t>
        </w:r>
        <w:r>
          <w:tab/>
        </w:r>
        <w:r>
          <w:fldChar w:fldCharType="begin"/>
        </w:r>
        <w:r>
          <w:instrText xml:space="preserve">PAGEREF _Toc84 \h</w:instrText>
        </w:r>
        <w:r>
          <w:fldChar w:fldCharType="separate"/>
        </w:r>
        <w:r>
          <w:t xml:space="preserve">19</w:t>
        </w:r>
        <w:r>
          <w:fldChar w:fldCharType="end"/>
        </w:r>
      </w:hyperlink>
      <w:r/>
      <w:r/>
    </w:p>
    <w:p>
      <w:pPr>
        <w:pStyle w:val="1205"/>
        <w:tabs>
          <w:tab w:val="left" w:pos="567" w:leader="none"/>
        </w:tabs>
        <w:rPr>
          <w:i/>
        </w:rPr>
      </w:pPr>
      <w:r/>
      <w:hyperlink w:tooltip="#_Toc85" w:anchor="_Toc85" w:history="1">
        <w:r>
          <w:rPr>
            <w:i/>
          </w:rPr>
          <w:t xml:space="preserve">6.</w:t>
        </w:r>
        <w:r>
          <w:rPr>
            <w:i/>
          </w:rPr>
          <w:tab/>
        </w:r>
        <w:r>
          <w:rPr>
            <w:rStyle w:val="1241"/>
            <w:i/>
          </w:rPr>
          <w:t xml:space="preserve">ЗАКЛЮЧЕНИЕ, ИЗМЕНЕНИЕ И РАСТОРЖЕНИЕ ДОГОВОРА</w:t>
        </w:r>
        <w:r>
          <w:rPr>
            <w:i/>
          </w:rPr>
          <w:tab/>
        </w:r>
        <w:r>
          <w:rPr>
            <w:i/>
          </w:rPr>
          <w:fldChar w:fldCharType="begin"/>
        </w:r>
        <w:r>
          <w:rPr>
            <w:i/>
          </w:rPr>
          <w:instrText xml:space="preserve">PAGEREF _Toc85 \h</w:instrText>
        </w:r>
        <w:r>
          <w:rPr>
            <w:i/>
          </w:rPr>
        </w:r>
        <w:r>
          <w:rPr>
            <w:i/>
          </w:rPr>
          <w:fldChar w:fldCharType="separate"/>
        </w:r>
        <w:r>
          <w:rPr>
            <w:i/>
          </w:rPr>
          <w:t xml:space="preserve">19</w:t>
        </w:r>
        <w:r>
          <w:rPr>
            <w:i/>
          </w:rPr>
          <w:fldChar w:fldCharType="end"/>
        </w:r>
      </w:hyperlink>
      <w:r>
        <w:rPr>
          <w:i/>
        </w:rPr>
      </w:r>
      <w:r>
        <w:rPr>
          <w:i/>
        </w:rPr>
      </w:r>
    </w:p>
    <w:p>
      <w:pPr>
        <w:pStyle w:val="1206"/>
        <w:tabs>
          <w:tab w:val="left" w:pos="850" w:leader="none"/>
          <w:tab w:val="right" w:pos="9629" w:leader="dot"/>
        </w:tabs>
      </w:pPr>
      <w:r/>
      <w:hyperlink w:tooltip="#_Toc86" w:anchor="_Toc86" w:history="1">
        <w:r>
          <w:t xml:space="preserve">6.1.</w:t>
        </w:r>
        <w:r>
          <w:tab/>
        </w:r>
        <w:r>
          <w:rPr>
            <w:rStyle w:val="1241"/>
          </w:rPr>
          <w:t xml:space="preserve">Срок и порядок заключения договора</w:t>
        </w:r>
        <w:r>
          <w:tab/>
        </w:r>
        <w:r>
          <w:fldChar w:fldCharType="begin"/>
        </w:r>
        <w:r>
          <w:instrText xml:space="preserve">PAGEREF _Toc86 \h</w:instrText>
        </w:r>
        <w:r>
          <w:fldChar w:fldCharType="separate"/>
        </w:r>
        <w:r>
          <w:t xml:space="preserve">19</w:t>
        </w:r>
        <w:r>
          <w:fldChar w:fldCharType="end"/>
        </w:r>
      </w:hyperlink>
      <w:r/>
      <w:r/>
    </w:p>
    <w:p>
      <w:pPr>
        <w:pStyle w:val="1206"/>
        <w:tabs>
          <w:tab w:val="left" w:pos="850" w:leader="none"/>
          <w:tab w:val="right" w:pos="9629" w:leader="dot"/>
        </w:tabs>
      </w:pPr>
      <w:r/>
      <w:hyperlink w:tooltip="#_Toc87" w:anchor="_Toc87" w:history="1">
        <w:r>
          <w:t xml:space="preserve">6.2.</w:t>
        </w:r>
        <w:r>
          <w:tab/>
        </w:r>
        <w:r>
          <w:rPr>
            <w:rStyle w:val="1241"/>
          </w:rPr>
          <w:t xml:space="preserve">Обеспечение исполнения договора, порядок предоставления такого обеспечения, требования к такому обеспечению</w:t>
        </w:r>
        <w:r>
          <w:tab/>
        </w:r>
        <w:r>
          <w:fldChar w:fldCharType="begin"/>
        </w:r>
        <w:r>
          <w:instrText xml:space="preserve">PAGEREF _Toc87 \h</w:instrText>
        </w:r>
        <w:r>
          <w:fldChar w:fldCharType="separate"/>
        </w:r>
        <w:r>
          <w:t xml:space="preserve">20</w:t>
        </w:r>
        <w:r>
          <w:fldChar w:fldCharType="end"/>
        </w:r>
      </w:hyperlink>
      <w:r/>
      <w:r/>
    </w:p>
    <w:p>
      <w:pPr>
        <w:pStyle w:val="1206"/>
        <w:tabs>
          <w:tab w:val="left" w:pos="850" w:leader="none"/>
          <w:tab w:val="right" w:pos="9629" w:leader="dot"/>
        </w:tabs>
      </w:pPr>
      <w:r/>
      <w:hyperlink w:tooltip="#_Toc88" w:anchor="_Toc88" w:history="1">
        <w:r>
          <w:t xml:space="preserve">6.3.</w:t>
        </w:r>
        <w:r>
          <w:tab/>
        </w:r>
        <w:r>
          <w:rPr>
            <w:rStyle w:val="1241"/>
          </w:rPr>
          <w:t xml:space="preserve">Требования к условиям независимой гарантии, выданной в качестве обеспечения исполнения договора</w:t>
        </w:r>
        <w:r>
          <w:tab/>
        </w:r>
        <w:r>
          <w:fldChar w:fldCharType="begin"/>
        </w:r>
        <w:r>
          <w:instrText xml:space="preserve">PAGEREF _Toc88 \h</w:instrText>
        </w:r>
        <w:r>
          <w:fldChar w:fldCharType="separate"/>
        </w:r>
        <w:r>
          <w:t xml:space="preserve">21</w:t>
        </w:r>
        <w:r>
          <w:fldChar w:fldCharType="end"/>
        </w:r>
      </w:hyperlink>
      <w:r/>
      <w:r/>
    </w:p>
    <w:p>
      <w:pPr>
        <w:pStyle w:val="1206"/>
        <w:tabs>
          <w:tab w:val="left" w:pos="850" w:leader="none"/>
          <w:tab w:val="right" w:pos="9629" w:leader="dot"/>
        </w:tabs>
      </w:pPr>
      <w:r/>
      <w:hyperlink w:tooltip="#_Toc89" w:anchor="_Toc89" w:history="1">
        <w:r>
          <w:t xml:space="preserve">6.4.</w:t>
        </w:r>
        <w:r>
          <w:tab/>
        </w:r>
        <w:r>
          <w:rPr>
            <w:rStyle w:val="1241"/>
          </w:rPr>
          <w:t xml:space="preserve">Отказ от заключения договора</w:t>
        </w:r>
        <w:r>
          <w:tab/>
        </w:r>
        <w:r>
          <w:fldChar w:fldCharType="begin"/>
        </w:r>
        <w:r>
          <w:instrText xml:space="preserve">PAGEREF _Toc89 \h</w:instrText>
        </w:r>
        <w:r>
          <w:fldChar w:fldCharType="separate"/>
        </w:r>
        <w:r>
          <w:t xml:space="preserve">21</w:t>
        </w:r>
        <w:r>
          <w:fldChar w:fldCharType="end"/>
        </w:r>
      </w:hyperlink>
      <w:r/>
      <w:r/>
    </w:p>
    <w:p>
      <w:pPr>
        <w:pStyle w:val="1206"/>
        <w:tabs>
          <w:tab w:val="left" w:pos="850" w:leader="none"/>
          <w:tab w:val="right" w:pos="9629" w:leader="dot"/>
        </w:tabs>
      </w:pPr>
      <w:r/>
      <w:hyperlink w:tooltip="#_Toc90" w:anchor="_Toc90" w:history="1">
        <w:r>
          <w:t xml:space="preserve">6.5.</w:t>
        </w:r>
        <w:r>
          <w:tab/>
        </w:r>
        <w:r>
          <w:rPr>
            <w:rStyle w:val="1241"/>
          </w:rPr>
          <w:t xml:space="preserve">Изменение и расторжение договора</w:t>
        </w:r>
        <w:r>
          <w:tab/>
        </w:r>
        <w:r>
          <w:fldChar w:fldCharType="begin"/>
        </w:r>
        <w:r>
          <w:instrText xml:space="preserve">PAGEREF _Toc90 \h</w:instrText>
        </w:r>
        <w:r>
          <w:fldChar w:fldCharType="separate"/>
        </w:r>
        <w:r>
          <w:t xml:space="preserve">22</w:t>
        </w:r>
        <w:r>
          <w:fldChar w:fldCharType="end"/>
        </w:r>
      </w:hyperlink>
      <w:r/>
      <w:r/>
    </w:p>
    <w:p>
      <w:pPr>
        <w:pStyle w:val="1205"/>
        <w:tabs>
          <w:tab w:val="left" w:pos="567" w:leader="none"/>
        </w:tabs>
        <w:rPr>
          <w:rStyle w:val="1316"/>
          <w:i/>
        </w:rPr>
      </w:pPr>
      <w:r/>
      <w:hyperlink w:tooltip="#_Toc91" w:anchor="_Toc91" w:history="1">
        <w:r>
          <w:rPr>
            <w:i/>
          </w:rPr>
          <w:t xml:space="preserve">II.</w:t>
        </w:r>
        <w:r>
          <w:rPr>
            <w:i/>
          </w:rPr>
          <w:tab/>
        </w:r>
        <w:r>
          <w:rPr>
            <w:rStyle w:val="1241"/>
            <w:i/>
          </w:rPr>
          <w:t xml:space="preserve">ИНФОРМАЦИОННАЯ КАРТА ЗАКУПКИ</w:t>
        </w:r>
        <w:r>
          <w:rPr>
            <w:i/>
          </w:rPr>
          <w:tab/>
        </w:r>
        <w:r>
          <w:rPr>
            <w:i/>
          </w:rPr>
          <w:fldChar w:fldCharType="begin"/>
        </w:r>
        <w:r>
          <w:rPr>
            <w:i/>
          </w:rPr>
          <w:instrText xml:space="preserve">PAGEREF _Toc91 \h</w:instrText>
        </w:r>
        <w:r>
          <w:rPr>
            <w:i/>
          </w:rPr>
        </w:r>
        <w:r>
          <w:rPr>
            <w:i/>
          </w:rPr>
          <w:fldChar w:fldCharType="separate"/>
        </w:r>
        <w:r>
          <w:rPr>
            <w:i/>
          </w:rPr>
          <w:t xml:space="preserve">23</w:t>
        </w:r>
        <w:r>
          <w:rPr>
            <w:i/>
          </w:rPr>
          <w:fldChar w:fldCharType="end"/>
        </w:r>
      </w:hyperlink>
      <w:r>
        <w:rPr>
          <w:rStyle w:val="1316"/>
          <w:i/>
        </w:rPr>
      </w:r>
      <w:r>
        <w:rPr>
          <w:rStyle w:val="1316"/>
          <w:i/>
        </w:rPr>
      </w:r>
    </w:p>
    <w:p>
      <w:pPr>
        <w:pStyle w:val="1205"/>
        <w:tabs>
          <w:tab w:val="left" w:pos="567" w:leader="none"/>
        </w:tabs>
        <w:rPr>
          <w:rStyle w:val="1316"/>
          <w:i/>
        </w:rPr>
      </w:pPr>
      <w:r/>
      <w:hyperlink w:tooltip="#_Toc92" w:anchor="_Toc92" w:history="1">
        <w:r>
          <w:rPr>
            <w:i/>
          </w:rPr>
          <w:t xml:space="preserve">III.</w:t>
        </w:r>
        <w:r>
          <w:rPr>
            <w:i/>
          </w:rPr>
          <w:tab/>
        </w:r>
        <w:r>
          <w:rPr>
            <w:rStyle w:val="1241"/>
            <w:i/>
          </w:rPr>
          <w:t xml:space="preserve">ОБРАЗЦЫ ФОРМ ДЛЯ ЗАПОЛНЕНИЯ УЧАСТНИКАМИ ЗАКУПКИ</w:t>
        </w:r>
        <w:r>
          <w:rPr>
            <w:i/>
          </w:rPr>
          <w:tab/>
        </w:r>
        <w:r>
          <w:rPr>
            <w:i/>
          </w:rPr>
          <w:fldChar w:fldCharType="begin"/>
        </w:r>
        <w:r>
          <w:rPr>
            <w:i/>
          </w:rPr>
          <w:instrText xml:space="preserve">PAGEREF _Toc92 \h</w:instrText>
        </w:r>
        <w:r>
          <w:rPr>
            <w:i/>
          </w:rPr>
        </w:r>
        <w:r>
          <w:rPr>
            <w:i/>
          </w:rPr>
          <w:fldChar w:fldCharType="separate"/>
        </w:r>
        <w:r>
          <w:rPr>
            <w:i/>
          </w:rPr>
          <w:t xml:space="preserve">35</w:t>
        </w:r>
        <w:r>
          <w:rPr>
            <w:i/>
          </w:rPr>
          <w:fldChar w:fldCharType="end"/>
        </w:r>
      </w:hyperlink>
      <w:r>
        <w:rPr>
          <w:rStyle w:val="1316"/>
          <w:i/>
        </w:rPr>
      </w:r>
      <w:r>
        <w:rPr>
          <w:rStyle w:val="1316"/>
          <w:i/>
        </w:rPr>
      </w:r>
    </w:p>
    <w:p>
      <w:pPr>
        <w:pStyle w:val="1205"/>
        <w:rPr>
          <w:rStyle w:val="1316"/>
          <w:i/>
        </w:rPr>
      </w:pPr>
      <w:r/>
      <w:hyperlink w:tooltip="#_Toc105" w:anchor="_Toc105" w:history="1">
        <w:r>
          <w:rPr>
            <w:rStyle w:val="1241"/>
            <w:i/>
            <w:lang w:val="en-US"/>
          </w:rPr>
          <w:t xml:space="preserve">IV</w:t>
        </w:r>
        <w:r>
          <w:rPr>
            <w:rStyle w:val="1241"/>
            <w:i/>
          </w:rPr>
          <w:t xml:space="preserve">. </w:t>
        </w:r>
        <w:r>
          <w:rPr>
            <w:rStyle w:val="1241"/>
            <w:i/>
          </w:rPr>
          <w:t xml:space="preserve"> </w:t>
        </w:r>
        <w:r>
          <w:rPr>
            <w:rStyle w:val="1241"/>
            <w:i/>
          </w:rPr>
          <w:t xml:space="preserve">ТЕХНИЧЕСКИЕ ТРЕБОВАНИЯ НА ВЫПОЛНЕНИЕ РАБОТ</w:t>
        </w:r>
        <w:r>
          <w:rPr>
            <w:i/>
          </w:rPr>
          <w:t xml:space="preserve">.......................................................................</w:t>
          <w:fldChar w:fldCharType="begin"/>
        </w:r>
        <w:r>
          <w:rPr>
            <w:i/>
          </w:rPr>
          <w:instrText xml:space="preserve">PAGEREF _Toc105 \h</w:instrText>
        </w:r>
        <w:r>
          <w:rPr>
            <w:i/>
          </w:rPr>
        </w:r>
        <w:r>
          <w:rPr>
            <w:i/>
          </w:rPr>
          <w:fldChar w:fldCharType="separate"/>
        </w:r>
        <w:r>
          <w:rPr>
            <w:rStyle w:val="1241"/>
            <w:i/>
          </w:rPr>
          <w:t xml:space="preserve">65</w:t>
        </w:r>
        <w:r>
          <w:rPr>
            <w:i/>
          </w:rPr>
          <w:fldChar w:fldCharType="end"/>
        </w:r>
      </w:hyperlink>
      <w:r>
        <w:rPr>
          <w:rStyle w:val="1316"/>
          <w:i/>
        </w:rPr>
      </w:r>
      <w:r>
        <w:rPr>
          <w:rStyle w:val="1316"/>
          <w:i/>
        </w:rPr>
      </w:r>
    </w:p>
    <w:p>
      <w:pPr>
        <w:pStyle w:val="1205"/>
        <w:rPr>
          <w:rStyle w:val="1316"/>
          <w:i/>
        </w:rPr>
      </w:pPr>
      <w:r/>
      <w:hyperlink w:tooltip="#_Toc106" w:anchor="_Toc106" w:history="1">
        <w:r>
          <w:rPr>
            <w:rStyle w:val="1241"/>
            <w:i/>
            <w:lang w:val="en-US"/>
          </w:rPr>
          <w:t xml:space="preserve">V</w:t>
        </w:r>
        <w:r>
          <w:rPr>
            <w:rStyle w:val="1241"/>
            <w:i/>
          </w:rPr>
          <w:t xml:space="preserve">. </w:t>
        </w:r>
        <w:r>
          <w:rPr>
            <w:rStyle w:val="1241"/>
            <w:i/>
          </w:rPr>
          <w:t xml:space="preserve">  </w:t>
        </w:r>
        <w:r>
          <w:rPr>
            <w:rStyle w:val="1241"/>
            <w:i/>
          </w:rPr>
          <w:t xml:space="preserve">ПРОЕКТ ДОГОВОРА </w:t>
        </w:r>
        <w:r>
          <w:rPr>
            <w:i/>
          </w:rPr>
          <w:tab/>
        </w:r>
        <w:r>
          <w:rPr>
            <w:i/>
          </w:rPr>
          <w:fldChar w:fldCharType="begin"/>
        </w:r>
        <w:r>
          <w:rPr>
            <w:i/>
          </w:rPr>
          <w:instrText xml:space="preserve">PAGEREF _Toc106 \h</w:instrText>
        </w:r>
        <w:r>
          <w:rPr>
            <w:i/>
          </w:rPr>
        </w:r>
        <w:r>
          <w:rPr>
            <w:i/>
          </w:rPr>
          <w:fldChar w:fldCharType="separate"/>
        </w:r>
        <w:r>
          <w:rPr>
            <w:rStyle w:val="1241"/>
            <w:i/>
          </w:rPr>
          <w:t xml:space="preserve">66</w:t>
        </w:r>
        <w:r>
          <w:rPr>
            <w:i/>
          </w:rPr>
          <w:fldChar w:fldCharType="end"/>
        </w:r>
      </w:hyperlink>
      <w:r>
        <w:rPr>
          <w:rStyle w:val="1316"/>
          <w:i/>
        </w:rPr>
      </w:r>
      <w:r>
        <w:rPr>
          <w:rStyle w:val="1316"/>
          <w:i/>
        </w:rPr>
      </w:r>
    </w:p>
    <w:p>
      <w:pPr>
        <w:pStyle w:val="1013"/>
        <w:numPr>
          <w:ilvl w:val="0"/>
          <w:numId w:val="6"/>
        </w:numPr>
        <w:ind w:left="0" w:firstLine="567"/>
        <w:pageBreakBefore/>
        <w:spacing w:before="0" w:after="0"/>
        <w:tabs>
          <w:tab w:val="clear" w:pos="720" w:leader="none"/>
        </w:tabs>
        <w:rPr>
          <w:rStyle w:val="1316"/>
          <w:b/>
          <w:bCs/>
          <w:i/>
          <w:caps/>
          <w:sz w:val="24"/>
          <w:szCs w:val="24"/>
        </w:rPr>
      </w:pPr>
      <w:r/>
      <w:bookmarkStart w:id="1" w:name="_Toc52"/>
      <w:r>
        <w:rPr>
          <w:b w:val="0"/>
          <w:bCs w:val="0"/>
          <w:i/>
          <w:iCs/>
          <w:caps/>
          <w:smallCaps/>
          <w:sz w:val="20"/>
          <w:szCs w:val="20"/>
        </w:rPr>
        <w:fldChar w:fldCharType="end"/>
      </w:r>
      <w:bookmarkStart w:id="2" w:name="_Ref166642713"/>
      <w:r>
        <w:rPr>
          <w:rStyle w:val="1316"/>
          <w:b/>
          <w:bCs/>
          <w:i/>
          <w:iCs/>
          <w:sz w:val="24"/>
          <w:szCs w:val="24"/>
        </w:rPr>
        <w:t xml:space="preserve">ОБЩИЕ УСЛОВИЯ ПРОВЕДЕНИЯ </w:t>
      </w:r>
      <w:bookmarkEnd w:id="2"/>
      <w:r>
        <w:rPr>
          <w:rStyle w:val="1316"/>
          <w:b/>
          <w:bCs/>
          <w:i/>
          <w:iCs/>
          <w:sz w:val="24"/>
          <w:szCs w:val="24"/>
        </w:rPr>
        <w:t xml:space="preserve">ЗАКУПКИ</w:t>
      </w:r>
      <w:bookmarkEnd w:id="1"/>
      <w:r>
        <w:rPr>
          <w:rStyle w:val="1316"/>
          <w:b/>
          <w:bCs/>
          <w:i/>
          <w:caps/>
          <w:sz w:val="24"/>
          <w:szCs w:val="24"/>
        </w:rPr>
      </w:r>
      <w:r>
        <w:rPr>
          <w:rStyle w:val="1316"/>
          <w:b/>
          <w:bCs/>
          <w:i/>
          <w:caps/>
          <w:sz w:val="24"/>
          <w:szCs w:val="24"/>
        </w:rPr>
      </w:r>
    </w:p>
    <w:p>
      <w:r/>
      <w:r/>
    </w:p>
    <w:p>
      <w:pPr>
        <w:pStyle w:val="1013"/>
        <w:numPr>
          <w:ilvl w:val="0"/>
          <w:numId w:val="1"/>
        </w:numPr>
        <w:ind w:left="0" w:firstLine="567"/>
        <w:jc w:val="both"/>
        <w:keepNext w:val="0"/>
        <w:spacing w:before="0" w:after="0"/>
        <w:rPr>
          <w:i/>
          <w:sz w:val="24"/>
          <w:szCs w:val="24"/>
        </w:rPr>
      </w:pPr>
      <w:r/>
      <w:bookmarkStart w:id="3" w:name="_Ref166101247"/>
      <w:r/>
      <w:bookmarkStart w:id="4" w:name="_Ref166101251"/>
      <w:r/>
      <w:bookmarkStart w:id="5" w:name="_Toc53"/>
      <w:r>
        <w:rPr>
          <w:i/>
          <w:sz w:val="24"/>
          <w:szCs w:val="24"/>
        </w:rPr>
        <w:t xml:space="preserve">ОБЩИЕ ПОЛОЖЕНИЯ</w:t>
      </w:r>
      <w:bookmarkEnd w:id="3"/>
      <w:r/>
      <w:bookmarkEnd w:id="4"/>
      <w:r/>
      <w:bookmarkEnd w:id="5"/>
      <w:r>
        <w:rPr>
          <w:i/>
          <w:sz w:val="24"/>
          <w:szCs w:val="24"/>
        </w:rPr>
      </w:r>
      <w:r>
        <w:rPr>
          <w:i/>
          <w:sz w:val="24"/>
          <w:szCs w:val="24"/>
        </w:rPr>
      </w:r>
    </w:p>
    <w:p>
      <w:pPr>
        <w:pStyle w:val="1014"/>
        <w:numPr>
          <w:ilvl w:val="1"/>
          <w:numId w:val="1"/>
        </w:numPr>
        <w:ind w:left="0" w:firstLine="567"/>
        <w:jc w:val="left"/>
        <w:keepNext w:val="0"/>
        <w:spacing w:after="0"/>
        <w:rPr>
          <w:i/>
          <w:sz w:val="24"/>
          <w:szCs w:val="24"/>
        </w:rPr>
      </w:pPr>
      <w:r/>
      <w:bookmarkStart w:id="6" w:name="_Toc54"/>
      <w:r>
        <w:rPr>
          <w:i/>
          <w:sz w:val="24"/>
          <w:szCs w:val="24"/>
        </w:rPr>
        <w:t xml:space="preserve">Правовой статус документов</w:t>
      </w:r>
      <w:bookmarkEnd w:id="6"/>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bookmarkStart w:id="7" w:name="_Ref119427085"/>
      <w:r/>
      <w:bookmarkStart w:id="8" w:name="_Ref11225299"/>
      <w:r>
        <w:rPr>
          <w:rFonts w:ascii="Times New Roman" w:hAnsi="Times New Roman" w:cs="Times New Roman"/>
          <w:b w:val="0"/>
          <w:bCs w:val="0"/>
        </w:rPr>
        <w:t xml:space="preserve">Настоящая документация о закупке подготовлена в соответствии </w:t>
      </w:r>
      <w:bookmarkEnd w:id="7"/>
      <w:r>
        <w:rPr>
          <w:rFonts w:ascii="Times New Roman" w:hAnsi="Times New Roman" w:cs="Times New Roman"/>
          <w:b w:val="0"/>
          <w:bCs w:val="0"/>
        </w:rPr>
        <w:t xml:space="preserve">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w:t>
      </w:r>
      <w:r>
        <w:rPr>
          <w:rFonts w:ascii="Times New Roman" w:hAnsi="Times New Roman" w:cs="Times New Roman"/>
          <w:b w:val="0"/>
          <w:bCs w:val="0"/>
        </w:rPr>
        <w:t xml:space="preserve">ь отдельных видов юридических лиц (далее - законодательство о закупках отдельными видами юридических лиц) и положениями Единого стандарта закупок ПАО «Россети» (далее - Стандарт, Положение о закупке), утвержденного решением Совета Директоров ПАО «Россети».</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Термины и определения, применяемые в настоящей документации о закупке и приложениях к ней, ис</w:t>
      </w:r>
      <w:r>
        <w:rPr>
          <w:rFonts w:ascii="Times New Roman" w:hAnsi="Times New Roman" w:cs="Times New Roman"/>
          <w:b w:val="0"/>
          <w:bCs w:val="0"/>
        </w:rPr>
        <w:t xml:space="preserve">пользуются в значениях, установленных законодательством о закупках отдельными видами юридических лиц, а также в соответствии с определениями, установленными в Приложении 1 «Глоссарий» к Стандарту, если настоящей документацией о закупке не установлено иное.</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Извещение о закупке и настоящая документация о закупке, размещенные Организатором в Единой информационной системе в сфере закупок товаров, работ, </w:t>
      </w:r>
      <w:r>
        <w:rPr>
          <w:rFonts w:ascii="Times New Roman" w:hAnsi="Times New Roman" w:cs="Times New Roman"/>
          <w:b w:val="0"/>
          <w:bCs w:val="0"/>
        </w:rPr>
        <w:t xml:space="preserve">услуг для обеспечения государственных и муниципальных нужд (далее - единая информационная система, ЕИС), являются офертой Организатора и должны рассматриваться участниками закупки в соответствии с этим в течение срока, определенного для проведения закупки.</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Заявка участника закупки, поданное участником в соответствии с установленными требованиями, имеет правовой статус оферты и будет рассматриваться Организатором в соответствии с этим.</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w:t>
      </w:r>
      <w:r>
        <w:rPr>
          <w:rFonts w:ascii="Times New Roman" w:hAnsi="Times New Roman" w:cs="Times New Roman"/>
          <w:b w:val="0"/>
          <w:bCs w:val="0"/>
        </w:rPr>
        <w:t xml:space="preserve">ических лиц, Гражданским кодексом Российской Федерации, Положением о закупке Заказчика, действующим законодательством Российской Федерации. Заказчик информирует участников закупки о том, что в ПАО «Россети» утвержден Кодекс поставщика ПАО «Россети» (далее </w:t>
      </w:r>
      <w:r>
        <w:rPr>
          <w:rFonts w:ascii="Times New Roman" w:hAnsi="Times New Roman" w:cs="Times New Roman"/>
          <w:b w:val="0"/>
          <w:bCs w:val="0"/>
        </w:rPr>
        <w:t xml:space="preserve">-</w:t>
      </w:r>
      <w:r>
        <w:rPr>
          <w:rFonts w:ascii="Times New Roman" w:hAnsi="Times New Roman" w:cs="Times New Roman"/>
          <w:b w:val="0"/>
          <w:bCs w:val="0"/>
        </w:rPr>
        <w:t xml:space="preserve"> Кодекс), которым установлены базовые рекомендации для участников закупки в части корпоративной и социальной ответственности. Направление заявки на участие в з</w:t>
      </w:r>
      <w:r>
        <w:rPr>
          <w:rFonts w:ascii="Times New Roman" w:hAnsi="Times New Roman" w:cs="Times New Roman"/>
          <w:b w:val="0"/>
          <w:bCs w:val="0"/>
        </w:rPr>
        <w:t xml:space="preserve">акупочной процедуре означает, что участник ознакомлен с положениями Кодекса. Кодекс имеет рекомендательный характер для поставщиков ПАО «Россети» в части применения ими в своей деятельности изложенных в Кодексе принципов и подходов. Указанный документ разм</w:t>
      </w:r>
      <w:r>
        <w:rPr>
          <w:rFonts w:ascii="Times New Roman" w:hAnsi="Times New Roman" w:cs="Times New Roman"/>
          <w:b w:val="0"/>
          <w:bCs w:val="0"/>
        </w:rPr>
        <w:t xml:space="preserve">ещен в сети Интернет по адресу: </w:t>
      </w:r>
      <w:r>
        <w:rPr>
          <w:rFonts w:ascii="Times New Roman" w:hAnsi="Times New Roman" w:cs="Times New Roman"/>
          <w:b w:val="0"/>
          <w:bCs w:val="0"/>
        </w:rPr>
        <w:t xml:space="preserve">https://www.rosseti.ru/sustainable-development/sustainable-development-documents/.</w:t>
      </w:r>
      <w:r>
        <w:rPr>
          <w:rFonts w:ascii="Times New Roman" w:hAnsi="Times New Roman" w:cs="Times New Roman"/>
          <w:b w:val="0"/>
          <w:bCs w:val="0"/>
        </w:rPr>
      </w:r>
      <w:r>
        <w:rPr>
          <w:rFonts w:ascii="Times New Roman" w:hAnsi="Times New Roman" w:cs="Times New Roman"/>
          <w:b w:val="0"/>
          <w:bCs w:val="0"/>
        </w:rPr>
      </w:r>
    </w:p>
    <w:p>
      <w:pPr>
        <w:pStyle w:val="1334"/>
        <w:ind w:left="567"/>
        <w:jc w:val="both"/>
      </w:pPr>
      <w:r/>
      <w:r/>
    </w:p>
    <w:p>
      <w:pPr>
        <w:pStyle w:val="1014"/>
        <w:numPr>
          <w:ilvl w:val="1"/>
          <w:numId w:val="1"/>
        </w:numPr>
        <w:ind w:left="0" w:firstLine="567"/>
        <w:jc w:val="both"/>
        <w:keepNext w:val="0"/>
        <w:spacing w:after="0"/>
        <w:rPr>
          <w:i/>
          <w:sz w:val="24"/>
          <w:szCs w:val="24"/>
        </w:rPr>
      </w:pPr>
      <w:r/>
      <w:bookmarkStart w:id="9" w:name="_Toc55"/>
      <w:r>
        <w:rPr>
          <w:i/>
          <w:sz w:val="24"/>
          <w:szCs w:val="24"/>
        </w:rPr>
        <w:t xml:space="preserve">Заказчик, Организатор, предмет и условия проведения закупки.</w:t>
      </w:r>
      <w:bookmarkEnd w:id="9"/>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bookmarkStart w:id="10" w:name="_Ref166267341"/>
      <w:r>
        <w:rPr>
          <w:rFonts w:ascii="Times New Roman" w:hAnsi="Times New Roman" w:cs="Times New Roman"/>
          <w:b w:val="0"/>
          <w:bCs w:val="0"/>
        </w:rPr>
        <w:t xml:space="preserve">Организатор, указанный в пункте 1 части II «ИНФОРМАЦИОННАЯ КАРТА ЗАКУПКИ» настоящей документации о закупке соответственно (далее по тексту ссылки на разделы, подразделы, пункты и подпункты относятся исключительно к настоя</w:t>
      </w:r>
      <w:r>
        <w:rPr>
          <w:rFonts w:ascii="Times New Roman" w:hAnsi="Times New Roman" w:cs="Times New Roman"/>
          <w:b w:val="0"/>
          <w:bCs w:val="0"/>
        </w:rPr>
        <w:t xml:space="preserve">щей документации о закупке, если рядом с такой ссылкой не указано иного), проводит закупку, предмет и условия которой указаны в части II «ИНФОРМАЦИОННАЯ КАРТА ЗАКУПКИ», в соответствии с процедурами, условиями и положениями настоящей документации о закупке.</w:t>
      </w:r>
      <w:bookmarkEnd w:id="10"/>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случае если в документации о закупке не указано иного при проведении закупки Заказчик также является Организатором закупки, функции которого определены Стандартом.</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Заказчик вправе привлечь для организации и проведения закупки стороннего Организатора закупки, информация о котором (в случае принятия такого решения) должна быть указана в пункте 1 части II «ИНФОРМАЦИОННАЯ КАРТА ЗАКУПКИ».</w:t>
      </w:r>
      <w:r>
        <w:t xml:space="preserve"> </w:t>
      </w:r>
      <w:r>
        <w:rPr>
          <w:rFonts w:ascii="Times New Roman" w:hAnsi="Times New Roman" w:cs="Times New Roman"/>
          <w:b w:val="0"/>
          <w:bCs w:val="0"/>
        </w:rPr>
        <w:t xml:space="preserve">Распределение функций между Заказчиком и таким Организатором закупки определяется договором, подписанным между ними с учетом требований Стандарта.</w:t>
      </w:r>
      <w:r>
        <w:rPr>
          <w:rFonts w:ascii="Times New Roman" w:hAnsi="Times New Roman" w:cs="Times New Roman"/>
          <w:b w:val="0"/>
          <w:bCs w:val="0"/>
        </w:rPr>
      </w:r>
      <w:r>
        <w:rPr>
          <w:rFonts w:ascii="Times New Roman" w:hAnsi="Times New Roman" w:cs="Times New Roman"/>
          <w:b w:val="0"/>
          <w:bCs w:val="0"/>
        </w:rPr>
      </w:r>
    </w:p>
    <w:p>
      <w:pPr>
        <w:spacing w:after="0"/>
      </w:pPr>
      <w:r/>
      <w:r/>
    </w:p>
    <w:p>
      <w:pPr>
        <w:pStyle w:val="1014"/>
        <w:numPr>
          <w:ilvl w:val="1"/>
          <w:numId w:val="1"/>
        </w:numPr>
        <w:ind w:left="0" w:firstLine="567"/>
        <w:jc w:val="left"/>
        <w:keepNext w:val="0"/>
        <w:spacing w:after="0"/>
        <w:rPr>
          <w:i/>
          <w:sz w:val="24"/>
          <w:szCs w:val="24"/>
        </w:rPr>
      </w:pPr>
      <w:r/>
      <w:bookmarkStart w:id="11" w:name="_Toc56"/>
      <w:r>
        <w:rPr>
          <w:i/>
          <w:sz w:val="24"/>
          <w:szCs w:val="24"/>
        </w:rPr>
        <w:t xml:space="preserve">Начальная (максимальная) цена договора </w:t>
      </w:r>
      <w:bookmarkEnd w:id="11"/>
      <w:r>
        <w:rPr>
          <w:i/>
          <w:sz w:val="24"/>
          <w:szCs w:val="24"/>
        </w:rPr>
      </w:r>
      <w:r>
        <w:rPr>
          <w:i/>
          <w:sz w:val="24"/>
          <w:szCs w:val="24"/>
        </w:rPr>
      </w:r>
    </w:p>
    <w:p>
      <w:pPr>
        <w:pStyle w:val="1015"/>
        <w:numPr>
          <w:ilvl w:val="2"/>
          <w:numId w:val="1"/>
        </w:numPr>
        <w:ind w:left="0" w:firstLine="567"/>
        <w:keepNext w:val="0"/>
        <w:spacing w:before="0" w:after="0"/>
        <w:tabs>
          <w:tab w:val="clear" w:pos="454" w:leader="none"/>
        </w:tabs>
        <w:rPr>
          <w:rFonts w:ascii="Times New Roman" w:hAnsi="Times New Roman" w:cs="Times New Roman"/>
          <w:b w:val="0"/>
        </w:rPr>
      </w:pPr>
      <w:r/>
      <w:bookmarkStart w:id="12" w:name="_Ref166311292"/>
      <w:r>
        <w:rPr>
          <w:rFonts w:ascii="Times New Roman" w:hAnsi="Times New Roman" w:cs="Times New Roman"/>
          <w:b w:val="0"/>
          <w:bCs w:val="0"/>
        </w:rPr>
        <w:t xml:space="preserve">Начальная (максимальная) цена договора указана в извещении о закупке и пункте 4 части II «ИНФОРМАЦИОННАЯ КАРТА ЗАКУПКИ». </w:t>
      </w:r>
      <w:bookmarkEnd w:id="12"/>
      <w:r>
        <w:rPr>
          <w:rFonts w:ascii="Times New Roman" w:hAnsi="Times New Roman" w:cs="Times New Roman"/>
          <w:b w:val="0"/>
          <w:bCs w:val="0"/>
        </w:rPr>
        <w:t xml:space="preserve">Начальная (максимальная) цена договора может быть указана Организатором в виде </w:t>
      </w:r>
      <w:r>
        <w:rPr>
          <w:rFonts w:ascii="Times New Roman" w:hAnsi="Times New Roman" w:cs="Times New Roman"/>
          <w:b w:val="0"/>
        </w:rPr>
        <w:t xml:space="preserve">сведений о начальной (максимальной) цене договора, </w:t>
      </w:r>
      <w:r>
        <w:rPr>
          <w:rFonts w:ascii="Times New Roman" w:hAnsi="Times New Roman" w:cs="Times New Roman"/>
          <w:b w:val="0"/>
        </w:rPr>
        <w:t xml:space="preserve">либо формулы цены, устанавливающей правила</w:t>
      </w:r>
      <w:r>
        <w:rPr>
          <w:rFonts w:ascii="Times New Roman" w:hAnsi="Times New Roman" w:cs="Times New Roman"/>
          <w:b w:val="0"/>
        </w:rPr>
        <w:t xml:space="preserve"> расчета сумм, подлежащих уплате Заказчиком поставщику (исполнителю, подрядчику) в ходе исполнения договора, и максимального значения цены договора, либо цены единицы товара, работы, услуги и максимальное значение цены договора. В случае если по результата</w:t>
      </w:r>
      <w:r>
        <w:rPr>
          <w:rFonts w:ascii="Times New Roman" w:hAnsi="Times New Roman" w:cs="Times New Roman"/>
          <w:b w:val="0"/>
        </w:rPr>
        <w:t xml:space="preserve">м закупки в соответствии с условиями документации о закупке может быть заключено несколько договоров, в том числе с несколькими заказчиками, начальная максимальная цена договора может включать в себя указание начальных максимальных цен отдельных договоров.</w:t>
      </w:r>
      <w:r>
        <w:rPr>
          <w:rFonts w:ascii="Times New Roman" w:hAnsi="Times New Roman" w:cs="Times New Roman"/>
          <w:b w:val="0"/>
        </w:rPr>
      </w:r>
      <w:r>
        <w:rPr>
          <w:rFonts w:ascii="Times New Roman" w:hAnsi="Times New Roman" w:cs="Times New Roman"/>
          <w:b w:val="0"/>
        </w:rPr>
      </w:r>
    </w:p>
    <w:p>
      <w:pPr>
        <w:pStyle w:val="1015"/>
        <w:numPr>
          <w:ilvl w:val="2"/>
          <w:numId w:val="1"/>
        </w:numPr>
        <w:ind w:left="0" w:firstLine="567"/>
        <w:spacing w:before="0" w:after="0"/>
        <w:rPr>
          <w:rFonts w:ascii="Times New Roman" w:hAnsi="Times New Roman" w:cs="Times New Roman"/>
          <w:b w:val="0"/>
          <w:bCs w:val="0"/>
        </w:rPr>
      </w:pPr>
      <w:r>
        <w:rPr>
          <w:rFonts w:ascii="Times New Roman" w:hAnsi="Times New Roman" w:cs="Times New Roman"/>
          <w:b w:val="0"/>
          <w:bCs w:val="0"/>
        </w:rPr>
        <w:t xml:space="preserve">Обоснование </w:t>
      </w:r>
      <w:r>
        <w:rPr>
          <w:rFonts w:ascii="Times New Roman" w:hAnsi="Times New Roman" w:cs="Times New Roman"/>
          <w:b w:val="0"/>
          <w:bCs w:val="0"/>
        </w:rPr>
        <w:t xml:space="preserve">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размещено в составе настоящей документации о закупке.</w:t>
      </w:r>
      <w:r>
        <w:rPr>
          <w:rFonts w:ascii="Times New Roman" w:hAnsi="Times New Roman" w:cs="Times New Roman"/>
          <w:b w:val="0"/>
          <w:bCs w:val="0"/>
        </w:rPr>
      </w:r>
      <w:r>
        <w:rPr>
          <w:rFonts w:ascii="Times New Roman" w:hAnsi="Times New Roman" w:cs="Times New Roman"/>
          <w:b w:val="0"/>
          <w:bCs w:val="0"/>
        </w:rPr>
      </w:r>
    </w:p>
    <w:p>
      <w:pPr>
        <w:spacing w:after="0"/>
      </w:pPr>
      <w:r/>
      <w:r/>
    </w:p>
    <w:p>
      <w:pPr>
        <w:pStyle w:val="1014"/>
        <w:numPr>
          <w:ilvl w:val="1"/>
          <w:numId w:val="1"/>
        </w:numPr>
        <w:ind w:left="0" w:firstLine="567"/>
        <w:jc w:val="left"/>
        <w:keepNext w:val="0"/>
        <w:spacing w:after="0"/>
        <w:rPr>
          <w:i/>
          <w:sz w:val="24"/>
          <w:szCs w:val="24"/>
        </w:rPr>
      </w:pPr>
      <w:r/>
      <w:bookmarkStart w:id="13" w:name="_Toc57"/>
      <w:r>
        <w:rPr>
          <w:i/>
          <w:sz w:val="24"/>
          <w:szCs w:val="24"/>
        </w:rPr>
        <w:t xml:space="preserve">Требования к участникам закупки</w:t>
      </w:r>
      <w:bookmarkEnd w:id="13"/>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Участником заку</w:t>
      </w:r>
      <w:r>
        <w:rPr>
          <w:rFonts w:ascii="Times New Roman" w:hAnsi="Times New Roman" w:cs="Times New Roman"/>
          <w:b w:val="0"/>
          <w:bCs w:val="0"/>
        </w:rPr>
        <w:t xml:space="preserve">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w:t>
      </w:r>
      <w:r>
        <w:rPr>
          <w:rFonts w:ascii="Times New Roman" w:hAnsi="Times New Roman" w:cs="Times New Roman"/>
          <w:b w:val="0"/>
          <w:bCs w:val="0"/>
        </w:rPr>
        <w:t xml:space="preserve">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w:t>
      </w:r>
      <w:r>
        <w:rPr>
          <w:rFonts w:ascii="Times New Roman" w:hAnsi="Times New Roman" w:cs="Times New Roman"/>
          <w:b w:val="0"/>
          <w:bCs w:val="0"/>
        </w:rPr>
        <w:t xml:space="preserve">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w:t>
      </w:r>
      <w:r>
        <w:rPr>
          <w:rFonts w:ascii="Times New Roman" w:hAnsi="Times New Roman" w:cs="Times New Roman"/>
          <w:b w:val="0"/>
          <w:bCs w:val="0"/>
        </w:rPr>
        <w:t xml:space="preserve">еральным законом от 14 июля 2022 года N 255-ФЗ «О контроле за деятельностью лиц, находящихся под иностранным влиянием». В течение срока проведения эксперимента, установленного Федеральным законом от 27 ноября 2018 года № 422-ФЗ «О проведении эксперимента п</w:t>
      </w:r>
      <w:r>
        <w:rPr>
          <w:rFonts w:ascii="Times New Roman" w:hAnsi="Times New Roman" w:cs="Times New Roman"/>
          <w:b w:val="0"/>
          <w:bCs w:val="0"/>
        </w:rPr>
        <w:t xml:space="preserve">о установлению специального налогового режима «Налог на профессиональный доход» участником закупки может быть также физическое лицо, не являющееся индивидуальными предпринимателем и применяющее специальный налоговый режим «Налог на профессиональный доход».</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Участники закупки имеют право выступать в отнош</w:t>
      </w:r>
      <w:r>
        <w:rPr>
          <w:rFonts w:ascii="Times New Roman" w:hAnsi="Times New Roman" w:cs="Times New Roman"/>
          <w:b w:val="0"/>
          <w:bCs w:val="0"/>
        </w:rPr>
        <w:t xml:space="preserve">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требованиями действующего законодательства.</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bookmarkStart w:id="14" w:name="_Ref166312025"/>
      <w:r>
        <w:rPr>
          <w:rFonts w:ascii="Times New Roman" w:hAnsi="Times New Roman" w:cs="Times New Roman"/>
          <w:b w:val="0"/>
          <w:bCs w:val="0"/>
        </w:rPr>
        <w:t xml:space="preserve">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для того, чтобы принять участие в закупке, должен удовлетворять требованиям, установленным в пункте 9 части II «ИНФОРМАЦИОННАЯ КАРТА ЗАКУПКИ».</w:t>
      </w:r>
      <w:bookmarkEnd w:id="14"/>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rPr>
      </w:pPr>
      <w:r>
        <w:rPr>
          <w:rFonts w:ascii="Times New Roman" w:hAnsi="Times New Roman" w:cs="Times New Roman"/>
          <w:b w:val="0"/>
        </w:rPr>
        <w:t xml:space="preserve">Участник закупки должен соответствовать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Федеральным</w:t>
      </w:r>
      <w:r>
        <w:rPr>
          <w:rFonts w:ascii="Times New Roman" w:hAnsi="Times New Roman" w:cs="Times New Roman"/>
          <w:b w:val="0"/>
        </w:rPr>
        <w:t xml:space="preserve"> законом от 5 апреля 2013 года № 44-ФЗ «О контрактной системе в сфере закупок товаров, работ, услуг для обеспечения государственных и муниципальных нужд», если такое требование установлено Организатором, в пункте 10 части II «ИНФОРМАЦИОННАЯ КАРТА ЗАКУПКИ».</w:t>
      </w:r>
      <w:r>
        <w:rPr>
          <w:rFonts w:ascii="Times New Roman" w:hAnsi="Times New Roman" w:cs="Times New Roman"/>
          <w:b w:val="0"/>
        </w:rPr>
      </w:r>
      <w:r>
        <w:rPr>
          <w:rFonts w:ascii="Times New Roman" w:hAnsi="Times New Roman" w:cs="Times New Roman"/>
          <w:b w:val="0"/>
        </w:rPr>
      </w:r>
    </w:p>
    <w:p>
      <w:pPr>
        <w:pStyle w:val="1015"/>
        <w:numPr>
          <w:ilvl w:val="2"/>
          <w:numId w:val="1"/>
        </w:numPr>
        <w:ind w:left="0" w:firstLine="567"/>
        <w:keepNext w:val="0"/>
        <w:spacing w:before="0" w:after="0"/>
        <w:rPr>
          <w:rFonts w:ascii="Times New Roman" w:hAnsi="Times New Roman" w:cs="Times New Roman"/>
          <w:b w:val="0"/>
        </w:rPr>
      </w:pPr>
      <w:r>
        <w:rPr>
          <w:rFonts w:ascii="Times New Roman" w:hAnsi="Times New Roman" w:cs="Times New Roman"/>
          <w:b w:val="0"/>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настоящей документации о закупке</w:t>
      </w:r>
      <w:r>
        <w:rPr>
          <w:rFonts w:ascii="Times New Roman" w:hAnsi="Times New Roman" w:cs="Times New Roman"/>
          <w:b w:val="0"/>
        </w:rPr>
        <w:t xml:space="preserve"> в части требований, не подлежащих суммированию (наличию гражданской правоспособности в полном объеме, не нахождения в процессе ликвидации, отсутствия в реестре недобросовестных поставщиков и т.п.). При установлении требований по количественным параметрам </w:t>
      </w:r>
      <w:r>
        <w:rPr>
          <w:rFonts w:ascii="Times New Roman" w:hAnsi="Times New Roman" w:cs="Times New Roman"/>
          <w:b w:val="0"/>
        </w:rPr>
        <w:t xml:space="preserve">деятельности коллективного участника (группы лиц), количественные параметры членов объединения суммируются в соответствии с распределением поставок, работ, услуг между членами коллективного участника. При установлении требований по наличию специальной прав</w:t>
      </w:r>
      <w:r>
        <w:rPr>
          <w:rFonts w:ascii="Times New Roman" w:hAnsi="Times New Roman" w:cs="Times New Roman"/>
          <w:b w:val="0"/>
        </w:rPr>
        <w:t xml:space="preserve">оспособности (например, наличие лицензий и иных специальных разрешительных документов) соответствие установленным в документации о закупке требованиям оценивается в соответствии с распределением поставок, работ, услуг между членами коллективного участника.</w:t>
      </w:r>
      <w:r>
        <w:rPr>
          <w:rFonts w:ascii="Times New Roman" w:hAnsi="Times New Roman" w:cs="Times New Roman"/>
          <w:b w:val="0"/>
        </w:rPr>
      </w:r>
      <w:r>
        <w:rPr>
          <w:rFonts w:ascii="Times New Roman" w:hAnsi="Times New Roman" w:cs="Times New Roman"/>
          <w:b w:val="0"/>
        </w:rPr>
      </w:r>
    </w:p>
    <w:p>
      <w:pPr>
        <w:pStyle w:val="1015"/>
        <w:numPr>
          <w:ilvl w:val="2"/>
          <w:numId w:val="1"/>
        </w:numPr>
        <w:ind w:left="0" w:firstLine="567"/>
        <w:keepNext w:val="0"/>
        <w:spacing w:before="0" w:after="0"/>
        <w:rPr>
          <w:rFonts w:ascii="Times New Roman" w:hAnsi="Times New Roman" w:cs="Times New Roman"/>
          <w:b w:val="0"/>
        </w:rPr>
      </w:pPr>
      <w:r>
        <w:rPr>
          <w:rFonts w:ascii="Times New Roman" w:hAnsi="Times New Roman" w:cs="Times New Roman"/>
          <w:b w:val="0"/>
        </w:rPr>
        <w:t xml:space="preserve">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либо в качестве субподрядчиков/соисполнителей у других участников закупки. В </w:t>
      </w:r>
      <w:r>
        <w:rPr>
          <w:rFonts w:ascii="Times New Roman" w:hAnsi="Times New Roman" w:cs="Times New Roman"/>
          <w:b w:val="0"/>
        </w:rPr>
        <w:t xml:space="preserve">случае невыполнения этих требований заявки с участием таких лиц будут отклонены без рассмотрени</w:t>
      </w:r>
      <w:r>
        <w:rPr>
          <w:rFonts w:ascii="Times New Roman" w:hAnsi="Times New Roman" w:cs="Times New Roman"/>
          <w:b w:val="0"/>
        </w:rPr>
        <w:t xml:space="preserve">я, по существу. Любое юридическое лицо или индивидуальный предприниматель, не принимающее участие в данной закупке самостоятельно либо в составе коллективного участника, может являться субподрядчиком/соисполнителем у произвольного числа участников закупки.</w:t>
      </w:r>
      <w:r>
        <w:rPr>
          <w:rFonts w:ascii="Times New Roman" w:hAnsi="Times New Roman" w:cs="Times New Roman"/>
          <w:b w:val="0"/>
        </w:rPr>
      </w:r>
      <w:r>
        <w:rPr>
          <w:rFonts w:ascii="Times New Roman" w:hAnsi="Times New Roman" w:cs="Times New Roman"/>
          <w:b w:val="0"/>
        </w:rPr>
      </w:r>
    </w:p>
    <w:p>
      <w:pPr>
        <w:pStyle w:val="1015"/>
        <w:numPr>
          <w:ilvl w:val="2"/>
          <w:numId w:val="1"/>
        </w:numPr>
        <w:ind w:left="0" w:firstLine="567"/>
        <w:keepNext w:val="0"/>
        <w:spacing w:before="0" w:after="0"/>
        <w:rPr>
          <w:rFonts w:ascii="Times New Roman" w:hAnsi="Times New Roman" w:cs="Times New Roman"/>
          <w:b w:val="0"/>
          <w:bCs w:val="0"/>
        </w:rPr>
      </w:pPr>
      <w:r/>
      <w:bookmarkStart w:id="15" w:name="_Ref535962934"/>
      <w:r>
        <w:rPr>
          <w:rFonts w:ascii="Times New Roman" w:hAnsi="Times New Roman" w:cs="Times New Roman"/>
          <w:b w:val="0"/>
          <w:bCs w:val="0"/>
        </w:rPr>
        <w:t xml:space="preserve">В случае закупки работ по проектированию, строительству, модернизации и ремонту особо опасных, технически сложных объектов капитального строитель</w:t>
      </w:r>
      <w:r>
        <w:rPr>
          <w:rFonts w:ascii="Times New Roman" w:hAnsi="Times New Roman" w:cs="Times New Roman"/>
          <w:b w:val="0"/>
          <w:bCs w:val="0"/>
        </w:rPr>
        <w:t xml:space="preserve">ства и закупки товаров, работ, услуг, связанных с использованием атомной энергии Организатор вправе в документации о закупке установить требования к участникам такой закупки и привлекаемым ими субподрядчикам/соисполнителям и (или) изготовителям товара, явл</w:t>
      </w:r>
      <w:r>
        <w:rPr>
          <w:rFonts w:ascii="Times New Roman" w:hAnsi="Times New Roman" w:cs="Times New Roman"/>
          <w:b w:val="0"/>
          <w:bCs w:val="0"/>
        </w:rPr>
        <w:t xml:space="preserve">яющегося предметом закупки, и перечень документов, представляемых участниками такой закупки для подтверждения их соответствия указанным требованиям. Информация об установлении таких требований указывается в пункте 12 части II «ИНФОРМАЦИОННАЯ КАРТА ЗАКУПКИ»</w:t>
      </w:r>
      <w:bookmarkEnd w:id="15"/>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spacing w:after="0"/>
      </w:pPr>
      <w:r/>
      <w:r/>
    </w:p>
    <w:p>
      <w:pPr>
        <w:pStyle w:val="1014"/>
        <w:numPr>
          <w:ilvl w:val="1"/>
          <w:numId w:val="1"/>
        </w:numPr>
        <w:ind w:left="0" w:firstLine="567"/>
        <w:jc w:val="both"/>
        <w:keepNext w:val="0"/>
        <w:spacing w:after="0"/>
        <w:tabs>
          <w:tab w:val="left" w:pos="1276" w:leader="none"/>
        </w:tabs>
        <w:rPr>
          <w:i/>
          <w:sz w:val="24"/>
          <w:szCs w:val="24"/>
        </w:rPr>
      </w:pPr>
      <w:r/>
      <w:bookmarkStart w:id="16" w:name="_Toc58"/>
      <w:r>
        <w:rPr>
          <w:i/>
          <w:sz w:val="24"/>
          <w:szCs w:val="24"/>
        </w:rPr>
        <w:t xml:space="preserve">Привлечение субподрядчиков/соисполнителей к исполнению договора</w:t>
      </w:r>
      <w:bookmarkEnd w:id="16"/>
      <w:r>
        <w:rPr>
          <w:i/>
          <w:sz w:val="24"/>
          <w:szCs w:val="24"/>
        </w:rPr>
      </w:r>
      <w:r>
        <w:rPr>
          <w:i/>
          <w:sz w:val="24"/>
          <w:szCs w:val="24"/>
        </w:rPr>
      </w:r>
    </w:p>
    <w:p>
      <w:pPr>
        <w:pStyle w:val="1015"/>
        <w:numPr>
          <w:ilvl w:val="2"/>
          <w:numId w:val="1"/>
        </w:numPr>
        <w:ind w:left="0" w:firstLine="567"/>
        <w:keepNext w:val="0"/>
        <w:spacing w:before="0" w:after="0"/>
        <w:tabs>
          <w:tab w:val="clear" w:pos="454" w:leader="none"/>
          <w:tab w:val="num" w:pos="1021" w:leader="none"/>
        </w:tabs>
        <w:rPr>
          <w:rFonts w:ascii="Times New Roman" w:hAnsi="Times New Roman" w:cs="Times New Roman"/>
          <w:b w:val="0"/>
          <w:bCs w:val="0"/>
        </w:rPr>
      </w:pPr>
      <w:r>
        <w:rPr>
          <w:rFonts w:ascii="Times New Roman" w:hAnsi="Times New Roman" w:cs="Times New Roman"/>
          <w:b w:val="0"/>
          <w:bCs w:val="0"/>
        </w:rPr>
        <w:t xml:space="preserve">Участник </w:t>
      </w:r>
      <w:bookmarkStart w:id="17" w:name="_Ref354131847"/>
      <w:r/>
      <w:bookmarkStart w:id="18" w:name="_Ref11495519"/>
      <w:r>
        <w:rPr>
          <w:rFonts w:ascii="Times New Roman" w:hAnsi="Times New Roman" w:cs="Times New Roman"/>
          <w:b w:val="0"/>
          <w:bCs w:val="0"/>
        </w:rPr>
        <w:t xml:space="preserve">закупки вправе привлечь к исполнению договора субподрядчиков/соисполнителей в случае, если это допускается положениями действующего законодательства Российской Федерации для соответствующего предмету договора виду гражданско-правового договора. </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 закупки должен доказать Организатору закупки, что каждый из привлекаемых им субподрядчиков/соисполнителей (т.е. выполняющих более 5% объема работ/услуг):</w:t>
      </w:r>
      <w:r>
        <w:rPr>
          <w:rFonts w:ascii="Times New Roman" w:hAnsi="Times New Roman" w:cs="Times New Roman"/>
          <w:b w:val="0"/>
          <w:bCs w:val="0"/>
        </w:rPr>
      </w:r>
      <w:r>
        <w:rPr>
          <w:rFonts w:ascii="Times New Roman" w:hAnsi="Times New Roman" w:cs="Times New Roman"/>
          <w:b w:val="0"/>
          <w:bCs w:val="0"/>
        </w:rPr>
      </w:r>
    </w:p>
    <w:p>
      <w:pPr>
        <w:numPr>
          <w:ilvl w:val="0"/>
          <w:numId w:val="23"/>
        </w:numPr>
        <w:ind w:left="0" w:firstLine="567"/>
        <w:spacing w:after="0"/>
        <w:tabs>
          <w:tab w:val="left" w:pos="851" w:leader="none"/>
        </w:tabs>
        <w:rPr>
          <w:bCs/>
        </w:rPr>
      </w:pPr>
      <w:r>
        <w:rPr>
          <w:bCs/>
        </w:rPr>
        <w:t xml:space="preserve">осведомлен о привлечении его в качестве </w:t>
      </w:r>
      <w:r>
        <w:t xml:space="preserve">субподрядчиков/соисполнителей</w:t>
      </w:r>
      <w:r>
        <w:rPr>
          <w:bCs/>
        </w:rPr>
        <w:t xml:space="preserve">;</w:t>
      </w:r>
      <w:r>
        <w:rPr>
          <w:bCs/>
        </w:rPr>
      </w:r>
      <w:r>
        <w:rPr>
          <w:bCs/>
        </w:rPr>
      </w:r>
    </w:p>
    <w:p>
      <w:pPr>
        <w:numPr>
          <w:ilvl w:val="0"/>
          <w:numId w:val="23"/>
        </w:numPr>
        <w:ind w:left="0" w:firstLine="567"/>
        <w:spacing w:after="0"/>
        <w:tabs>
          <w:tab w:val="left" w:pos="851" w:leader="none"/>
        </w:tabs>
        <w:rPr>
          <w:bCs/>
        </w:rPr>
      </w:pPr>
      <w:r>
        <w:rPr>
          <w:bCs/>
        </w:rPr>
        <w:t xml:space="preserve">согласен с выделяемым ему перечнем, объемами, сроками и стоимостью выполнения работ/услуг;</w:t>
      </w:r>
      <w:r>
        <w:rPr>
          <w:bCs/>
        </w:rPr>
      </w:r>
      <w:r>
        <w:rPr>
          <w:bCs/>
        </w:rPr>
      </w:r>
    </w:p>
    <w:p>
      <w:pPr>
        <w:numPr>
          <w:ilvl w:val="0"/>
          <w:numId w:val="23"/>
        </w:numPr>
        <w:ind w:left="0" w:firstLine="567"/>
        <w:spacing w:after="0"/>
        <w:tabs>
          <w:tab w:val="left" w:pos="851" w:leader="none"/>
        </w:tabs>
        <w:rPr>
          <w:bCs/>
        </w:rPr>
      </w:pPr>
      <w:r>
        <w:rPr>
          <w:bCs/>
        </w:rPr>
        <w:t xml:space="preserve">отвечает требованиям настоящей документации о закупке в объеме </w:t>
      </w:r>
      <w:r>
        <w:t xml:space="preserve">выполняемых субподрядчиком/соисполнителем </w:t>
      </w:r>
      <w:r>
        <w:rPr>
          <w:bCs/>
        </w:rPr>
        <w:t xml:space="preserve">соответственно работ/услуг.</w:t>
      </w:r>
      <w:r>
        <w:rPr>
          <w:bCs/>
        </w:rPr>
      </w:r>
      <w:r>
        <w:rPr>
          <w:bCs/>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случае привлечения субподрядчиков (субпоставщиков, соисполнителей), выполняющего 5% и более от объема </w:t>
      </w:r>
      <w:r>
        <w:rPr>
          <w:rFonts w:ascii="Times New Roman" w:hAnsi="Times New Roman" w:cs="Times New Roman"/>
          <w:b w:val="0"/>
          <w:bCs w:val="0"/>
        </w:rPr>
        <w:t xml:space="preserve">раб</w:t>
      </w:r>
      <w:r>
        <w:rPr>
          <w:rFonts w:ascii="Times New Roman" w:hAnsi="Times New Roman" w:cs="Times New Roman"/>
          <w:b w:val="0"/>
          <w:bCs w:val="0"/>
        </w:rPr>
        <w:t xml:space="preserve">от,</w:t>
      </w:r>
      <w:r>
        <w:rPr>
          <w:rFonts w:ascii="Times New Roman" w:hAnsi="Times New Roman" w:cs="Times New Roman"/>
          <w:b w:val="0"/>
          <w:bCs w:val="0"/>
        </w:rPr>
        <w:t xml:space="preserve"> услуг, поставок все документы в части квалификации и правоспособности/дееспособности предоставляются в полном объеме на каждого субподрядчика (субпоставщика, соисполнителя). (При проведении закупок, предметом договора по которым является выполнение работ </w:t>
      </w:r>
      <w:r>
        <w:rPr>
          <w:rFonts w:ascii="Times New Roman" w:hAnsi="Times New Roman" w:cs="Times New Roman"/>
          <w:b w:val="0"/>
          <w:bCs w:val="0"/>
        </w:rPr>
        <w:t xml:space="preserve">по договору генерального подряда - выполняющего 1% и более от объема работ, услуг, поставок все документы в части квалификации и правоспособности/дееспособности предоставляются в полном объеме на каждого субподрядчика (субпоставщика, соисполнителя)).</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tabs>
          <w:tab w:val="clear" w:pos="454" w:leader="none"/>
          <w:tab w:val="num" w:pos="1021" w:leader="none"/>
        </w:tabs>
        <w:rPr>
          <w:rFonts w:ascii="Times New Roman" w:hAnsi="Times New Roman" w:cs="Times New Roman"/>
          <w:b w:val="0"/>
          <w:bCs w:val="0"/>
        </w:rPr>
      </w:pPr>
      <w:r/>
      <w:bookmarkStart w:id="19" w:name="_Ref306143446"/>
      <w:r>
        <w:rPr>
          <w:rFonts w:ascii="Times New Roman" w:hAnsi="Times New Roman" w:cs="Times New Roman"/>
          <w:b w:val="0"/>
          <w:bCs w:val="0"/>
        </w:rPr>
        <w:t xml:space="preserve">В связи с вышеизложенным Участник закупки готовит заявку с учетом следующих дополнительных требований:</w:t>
      </w:r>
      <w:bookmarkEnd w:id="19"/>
      <w:r>
        <w:rPr>
          <w:rFonts w:ascii="Times New Roman" w:hAnsi="Times New Roman" w:cs="Times New Roman"/>
          <w:b w:val="0"/>
          <w:bCs w:val="0"/>
        </w:rPr>
      </w:r>
      <w:r>
        <w:rPr>
          <w:rFonts w:ascii="Times New Roman" w:hAnsi="Times New Roman" w:cs="Times New Roman"/>
          <w:b w:val="0"/>
          <w:bCs w:val="0"/>
        </w:rPr>
      </w:r>
    </w:p>
    <w:p>
      <w:pPr>
        <w:numPr>
          <w:ilvl w:val="0"/>
          <w:numId w:val="24"/>
        </w:numPr>
        <w:ind w:left="0" w:firstLine="567"/>
        <w:spacing w:after="0"/>
        <w:tabs>
          <w:tab w:val="left" w:pos="851" w:leader="none"/>
          <w:tab w:val="left" w:pos="3600" w:leader="none"/>
        </w:tabs>
        <w:rPr>
          <w:bCs/>
        </w:rPr>
      </w:pPr>
      <w:r>
        <w:rPr>
          <w:bCs/>
        </w:rPr>
        <w:t xml:space="preserve">в заявку включаются</w:t>
      </w:r>
      <w:r>
        <w:rPr>
          <w:bCs/>
          <w:color w:val="000000"/>
        </w:rPr>
        <w:t xml:space="preserve"> подписанные с двух сторон соглашения о намерениях заключить Договор, в случае признания заявки</w:t>
      </w:r>
      <w:r>
        <w:rPr>
          <w:bCs/>
        </w:rPr>
        <w:t xml:space="preserve"> </w:t>
      </w:r>
      <w:r>
        <w:rPr>
          <w:bCs/>
          <w:color w:val="000000"/>
        </w:rPr>
        <w:t xml:space="preserve">Участника закупки лучшим, между Участником закупки и каждым привлекаемым </w:t>
      </w:r>
      <w:r>
        <w:t xml:space="preserve">субподрядчиком/соисполнителем</w:t>
      </w:r>
      <w:r>
        <w:rPr>
          <w:bCs/>
          <w:color w:val="000000"/>
        </w:rPr>
        <w:t xml:space="preserve">, с указанием перечня, объема, стоимости и сроков выполнения, возлагаемых на </w:t>
      </w:r>
      <w:r>
        <w:t xml:space="preserve">субподрядчика/соисполнителя </w:t>
      </w:r>
      <w:r>
        <w:rPr>
          <w:bCs/>
        </w:rPr>
        <w:t xml:space="preserve">соответственно работ/услуг;</w:t>
      </w:r>
      <w:r>
        <w:rPr>
          <w:bCs/>
        </w:rPr>
      </w:r>
      <w:r>
        <w:rPr>
          <w:bCs/>
        </w:rPr>
      </w:r>
    </w:p>
    <w:p>
      <w:pPr>
        <w:numPr>
          <w:ilvl w:val="0"/>
          <w:numId w:val="24"/>
        </w:numPr>
        <w:ind w:left="0" w:firstLine="567"/>
        <w:spacing w:after="0"/>
        <w:tabs>
          <w:tab w:val="left" w:pos="851" w:leader="none"/>
          <w:tab w:val="left" w:pos="3600" w:leader="none"/>
        </w:tabs>
        <w:rPr>
          <w:bCs/>
        </w:rPr>
      </w:pPr>
      <w:r>
        <w:rPr>
          <w:bCs/>
        </w:rPr>
        <w:t xml:space="preserve">заявка должна включать сведения, подтверждающие соответствие каждого </w:t>
      </w:r>
      <w:r>
        <w:t xml:space="preserve">субподрядчика/соисполнителя </w:t>
      </w:r>
      <w:r>
        <w:rPr>
          <w:bCs/>
        </w:rPr>
        <w:t xml:space="preserve">установленным требованиям выполняемых работ/услуг таким </w:t>
      </w:r>
      <w:r>
        <w:t xml:space="preserve">субподрядчиком/соисполнителем </w:t>
      </w:r>
      <w:r>
        <w:rPr>
          <w:bCs/>
        </w:rPr>
        <w:t xml:space="preserve">соответственно. Предоставляемые </w:t>
      </w:r>
      <w:r>
        <w:t xml:space="preserve">субподрядчиком/ соисполнителем </w:t>
      </w:r>
      <w:r>
        <w:rPr>
          <w:bCs/>
        </w:rPr>
        <w:t xml:space="preserve">формы заполняются </w:t>
      </w:r>
      <w:r>
        <w:t xml:space="preserve">субподрядчиком/соисполнителем </w:t>
      </w:r>
      <w:r>
        <w:rPr>
          <w:bCs/>
        </w:rPr>
        <w:t xml:space="preserve">с указанием организаций </w:t>
      </w:r>
      <w:r>
        <w:t xml:space="preserve">субподрядчика/соисполнителя </w:t>
      </w:r>
      <w:r>
        <w:rPr>
          <w:bCs/>
        </w:rPr>
        <w:t xml:space="preserve">и Участника закупки и заверяются подписью и печатью (при наличии) </w:t>
      </w:r>
      <w:r>
        <w:t xml:space="preserve">субподрядчика/соисполнителя</w:t>
      </w:r>
      <w:r>
        <w:rPr>
          <w:bCs/>
        </w:rPr>
        <w:t xml:space="preserve">.</w:t>
      </w:r>
      <w:r>
        <w:rPr>
          <w:bCs/>
        </w:rPr>
      </w:r>
      <w:r>
        <w:rPr>
          <w:bCs/>
        </w:rPr>
      </w:r>
    </w:p>
    <w:p>
      <w:pPr>
        <w:pStyle w:val="1015"/>
        <w:numPr>
          <w:ilvl w:val="2"/>
          <w:numId w:val="1"/>
        </w:numPr>
        <w:ind w:left="0" w:firstLine="567"/>
        <w:keepNext w:val="0"/>
        <w:spacing w:before="0" w:after="0"/>
        <w:tabs>
          <w:tab w:val="clear" w:pos="454" w:leader="none"/>
          <w:tab w:val="num" w:pos="1021" w:leader="none"/>
        </w:tabs>
        <w:rPr>
          <w:rFonts w:ascii="Times New Roman" w:hAnsi="Times New Roman" w:cs="Times New Roman"/>
          <w:b w:val="0"/>
          <w:bCs w:val="0"/>
        </w:rPr>
      </w:pPr>
      <w:r>
        <w:rPr>
          <w:rFonts w:ascii="Times New Roman" w:hAnsi="Times New Roman" w:cs="Times New Roman"/>
          <w:b w:val="0"/>
          <w:bCs w:val="0"/>
        </w:rPr>
        <w:t xml:space="preserve">При оценке субподрядчиков/соисполнителей количественные требования к субподрядчикам/соисполнителям и Участнику закупки устанавливаются в процентном соотношении от перечня и объема выполняемых работ/услуг.</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tabs>
          <w:tab w:val="clear" w:pos="454" w:leader="none"/>
          <w:tab w:val="num" w:pos="1021" w:leader="none"/>
        </w:tabs>
        <w:rPr>
          <w:rFonts w:ascii="Times New Roman" w:hAnsi="Times New Roman" w:cs="Times New Roman"/>
          <w:b w:val="0"/>
          <w:bCs w:val="0"/>
        </w:rPr>
      </w:pPr>
      <w:r>
        <w:rPr>
          <w:rFonts w:ascii="Times New Roman" w:hAnsi="Times New Roman" w:cs="Times New Roman"/>
          <w:b w:val="0"/>
          <w:bCs w:val="0"/>
        </w:rPr>
        <w:t xml:space="preserve">Любое юридическое лицо или физическое лицо, в т. ч. индивидуальный предприниматель, принимающее участие в закупке лично, не может быть субподрядчиком/</w:t>
      </w:r>
      <w:r>
        <w:rPr>
          <w:rFonts w:ascii="Times New Roman" w:hAnsi="Times New Roman" w:cs="Times New Roman"/>
          <w:b w:val="0"/>
          <w:bCs w:val="0"/>
        </w:rPr>
        <w:t xml:space="preserve">соисполнителем</w:t>
      </w:r>
      <w:r>
        <w:rPr>
          <w:rFonts w:ascii="Times New Roman" w:hAnsi="Times New Roman" w:cs="Times New Roman"/>
          <w:b w:val="0"/>
          <w:bCs w:val="0"/>
        </w:rPr>
        <w:t xml:space="preserve"> других Участников закупки.</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tabs>
          <w:tab w:val="clear" w:pos="454" w:leader="none"/>
          <w:tab w:val="num" w:pos="1021" w:leader="none"/>
        </w:tabs>
        <w:rPr>
          <w:rFonts w:ascii="Times New Roman" w:hAnsi="Times New Roman" w:cs="Times New Roman"/>
          <w:b w:val="0"/>
          <w:bCs w:val="0"/>
        </w:rPr>
      </w:pPr>
      <w:r>
        <w:rPr>
          <w:rFonts w:ascii="Times New Roman" w:hAnsi="Times New Roman" w:cs="Times New Roman"/>
          <w:b w:val="0"/>
          <w:bCs w:val="0"/>
        </w:rPr>
        <w:t xml:space="preserve">Любое юридическое лицо или физическое лицо, в т. ч. индивидуальный предприниматель, не принимающее участие в закупке лично, может являться субподрядчиком/соисполнителем у произвольного числа Участников закупки.</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tabs>
          <w:tab w:val="clear" w:pos="454" w:leader="none"/>
          <w:tab w:val="num" w:pos="1021" w:leader="none"/>
        </w:tabs>
        <w:rPr>
          <w:rFonts w:ascii="Times New Roman" w:hAnsi="Times New Roman" w:cs="Times New Roman"/>
          <w:b w:val="0"/>
          <w:bCs w:val="0"/>
        </w:rPr>
      </w:pPr>
      <w:r>
        <w:rPr>
          <w:rFonts w:ascii="Times New Roman" w:hAnsi="Times New Roman" w:cs="Times New Roman"/>
          <w:b w:val="0"/>
          <w:bCs w:val="0"/>
        </w:rPr>
        <w:t xml:space="preserve">Постоянно действую</w:t>
      </w:r>
      <w:r>
        <w:rPr>
          <w:rFonts w:ascii="Times New Roman" w:hAnsi="Times New Roman" w:cs="Times New Roman"/>
          <w:b w:val="0"/>
          <w:bCs w:val="0"/>
        </w:rPr>
        <w:t xml:space="preserve">щая закупочная комиссия (далее -</w:t>
      </w:r>
      <w:r>
        <w:rPr>
          <w:rFonts w:ascii="Times New Roman" w:hAnsi="Times New Roman" w:cs="Times New Roman"/>
          <w:b w:val="0"/>
          <w:bCs w:val="0"/>
        </w:rPr>
        <w:t xml:space="preserve"> ПДЗК) может отклонить заявку, а Заказчик закупки имеет право </w:t>
      </w:r>
      <w:r>
        <w:rPr>
          <w:rFonts w:ascii="Times New Roman" w:hAnsi="Times New Roman" w:cs="Times New Roman"/>
          <w:b w:val="0"/>
          <w:bCs w:val="0"/>
        </w:rPr>
        <w:t xml:space="preserve">на одностороннее расторжение Договора, если выяснится, что один или несколько субподрядчиков/соисполнителей отказались от выполнения работ, а оставшиеся субподрядчики/соисполнители, с точки зрения Заказчика, не способны самостоятельно выполнить Договор.</w:t>
      </w:r>
      <w:r>
        <w:rPr>
          <w:rFonts w:ascii="Times New Roman" w:hAnsi="Times New Roman" w:cs="Times New Roman"/>
          <w:b w:val="0"/>
          <w:bCs w:val="0"/>
        </w:rPr>
      </w:r>
      <w:r>
        <w:rPr>
          <w:rFonts w:ascii="Times New Roman" w:hAnsi="Times New Roman" w:cs="Times New Roman"/>
          <w:b w:val="0"/>
          <w:bCs w:val="0"/>
        </w:rPr>
      </w:r>
    </w:p>
    <w:p>
      <w:pPr>
        <w:ind w:firstLine="567"/>
        <w:spacing w:after="0"/>
      </w:pPr>
      <w:r/>
      <w:r/>
    </w:p>
    <w:p>
      <w:pPr>
        <w:pStyle w:val="1014"/>
        <w:numPr>
          <w:ilvl w:val="1"/>
          <w:numId w:val="1"/>
        </w:numPr>
        <w:ind w:left="0" w:firstLine="567"/>
        <w:jc w:val="both"/>
        <w:keepNext w:val="0"/>
        <w:spacing w:after="0"/>
        <w:rPr>
          <w:i/>
          <w:sz w:val="24"/>
          <w:szCs w:val="24"/>
        </w:rPr>
      </w:pPr>
      <w:r/>
      <w:bookmarkStart w:id="20" w:name="_Toc59"/>
      <w:r/>
      <w:bookmarkEnd w:id="17"/>
      <w:r>
        <w:rPr>
          <w:i/>
          <w:sz w:val="24"/>
          <w:szCs w:val="24"/>
        </w:rPr>
        <w:t xml:space="preserve">Расходы на участие в закупке и при заключении договора</w:t>
      </w:r>
      <w:bookmarkEnd w:id="20"/>
      <w:r>
        <w:rPr>
          <w:i/>
          <w:sz w:val="24"/>
          <w:szCs w:val="24"/>
        </w:rPr>
      </w:r>
      <w:r>
        <w:rPr>
          <w:i/>
          <w:sz w:val="24"/>
          <w:szCs w:val="24"/>
        </w:rPr>
      </w:r>
    </w:p>
    <w:p>
      <w:pPr>
        <w:pStyle w:val="1015"/>
        <w:numPr>
          <w:ilvl w:val="2"/>
          <w:numId w:val="1"/>
        </w:numPr>
        <w:ind w:left="0" w:firstLine="567"/>
        <w:spacing w:before="0" w:after="0"/>
        <w:rPr>
          <w:rFonts w:ascii="Times New Roman" w:hAnsi="Times New Roman" w:cs="Times New Roman"/>
          <w:b w:val="0"/>
          <w:bCs w:val="0"/>
        </w:rPr>
      </w:pPr>
      <w:r>
        <w:rPr>
          <w:rFonts w:ascii="Times New Roman" w:hAnsi="Times New Roman" w:cs="Times New Roman"/>
          <w:b w:val="0"/>
          <w:bCs w:val="0"/>
        </w:rPr>
        <w:t xml:space="preserve">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несет все расходы, связанные с подготовкой и подачей заявки на участие в закупке, участием в закупке и заключением </w:t>
      </w:r>
      <w:bookmarkEnd w:id="18"/>
      <w:r>
        <w:rPr>
          <w:rFonts w:ascii="Times New Roman" w:hAnsi="Times New Roman" w:cs="Times New Roman"/>
          <w:b w:val="0"/>
          <w:bCs w:val="0"/>
        </w:rPr>
        <w:t xml:space="preserve">договора, а Организатор не имеет обязательств в связи с такими расходами, за исключением случаев, прямо предусмотренных законодательством Российской Федерации.</w:t>
      </w:r>
      <w:r>
        <w:rPr>
          <w:rFonts w:ascii="Times New Roman" w:hAnsi="Times New Roman" w:cs="Times New Roman"/>
          <w:b w:val="0"/>
          <w:bCs w:val="0"/>
        </w:rPr>
      </w:r>
      <w:r>
        <w:rPr>
          <w:rFonts w:ascii="Times New Roman" w:hAnsi="Times New Roman" w:cs="Times New Roman"/>
          <w:b w:val="0"/>
          <w:bCs w:val="0"/>
        </w:rPr>
      </w:r>
    </w:p>
    <w:p>
      <w:r/>
      <w:r/>
    </w:p>
    <w:p>
      <w:pPr>
        <w:pStyle w:val="1014"/>
        <w:numPr>
          <w:ilvl w:val="1"/>
          <w:numId w:val="1"/>
        </w:numPr>
        <w:ind w:left="0" w:firstLine="567"/>
        <w:jc w:val="both"/>
        <w:keepNext w:val="0"/>
        <w:spacing w:after="0"/>
        <w:tabs>
          <w:tab w:val="num" w:pos="0" w:leader="none"/>
          <w:tab w:val="clear" w:pos="576" w:leader="none"/>
        </w:tabs>
        <w:rPr>
          <w:i/>
          <w:sz w:val="24"/>
          <w:szCs w:val="24"/>
        </w:rPr>
      </w:pPr>
      <w:r/>
      <w:bookmarkStart w:id="21" w:name="_Toc60"/>
      <w:r>
        <w:rPr>
          <w:i/>
          <w:sz w:val="24"/>
          <w:szCs w:val="24"/>
        </w:rPr>
        <w:t xml:space="preserve">Применение приоритетов, запретов, преимуществ или ограничений п</w:t>
      </w:r>
      <w:r>
        <w:rPr>
          <w:i/>
          <w:sz w:val="24"/>
          <w:szCs w:val="24"/>
        </w:rPr>
        <w:t xml:space="preserve">ри закупке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bookmarkEnd w:id="21"/>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Приоритет товаров российского происхождения, работ, услуг, выполняемых, оказываемых российскими лицами, </w:t>
      </w:r>
      <w:r>
        <w:rPr>
          <w:rFonts w:ascii="Times New Roman" w:hAnsi="Times New Roman" w:cs="Times New Roman"/>
          <w:b w:val="0"/>
          <w:bCs w:val="0"/>
        </w:rPr>
        <w:t xml:space="preserve">по отношению к товарам, происходящим из иностранного государства, работам, услугам, выполняемым, оказываемым иностранными лицами, предоставляется в соответствии с постановлением Правительства Российской Федерации от 23.12.2024 №1875-ПП (далее - Приоритет).</w:t>
      </w:r>
      <w:r>
        <w:rPr>
          <w:rFonts w:ascii="Times New Roman" w:hAnsi="Times New Roman" w:cs="Times New Roman"/>
          <w:b w:val="0"/>
          <w:bCs w:val="0"/>
        </w:rPr>
      </w:r>
      <w:r>
        <w:rPr>
          <w:rFonts w:ascii="Times New Roman" w:hAnsi="Times New Roman" w:cs="Times New Roman"/>
          <w:b w:val="0"/>
          <w:bCs w:val="0"/>
        </w:rPr>
      </w:r>
    </w:p>
    <w:p>
      <w:pPr>
        <w:ind w:firstLine="567"/>
        <w:spacing w:after="0"/>
        <w:tabs>
          <w:tab w:val="left" w:pos="1418" w:leader="none"/>
        </w:tabs>
        <w:rPr>
          <w:bCs/>
        </w:rPr>
      </w:pPr>
      <w:r>
        <w:rPr>
          <w:bCs/>
        </w:rPr>
        <w:t xml:space="preserve">Правительство Российской Федерации устанавлива</w:t>
      </w:r>
      <w:r>
        <w:rPr>
          <w:bCs/>
        </w:rPr>
        <w:t xml:space="preserve">ет случаи при которых при осуществлении закупок промышленной продукции, в отношении которых Правительством Российской Федерации приняты меры, предусмотренные п. 1.7.2.1. Документации о закупке, заявка на участие в закупке, окончательное предложение, в кото</w:t>
      </w:r>
      <w:r>
        <w:rPr>
          <w:bCs/>
        </w:rPr>
        <w:t xml:space="preserve">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w:t>
      </w:r>
      <w:r>
        <w:rPr>
          <w:bCs/>
        </w:rPr>
        <w:t xml:space="preserve">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Заказчика, извещения об осуществлении конкурентной закупки (в случае п</w:t>
      </w:r>
      <w:r>
        <w:rPr>
          <w:bCs/>
        </w:rPr>
        <w:t xml:space="preserve">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w:t>
      </w:r>
      <w:r>
        <w:rPr>
          <w:bCs/>
          <w:vertAlign w:val="superscript"/>
        </w:rPr>
        <w:footnoteReference w:id="2"/>
      </w:r>
      <w:r>
        <w:rPr>
          <w:bCs/>
        </w:rPr>
        <w:t xml:space="preserve">,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r>
        <w:rPr>
          <w:bCs/>
        </w:rPr>
      </w:r>
      <w:r>
        <w:rPr>
          <w:bCs/>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Предоставление национального режима при осуществлении закупок.</w:t>
      </w:r>
      <w:r>
        <w:rPr>
          <w:rFonts w:ascii="Times New Roman" w:hAnsi="Times New Roman" w:cs="Times New Roman"/>
          <w:b w:val="0"/>
          <w:bCs w:val="0"/>
        </w:rPr>
      </w:r>
      <w:r>
        <w:rPr>
          <w:rFonts w:ascii="Times New Roman" w:hAnsi="Times New Roman" w:cs="Times New Roman"/>
          <w:b w:val="0"/>
          <w:bCs w:val="0"/>
        </w:rPr>
      </w:r>
    </w:p>
    <w:p>
      <w:pPr>
        <w:ind w:firstLine="567"/>
        <w:spacing w:after="0"/>
        <w:tabs>
          <w:tab w:val="left" w:pos="1418" w:leader="none"/>
        </w:tabs>
      </w:pPr>
      <w:r>
        <w:t xml:space="preserve">1.7.2.1.</w:t>
      </w:r>
      <w:r>
        <w:tab/>
        <w:t xml:space="preserve">При осуществлении закупок предоставляется национальный режим, обеспечивающий происходящему из иностранного г</w:t>
      </w:r>
      <w:r>
        <w:t xml:space="preserve">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w:t>
      </w:r>
      <w:r>
        <w:t xml:space="preserve">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устанавливающих: </w:t>
      </w:r>
      <w:r/>
    </w:p>
    <w:p>
      <w:pPr>
        <w:pStyle w:val="1359"/>
        <w:numPr>
          <w:ilvl w:val="0"/>
          <w:numId w:val="0"/>
        </w:numPr>
        <w:ind w:firstLine="567"/>
        <w:widowControl w:val="off"/>
        <w:tabs>
          <w:tab w:val="left" w:pos="851" w:leader="none"/>
        </w:tabs>
        <w:rPr>
          <w:sz w:val="24"/>
          <w:szCs w:val="24"/>
        </w:rPr>
      </w:pPr>
      <w:r>
        <w:rPr>
          <w:sz w:val="24"/>
          <w:szCs w:val="24"/>
        </w:rPr>
        <w:t xml:space="preserve">а)</w:t>
      </w:r>
      <w:r>
        <w:rPr>
          <w:sz w:val="24"/>
          <w:szCs w:val="24"/>
        </w:rPr>
        <w:ta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sz w:val="24"/>
          <w:szCs w:val="24"/>
        </w:rPr>
      </w:r>
      <w:r>
        <w:rPr>
          <w:sz w:val="24"/>
          <w:szCs w:val="24"/>
        </w:rPr>
      </w:r>
    </w:p>
    <w:p>
      <w:pPr>
        <w:pStyle w:val="1359"/>
        <w:numPr>
          <w:ilvl w:val="0"/>
          <w:numId w:val="0"/>
        </w:numPr>
        <w:ind w:firstLine="567"/>
        <w:widowControl w:val="off"/>
        <w:tabs>
          <w:tab w:val="left" w:pos="851" w:leader="none"/>
        </w:tabs>
        <w:rPr>
          <w:sz w:val="24"/>
          <w:szCs w:val="24"/>
        </w:rPr>
      </w:pPr>
      <w:r>
        <w:rPr>
          <w:sz w:val="24"/>
          <w:szCs w:val="24"/>
        </w:rPr>
        <w:t xml:space="preserve">б)</w:t>
      </w:r>
      <w:r>
        <w:rPr>
          <w:sz w:val="24"/>
          <w:szCs w:val="24"/>
        </w:rPr>
        <w:tab/>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w:t>
      </w:r>
      <w:r>
        <w:rPr>
          <w:sz w:val="24"/>
          <w:szCs w:val="24"/>
        </w:rPr>
        <w:t xml:space="preserve">обязательную долю закупок товаров российского происхождения; </w:t>
      </w:r>
      <w:r>
        <w:rPr>
          <w:sz w:val="24"/>
          <w:szCs w:val="24"/>
        </w:rPr>
      </w:r>
      <w:r>
        <w:rPr>
          <w:sz w:val="24"/>
          <w:szCs w:val="24"/>
        </w:rPr>
      </w:r>
    </w:p>
    <w:p>
      <w:pPr>
        <w:pStyle w:val="1359"/>
        <w:numPr>
          <w:ilvl w:val="0"/>
          <w:numId w:val="0"/>
        </w:numPr>
        <w:ind w:firstLine="567"/>
        <w:widowControl w:val="off"/>
        <w:tabs>
          <w:tab w:val="left" w:pos="851" w:leader="none"/>
        </w:tabs>
      </w:pPr>
      <w:r>
        <w:rPr>
          <w:sz w:val="24"/>
          <w:szCs w:val="24"/>
        </w:rPr>
        <w:t xml:space="preserve">в)</w:t>
      </w:r>
      <w:r>
        <w:rPr>
          <w:sz w:val="24"/>
          <w:szCs w:val="24"/>
        </w:rPr>
        <w:tab/>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p>
    <w:p>
      <w:pPr>
        <w:ind w:firstLine="567"/>
        <w:spacing w:after="0"/>
        <w:tabs>
          <w:tab w:val="left" w:pos="1418" w:leader="none"/>
        </w:tabs>
      </w:pPr>
      <w:r>
        <w:t xml:space="preserve">1.7.2.2.</w:t>
      </w:r>
      <w:r>
        <w:tab/>
        <w:t xml:space="preserve">Если иное не предусмотрено мерами, приняты</w:t>
      </w:r>
      <w:r>
        <w:t xml:space="preserve">ми Правительством Российской Федерации, положения п. 1.7.2.1. Документации о закупке,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w:t>
      </w:r>
      <w:r>
        <w:t xml:space="preserve">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p>
    <w:p>
      <w:pPr>
        <w:ind w:firstLine="567"/>
        <w:spacing w:after="0"/>
        <w:tabs>
          <w:tab w:val="left" w:pos="1418" w:leader="none"/>
        </w:tabs>
      </w:pPr>
      <w:r>
        <w:t xml:space="preserve">1.7.2.3.</w:t>
      </w:r>
      <w:r>
        <w:tab/>
        <w:t xml:space="preserve">Если Правительством Российской Федерации установлен предусмотренный п. 1.7.2.1 а) Документации о закупке запрет закупок товара, не допускаются:</w:t>
      </w:r>
      <w:r/>
    </w:p>
    <w:p>
      <w:pPr>
        <w:pStyle w:val="1359"/>
        <w:numPr>
          <w:ilvl w:val="0"/>
          <w:numId w:val="0"/>
        </w:numPr>
        <w:ind w:firstLine="567"/>
        <w:widowControl w:val="off"/>
        <w:tabs>
          <w:tab w:val="left" w:pos="851" w:leader="none"/>
        </w:tabs>
        <w:rPr>
          <w:sz w:val="24"/>
          <w:szCs w:val="24"/>
        </w:rPr>
      </w:pPr>
      <w:r>
        <w:rPr>
          <w:sz w:val="24"/>
          <w:szCs w:val="24"/>
        </w:rPr>
        <w:t xml:space="preserve">а)</w:t>
      </w:r>
      <w:r>
        <w:rPr>
          <w:sz w:val="24"/>
          <w:szCs w:val="24"/>
        </w:rPr>
        <w:tab/>
        <w:t xml:space="preserve">заключение договора на поставку такого товара; </w:t>
      </w:r>
      <w:r>
        <w:rPr>
          <w:sz w:val="24"/>
          <w:szCs w:val="24"/>
        </w:rPr>
      </w:r>
      <w:r>
        <w:rPr>
          <w:sz w:val="24"/>
          <w:szCs w:val="24"/>
        </w:rPr>
      </w:r>
    </w:p>
    <w:p>
      <w:pPr>
        <w:pStyle w:val="1359"/>
        <w:numPr>
          <w:ilvl w:val="0"/>
          <w:numId w:val="0"/>
        </w:numPr>
        <w:ind w:firstLine="567"/>
        <w:widowControl w:val="off"/>
        <w:tabs>
          <w:tab w:val="left" w:pos="851" w:leader="none"/>
        </w:tabs>
        <w:rPr>
          <w:sz w:val="24"/>
          <w:szCs w:val="24"/>
        </w:rPr>
      </w:pPr>
      <w:r>
        <w:rPr>
          <w:sz w:val="24"/>
          <w:szCs w:val="24"/>
        </w:rPr>
        <w:t xml:space="preserve">б)</w:t>
      </w:r>
      <w:r>
        <w:rPr>
          <w:sz w:val="24"/>
          <w:szCs w:val="24"/>
        </w:rPr>
        <w:tab/>
        <w:t xml:space="preserve">при исполнении договора замена такого товара на происходящий из иностранного государства товар, в отношении которого установлен данный запрет.</w:t>
      </w:r>
      <w:r>
        <w:rPr>
          <w:sz w:val="24"/>
          <w:szCs w:val="24"/>
        </w:rPr>
      </w:r>
      <w:r>
        <w:rPr>
          <w:sz w:val="24"/>
          <w:szCs w:val="24"/>
        </w:rPr>
      </w:r>
    </w:p>
    <w:p>
      <w:pPr>
        <w:ind w:firstLine="567"/>
        <w:spacing w:after="0"/>
        <w:tabs>
          <w:tab w:val="left" w:pos="1418" w:leader="none"/>
        </w:tabs>
      </w:pPr>
      <w:r>
        <w:t xml:space="preserve">1.7.2.4.</w:t>
      </w:r>
      <w:r>
        <w:tab/>
        <w:t xml:space="preserve">Если Правительством Российской Федерации установлено предусмотренное п.1.7.2.1 б) Документации о закупке ограничение закупок товара, не допускаются: </w:t>
      </w:r>
      <w:r/>
    </w:p>
    <w:p>
      <w:pPr>
        <w:pStyle w:val="1359"/>
        <w:numPr>
          <w:ilvl w:val="0"/>
          <w:numId w:val="0"/>
        </w:numPr>
        <w:ind w:firstLine="567"/>
        <w:widowControl w:val="off"/>
        <w:tabs>
          <w:tab w:val="left" w:pos="851" w:leader="none"/>
        </w:tabs>
        <w:rPr>
          <w:sz w:val="24"/>
          <w:szCs w:val="24"/>
        </w:rPr>
      </w:pPr>
      <w:r>
        <w:rPr>
          <w:sz w:val="24"/>
          <w:szCs w:val="24"/>
        </w:rPr>
        <w:t xml:space="preserve">а)</w:t>
      </w:r>
      <w:r>
        <w:rPr>
          <w:sz w:val="24"/>
          <w:szCs w:val="24"/>
        </w:rPr>
        <w:tab/>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w:t>
      </w:r>
      <w:r>
        <w:rPr>
          <w:sz w:val="24"/>
          <w:szCs w:val="24"/>
        </w:rPr>
        <w:t xml:space="preserve">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r>
        <w:rPr>
          <w:sz w:val="24"/>
          <w:szCs w:val="24"/>
        </w:rPr>
      </w:r>
      <w:r>
        <w:rPr>
          <w:sz w:val="24"/>
          <w:szCs w:val="24"/>
        </w:rPr>
      </w:r>
    </w:p>
    <w:p>
      <w:pPr>
        <w:pStyle w:val="1359"/>
        <w:numPr>
          <w:ilvl w:val="0"/>
          <w:numId w:val="0"/>
        </w:numPr>
        <w:ind w:firstLine="567"/>
        <w:widowControl w:val="off"/>
        <w:tabs>
          <w:tab w:val="left" w:pos="851" w:leader="none"/>
        </w:tabs>
        <w:rPr>
          <w:sz w:val="24"/>
          <w:szCs w:val="24"/>
        </w:rPr>
      </w:pPr>
      <w:r>
        <w:rPr>
          <w:sz w:val="24"/>
          <w:szCs w:val="24"/>
        </w:rPr>
        <w:t xml:space="preserve">б)</w:t>
      </w:r>
      <w:r>
        <w:rPr>
          <w:sz w:val="24"/>
          <w:szCs w:val="24"/>
        </w:rPr>
        <w:tab/>
        <w:t xml:space="preserve">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r>
        <w:rPr>
          <w:sz w:val="24"/>
          <w:szCs w:val="24"/>
        </w:rPr>
      </w:r>
      <w:r>
        <w:rPr>
          <w:sz w:val="24"/>
          <w:szCs w:val="24"/>
        </w:rPr>
      </w:r>
    </w:p>
    <w:p>
      <w:pPr>
        <w:ind w:firstLine="567"/>
        <w:spacing w:after="0"/>
        <w:tabs>
          <w:tab w:val="left" w:pos="1418" w:leader="none"/>
        </w:tabs>
      </w:pPr>
      <w:r>
        <w:t xml:space="preserve">1.7.2.5.</w:t>
      </w:r>
      <w:r>
        <w:tab/>
        <w:t xml:space="preserve">Если Правительством Российской Федерации установлено предусмотренное п. 1.7.2.1. в) Документации о закупке преимущество в отношении товара российского происхождения: </w:t>
      </w:r>
      <w:r/>
    </w:p>
    <w:p>
      <w:pPr>
        <w:pStyle w:val="1359"/>
        <w:numPr>
          <w:ilvl w:val="0"/>
          <w:numId w:val="0"/>
        </w:numPr>
        <w:ind w:firstLine="567"/>
        <w:widowControl w:val="off"/>
        <w:tabs>
          <w:tab w:val="left" w:pos="851" w:leader="none"/>
        </w:tabs>
        <w:rPr>
          <w:sz w:val="24"/>
          <w:szCs w:val="24"/>
        </w:rPr>
      </w:pPr>
      <w:r>
        <w:rPr>
          <w:sz w:val="24"/>
          <w:szCs w:val="24"/>
        </w:rPr>
        <w:t xml:space="preserve">а)</w:t>
      </w:r>
      <w:r>
        <w:rPr>
          <w:sz w:val="24"/>
          <w:szCs w:val="24"/>
        </w:rPr>
        <w:tab/>
        <w:t xml:space="preserve">при рассмотрении, оценке, сопоставлении заявок на участие в закупке, окончательных предложений осуществляется снижение на 15 (пятнадцать) % процентов ценового предложения, поданного в соответствии с Законом 223-ФЗ и Положением о закупке Заказчика уч</w:t>
      </w:r>
      <w:r>
        <w:rPr>
          <w:sz w:val="24"/>
          <w:szCs w:val="24"/>
        </w:rPr>
        <w:t xml:space="preserve">астником закупки, предлагающим к поставке товар только российского происхождения, либо увеличение на 15 (пятнадцать) % ценового предложения этого участника закупки в случае подачи им предложения о размере платы, подлежащей внесению за заключение договора; </w:t>
      </w:r>
      <w:r>
        <w:rPr>
          <w:sz w:val="24"/>
          <w:szCs w:val="24"/>
        </w:rPr>
      </w:r>
      <w:r>
        <w:rPr>
          <w:sz w:val="24"/>
          <w:szCs w:val="24"/>
        </w:rPr>
      </w:r>
    </w:p>
    <w:p>
      <w:pPr>
        <w:pStyle w:val="1359"/>
        <w:numPr>
          <w:ilvl w:val="0"/>
          <w:numId w:val="0"/>
        </w:numPr>
        <w:ind w:firstLine="567"/>
        <w:widowControl w:val="off"/>
        <w:tabs>
          <w:tab w:val="left" w:pos="851" w:leader="none"/>
        </w:tabs>
        <w:rPr>
          <w:sz w:val="24"/>
          <w:szCs w:val="24"/>
        </w:rPr>
      </w:pPr>
      <w:r>
        <w:rPr>
          <w:sz w:val="24"/>
          <w:szCs w:val="24"/>
        </w:rPr>
        <w:t xml:space="preserve">б)</w:t>
      </w:r>
      <w:r>
        <w:rPr>
          <w:sz w:val="24"/>
          <w:szCs w:val="24"/>
        </w:rPr>
        <w:tab/>
        <w:t xml:space="preserve">в случае заключения договора с участником закупки, указанным в пп. а) настоящего пункта, договор заключается без учета снижения либо увеличения ценового предложения, осуществленных в соответствии с пп. а) настоящего пункта; </w:t>
      </w:r>
      <w:r>
        <w:rPr>
          <w:sz w:val="24"/>
          <w:szCs w:val="24"/>
        </w:rPr>
      </w:r>
      <w:r>
        <w:rPr>
          <w:sz w:val="24"/>
          <w:szCs w:val="24"/>
        </w:rPr>
      </w:r>
    </w:p>
    <w:p>
      <w:pPr>
        <w:pStyle w:val="1359"/>
        <w:numPr>
          <w:ilvl w:val="0"/>
          <w:numId w:val="0"/>
        </w:numPr>
        <w:ind w:firstLine="567"/>
        <w:widowControl w:val="off"/>
        <w:tabs>
          <w:tab w:val="left" w:pos="851" w:leader="none"/>
        </w:tabs>
        <w:rPr>
          <w:sz w:val="24"/>
          <w:szCs w:val="24"/>
        </w:rPr>
      </w:pPr>
      <w:r>
        <w:rPr>
          <w:sz w:val="24"/>
          <w:szCs w:val="24"/>
        </w:rPr>
        <w:t xml:space="preserve">в)</w:t>
      </w:r>
      <w:r>
        <w:rPr>
          <w:sz w:val="24"/>
          <w:szCs w:val="24"/>
        </w:rPr>
        <w:tab/>
        <w:t xml:space="preserve">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r>
        <w:rPr>
          <w:sz w:val="24"/>
          <w:szCs w:val="24"/>
        </w:rPr>
      </w:r>
      <w:r>
        <w:rPr>
          <w:sz w:val="24"/>
          <w:szCs w:val="24"/>
        </w:rPr>
      </w:r>
    </w:p>
    <w:p>
      <w:pPr>
        <w:ind w:firstLine="567"/>
        <w:spacing w:after="0"/>
        <w:tabs>
          <w:tab w:val="left" w:pos="1418" w:leader="none"/>
        </w:tabs>
      </w:pPr>
      <w:r>
        <w:t xml:space="preserve">1.7.2.6.</w:t>
      </w:r>
      <w:r>
        <w:tab/>
        <w:t xml:space="preserve">Если Правительством Российской Федерации установлен предусмотренный п. 1.7.2.1. а) Документации о закупке запрет закупки работ, услуг, соответственно выполняемых, оказываемых иностранным лицом, не допускаются:</w:t>
      </w:r>
      <w:r/>
    </w:p>
    <w:p>
      <w:pPr>
        <w:pStyle w:val="1359"/>
        <w:numPr>
          <w:ilvl w:val="0"/>
          <w:numId w:val="0"/>
        </w:numPr>
        <w:ind w:firstLine="567"/>
        <w:widowControl w:val="off"/>
        <w:tabs>
          <w:tab w:val="left" w:pos="851" w:leader="none"/>
        </w:tabs>
        <w:rPr>
          <w:sz w:val="24"/>
          <w:szCs w:val="24"/>
        </w:rPr>
      </w:pPr>
      <w:r>
        <w:rPr>
          <w:sz w:val="24"/>
        </w:rPr>
        <w:t xml:space="preserve">а</w:t>
      </w:r>
      <w:r>
        <w:rPr>
          <w:sz w:val="24"/>
          <w:szCs w:val="24"/>
        </w:rPr>
        <w:t xml:space="preserve">)</w:t>
      </w:r>
      <w:r>
        <w:rPr>
          <w:sz w:val="24"/>
          <w:szCs w:val="24"/>
        </w:rPr>
        <w:tab/>
        <w:t xml:space="preserve">заключение договора на выполнение такой работы, оказание такой услуги с подрядчиком (исполнителем), являющимся иностранным лицом;</w:t>
      </w:r>
      <w:r>
        <w:rPr>
          <w:sz w:val="24"/>
          <w:szCs w:val="24"/>
        </w:rPr>
      </w:r>
      <w:r>
        <w:rPr>
          <w:sz w:val="24"/>
          <w:szCs w:val="24"/>
        </w:rPr>
      </w:r>
    </w:p>
    <w:p>
      <w:pPr>
        <w:pStyle w:val="1359"/>
        <w:numPr>
          <w:ilvl w:val="0"/>
          <w:numId w:val="0"/>
        </w:numPr>
        <w:ind w:firstLine="567"/>
        <w:widowControl w:val="off"/>
        <w:tabs>
          <w:tab w:val="left" w:pos="851" w:leader="none"/>
        </w:tabs>
        <w:rPr>
          <w:sz w:val="24"/>
        </w:rPr>
      </w:pPr>
      <w:r>
        <w:rPr>
          <w:sz w:val="24"/>
          <w:szCs w:val="24"/>
        </w:rPr>
        <w:t xml:space="preserve">б)</w:t>
      </w:r>
      <w:r>
        <w:rPr>
          <w:sz w:val="24"/>
          <w:szCs w:val="24"/>
        </w:rPr>
        <w:tab/>
        <w:t xml:space="preserve">перемена подр</w:t>
      </w:r>
      <w:r>
        <w:rPr>
          <w:sz w:val="24"/>
          <w:szCs w:val="24"/>
        </w:rPr>
        <w:t xml:space="preserve">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w:t>
      </w:r>
      <w:r>
        <w:rPr>
          <w:sz w:val="24"/>
        </w:rPr>
        <w:t xml:space="preserve"> запрет.</w:t>
      </w:r>
      <w:r>
        <w:rPr>
          <w:sz w:val="24"/>
        </w:rPr>
      </w:r>
      <w:r>
        <w:rPr>
          <w:sz w:val="24"/>
        </w:rPr>
      </w:r>
    </w:p>
    <w:p>
      <w:pPr>
        <w:ind w:firstLine="567"/>
        <w:spacing w:after="0"/>
        <w:tabs>
          <w:tab w:val="left" w:pos="1418" w:leader="none"/>
        </w:tabs>
      </w:pPr>
      <w:r>
        <w:t xml:space="preserve">1.7.2.7.</w:t>
      </w:r>
      <w:r>
        <w:tab/>
        <w:t xml:space="preserve">Если Правительством Российской Федерации установлено предусмотренное подпунктом п. 1.7.2.1. б) Документации о закупке ограничение закупки работ, услуг, соответственно выполняемых, оказываемых иностранным лицом, не допускаются:</w:t>
      </w:r>
      <w:r/>
    </w:p>
    <w:p>
      <w:pPr>
        <w:pStyle w:val="1359"/>
        <w:numPr>
          <w:ilvl w:val="0"/>
          <w:numId w:val="0"/>
        </w:numPr>
        <w:ind w:firstLine="567"/>
        <w:widowControl w:val="off"/>
        <w:tabs>
          <w:tab w:val="left" w:pos="851" w:leader="none"/>
        </w:tabs>
        <w:rPr>
          <w:sz w:val="24"/>
          <w:szCs w:val="24"/>
        </w:rPr>
      </w:pPr>
      <w:r>
        <w:rPr>
          <w:sz w:val="24"/>
          <w:szCs w:val="24"/>
        </w:rPr>
        <w:t xml:space="preserve">а)</w:t>
      </w:r>
      <w:r>
        <w:rPr>
          <w:sz w:val="24"/>
          <w:szCs w:val="24"/>
        </w:rPr>
        <w:tab/>
        <w:t xml:space="preserve">зак</w:t>
      </w:r>
      <w:r>
        <w:rPr>
          <w:sz w:val="24"/>
          <w:szCs w:val="24"/>
        </w:rPr>
        <w:t xml:space="preserve">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Заказчика, </w:t>
      </w:r>
      <w:r>
        <w:rPr>
          <w:sz w:val="24"/>
          <w:szCs w:val="24"/>
        </w:rPr>
        <w:t xml:space="preserve">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r>
        <w:rPr>
          <w:sz w:val="24"/>
          <w:szCs w:val="24"/>
        </w:rPr>
      </w:r>
      <w:r>
        <w:rPr>
          <w:sz w:val="24"/>
          <w:szCs w:val="24"/>
        </w:rPr>
      </w:r>
    </w:p>
    <w:p>
      <w:pPr>
        <w:pStyle w:val="1359"/>
        <w:numPr>
          <w:ilvl w:val="0"/>
          <w:numId w:val="0"/>
        </w:numPr>
        <w:ind w:firstLine="567"/>
        <w:widowControl w:val="off"/>
        <w:tabs>
          <w:tab w:val="left" w:pos="851" w:leader="none"/>
        </w:tabs>
        <w:rPr>
          <w:sz w:val="24"/>
        </w:rPr>
      </w:pPr>
      <w:r>
        <w:rPr>
          <w:sz w:val="24"/>
          <w:szCs w:val="24"/>
        </w:rPr>
        <w:t xml:space="preserve">б)</w:t>
      </w:r>
      <w:r>
        <w:rPr>
          <w:sz w:val="24"/>
          <w:szCs w:val="24"/>
        </w:rPr>
        <w:tab/>
        <w:t xml:space="preserve">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w:t>
      </w:r>
      <w:r>
        <w:rPr>
          <w:sz w:val="24"/>
        </w:rPr>
        <w:t xml:space="preserve"> данное ограничение, если договор заключен с российским лицом.</w:t>
      </w:r>
      <w:r>
        <w:rPr>
          <w:sz w:val="24"/>
        </w:rPr>
      </w:r>
      <w:r>
        <w:rPr>
          <w:sz w:val="24"/>
        </w:rPr>
      </w:r>
    </w:p>
    <w:p>
      <w:pPr>
        <w:ind w:firstLine="567"/>
        <w:spacing w:after="0"/>
        <w:tabs>
          <w:tab w:val="left" w:pos="1418" w:leader="none"/>
        </w:tabs>
      </w:pPr>
      <w:r>
        <w:t xml:space="preserve">1.7.2.8.</w:t>
      </w:r>
      <w:r>
        <w:tab/>
        <w:t xml:space="preserve">Если Правительством Российской Федерации установлено предусмотренное 1.7.2.1. в) Документации о закупке преимущество в отношении работ, услуг, соответственно выполняемых, оказываемых российским лицом:</w:t>
      </w:r>
      <w:r/>
    </w:p>
    <w:p>
      <w:pPr>
        <w:pStyle w:val="1359"/>
        <w:numPr>
          <w:ilvl w:val="0"/>
          <w:numId w:val="0"/>
        </w:numPr>
        <w:ind w:firstLine="567"/>
        <w:widowControl w:val="off"/>
        <w:tabs>
          <w:tab w:val="left" w:pos="851" w:leader="none"/>
        </w:tabs>
        <w:rPr>
          <w:sz w:val="24"/>
          <w:szCs w:val="24"/>
        </w:rPr>
      </w:pPr>
      <w:r>
        <w:rPr>
          <w:sz w:val="24"/>
        </w:rPr>
        <w:t xml:space="preserve">а)</w:t>
      </w:r>
      <w:r>
        <w:rPr>
          <w:sz w:val="24"/>
        </w:rPr>
        <w:tab/>
      </w:r>
      <w:r>
        <w:rPr>
          <w:sz w:val="24"/>
          <w:szCs w:val="24"/>
        </w:rPr>
        <w:t xml:space="preserve">при рассмо</w:t>
      </w:r>
      <w:r>
        <w:rPr>
          <w:sz w:val="24"/>
          <w:szCs w:val="24"/>
        </w:rPr>
        <w:t xml:space="preserve">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(пятнадцать) % ценового предложения, поданного в соответствии с Законом 223-ФЗ и Пол</w:t>
      </w:r>
      <w:r>
        <w:rPr>
          <w:sz w:val="24"/>
          <w:szCs w:val="24"/>
        </w:rPr>
        <w:t xml:space="preserve">ожением о закупке Заказчика участником закупки, являющимся российским лицом, либо увеличение на 15 (пятнадцать) % ценового предложения этого участника закупки в случае подачи им предложения о размере платы, подлежащей внесению за заключение с ним договора;</w:t>
      </w:r>
      <w:r>
        <w:rPr>
          <w:sz w:val="24"/>
          <w:szCs w:val="24"/>
        </w:rPr>
      </w:r>
      <w:r>
        <w:rPr>
          <w:sz w:val="24"/>
          <w:szCs w:val="24"/>
        </w:rPr>
      </w:r>
    </w:p>
    <w:p>
      <w:pPr>
        <w:pStyle w:val="1359"/>
        <w:numPr>
          <w:ilvl w:val="0"/>
          <w:numId w:val="0"/>
        </w:numPr>
        <w:ind w:firstLine="567"/>
        <w:widowControl w:val="off"/>
        <w:tabs>
          <w:tab w:val="left" w:pos="851" w:leader="none"/>
        </w:tabs>
        <w:rPr>
          <w:sz w:val="24"/>
          <w:szCs w:val="24"/>
        </w:rPr>
      </w:pPr>
      <w:r>
        <w:rPr>
          <w:sz w:val="24"/>
          <w:szCs w:val="24"/>
        </w:rPr>
        <w:t xml:space="preserve">б)</w:t>
      </w:r>
      <w:r>
        <w:rPr>
          <w:sz w:val="24"/>
          <w:szCs w:val="24"/>
        </w:rPr>
        <w:tab/>
        <w:t xml:space="preserve">в случае заключения договора с участником закупки, указанным в пп</w:t>
      </w:r>
      <w:r>
        <w:rPr>
          <w:sz w:val="24"/>
          <w:szCs w:val="24"/>
        </w:rPr>
        <w:t xml:space="preserve">.</w:t>
      </w:r>
      <w:r>
        <w:rPr>
          <w:sz w:val="24"/>
          <w:szCs w:val="24"/>
        </w:rPr>
        <w:t xml:space="preserve"> а) настоящего пункта, договор заключается без учета снижения либо увеличения ценового предложения, осуществленных в соответствии с пп. а) настоящего пункта;</w:t>
      </w:r>
      <w:r>
        <w:rPr>
          <w:sz w:val="24"/>
          <w:szCs w:val="24"/>
        </w:rPr>
      </w:r>
      <w:r>
        <w:rPr>
          <w:sz w:val="24"/>
          <w:szCs w:val="24"/>
        </w:rPr>
      </w:r>
    </w:p>
    <w:p>
      <w:pPr>
        <w:pStyle w:val="1359"/>
        <w:numPr>
          <w:ilvl w:val="0"/>
          <w:numId w:val="0"/>
        </w:numPr>
        <w:ind w:firstLine="567"/>
        <w:widowControl w:val="off"/>
        <w:tabs>
          <w:tab w:val="left" w:pos="851" w:leader="none"/>
        </w:tabs>
        <w:rPr>
          <w:sz w:val="24"/>
          <w:szCs w:val="24"/>
        </w:rPr>
      </w:pPr>
      <w:r>
        <w:rPr>
          <w:sz w:val="24"/>
          <w:szCs w:val="24"/>
        </w:rPr>
        <w:t xml:space="preserve">в)</w:t>
      </w:r>
      <w:r>
        <w:rPr>
          <w:sz w:val="24"/>
          <w:szCs w:val="24"/>
        </w:rPr>
        <w:tab/>
        <w:t xml:space="preserve">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bookmarkEnd w:id="8"/>
      <w:r>
        <w:rPr>
          <w:sz w:val="24"/>
          <w:szCs w:val="24"/>
        </w:rPr>
      </w:r>
      <w:r>
        <w:rPr>
          <w:sz w:val="24"/>
          <w:szCs w:val="24"/>
        </w:rPr>
      </w:r>
    </w:p>
    <w:p>
      <w:pPr>
        <w:pStyle w:val="1334"/>
        <w:ind w:left="0" w:firstLine="567"/>
        <w:rPr>
          <w:b/>
          <w:bCs/>
        </w:rPr>
      </w:pPr>
      <w:r>
        <w:rPr>
          <w:b/>
          <w:bCs/>
        </w:rPr>
      </w:r>
      <w:r>
        <w:rPr>
          <w:b/>
          <w:bCs/>
        </w:rPr>
      </w:r>
      <w:r>
        <w:rPr>
          <w:b/>
          <w:bCs/>
        </w:rPr>
      </w:r>
    </w:p>
    <w:p>
      <w:pPr>
        <w:pStyle w:val="1013"/>
        <w:numPr>
          <w:ilvl w:val="0"/>
          <w:numId w:val="1"/>
        </w:numPr>
        <w:ind w:left="0" w:firstLine="567"/>
        <w:jc w:val="both"/>
        <w:keepNext w:val="0"/>
        <w:spacing w:before="0" w:after="0"/>
        <w:rPr>
          <w:i/>
          <w:sz w:val="24"/>
          <w:szCs w:val="24"/>
        </w:rPr>
      </w:pPr>
      <w:r/>
      <w:bookmarkStart w:id="22" w:name="_Toc61"/>
      <w:r>
        <w:rPr>
          <w:i/>
          <w:sz w:val="24"/>
          <w:szCs w:val="24"/>
        </w:rPr>
        <w:t xml:space="preserve">ДОКУМЕНТАЦИЯ О ЗАКУПКЕ</w:t>
      </w:r>
      <w:bookmarkEnd w:id="22"/>
      <w:r>
        <w:rPr>
          <w:i/>
          <w:sz w:val="24"/>
          <w:szCs w:val="24"/>
        </w:rPr>
      </w:r>
      <w:r>
        <w:rPr>
          <w:i/>
          <w:sz w:val="24"/>
          <w:szCs w:val="24"/>
        </w:rPr>
      </w:r>
    </w:p>
    <w:p>
      <w:pPr>
        <w:pStyle w:val="1014"/>
        <w:numPr>
          <w:ilvl w:val="1"/>
          <w:numId w:val="1"/>
        </w:numPr>
        <w:ind w:left="0" w:firstLine="567"/>
        <w:jc w:val="left"/>
        <w:keepNext w:val="0"/>
        <w:spacing w:after="0"/>
        <w:rPr>
          <w:i/>
          <w:sz w:val="24"/>
          <w:szCs w:val="24"/>
        </w:rPr>
      </w:pPr>
      <w:r/>
      <w:bookmarkStart w:id="23" w:name="_Ref11225592"/>
      <w:r/>
      <w:bookmarkStart w:id="24" w:name="_Toc62"/>
      <w:r>
        <w:rPr>
          <w:i/>
          <w:sz w:val="24"/>
          <w:szCs w:val="24"/>
        </w:rPr>
        <w:t xml:space="preserve">Предоставление документации</w:t>
      </w:r>
      <w:bookmarkEnd w:id="23"/>
      <w:r>
        <w:rPr>
          <w:i/>
          <w:sz w:val="24"/>
          <w:szCs w:val="24"/>
        </w:rPr>
        <w:t xml:space="preserve"> о закупке</w:t>
      </w:r>
      <w:bookmarkEnd w:id="24"/>
      <w:r>
        <w:rPr>
          <w:i/>
          <w:sz w:val="24"/>
          <w:szCs w:val="24"/>
        </w:rPr>
      </w:r>
      <w:r>
        <w:rPr>
          <w:i/>
          <w:sz w:val="24"/>
          <w:szCs w:val="24"/>
        </w:rPr>
      </w:r>
    </w:p>
    <w:p>
      <w:pPr>
        <w:pStyle w:val="1015"/>
        <w:numPr>
          <w:ilvl w:val="2"/>
          <w:numId w:val="1"/>
        </w:numPr>
        <w:ind w:left="0" w:firstLine="567"/>
        <w:keepNext w:val="0"/>
        <w:spacing w:before="0" w:after="0"/>
        <w:tabs>
          <w:tab w:val="clear" w:pos="454" w:leader="none"/>
          <w:tab w:val="num" w:pos="1021" w:leader="none"/>
        </w:tabs>
        <w:rPr>
          <w:rFonts w:ascii="Times New Roman" w:hAnsi="Times New Roman" w:cs="Times New Roman"/>
          <w:b w:val="0"/>
          <w:bCs w:val="0"/>
        </w:rPr>
      </w:pPr>
      <w:r/>
      <w:bookmarkStart w:id="25" w:name="_Ref166101804"/>
      <w:r>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www.zakupki.gov.ru, а </w:t>
      </w:r>
      <w:bookmarkEnd w:id="25"/>
      <w:r>
        <w:rPr>
          <w:rFonts w:ascii="Times New Roman" w:hAnsi="Times New Roman" w:cs="Times New Roman"/>
          <w:b w:val="0"/>
          <w:bCs w:val="0"/>
        </w:rPr>
        <w:t xml:space="preserve">также на сайте электронной торговой площадки (далее - ЕЭТП) www.roseltorg.ru</w:t>
      </w:r>
      <w:r>
        <w:rPr>
          <w:rFonts w:ascii="Times New Roman" w:hAnsi="Times New Roman" w:cs="Times New Roman"/>
          <w:b w:val="0"/>
          <w:color w:val="0000ff"/>
        </w:rPr>
        <w:t xml:space="preserve">.</w:t>
      </w:r>
      <w:r>
        <w:rPr>
          <w:rFonts w:ascii="Times New Roman" w:hAnsi="Times New Roman" w:cs="Times New Roman"/>
          <w:b w:val="0"/>
        </w:rPr>
        <w:t xml:space="preserve"> </w:t>
      </w:r>
      <w:r>
        <w:rPr>
          <w:rFonts w:ascii="Times New Roman" w:hAnsi="Times New Roman" w:cs="Times New Roman"/>
          <w:b w:val="0"/>
          <w:bCs w:val="0"/>
        </w:rPr>
        <w:t xml:space="preserve">Срок начала предоставления документации о закупке устанавливается Организатором в извещении о закупке.</w:t>
      </w:r>
      <w:r>
        <w:rPr>
          <w:rFonts w:ascii="Times New Roman" w:hAnsi="Times New Roman" w:cs="Times New Roman"/>
          <w:b w:val="0"/>
          <w:bCs w:val="0"/>
        </w:rPr>
      </w:r>
      <w:r>
        <w:rPr>
          <w:rFonts w:ascii="Times New Roman" w:hAnsi="Times New Roman" w:cs="Times New Roman"/>
          <w:b w:val="0"/>
          <w:bCs w:val="0"/>
        </w:rPr>
      </w:r>
    </w:p>
    <w:p>
      <w:pPr>
        <w:ind w:firstLine="567"/>
        <w:spacing w:after="0"/>
      </w:pPr>
      <w:r/>
      <w:r/>
    </w:p>
    <w:p>
      <w:pPr>
        <w:pStyle w:val="1014"/>
        <w:numPr>
          <w:ilvl w:val="1"/>
          <w:numId w:val="1"/>
        </w:numPr>
        <w:ind w:left="0" w:firstLine="567"/>
        <w:jc w:val="left"/>
        <w:keepNext w:val="0"/>
        <w:spacing w:after="0"/>
        <w:rPr>
          <w:i/>
          <w:sz w:val="24"/>
          <w:szCs w:val="24"/>
        </w:rPr>
      </w:pPr>
      <w:r/>
      <w:bookmarkStart w:id="26" w:name="_Toc63"/>
      <w:r>
        <w:rPr>
          <w:i/>
          <w:sz w:val="24"/>
          <w:szCs w:val="24"/>
        </w:rPr>
        <w:t xml:space="preserve">Разъяснение положений документации о закупке</w:t>
      </w:r>
      <w:bookmarkEnd w:id="26"/>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bookmarkStart w:id="27" w:name="_Ref166349349"/>
      <w:r>
        <w:rPr>
          <w:rFonts w:ascii="Times New Roman" w:hAnsi="Times New Roman" w:cs="Times New Roman"/>
          <w:b w:val="0"/>
          <w:bCs w:val="0"/>
        </w:rPr>
        <w:t xml:space="preserve">Любой участник закупки вправе направить средствами электронной площадки Организатору запрос о даче разъяснений положений документации о закупке. Порядок подачи запроса на разъяснения положений документации о закупке определяется </w:t>
      </w:r>
      <w:r>
        <w:rPr>
          <w:rFonts w:ascii="Times New Roman" w:hAnsi="Times New Roman" w:cs="Times New Roman"/>
          <w:b w:val="0"/>
        </w:rPr>
        <w:t xml:space="preserve">Регламентом работы ЕЭТП</w:t>
      </w:r>
      <w:r>
        <w:rPr>
          <w:rFonts w:ascii="Times New Roman" w:hAnsi="Times New Roman" w:cs="Times New Roman"/>
          <w:b w:val="0"/>
          <w:bCs w:val="0"/>
        </w:rPr>
        <w:t xml:space="preserve">. Дата и время окончания срока предоставления участникам закупки разъяснений положений документации о закупке указаны в пункте 14 части II «ИНФОРМАЦИОННАЯ КАРТА ЗАКУПКИ».</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течение трех рабочих дней с даты поступления запроса, Организатор осуществляет разъяснение положений документации о закупке и размещает их в ЕИС с указанием предмета запроса, но без указания участника та</w:t>
      </w:r>
      <w:r>
        <w:rPr>
          <w:rFonts w:ascii="Times New Roman" w:hAnsi="Times New Roman" w:cs="Times New Roman"/>
          <w:b w:val="0"/>
          <w:bCs w:val="0"/>
        </w:rPr>
        <w:t xml:space="preserve">кой закупки, от которого поступил указанный запрос. При этом Организатор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 </w:t>
      </w:r>
      <w:bookmarkEnd w:id="27"/>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Разъяснения положений документации о закупке не должны изменять предмет закупки и существенные условия проекта договора.</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Запросы разъяснений, направленные не посредством функционала ЕЭТП, не рассматриваются и ответы на них не предоставляются.</w:t>
      </w:r>
      <w:r>
        <w:rPr>
          <w:rFonts w:ascii="Times New Roman" w:hAnsi="Times New Roman" w:cs="Times New Roman"/>
          <w:b w:val="0"/>
          <w:bCs w:val="0"/>
        </w:rPr>
      </w:r>
      <w:r>
        <w:rPr>
          <w:rFonts w:ascii="Times New Roman" w:hAnsi="Times New Roman" w:cs="Times New Roman"/>
          <w:b w:val="0"/>
          <w:bCs w:val="0"/>
        </w:rPr>
      </w:r>
    </w:p>
    <w:p>
      <w:pPr>
        <w:spacing w:after="0"/>
      </w:pPr>
      <w:r/>
      <w:r/>
    </w:p>
    <w:p>
      <w:pPr>
        <w:pStyle w:val="1014"/>
        <w:numPr>
          <w:ilvl w:val="1"/>
          <w:numId w:val="1"/>
        </w:numPr>
        <w:ind w:left="0" w:firstLine="567"/>
        <w:jc w:val="both"/>
        <w:keepNext w:val="0"/>
        <w:spacing w:after="0"/>
        <w:rPr>
          <w:i/>
          <w:sz w:val="24"/>
          <w:szCs w:val="24"/>
        </w:rPr>
      </w:pPr>
      <w:r/>
      <w:bookmarkStart w:id="28" w:name="_Ref119429410"/>
      <w:r/>
      <w:bookmarkStart w:id="29" w:name="_Toc64"/>
      <w:r>
        <w:rPr>
          <w:i/>
          <w:sz w:val="24"/>
          <w:szCs w:val="24"/>
        </w:rPr>
        <w:t xml:space="preserve">Внесение изменений в извещение о </w:t>
      </w:r>
      <w:bookmarkEnd w:id="28"/>
      <w:r>
        <w:rPr>
          <w:i/>
          <w:sz w:val="24"/>
          <w:szCs w:val="24"/>
        </w:rPr>
        <w:t xml:space="preserve">закупке и/или документацию о закупке</w:t>
      </w:r>
      <w:bookmarkEnd w:id="29"/>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До окончания срока (даты и времени) подачи заявок Организатор может по любой причине внести изменения в извещение о закупке и/или документацию о закупке.</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rPr>
        <w:t xml:space="preserve">Изменения, вносимые в извещение о закупке и/или документацию о закупке, размещаются Организатором в ЕИС не позднее чем в течение 3 (трех) дней со дня принятия решения о внесении указанных изменений. </w:t>
      </w:r>
      <w:r>
        <w:rPr>
          <w:rFonts w:ascii="Times New Roman" w:hAnsi="Times New Roman" w:cs="Times New Roman"/>
          <w:b w:val="0"/>
          <w:bCs w:val="0"/>
        </w:rPr>
        <w:t xml:space="preserve">При этом </w:t>
      </w:r>
      <w:r>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ЕИС указанных изменений до </w:t>
      </w:r>
      <w:r>
        <w:rPr>
          <w:rFonts w:ascii="Times New Roman" w:hAnsi="Times New Roman" w:cs="Times New Roman"/>
          <w:b w:val="0"/>
        </w:rPr>
        <w:t xml:space="preserve">даты окончания срока подачи заявок на участие в закупке оставалось не менее половины срока подачи заявок на участие в закупке, установленного в Положении о закупке.</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Организатор не несет ответственности в случае, если 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не ознакомился с изменениями, внесенными в извещение о закупке и/или документацию о закупке, размещенными надлежащим образом. </w:t>
      </w:r>
      <w:r>
        <w:rPr>
          <w:rFonts w:ascii="Times New Roman" w:hAnsi="Times New Roman" w:cs="Times New Roman"/>
          <w:b w:val="0"/>
          <w:bCs w:val="0"/>
        </w:rPr>
      </w:r>
      <w:r>
        <w:rPr>
          <w:rFonts w:ascii="Times New Roman" w:hAnsi="Times New Roman" w:cs="Times New Roman"/>
          <w:b w:val="0"/>
          <w:bCs w:val="0"/>
        </w:rPr>
      </w:r>
    </w:p>
    <w:p>
      <w:pPr>
        <w:pStyle w:val="1334"/>
        <w:numPr>
          <w:ilvl w:val="2"/>
          <w:numId w:val="1"/>
        </w:numPr>
        <w:ind w:left="0" w:firstLine="567"/>
        <w:jc w:val="both"/>
      </w:pPr>
      <w:r>
        <w:t xml:space="preserve">Если к какому-либо документу, выдаваемому участ</w:t>
      </w:r>
      <w:r>
        <w:t xml:space="preserve">нику третьими сторонами, требуемому к представлению в составе заявки, установлен срок его действия, при этом Организатором принято решение о продлении срока окончания приема заявок по закупке менее чем за 3 (три) рабочих дня до истечения первоначально уста</w:t>
      </w:r>
      <w:r>
        <w:t xml:space="preserve">новленного срока окончания приема заявок, и вновь установленный срок окончания приема заявок продлен менее чем на 10 (десять) рабочих дней от первоначального, ПДЗК рассматривает срок документов с ограниченным сроком действия как соответствующие требованиям</w:t>
      </w:r>
      <w:r>
        <w:t xml:space="preserve"> документации без необходимости получения участником документов с иным сроком действия, если фактический срок несоответствия срока действия документа требуемому согласно документации о закупке не нарушен более чем на срок продления окончания приема заявок.</w:t>
      </w:r>
      <w:r/>
    </w:p>
    <w:p>
      <w:pPr>
        <w:pStyle w:val="1334"/>
        <w:ind w:left="567"/>
        <w:jc w:val="both"/>
      </w:pPr>
      <w:r/>
      <w:r/>
    </w:p>
    <w:p>
      <w:pPr>
        <w:pStyle w:val="1014"/>
        <w:numPr>
          <w:ilvl w:val="1"/>
          <w:numId w:val="1"/>
        </w:numPr>
        <w:ind w:left="0" w:firstLine="567"/>
        <w:jc w:val="left"/>
        <w:spacing w:after="0"/>
        <w:rPr>
          <w:i/>
          <w:sz w:val="24"/>
          <w:szCs w:val="24"/>
        </w:rPr>
      </w:pPr>
      <w:r/>
      <w:bookmarkStart w:id="30" w:name="_Toc65"/>
      <w:r>
        <w:rPr>
          <w:i/>
          <w:sz w:val="24"/>
          <w:szCs w:val="24"/>
        </w:rPr>
        <w:t xml:space="preserve">Отмена закупки</w:t>
      </w:r>
      <w:bookmarkEnd w:id="30"/>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bookmarkStart w:id="31" w:name="_Ref166158219"/>
      <w:r>
        <w:rPr>
          <w:rFonts w:ascii="Times New Roman" w:hAnsi="Times New Roman" w:cs="Times New Roman"/>
          <w:b w:val="0"/>
          <w:bCs w:val="0"/>
        </w:rPr>
        <w:t xml:space="preserve">Организатор вправе отменить закупку по одному и более предмету закупки (лоту) до наступления даты и времени окончания срока подачи заявок на участие в закупке.</w:t>
      </w:r>
      <w:bookmarkEnd w:id="31"/>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bookmarkStart w:id="32" w:name="_Ref166349406"/>
      <w:r>
        <w:rPr>
          <w:rFonts w:ascii="Times New Roman" w:hAnsi="Times New Roman" w:cs="Times New Roman"/>
          <w:b w:val="0"/>
          <w:bCs w:val="0"/>
        </w:rPr>
        <w:t xml:space="preserve">Решение об отмене закупки размещается Организатором в ЕИС в день принятия этого решения.</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По истечении срока отмены закупки и до заключения договора Организатор вправе отменить закупку только в случае возникновения обстоятельств непреодолимой силы в соответствии с гражданским законодательством. </w:t>
      </w:r>
      <w:r>
        <w:rPr>
          <w:rFonts w:ascii="Times New Roman" w:hAnsi="Times New Roman" w:cs="Times New Roman"/>
          <w:b w:val="0"/>
          <w:bCs w:val="0"/>
        </w:rPr>
      </w:r>
      <w:r>
        <w:rPr>
          <w:rFonts w:ascii="Times New Roman" w:hAnsi="Times New Roman" w:cs="Times New Roman"/>
          <w:b w:val="0"/>
          <w:bCs w:val="0"/>
        </w:rPr>
      </w:r>
    </w:p>
    <w:p>
      <w:pPr>
        <w:spacing w:after="0"/>
      </w:pPr>
      <w:r/>
      <w:r/>
    </w:p>
    <w:p>
      <w:pPr>
        <w:pStyle w:val="1013"/>
        <w:numPr>
          <w:ilvl w:val="0"/>
          <w:numId w:val="1"/>
        </w:numPr>
        <w:ind w:left="0" w:firstLine="567"/>
        <w:jc w:val="both"/>
        <w:keepNext w:val="0"/>
        <w:spacing w:before="0" w:after="0"/>
        <w:tabs>
          <w:tab w:val="left" w:pos="993" w:leader="none"/>
        </w:tabs>
        <w:rPr>
          <w:i/>
          <w:sz w:val="24"/>
          <w:szCs w:val="24"/>
        </w:rPr>
      </w:pPr>
      <w:r/>
      <w:bookmarkStart w:id="33" w:name="_Ref166159542"/>
      <w:r/>
      <w:bookmarkStart w:id="34" w:name="_Ref166159546"/>
      <w:r/>
      <w:bookmarkStart w:id="35" w:name="_Ref166250138"/>
      <w:r/>
      <w:bookmarkStart w:id="36" w:name="_Ref166250141"/>
      <w:r/>
      <w:bookmarkStart w:id="37" w:name="_Toc66"/>
      <w:r/>
      <w:bookmarkEnd w:id="32"/>
      <w:r>
        <w:rPr>
          <w:i/>
          <w:sz w:val="24"/>
          <w:szCs w:val="24"/>
        </w:rPr>
        <w:t xml:space="preserve">ТРЕБОВАНИЯ К СОДЕРЖАНИЮ ЗАЯВКИ НА УЧАСТИЕ В </w:t>
      </w:r>
      <w:bookmarkEnd w:id="33"/>
      <w:r/>
      <w:bookmarkEnd w:id="34"/>
      <w:r/>
      <w:bookmarkEnd w:id="35"/>
      <w:r/>
      <w:bookmarkEnd w:id="36"/>
      <w:r>
        <w:rPr>
          <w:i/>
          <w:sz w:val="24"/>
          <w:szCs w:val="24"/>
        </w:rPr>
        <w:t xml:space="preserve">ЗАКУПКЕ</w:t>
      </w:r>
      <w:bookmarkEnd w:id="37"/>
      <w:r>
        <w:rPr>
          <w:i/>
          <w:sz w:val="24"/>
          <w:szCs w:val="24"/>
        </w:rPr>
      </w:r>
      <w:r>
        <w:rPr>
          <w:i/>
          <w:sz w:val="24"/>
          <w:szCs w:val="24"/>
        </w:rPr>
      </w:r>
    </w:p>
    <w:p>
      <w:pPr>
        <w:pStyle w:val="1014"/>
        <w:numPr>
          <w:ilvl w:val="1"/>
          <w:numId w:val="1"/>
        </w:numPr>
        <w:ind w:left="0" w:firstLine="567"/>
        <w:jc w:val="left"/>
        <w:spacing w:after="0"/>
        <w:rPr>
          <w:i/>
          <w:sz w:val="24"/>
          <w:szCs w:val="24"/>
        </w:rPr>
      </w:pPr>
      <w:r/>
      <w:bookmarkStart w:id="38" w:name="_Toc67"/>
      <w:r>
        <w:rPr>
          <w:i/>
          <w:sz w:val="24"/>
          <w:szCs w:val="24"/>
        </w:rPr>
        <w:t xml:space="preserve">Требования к оформлению заявки на участие в закупке</w:t>
      </w:r>
      <w:bookmarkEnd w:id="38"/>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bookmarkStart w:id="39" w:name="_Ref166246797"/>
      <w:r/>
      <w:bookmarkStart w:id="40" w:name="_Ref119429784"/>
      <w:r/>
      <w:bookmarkStart w:id="41" w:name="_Ref119429817"/>
      <w:r/>
      <w:bookmarkStart w:id="42" w:name="_Ref119430333"/>
      <w:r>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w:t>
      </w:r>
      <w:r>
        <w:rPr>
          <w:rFonts w:ascii="Times New Roman" w:hAnsi="Times New Roman" w:cs="Times New Roman"/>
          <w:b w:val="0"/>
          <w:bCs w:val="0"/>
        </w:rPr>
        <w:t xml:space="preserve">ержащуюся в документации о закупке, а также разъяснения извещения о закупке и/или документации о закупке в случае их наличия. Никакие претензии Организатору закупки не будут приниматься на том основании, что участник закупки не понимал какие-либо вопросы. </w:t>
      </w:r>
      <w:r>
        <w:rPr>
          <w:rFonts w:ascii="Times New Roman" w:hAnsi="Times New Roman"/>
          <w:b w:val="0"/>
        </w:rPr>
        <w:t xml:space="preserve">Участник закупки, размещая документы на электронной площадке, в том числе, в рамках подачи заявки на участие, подписывает их своей электронной подписью, чем подтверждает подлинность и достоверность прикладываемых документов, а также их качес</w:t>
      </w:r>
      <w:r>
        <w:rPr>
          <w:rFonts w:ascii="Times New Roman" w:hAnsi="Times New Roman"/>
          <w:b w:val="0"/>
        </w:rPr>
        <w:t xml:space="preserve">тво. Под качеством документов понимаются такие свойства документов, как-то, но не исключительно: предусмотренный формат документа, его целостность, отсутствие поврежденных файлов, - прикладываемый участником документ должен быть такого качества, чтобы с по</w:t>
      </w:r>
      <w:r>
        <w:rPr>
          <w:rFonts w:ascii="Times New Roman" w:hAnsi="Times New Roman"/>
          <w:b w:val="0"/>
        </w:rPr>
        <w:t xml:space="preserve">мощью установленного аппаратно-программного комплекса возможно было ознакомиться с его содержанием. Организатор закупки не принимает на себя обязательство производить дополнительные действия по восстановлению поврежденных файлов либо изменению их свойств. </w:t>
      </w:r>
      <w:r>
        <w:rPr>
          <w:rFonts w:ascii="Times New Roman" w:hAnsi="Times New Roman" w:cs="Times New Roman"/>
          <w:b w:val="0"/>
          <w:bCs w:val="0"/>
        </w:rPr>
        <w:t xml:space="preserve">Неполное представление информации, запрашиваемой в документации о закупке, или же подача заявки, не отвечающей требованиям документации о закупке является основани</w:t>
      </w:r>
      <w:r>
        <w:rPr>
          <w:rFonts w:ascii="Times New Roman" w:hAnsi="Times New Roman" w:cs="Times New Roman"/>
          <w:b w:val="0"/>
          <w:bCs w:val="0"/>
        </w:rPr>
        <w:t xml:space="preserve">ем для признания заявки не соответствующей требованиям документации о закупке и отклонения участника от участия в закупке. Организатор закупки не несет никакой ответственности за несвоевременное (либо не в полном объеме) размещение заявки Участника на ЕЭТП.</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готовит заявку на участие в закупке в соответствии с требованиями раздела 3 «ТРЕБОВАНИЯ К СОДЕРЖАНИЮ ЗАЯВКИ НА УЧАСТИЕ В ЗАКУПКЕ»</w:t>
      </w:r>
      <w:r>
        <w:rPr>
          <w:rFonts w:ascii="Times New Roman" w:hAnsi="Times New Roman" w:cs="Times New Roman"/>
          <w:b w:val="0"/>
        </w:rPr>
        <w:t xml:space="preserve"> части </w:t>
      </w:r>
      <w:r>
        <w:rPr>
          <w:rFonts w:ascii="Times New Roman" w:hAnsi="Times New Roman" w:cs="Times New Roman"/>
          <w:b w:val="0"/>
          <w:lang w:val="en-US"/>
        </w:rPr>
        <w:t xml:space="preserve">I</w:t>
      </w:r>
      <w:r>
        <w:rPr>
          <w:rFonts w:ascii="Times New Roman" w:hAnsi="Times New Roman" w:cs="Times New Roman"/>
          <w:b w:val="0"/>
        </w:rPr>
        <w:t xml:space="preserve"> «ОБЩИЕ УСЛОВИЯ ПРОВЕДЕНИЯ ЗАКУПКИ» </w:t>
      </w:r>
      <w:r>
        <w:rPr>
          <w:rFonts w:ascii="Times New Roman" w:hAnsi="Times New Roman" w:cs="Times New Roman"/>
          <w:b w:val="0"/>
          <w:bCs w:val="0"/>
        </w:rPr>
        <w:t xml:space="preserve">и в соответствии с формами документов, установленными частью </w:t>
      </w:r>
      <w:r>
        <w:rPr>
          <w:rFonts w:ascii="Times New Roman" w:hAnsi="Times New Roman" w:cs="Times New Roman"/>
          <w:b w:val="0"/>
          <w:bCs w:val="0"/>
          <w:lang w:val="en-US"/>
        </w:rPr>
        <w:t xml:space="preserve">III</w:t>
      </w:r>
      <w:r>
        <w:rPr>
          <w:rFonts w:ascii="Times New Roman" w:hAnsi="Times New Roman" w:cs="Times New Roman"/>
          <w:b w:val="0"/>
          <w:bCs w:val="0"/>
        </w:rPr>
        <w:t xml:space="preserve"> «ОБРАЗЦЫ ФОРМ ДЛЯ ЗАПОЛНЕНИЯ УЧАСТНИКАМИ ЗАКУПКИ».</w:t>
      </w:r>
      <w:bookmarkEnd w:id="39"/>
      <w:r>
        <w:rPr>
          <w:rFonts w:ascii="Times New Roman" w:hAnsi="Times New Roman" w:cs="Times New Roman"/>
          <w:b w:val="0"/>
          <w:bCs w:val="0"/>
        </w:rPr>
        <w:t xml:space="preserve"> Заявка действительна </w:t>
      </w:r>
      <w:r>
        <w:rPr>
          <w:rFonts w:ascii="Times New Roman" w:hAnsi="Times New Roman" w:cs="Times New Roman"/>
          <w:b w:val="0"/>
          <w:bCs w:val="0"/>
        </w:rPr>
        <w:t xml:space="preserve">в течение срока, указанного участником закупки в письме о подаче оферты. В любом случае этот срок не должен быть менее чем 60 календарных дней со дня, следующего за днем окончания подачи заявок, указанном в пункте 8 части II «ИНФОРМАЦИОННАЯ КАРТА ЗАКУПКИ».</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При описании документов заявки 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w:t>
      </w:r>
      <w:r>
        <w:rPr>
          <w:rFonts w:ascii="Times New Roman" w:hAnsi="Times New Roman" w:cs="Times New Roman"/>
          <w:b w:val="0"/>
          <w:bCs w:val="0"/>
        </w:rPr>
        <w:t xml:space="preserve">нормативных правовых актов, если иное не указано в части </w:t>
      </w:r>
      <w:r>
        <w:rPr>
          <w:rFonts w:ascii="Times New Roman" w:hAnsi="Times New Roman" w:cs="Times New Roman"/>
          <w:b w:val="0"/>
          <w:bCs w:val="0"/>
          <w:lang w:val="en-US"/>
        </w:rPr>
        <w:t xml:space="preserve">IV</w:t>
      </w:r>
      <w:r>
        <w:rPr>
          <w:rFonts w:ascii="Times New Roman" w:hAnsi="Times New Roman" w:cs="Times New Roman"/>
          <w:b w:val="0"/>
          <w:bCs w:val="0"/>
        </w:rPr>
        <w:t xml:space="preserve"> </w:t>
      </w:r>
      <w:r>
        <w:rPr>
          <w:rFonts w:ascii="Times New Roman" w:hAnsi="Times New Roman" w:cs="Times New Roman"/>
          <w:b w:val="0"/>
        </w:rPr>
        <w:t xml:space="preserve">«ТЕХНИЧЕСКИЕ ТРЕБОВАНИЯ НА ВЫПОЛНЕНИЕ РАБОТ»</w:t>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Сведения, которые содержатся в заявках участников </w:t>
      </w:r>
      <w:r>
        <w:rPr>
          <w:rFonts w:ascii="Times New Roman" w:hAnsi="Times New Roman" w:cs="Times New Roman"/>
          <w:b w:val="0"/>
        </w:rPr>
        <w:t xml:space="preserve">закупки</w:t>
      </w:r>
      <w:r>
        <w:rPr>
          <w:rFonts w:ascii="Times New Roman" w:hAnsi="Times New Roman" w:cs="Times New Roman"/>
          <w:b w:val="0"/>
          <w:bCs w:val="0"/>
        </w:rPr>
        <w:t xml:space="preserve">, не должны допускать двусмысленных толкований.</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tabs>
          <w:tab w:val="clear" w:pos="454" w:leader="none"/>
          <w:tab w:val="num" w:pos="1021" w:leader="none"/>
        </w:tabs>
        <w:rPr>
          <w:rFonts w:ascii="Times New Roman" w:hAnsi="Times New Roman" w:cs="Times New Roman"/>
          <w:b w:val="0"/>
          <w:bCs w:val="0"/>
        </w:rPr>
      </w:pPr>
      <w:r>
        <w:rPr>
          <w:rFonts w:ascii="Times New Roman" w:hAnsi="Times New Roman" w:cs="Times New Roman"/>
          <w:b w:val="0"/>
          <w:bCs w:val="0"/>
        </w:rPr>
        <w:t xml:space="preserve">Все документы заявки и приложения к ней должны иметь четко читаемый текст. Все файлы заявки, размещенные Участником на ЕЭТП, должны иметь наименование либо комментарий, позволяющие идентифицировать содержание данного файл</w:t>
      </w:r>
      <w:r>
        <w:rPr>
          <w:rFonts w:ascii="Times New Roman" w:hAnsi="Times New Roman" w:cs="Times New Roman"/>
          <w:b w:val="0"/>
          <w:bCs w:val="0"/>
        </w:rPr>
        <w:t xml:space="preserve">а заявки, с указанием наименования документа, представленного данным файлом. Подчистки и исправления не допускаются, за исключением исправлений, скрепленных печатью при наличии печати и заверенных подписью уполномоченного лица. Заявка должна быть подписана</w:t>
      </w:r>
      <w:r>
        <w:rPr>
          <w:rFonts w:ascii="Times New Roman" w:hAnsi="Times New Roman" w:cs="Times New Roman"/>
          <w:b w:val="0"/>
          <w:bCs w:val="0"/>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доверенность прикладывается к заявке.</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tabs>
          <w:tab w:val="clear" w:pos="454" w:leader="none"/>
          <w:tab w:val="num" w:pos="1021" w:leader="none"/>
        </w:tabs>
        <w:rPr>
          <w:rFonts w:ascii="Times New Roman" w:hAnsi="Times New Roman" w:cs="Times New Roman"/>
          <w:b w:val="0"/>
          <w:bCs w:val="0"/>
        </w:rPr>
      </w:pPr>
      <w:r>
        <w:rPr>
          <w:rFonts w:ascii="Times New Roman" w:hAnsi="Times New Roman" w:cs="Times New Roman"/>
          <w:b w:val="0"/>
          <w:bCs w:val="0"/>
        </w:rPr>
        <w:t xml:space="preserve">Все документы, представляемые участниками закупки в составе заявки на участие в закупке, должны быть заполнены по всем пунктам, за исключением пунктов, носящих рекомендательный характер.</w:t>
      </w:r>
      <w:bookmarkStart w:id="43" w:name="_Ref166313158"/>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tabs>
          <w:tab w:val="clear" w:pos="454" w:leader="none"/>
          <w:tab w:val="num" w:pos="1021" w:leader="none"/>
        </w:tabs>
        <w:rPr>
          <w:rFonts w:ascii="Times New Roman" w:hAnsi="Times New Roman" w:cs="Times New Roman"/>
          <w:b w:val="0"/>
          <w:bCs w:val="0"/>
        </w:rPr>
      </w:pPr>
      <w:r>
        <w:rPr>
          <w:rFonts w:ascii="Times New Roman" w:hAnsi="Times New Roman" w:cs="Times New Roman"/>
          <w:b w:val="0"/>
          <w:bCs w:val="0"/>
        </w:rPr>
        <w:t xml:space="preserve">Организатор обеспечивает разумную конфиденциальность относительно всех полученных от участников закупк</w:t>
      </w:r>
      <w:r>
        <w:rPr>
          <w:rFonts w:ascii="Times New Roman" w:hAnsi="Times New Roman" w:cs="Times New Roman"/>
          <w:b w:val="0"/>
          <w:bCs w:val="0"/>
        </w:rPr>
        <w:t xml:space="preserve">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Заказчика.</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tabs>
          <w:tab w:val="clear" w:pos="454" w:leader="none"/>
          <w:tab w:val="num" w:pos="1021" w:leader="none"/>
        </w:tabs>
        <w:rPr>
          <w:rFonts w:ascii="Times New Roman" w:hAnsi="Times New Roman" w:cs="Times New Roman"/>
          <w:b w:val="0"/>
          <w:bCs w:val="0"/>
        </w:rPr>
      </w:pPr>
      <w:r>
        <w:rPr>
          <w:rFonts w:ascii="Times New Roman" w:hAnsi="Times New Roman" w:cs="Times New Roman"/>
          <w:b w:val="0"/>
          <w:bCs w:val="0"/>
        </w:rPr>
        <w:t xml:space="preserve">Инструкции по заполнен</w:t>
      </w:r>
      <w:r>
        <w:rPr>
          <w:rFonts w:ascii="Times New Roman" w:hAnsi="Times New Roman" w:cs="Times New Roman"/>
          <w:b w:val="0"/>
          <w:bCs w:val="0"/>
        </w:rPr>
        <w:t xml:space="preserve">ию форм настоящей документации о закупке являются обязательными к изучению и исполнению Участниками закупки. Все требования, содержащиеся в данных инструкциях, необходимо учитывать при подготовке заявки в электронной форме с использованием функционала ЕЭТП.</w:t>
      </w:r>
      <w:r>
        <w:rPr>
          <w:rFonts w:ascii="Times New Roman" w:hAnsi="Times New Roman" w:cs="Times New Roman"/>
          <w:b w:val="0"/>
          <w:bCs w:val="0"/>
        </w:rPr>
      </w:r>
      <w:r>
        <w:rPr>
          <w:rFonts w:ascii="Times New Roman" w:hAnsi="Times New Roman" w:cs="Times New Roman"/>
          <w:b w:val="0"/>
          <w:bCs w:val="0"/>
        </w:rPr>
      </w:r>
    </w:p>
    <w:p>
      <w:pPr>
        <w:spacing w:after="0"/>
      </w:pPr>
      <w:r/>
      <w:r/>
    </w:p>
    <w:p>
      <w:pPr>
        <w:pStyle w:val="1014"/>
        <w:numPr>
          <w:ilvl w:val="1"/>
          <w:numId w:val="1"/>
        </w:numPr>
        <w:ind w:left="0" w:firstLine="567"/>
        <w:jc w:val="left"/>
        <w:spacing w:after="0"/>
        <w:rPr>
          <w:i/>
          <w:sz w:val="24"/>
          <w:szCs w:val="24"/>
        </w:rPr>
      </w:pPr>
      <w:r/>
      <w:bookmarkStart w:id="44" w:name="_Toc68"/>
      <w:r/>
      <w:bookmarkEnd w:id="43"/>
      <w:r>
        <w:rPr>
          <w:i/>
          <w:sz w:val="24"/>
          <w:szCs w:val="24"/>
        </w:rPr>
        <w:t xml:space="preserve">Язык документов, входящих в состав заявки на участие в закупке</w:t>
      </w:r>
      <w:bookmarkEnd w:id="44"/>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Заявка на участие в закупке должна быть подготовлена на русском языке за исключением нижеследующего. </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w:t>
      </w:r>
      <w:r>
        <w:rPr>
          <w:rFonts w:ascii="Times New Roman" w:hAnsi="Times New Roman" w:cs="Times New Roman"/>
          <w:b w:val="0"/>
          <w:bCs w:val="0"/>
        </w:rPr>
        <w:t xml:space="preserve"> к ним приложен перевод этих документов на русский язык (в специально оговоренных случаях - апостилированный). При выявлении расхождений между русским переводом и оригиналом документа на ином языке Организатор будет принимать решение на основании перевода.</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rPr>
        <w:t xml:space="preserve">ПДЗК не рассматривает документы, не переведенные на русский язык</w:t>
      </w:r>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r>
    </w:p>
    <w:p>
      <w:pPr>
        <w:spacing w:after="0"/>
      </w:pPr>
      <w:r/>
      <w:r/>
    </w:p>
    <w:p>
      <w:pPr>
        <w:pStyle w:val="1014"/>
        <w:numPr>
          <w:ilvl w:val="1"/>
          <w:numId w:val="1"/>
        </w:numPr>
        <w:ind w:left="0" w:firstLine="567"/>
        <w:jc w:val="both"/>
        <w:keepNext w:val="0"/>
        <w:spacing w:after="0"/>
        <w:rPr>
          <w:i/>
          <w:sz w:val="24"/>
          <w:szCs w:val="24"/>
        </w:rPr>
      </w:pPr>
      <w:r/>
      <w:bookmarkStart w:id="45" w:name="_Toc69"/>
      <w:r>
        <w:rPr>
          <w:i/>
          <w:sz w:val="24"/>
          <w:szCs w:val="24"/>
        </w:rPr>
        <w:t xml:space="preserve">Требования к валюте заявки</w:t>
      </w:r>
      <w:bookmarkEnd w:id="45"/>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bookmarkStart w:id="46" w:name="_Hlt517806775"/>
      <w:r/>
      <w:bookmarkStart w:id="47" w:name="_Ref52534291"/>
      <w:r/>
      <w:bookmarkEnd w:id="46"/>
      <w:r>
        <w:rPr>
          <w:rFonts w:ascii="Times New Roman" w:hAnsi="Times New Roman" w:cs="Times New Roman"/>
          <w:b w:val="0"/>
        </w:rPr>
        <w:t xml:space="preserve">Все суммы денежных средств в документах, входящих в заявку участника, должны быть выражены в российских рублях (если иное не установлено в документации о закупке) за исключением нижеследующего</w:t>
      </w:r>
      <w:r>
        <w:rPr>
          <w:rFonts w:ascii="Times New Roman" w:hAnsi="Times New Roman" w:cs="Times New Roman"/>
          <w:b w:val="0"/>
          <w:bCs w:val="0"/>
        </w:rPr>
        <w:t xml:space="preserve">.</w:t>
      </w:r>
      <w:bookmarkEnd w:id="47"/>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rPr>
        <w:t xml:space="preserve">Документы, оригиналы которых выданы участнику закупки третьими лицами с выражением сумм денежных средств в иных валютах, могут быть представлены в валюте о</w:t>
      </w:r>
      <w:r>
        <w:rPr>
          <w:rFonts w:ascii="Times New Roman" w:hAnsi="Times New Roman" w:cs="Times New Roman"/>
          <w:b w:val="0"/>
        </w:rPr>
        <w:t xml:space="preserve">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rPr>
        <w:t xml:space="preserve">Цена заявки фиксируется в российских рублях (если иное не установлено в документации о закупке) и не подлежит изменению при изменении официального курса валюты</w:t>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spacing w:after="0"/>
      </w:pPr>
      <w:r/>
      <w:r/>
    </w:p>
    <w:p>
      <w:pPr>
        <w:pStyle w:val="1014"/>
        <w:numPr>
          <w:ilvl w:val="1"/>
          <w:numId w:val="1"/>
        </w:numPr>
        <w:ind w:left="0" w:firstLine="567"/>
        <w:jc w:val="both"/>
        <w:keepNext w:val="0"/>
        <w:spacing w:after="0"/>
        <w:rPr>
          <w:i/>
          <w:sz w:val="24"/>
          <w:szCs w:val="24"/>
        </w:rPr>
      </w:pPr>
      <w:r/>
      <w:bookmarkStart w:id="48" w:name="_Toc70"/>
      <w:r>
        <w:rPr>
          <w:i/>
          <w:sz w:val="24"/>
          <w:szCs w:val="24"/>
        </w:rPr>
        <w:t xml:space="preserve">Требования к составу заявки на участие в закупке</w:t>
      </w:r>
      <w:bookmarkEnd w:id="40"/>
      <w:r/>
      <w:bookmarkEnd w:id="41"/>
      <w:r/>
      <w:bookmarkEnd w:id="42"/>
      <w:r/>
      <w:bookmarkEnd w:id="48"/>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bookmarkStart w:id="49" w:name="_Ref166243143"/>
      <w:r>
        <w:rPr>
          <w:rFonts w:ascii="Times New Roman" w:hAnsi="Times New Roman" w:cs="Times New Roman"/>
          <w:b w:val="0"/>
          <w:bCs w:val="0"/>
        </w:rPr>
        <w:t xml:space="preserve">Заявка участника на участие в закупке должна содержать сведения и документы, указанные в </w:t>
      </w:r>
      <w:r>
        <w:rPr>
          <w:rFonts w:ascii="Times New Roman" w:hAnsi="Times New Roman" w:cs="Times New Roman"/>
          <w:b w:val="0"/>
        </w:rPr>
        <w:t xml:space="preserve">пунктах </w:t>
      </w:r>
      <w:r>
        <w:rPr>
          <w:rFonts w:ascii="Times New Roman" w:hAnsi="Times New Roman" w:cs="Times New Roman"/>
          <w:b w:val="0"/>
          <w:bCs w:val="0"/>
        </w:rPr>
        <w:t xml:space="preserve">9</w:t>
      </w:r>
      <w:r>
        <w:rPr>
          <w:rFonts w:ascii="Times New Roman" w:hAnsi="Times New Roman" w:cs="Times New Roman"/>
          <w:b w:val="0"/>
        </w:rPr>
        <w:t xml:space="preserve">, 11, 13 части II «ИНФОРМАЦИОННАЯ КАРТА </w:t>
      </w:r>
      <w:r>
        <w:rPr>
          <w:rFonts w:ascii="Times New Roman" w:hAnsi="Times New Roman" w:cs="Times New Roman"/>
          <w:b w:val="0"/>
          <w:bCs w:val="0"/>
        </w:rPr>
        <w:t xml:space="preserve">ЗАКУПКИ</w:t>
      </w:r>
      <w:r>
        <w:rPr>
          <w:rFonts w:ascii="Times New Roman" w:hAnsi="Times New Roman" w:cs="Times New Roman"/>
          <w:b w:val="0"/>
        </w:rPr>
        <w:t xml:space="preserve">»</w:t>
      </w:r>
      <w:bookmarkEnd w:id="49"/>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bookmarkStart w:id="50" w:name="_Ref166316209"/>
      <w:r>
        <w:rPr>
          <w:rFonts w:ascii="Times New Roman" w:hAnsi="Times New Roman" w:cs="Times New Roman"/>
          <w:b w:val="0"/>
          <w:bCs w:val="0"/>
        </w:rPr>
        <w:t xml:space="preserve">В случае неполного представления документов, перечисленных в пунктах 9</w:t>
      </w:r>
      <w:r>
        <w:rPr>
          <w:rFonts w:ascii="Times New Roman" w:hAnsi="Times New Roman" w:cs="Times New Roman"/>
          <w:b w:val="0"/>
        </w:rPr>
        <w:t xml:space="preserve">, 11, 13 </w:t>
      </w:r>
      <w:r>
        <w:rPr>
          <w:rFonts w:ascii="Times New Roman" w:hAnsi="Times New Roman" w:cs="Times New Roman"/>
          <w:b w:val="0"/>
          <w:bCs w:val="0"/>
        </w:rPr>
        <w:t xml:space="preserve">части II «ИНФОРМАЦИОННАЯ КАРТА ЗАКУПКИ» ПДЗК отклоняет заявку, поданную на участие в закупке.</w:t>
      </w:r>
      <w:bookmarkEnd w:id="50"/>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Представление документов с отклонением от установленных в документации о закупке форм может быть расценено ПДЗК как несоответствие заявки на участие в закупке требованиям, установленным документацией о закупке. </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Помимо сведений и документов, установленных насто</w:t>
      </w:r>
      <w:r>
        <w:rPr>
          <w:rFonts w:ascii="Times New Roman" w:hAnsi="Times New Roman" w:cs="Times New Roman"/>
          <w:b w:val="0"/>
          <w:bCs w:val="0"/>
        </w:rPr>
        <w:t xml:space="preserve">ящей документацией о закупке участник вправе предоставить любые иные сведения и документы, которые, по его 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ПДЗК рассматривает как равноценные собственным материально-технические и кадровые ресурсы аффилированного </w:t>
      </w:r>
      <w:r>
        <w:rPr>
          <w:rFonts w:ascii="Times New Roman" w:hAnsi="Times New Roman" w:cs="Times New Roman"/>
          <w:b w:val="0"/>
          <w:bCs w:val="0"/>
        </w:rPr>
        <w:t xml:space="preserve">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предоставлено соглашение между участник</w:t>
      </w:r>
      <w:r>
        <w:rPr>
          <w:rFonts w:ascii="Times New Roman" w:hAnsi="Times New Roman" w:cs="Times New Roman"/>
          <w:b w:val="0"/>
          <w:bCs w:val="0"/>
        </w:rPr>
        <w:t xml:space="preserve">ом и аффилированным с ним предприятием о его согласии о предоставлении участнику материально-технических ресурсов и/или персонала для выполнения работ/оказания услуг, с обязательным указанием необходимых сведений о предоставляемых ресурсах и персонале согл</w:t>
      </w:r>
      <w:r>
        <w:rPr>
          <w:rFonts w:ascii="Times New Roman" w:hAnsi="Times New Roman" w:cs="Times New Roman"/>
          <w:b w:val="0"/>
          <w:bCs w:val="0"/>
        </w:rPr>
        <w:t xml:space="preserve">асно соответствующим формам документации о закупке. Кроме того, в составе заявки участника в обязательном порядке предоставляются документы (например, копия устава, выписка из ЕГРЮЛ, учредительный договор), подтверждающие факт аффилированности предприятий.</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случае если в закупочной процедуре принимает участие объединение (группа лиц</w:t>
      </w:r>
      <w:r>
        <w:rPr>
          <w:rFonts w:ascii="Times New Roman" w:hAnsi="Times New Roman" w:cs="Times New Roman"/>
          <w:b w:val="0"/>
          <w:bCs w:val="0"/>
        </w:rPr>
        <w:t xml:space="preserve">), выступающих на стороне одного участника закупки (далее - коллективный участник), в составе заявки такого участника должно быть представлено соглашение, соответствующее нормам Гражданского кодекса Российской Федерации, и отвечающее следующим требованиям:</w:t>
      </w:r>
      <w:r>
        <w:rPr>
          <w:rFonts w:ascii="Times New Roman" w:hAnsi="Times New Roman" w:cs="Times New Roman"/>
          <w:b w:val="0"/>
          <w:bCs w:val="0"/>
        </w:rPr>
      </w:r>
      <w:r>
        <w:rPr>
          <w:rFonts w:ascii="Times New Roman" w:hAnsi="Times New Roman" w:cs="Times New Roman"/>
          <w:b w:val="0"/>
          <w:bCs w:val="0"/>
        </w:rPr>
      </w:r>
    </w:p>
    <w:p>
      <w:pPr>
        <w:pStyle w:val="1334"/>
        <w:numPr>
          <w:ilvl w:val="0"/>
          <w:numId w:val="45"/>
        </w:numPr>
        <w:ind w:left="0" w:firstLine="567"/>
        <w:jc w:val="both"/>
        <w:tabs>
          <w:tab w:val="left" w:pos="1134" w:leader="none"/>
        </w:tabs>
        <w:rPr>
          <w:bCs/>
        </w:rPr>
      </w:pPr>
      <w:r>
        <w:rPr>
          <w:bCs/>
        </w:rPr>
        <w:t xml:space="preserve">в соглашении должны быть четко определены права и обязанности сторон как в рамках участия в закупочной процедуре, так и в рамках исполнения договора, заключаемого по ее результатам;</w:t>
      </w:r>
      <w:r>
        <w:rPr>
          <w:bCs/>
        </w:rPr>
      </w:r>
      <w:r>
        <w:rPr>
          <w:bCs/>
        </w:rPr>
      </w:r>
    </w:p>
    <w:p>
      <w:pPr>
        <w:pStyle w:val="1334"/>
        <w:numPr>
          <w:ilvl w:val="0"/>
          <w:numId w:val="45"/>
        </w:numPr>
        <w:ind w:left="0" w:firstLine="567"/>
        <w:jc w:val="both"/>
        <w:tabs>
          <w:tab w:val="left" w:pos="1134" w:leader="none"/>
        </w:tabs>
        <w:rPr>
          <w:bCs/>
        </w:rPr>
      </w:pPr>
      <w:r>
        <w:rPr>
          <w:bCs/>
        </w:rPr>
        <w:t xml:space="preserve">в соглашении должна быть определена обязанность Лидера коллективного участника по предоставлению обеспечения заявки;</w:t>
      </w:r>
      <w:r>
        <w:rPr>
          <w:bCs/>
        </w:rPr>
      </w:r>
      <w:r>
        <w:rPr>
          <w:bCs/>
        </w:rPr>
      </w:r>
    </w:p>
    <w:p>
      <w:pPr>
        <w:pStyle w:val="1334"/>
        <w:numPr>
          <w:ilvl w:val="0"/>
          <w:numId w:val="45"/>
        </w:numPr>
        <w:ind w:left="0" w:firstLine="567"/>
        <w:jc w:val="both"/>
        <w:tabs>
          <w:tab w:val="left" w:pos="1134" w:leader="none"/>
        </w:tabs>
        <w:rPr>
          <w:bCs/>
        </w:rPr>
      </w:pPr>
      <w:r>
        <w:rPr>
          <w:bCs/>
        </w:rPr>
        <w:t xml:space="preserve">в соглашении должно быть приведено распределение объемов, стоимости и сроков выполнения работ/услуг/поставок между членами коллективного участника;</w:t>
      </w:r>
      <w:r>
        <w:rPr>
          <w:bCs/>
        </w:rPr>
      </w:r>
      <w:r>
        <w:rPr>
          <w:bCs/>
        </w:rPr>
      </w:r>
    </w:p>
    <w:p>
      <w:pPr>
        <w:pStyle w:val="1334"/>
        <w:numPr>
          <w:ilvl w:val="0"/>
          <w:numId w:val="45"/>
        </w:numPr>
        <w:ind w:left="0" w:firstLine="567"/>
        <w:jc w:val="both"/>
        <w:tabs>
          <w:tab w:val="left" w:pos="1134" w:leader="none"/>
        </w:tabs>
        <w:rPr>
          <w:bCs/>
        </w:rPr>
      </w:pPr>
      <w:r>
        <w:rPr>
          <w:bCs/>
        </w:rPr>
        <w:t xml:space="preserve">в соглашении должен быть определен лидер коллективного участника, который в дальнейшем представляет интересы каждого члена коллективного участника во взаимоотношениях с заказчиком;</w:t>
      </w:r>
      <w:r>
        <w:rPr>
          <w:bCs/>
        </w:rPr>
      </w:r>
      <w:r>
        <w:rPr>
          <w:bCs/>
        </w:rPr>
      </w:r>
    </w:p>
    <w:p>
      <w:pPr>
        <w:pStyle w:val="1334"/>
        <w:numPr>
          <w:ilvl w:val="0"/>
          <w:numId w:val="45"/>
        </w:numPr>
        <w:ind w:left="0" w:firstLine="567"/>
        <w:jc w:val="both"/>
        <w:tabs>
          <w:tab w:val="left" w:pos="1134" w:leader="none"/>
        </w:tabs>
        <w:rPr>
          <w:bCs/>
        </w:rPr>
      </w:pPr>
      <w:r>
        <w:rPr>
          <w:bCs/>
        </w:rPr>
        <w:t xml:space="preserve">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закупочной процедуре, и солидарная ответственность за своевременное и полное исполнение договора;</w:t>
      </w:r>
      <w:r>
        <w:rPr>
          <w:bCs/>
        </w:rPr>
      </w:r>
      <w:r>
        <w:rPr>
          <w:bCs/>
        </w:rPr>
      </w:r>
    </w:p>
    <w:p>
      <w:pPr>
        <w:pStyle w:val="1334"/>
        <w:numPr>
          <w:ilvl w:val="0"/>
          <w:numId w:val="45"/>
        </w:numPr>
        <w:ind w:left="0" w:firstLine="567"/>
        <w:jc w:val="both"/>
        <w:tabs>
          <w:tab w:val="left" w:pos="1134" w:leader="none"/>
        </w:tabs>
        <w:rPr>
          <w:bCs/>
        </w:rPr>
      </w:pPr>
      <w:r>
        <w:rPr>
          <w:bCs/>
        </w:rPr>
        <w:t xml:space="preserve">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r>
        <w:rPr>
          <w:bCs/>
        </w:rPr>
      </w:r>
      <w:r>
        <w:rPr>
          <w:bCs/>
        </w:rPr>
      </w:r>
    </w:p>
    <w:p>
      <w:pPr>
        <w:pStyle w:val="1334"/>
        <w:numPr>
          <w:ilvl w:val="0"/>
          <w:numId w:val="45"/>
        </w:numPr>
        <w:ind w:left="0" w:firstLine="567"/>
        <w:jc w:val="both"/>
        <w:tabs>
          <w:tab w:val="left" w:pos="1134" w:leader="none"/>
        </w:tabs>
        <w:rPr>
          <w:bCs/>
        </w:rPr>
      </w:pPr>
      <w:r>
        <w:rPr>
          <w:bCs/>
        </w:rPr>
        <w:t xml:space="preserve">срок действия соглашения должен быть не менее, чем срок действия договора.</w:t>
      </w:r>
      <w:r>
        <w:rPr>
          <w:bCs/>
        </w:rPr>
      </w:r>
      <w:r>
        <w:rPr>
          <w:bCs/>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случае если в закупочной процедуре принимает участие коллективный участник такой участник должен подготовить заявку на участие в закупке с учетом следующих дополнительных требований:</w:t>
      </w:r>
      <w:r>
        <w:rPr>
          <w:rFonts w:ascii="Times New Roman" w:hAnsi="Times New Roman" w:cs="Times New Roman"/>
          <w:b w:val="0"/>
          <w:bCs w:val="0"/>
        </w:rPr>
      </w:r>
      <w:r>
        <w:rPr>
          <w:rFonts w:ascii="Times New Roman" w:hAnsi="Times New Roman" w:cs="Times New Roman"/>
          <w:b w:val="0"/>
          <w:bCs w:val="0"/>
        </w:rPr>
      </w:r>
    </w:p>
    <w:p>
      <w:pPr>
        <w:pStyle w:val="1334"/>
        <w:numPr>
          <w:ilvl w:val="0"/>
          <w:numId w:val="13"/>
        </w:numPr>
        <w:ind w:left="0" w:firstLine="567"/>
        <w:jc w:val="both"/>
        <w:tabs>
          <w:tab w:val="left" w:pos="1134" w:leader="none"/>
        </w:tabs>
      </w:pPr>
      <w:r>
        <w:t xml:space="preserve">заявка должна включать документы, подтверждающие соответствие коллективного участника установленным требованиям;</w:t>
      </w:r>
      <w:r/>
    </w:p>
    <w:p>
      <w:pPr>
        <w:pStyle w:val="1334"/>
        <w:numPr>
          <w:ilvl w:val="0"/>
          <w:numId w:val="13"/>
        </w:numPr>
        <w:ind w:left="0" w:firstLine="567"/>
        <w:jc w:val="both"/>
        <w:tabs>
          <w:tab w:val="left" w:pos="1134" w:leader="none"/>
        </w:tabs>
      </w:pPr>
      <w:r>
        <w:t xml:space="preserve">заявка подготавливается и подается лидером от своего имени со ссылкой на то, что он представляет интересы коллективного участника;</w:t>
      </w:r>
      <w:r/>
    </w:p>
    <w:p>
      <w:pPr>
        <w:pStyle w:val="1334"/>
        <w:numPr>
          <w:ilvl w:val="0"/>
          <w:numId w:val="13"/>
        </w:numPr>
        <w:ind w:left="0" w:firstLine="567"/>
        <w:jc w:val="both"/>
        <w:tabs>
          <w:tab w:val="left" w:pos="1134" w:leader="none"/>
        </w:tabs>
      </w:pPr>
      <w:r>
        <w:t xml:space="preserve">в состав заявки дополнительно включается соглашение между членами коллективного участника.</w:t>
      </w:r>
      <w:r/>
    </w:p>
    <w:p>
      <w:pPr>
        <w:pStyle w:val="1334"/>
        <w:ind w:left="0" w:firstLine="567"/>
        <w:jc w:val="both"/>
      </w:pPr>
      <w:r/>
      <w:r/>
    </w:p>
    <w:p>
      <w:pPr>
        <w:pStyle w:val="1014"/>
        <w:numPr>
          <w:ilvl w:val="1"/>
          <w:numId w:val="1"/>
        </w:numPr>
        <w:ind w:left="0" w:firstLine="567"/>
        <w:jc w:val="both"/>
        <w:keepNext w:val="0"/>
        <w:spacing w:after="0"/>
        <w:rPr>
          <w:i/>
          <w:sz w:val="24"/>
          <w:szCs w:val="24"/>
        </w:rPr>
      </w:pPr>
      <w:r/>
      <w:bookmarkStart w:id="51" w:name="_Toc71"/>
      <w:r>
        <w:rPr>
          <w:i/>
          <w:sz w:val="24"/>
          <w:szCs w:val="24"/>
        </w:rPr>
        <w:t xml:space="preserve">Требования к описанию заявки участника закупки</w:t>
      </w:r>
      <w:bookmarkEnd w:id="51"/>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bookmarkStart w:id="52" w:name="_Ref166314630"/>
      <w:r/>
      <w:bookmarkStart w:id="53" w:name="_Ref11560130"/>
      <w:r>
        <w:rPr>
          <w:rFonts w:ascii="Times New Roman" w:hAnsi="Times New Roman" w:cs="Times New Roman"/>
          <w:b w:val="0"/>
          <w:bCs w:val="0"/>
        </w:rPr>
        <w:t xml:space="preserve">Цена </w:t>
      </w:r>
      <w:bookmarkEnd w:id="52"/>
      <w:r>
        <w:rPr>
          <w:rFonts w:ascii="Times New Roman" w:hAnsi="Times New Roman" w:cs="Times New Roman"/>
          <w:b w:val="0"/>
          <w:bCs w:val="0"/>
        </w:rPr>
      </w:r>
      <w:r>
        <w:rPr>
          <w:rFonts w:ascii="Times New Roman" w:hAnsi="Times New Roman" w:cs="Times New Roman"/>
          <w:b w:val="0"/>
          <w:bCs w:val="0"/>
        </w:rPr>
        <w:t xml:space="preserve">договора,</w:t>
      </w:r>
      <w:r>
        <w:rPr>
          <w:rFonts w:ascii="Times New Roman" w:hAnsi="Times New Roman" w:cs="Times New Roman"/>
          <w:b w:val="0"/>
          <w:bCs w:val="0"/>
        </w:rPr>
        <w:t xml:space="preserve"> </w:t>
      </w:r>
      <w:r>
        <w:rPr>
          <w:rFonts w:ascii="Times New Roman" w:hAnsi="Times New Roman" w:cs="Times New Roman"/>
          <w:b w:val="0"/>
          <w:bCs w:val="0"/>
        </w:rPr>
        <w:t xml:space="preserve">является фиксированной и изменению в процессе проведения </w:t>
      </w:r>
      <w:r>
        <w:rPr>
          <w:rFonts w:ascii="Times New Roman" w:hAnsi="Times New Roman" w:cs="Times New Roman"/>
          <w:b w:val="0"/>
          <w:bCs w:val="0"/>
        </w:rPr>
        <w:t xml:space="preserve">закупки</w:t>
      </w:r>
      <w:r>
        <w:rPr>
          <w:rFonts w:ascii="Times New Roman" w:hAnsi="Times New Roman" w:cs="Times New Roman"/>
          <w:b w:val="0"/>
          <w:bCs w:val="0"/>
        </w:rPr>
        <w:t xml:space="preserve"> не подлежит. Изменение фиксированной стоимости договора в процессе проведения </w:t>
      </w:r>
      <w:r>
        <w:rPr>
          <w:rFonts w:ascii="Times New Roman" w:hAnsi="Times New Roman" w:cs="Times New Roman"/>
          <w:b w:val="0"/>
          <w:bCs w:val="0"/>
        </w:rPr>
        <w:t xml:space="preserve">закупки</w:t>
      </w:r>
      <w:r>
        <w:rPr>
          <w:rFonts w:ascii="Times New Roman" w:hAnsi="Times New Roman" w:cs="Times New Roman"/>
          <w:b w:val="0"/>
          <w:bCs w:val="0"/>
        </w:rPr>
        <w:t xml:space="preserve"> является основанием для отклонения заявки участника по решению ПДЗК</w:t>
      </w:r>
      <w:r>
        <w:rPr>
          <w:rFonts w:ascii="Times New Roman" w:hAnsi="Times New Roman" w:cs="Times New Roman"/>
          <w:b w:val="0"/>
          <w:bCs w:val="0"/>
        </w:rPr>
        <w:t xml:space="preserve">. Начальная (максимальная) </w:t>
      </w:r>
      <w:r>
        <w:rPr>
          <w:rFonts w:ascii="Times New Roman" w:hAnsi="Times New Roman" w:cs="Times New Roman"/>
          <w:b w:val="0"/>
          <w:bCs w:val="0"/>
        </w:rPr>
        <w:t xml:space="preserve">стоимость единичных расценок</w:t>
      </w:r>
      <w:r>
        <w:rPr>
          <w:rFonts w:ascii="Times New Roman" w:hAnsi="Times New Roman" w:cs="Times New Roman"/>
          <w:b w:val="0"/>
          <w:bCs w:val="0"/>
        </w:rPr>
        <w:t xml:space="preserve"> подлежит изменению (снижению) в процессе проведения </w:t>
      </w:r>
      <w:r>
        <w:rPr>
          <w:rFonts w:ascii="Times New Roman" w:hAnsi="Times New Roman" w:cs="Times New Roman"/>
          <w:b w:val="0"/>
          <w:bCs w:val="0"/>
        </w:rPr>
        <w:t xml:space="preserve">закупки</w:t>
      </w:r>
      <w:r>
        <w:rPr>
          <w:rFonts w:ascii="Times New Roman" w:hAnsi="Times New Roman" w:cs="Times New Roman"/>
          <w:b w:val="0"/>
          <w:bCs w:val="0"/>
        </w:rPr>
        <w:t xml:space="preserve">. Превышение начальной (максимальной) </w:t>
      </w:r>
      <w:r>
        <w:rPr>
          <w:rFonts w:ascii="Times New Roman" w:hAnsi="Times New Roman" w:cs="Times New Roman"/>
          <w:b w:val="0"/>
          <w:bCs w:val="0"/>
        </w:rPr>
        <w:t xml:space="preserve">стоимости единичных расценок</w:t>
      </w:r>
      <w:r>
        <w:rPr>
          <w:rFonts w:ascii="Times New Roman" w:hAnsi="Times New Roman" w:cs="Times New Roman"/>
          <w:b w:val="0"/>
          <w:bCs w:val="0"/>
        </w:rPr>
        <w:t xml:space="preserve">, а также цены за единицу продукции не </w:t>
      </w:r>
      <w:r>
        <w:rPr>
          <w:rFonts w:ascii="Times New Roman" w:hAnsi="Times New Roman" w:cs="Times New Roman"/>
          <w:b w:val="0"/>
          <w:bCs w:val="0"/>
        </w:rPr>
        <w:t xml:space="preserve">допускается и является основанием для отклонения заявки участника по решению </w:t>
      </w:r>
      <w:r>
        <w:rPr>
          <w:rFonts w:ascii="Times New Roman" w:hAnsi="Times New Roman" w:cs="Times New Roman"/>
          <w:b w:val="0"/>
          <w:bCs w:val="0"/>
        </w:rPr>
        <w:t xml:space="preserve">ПДЗК</w:t>
      </w:r>
      <w:r>
        <w:rPr>
          <w:rFonts w:ascii="Times New Roman" w:hAnsi="Times New Roman" w:cs="Times New Roman"/>
          <w:b w:val="0"/>
          <w:bCs w:val="0"/>
        </w:rPr>
        <w:t xml:space="preserve">. Стоимость договора/</w:t>
      </w:r>
      <w:r>
        <w:rPr>
          <w:rFonts w:ascii="Times New Roman" w:hAnsi="Times New Roman" w:cs="Times New Roman"/>
          <w:b w:val="0"/>
          <w:bCs w:val="0"/>
        </w:rPr>
        <w:t xml:space="preserve">стоимость единичных расценок</w:t>
      </w:r>
      <w:r>
        <w:rPr>
          <w:rFonts w:ascii="Times New Roman" w:hAnsi="Times New Roman" w:cs="Times New Roman"/>
          <w:b w:val="0"/>
          <w:bCs w:val="0"/>
        </w:rPr>
        <w:t xml:space="preserve">, предлагаемая участником закупки указана в извещении о закупке и в пункте 5 части II </w:t>
      </w:r>
      <w:r>
        <w:rPr>
          <w:rFonts w:ascii="Times New Roman" w:hAnsi="Times New Roman" w:cs="Times New Roman"/>
          <w:b w:val="0"/>
          <w:bCs w:val="0"/>
        </w:rPr>
        <w:t xml:space="preserve">«</w:t>
      </w:r>
      <w:r>
        <w:rPr>
          <w:rFonts w:ascii="Times New Roman" w:hAnsi="Times New Roman" w:cs="Times New Roman"/>
          <w:b w:val="0"/>
          <w:bCs w:val="0"/>
        </w:rPr>
        <w:t xml:space="preserve">ИНФОРМАЦИОННАЯ КАРТА ЗАКУПКИ</w:t>
      </w:r>
      <w:r>
        <w:rPr>
          <w:rFonts w:ascii="Times New Roman" w:hAnsi="Times New Roman" w:cs="Times New Roman"/>
          <w:b w:val="0"/>
          <w:bCs w:val="0"/>
        </w:rPr>
        <w:t xml:space="preserve">»</w:t>
      </w:r>
      <w:r>
        <w:rPr>
          <w:rFonts w:ascii="Times New Roman" w:hAnsi="Times New Roman" w:cs="Times New Roman"/>
          <w:b w:val="0"/>
          <w:bCs w:val="0"/>
        </w:rPr>
        <w:t xml:space="preserve">, при этом 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w:t>
      </w:r>
      <w:r>
        <w:rPr>
          <w:rFonts w:ascii="Times New Roman" w:hAnsi="Times New Roman" w:cs="Times New Roman"/>
          <w:b w:val="0"/>
          <w:bCs w:val="0"/>
        </w:rPr>
        <w:t xml:space="preserve"> договора</w:t>
      </w:r>
      <w:r>
        <w:rPr>
          <w:rFonts w:ascii="Times New Roman" w:hAnsi="Times New Roman" w:cs="Times New Roman"/>
          <w:b w:val="0"/>
          <w:bCs w:val="0"/>
        </w:rPr>
        <w:t xml:space="preserve">/</w:t>
      </w:r>
      <w:r>
        <w:rPr>
          <w:rFonts w:ascii="Times New Roman" w:hAnsi="Times New Roman" w:cs="Times New Roman"/>
          <w:b w:val="0"/>
          <w:bCs w:val="0"/>
        </w:rPr>
        <w:t xml:space="preserve">стоимость единичных расценок</w:t>
      </w:r>
      <w:r>
        <w:rPr>
          <w:rFonts w:ascii="Times New Roman" w:hAnsi="Times New Roman" w:cs="Times New Roman"/>
          <w:b w:val="0"/>
          <w:bCs w:val="0"/>
        </w:rPr>
        <w:t xml:space="preserve">, предложенная таким участником в </w:t>
      </w:r>
      <w:r>
        <w:rPr>
          <w:rFonts w:ascii="Times New Roman" w:hAnsi="Times New Roman" w:cs="Times New Roman"/>
          <w:b w:val="0"/>
          <w:bCs w:val="0"/>
        </w:rPr>
        <w:t xml:space="preserve">заявке</w:t>
      </w:r>
      <w:r>
        <w:rPr>
          <w:rFonts w:ascii="Times New Roman" w:hAnsi="Times New Roman" w:cs="Times New Roman"/>
          <w:b w:val="0"/>
          <w:bCs w:val="0"/>
        </w:rPr>
        <w:t xml:space="preserve">, не должна превышать установленную начальную (максимальную) цену </w:t>
      </w:r>
      <w:r>
        <w:rPr>
          <w:rFonts w:ascii="Times New Roman" w:hAnsi="Times New Roman" w:cs="Times New Roman"/>
          <w:b w:val="0"/>
          <w:bCs w:val="0"/>
        </w:rPr>
        <w:t xml:space="preserve">договора</w:t>
      </w:r>
      <w:r>
        <w:rPr>
          <w:rFonts w:ascii="Times New Roman" w:hAnsi="Times New Roman" w:cs="Times New Roman"/>
          <w:b w:val="0"/>
          <w:bCs w:val="0"/>
        </w:rPr>
        <w:t xml:space="preserve">/с</w:t>
      </w:r>
      <w:r>
        <w:rPr>
          <w:rFonts w:ascii="Times New Roman" w:hAnsi="Times New Roman" w:cs="Times New Roman"/>
          <w:b w:val="0"/>
          <w:bCs w:val="0"/>
        </w:rPr>
        <w:t xml:space="preserve">тоимость единичных расценок</w:t>
      </w:r>
      <w:r>
        <w:rPr>
          <w:rFonts w:ascii="Times New Roman" w:hAnsi="Times New Roman" w:cs="Times New Roman"/>
          <w:b w:val="0"/>
          <w:bCs w:val="0"/>
        </w:rPr>
        <w:t xml:space="preserve"> </w:t>
      </w:r>
      <w:r>
        <w:rPr>
          <w:rFonts w:ascii="Times New Roman" w:hAnsi="Times New Roman" w:cs="Times New Roman"/>
          <w:b w:val="0"/>
          <w:bCs w:val="0"/>
        </w:rPr>
        <w:t xml:space="preserve">без НДС</w:t>
      </w:r>
      <w:r/>
      <w:r>
        <w:rPr>
          <w:rFonts w:ascii="Times New Roman" w:hAnsi="Times New Roman" w:cs="Times New Roman"/>
          <w:b w:val="0"/>
          <w:bCs w:val="0"/>
        </w:rPr>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bookmarkStart w:id="54" w:name="_Ref126085783"/>
      <w:r>
        <w:rPr>
          <w:rFonts w:ascii="Times New Roman" w:hAnsi="Times New Roman" w:cs="Times New Roman"/>
          <w:b w:val="0"/>
          <w:bCs w:val="0"/>
        </w:rPr>
        <w:t xml:space="preserve">В случае </w:t>
      </w:r>
      <w:r>
        <w:rPr>
          <w:rFonts w:ascii="Times New Roman" w:hAnsi="Times New Roman" w:cs="Times New Roman"/>
          <w:b w:val="0"/>
          <w:bCs w:val="0"/>
        </w:rPr>
        <w:t xml:space="preserve">установления в документации о закупке единичных расценок, либо использования в рамках формирования начальной (максималь</w:t>
      </w:r>
      <w:r>
        <w:rPr>
          <w:rFonts w:ascii="Times New Roman" w:hAnsi="Times New Roman" w:cs="Times New Roman"/>
          <w:b w:val="0"/>
          <w:bCs w:val="0"/>
        </w:rPr>
        <w:t xml:space="preserve">ной) цены договора отдельных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w:t>
      </w:r>
      <w:r>
        <w:rPr>
          <w:rFonts w:ascii="Times New Roman" w:hAnsi="Times New Roman" w:cs="Times New Roman"/>
          <w:b w:val="0"/>
        </w:rPr>
        <w:t xml:space="preserve"> </w:t>
      </w:r>
      <w:r>
        <w:rPr>
          <w:rFonts w:ascii="Times New Roman" w:hAnsi="Times New Roman" w:cs="Times New Roman"/>
          <w:b w:val="0"/>
        </w:rPr>
        <w:t xml:space="preserve">если иное не установлено </w:t>
      </w:r>
      <w:r>
        <w:rPr>
          <w:rFonts w:ascii="Times New Roman" w:hAnsi="Times New Roman" w:cs="Times New Roman"/>
          <w:b w:val="0"/>
        </w:rPr>
        <w:t xml:space="preserve">заявка</w:t>
      </w:r>
      <w:r>
        <w:rPr>
          <w:rFonts w:ascii="Times New Roman" w:hAnsi="Times New Roman" w:cs="Times New Roman"/>
          <w:b w:val="0"/>
          <w:bCs w:val="0"/>
        </w:rPr>
        <w:t xml:space="preserve"> участника не должн</w:t>
      </w:r>
      <w:r>
        <w:rPr>
          <w:rFonts w:ascii="Times New Roman" w:hAnsi="Times New Roman" w:cs="Times New Roman"/>
          <w:b w:val="0"/>
          <w:bCs w:val="0"/>
        </w:rPr>
        <w:t xml:space="preserve">а</w:t>
      </w:r>
      <w:r>
        <w:rPr>
          <w:rFonts w:ascii="Times New Roman" w:hAnsi="Times New Roman" w:cs="Times New Roman"/>
          <w:b w:val="0"/>
          <w:bCs w:val="0"/>
        </w:rPr>
        <w:t xml:space="preserve"> превышать единичные расценки либо отдельные стоимостные позиции соответственно</w:t>
      </w:r>
      <w:r/>
      <w:r>
        <w:rPr>
          <w:rFonts w:ascii="Times New Roman" w:hAnsi="Times New Roman" w:cs="Times New Roman"/>
          <w:b w:val="0"/>
          <w:bCs w:val="0"/>
        </w:rPr>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1334"/>
        <w:numPr>
          <w:ilvl w:val="2"/>
          <w:numId w:val="1"/>
        </w:numPr>
        <w:ind w:left="0" w:firstLine="567"/>
        <w:jc w:val="both"/>
      </w:pPr>
      <w:r>
        <w:t xml:space="preserve">В случае </w:t>
      </w:r>
      <w:r>
        <w:t xml:space="preserve">применения в закупке единичных расценок, либо использования в рамках формирования начальной (максимальной) цены договора отдельных стоимостных позиций в документации о закупке может быть установлено, что при </w:t>
      </w:r>
      <w:r>
        <w:t xml:space="preserve">подаче ценовых предложений</w:t>
      </w:r>
      <w:r>
        <w:t xml:space="preserve"> </w:t>
      </w:r>
      <w:r>
        <w:t xml:space="preserve">(дополнительных ценовых предложений) </w:t>
      </w:r>
      <w:r>
        <w:t xml:space="preserve">путем снижения общей стоимости </w:t>
      </w:r>
      <w:r>
        <w:t xml:space="preserve">предложения</w:t>
      </w:r>
      <w:r>
        <w:t xml:space="preserve"> участник не вправе превышать единичные расценки либо отдельные стоимостные позиции, первоначально представленные им в </w:t>
      </w:r>
      <w:r>
        <w:t xml:space="preserve">заявке</w:t>
      </w:r>
      <w:r/>
      <w:r/>
      <w:r>
        <w:t xml:space="preserve">.</w:t>
      </w: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Цена </w:t>
      </w:r>
      <w:r>
        <w:rPr>
          <w:rFonts w:ascii="Times New Roman" w:hAnsi="Times New Roman" w:cs="Times New Roman"/>
          <w:b w:val="0"/>
          <w:bCs w:val="0"/>
        </w:rPr>
        <w:t xml:space="preserve">договора/</w:t>
      </w:r>
      <w:r>
        <w:rPr>
          <w:rFonts w:ascii="Times New Roman" w:hAnsi="Times New Roman" w:cs="Times New Roman"/>
          <w:b w:val="0"/>
          <w:bCs w:val="0"/>
        </w:rPr>
        <w:t xml:space="preserve">стоимость единичных расценок</w:t>
      </w:r>
      <w:r>
        <w:rPr>
          <w:rFonts w:ascii="Times New Roman" w:hAnsi="Times New Roman" w:cs="Times New Roman"/>
          <w:b w:val="0"/>
          <w:bCs w:val="0"/>
        </w:rPr>
        <w:t xml:space="preserve"> должна </w:t>
      </w:r>
      <w:r>
        <w:rPr>
          <w:rFonts w:ascii="Times New Roman" w:hAnsi="Times New Roman" w:cs="Times New Roman"/>
          <w:b w:val="0"/>
          <w:bCs w:val="0"/>
        </w:rPr>
        <w:t xml:space="preserve">включать </w:t>
      </w:r>
      <w:r>
        <w:rPr>
          <w:rFonts w:ascii="Times New Roman" w:hAnsi="Times New Roman" w:eastAsia="Calibri" w:cs="Times New Roman"/>
          <w:b w:val="0"/>
        </w:rPr>
        <w:t xml:space="preserve">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Pr>
          <w:rFonts w:ascii="Times New Roman" w:hAnsi="Times New Roman" w:cs="Times New Roman"/>
          <w:b w:val="0"/>
          <w:bCs w:val="0"/>
        </w:rPr>
        <w:t xml:space="preserve">, если иное не установлено документацией о закупке</w:t>
      </w:r>
      <w:r/>
      <w:r>
        <w:rPr>
          <w:rFonts w:ascii="Times New Roman" w:hAnsi="Times New Roman" w:cs="Times New Roman"/>
          <w:b w:val="0"/>
          <w:bCs w:val="0"/>
        </w:rPr>
      </w:r>
      <w:r>
        <w:rPr>
          <w:rFonts w:ascii="Times New Roman" w:hAnsi="Times New Roman" w:cs="Times New Roman"/>
          <w:b w:val="0"/>
          <w:bCs w:val="0"/>
        </w:rPr>
        <w:t xml:space="preserve">.</w:t>
      </w:r>
      <w:bookmarkEnd w:id="54"/>
      <w:r>
        <w:rPr>
          <w:rFonts w:ascii="Times New Roman" w:hAnsi="Times New Roman" w:cs="Times New Roman"/>
          <w:b w:val="0"/>
          <w:bCs w:val="0"/>
        </w:rPr>
        <w:t xml:space="preserve"> </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rPr>
      </w:pPr>
      <w:r>
        <w:rPr>
          <w:rFonts w:ascii="Times New Roman" w:hAnsi="Times New Roman" w:cs="Times New Roman"/>
          <w:b w:val="0"/>
          <w:bCs w:val="0"/>
        </w:rPr>
        <w:t xml:space="preserve">Описание участниками закупки поставляемого товара, который является предметом закупки, его функциональных характеристик (потребительских свойс</w:t>
      </w:r>
      <w:r>
        <w:rPr>
          <w:rFonts w:ascii="Times New Roman" w:hAnsi="Times New Roman" w:cs="Times New Roman"/>
          <w:b w:val="0"/>
          <w:bCs w:val="0"/>
        </w:rPr>
        <w:t xml:space="preserve">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части </w:t>
      </w:r>
      <w:r>
        <w:rPr>
          <w:rFonts w:ascii="Times New Roman" w:hAnsi="Times New Roman" w:cs="Times New Roman"/>
          <w:b w:val="0"/>
          <w:bCs w:val="0"/>
          <w:lang w:val="en-US"/>
        </w:rPr>
        <w:t xml:space="preserve">IV</w:t>
      </w:r>
      <w:r>
        <w:rPr>
          <w:rFonts w:ascii="Times New Roman" w:hAnsi="Times New Roman" w:cs="Times New Roman"/>
          <w:b w:val="0"/>
          <w:bCs w:val="0"/>
        </w:rPr>
        <w:t xml:space="preserve"> </w:t>
      </w:r>
      <w:r>
        <w:rPr>
          <w:rFonts w:ascii="Times New Roman" w:hAnsi="Times New Roman" w:cs="Times New Roman"/>
          <w:b w:val="0"/>
        </w:rPr>
        <w:t xml:space="preserve">«ТЕХНИЧЕСКИЕ ТРЕБОВАНИЯ НА ВЫПОЛНЕНИЕ РАБОТ» </w:t>
      </w:r>
      <w:r>
        <w:rPr>
          <w:rFonts w:ascii="Times New Roman" w:hAnsi="Times New Roman" w:cs="Times New Roman"/>
          <w:b w:val="0"/>
          <w:bCs w:val="0"/>
        </w:rPr>
        <w:t xml:space="preserve">по формам, установленным в части </w:t>
      </w:r>
      <w:r>
        <w:rPr>
          <w:rFonts w:ascii="Times New Roman" w:hAnsi="Times New Roman" w:cs="Times New Roman"/>
          <w:b w:val="0"/>
          <w:bCs w:val="0"/>
          <w:lang w:val="en-US"/>
        </w:rPr>
        <w:t xml:space="preserve">III</w:t>
      </w:r>
      <w:r>
        <w:rPr>
          <w:rFonts w:ascii="Times New Roman" w:hAnsi="Times New Roman" w:cs="Times New Roman"/>
          <w:b w:val="0"/>
          <w:bCs w:val="0"/>
        </w:rPr>
        <w:t xml:space="preserve"> «ОБРАЗЦЫ ФОРМ ДЛЯ ЗАПОЛНЕНИЯ УЧАСТНИКАМИ ЗАКУПКИ»</w:t>
      </w:r>
      <w:r>
        <w:rPr>
          <w:rFonts w:ascii="Times New Roman" w:hAnsi="Times New Roman" w:cs="Times New Roman"/>
          <w:b w:val="0"/>
        </w:rPr>
        <w:t xml:space="preserve">.</w:t>
      </w:r>
      <w:r>
        <w:rPr>
          <w:rFonts w:ascii="Times New Roman" w:hAnsi="Times New Roman" w:cs="Times New Roman"/>
          <w:b w:val="0"/>
        </w:rPr>
      </w:r>
      <w:r>
        <w:rPr>
          <w:rFonts w:ascii="Times New Roman" w:hAnsi="Times New Roman" w:cs="Times New Roman"/>
          <w:b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 закупки должен принять во внимание, что, если иное не установлено документацией о закупке ссылки в документации о закупке на конкретный тип продукции, производителя, носят лишь рекомендательный, а не обяза</w:t>
      </w:r>
      <w:r>
        <w:rPr>
          <w:rFonts w:ascii="Times New Roman" w:hAnsi="Times New Roman" w:cs="Times New Roman"/>
          <w:b w:val="0"/>
          <w:bCs w:val="0"/>
        </w:rPr>
        <w:t xml:space="preserve">тельный характер. Участник закупки может представить в своей заявке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части </w:t>
      </w:r>
      <w:r>
        <w:rPr>
          <w:rFonts w:ascii="Times New Roman" w:hAnsi="Times New Roman" w:cs="Times New Roman"/>
          <w:b w:val="0"/>
          <w:bCs w:val="0"/>
          <w:lang w:val="en-US"/>
        </w:rPr>
        <w:t xml:space="preserve">IV</w:t>
      </w:r>
      <w:r>
        <w:rPr>
          <w:rFonts w:ascii="Times New Roman" w:hAnsi="Times New Roman" w:cs="Times New Roman"/>
          <w:b w:val="0"/>
          <w:bCs w:val="0"/>
        </w:rPr>
        <w:t xml:space="preserve"> </w:t>
      </w:r>
      <w:r>
        <w:rPr>
          <w:rFonts w:ascii="Times New Roman" w:hAnsi="Times New Roman" w:cs="Times New Roman"/>
          <w:b w:val="0"/>
        </w:rPr>
        <w:t xml:space="preserve">«ТЕХНИЧЕСКИЕ ТРЕБОВАНИЯ НА </w:t>
      </w:r>
      <w:r>
        <w:rPr>
          <w:rFonts w:ascii="Times New Roman" w:hAnsi="Times New Roman" w:cs="Times New Roman"/>
          <w:b w:val="0"/>
        </w:rPr>
        <w:t xml:space="preserve">ВЫПОЛНЕНИЕ РАБОТ</w:t>
      </w:r>
      <w:r>
        <w:rPr>
          <w:rFonts w:ascii="Times New Roman" w:hAnsi="Times New Roman" w:cs="Times New Roman"/>
          <w:b w:val="0"/>
        </w:rPr>
        <w:t xml:space="preserve">»</w:t>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При описании продукции участником закупки должны</w:t>
      </w:r>
      <w:r>
        <w:rPr>
          <w:rFonts w:ascii="Times New Roman" w:hAnsi="Times New Roman" w:cs="Times New Roman"/>
          <w:b w:val="0"/>
          <w:bCs w:val="0"/>
        </w:rPr>
        <w:t xml:space="preserve">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в части </w:t>
      </w:r>
      <w:r>
        <w:rPr>
          <w:rFonts w:ascii="Times New Roman" w:hAnsi="Times New Roman" w:cs="Times New Roman"/>
          <w:b w:val="0"/>
          <w:bCs w:val="0"/>
          <w:lang w:val="en-US"/>
        </w:rPr>
        <w:t xml:space="preserve">IV</w:t>
      </w:r>
      <w:r>
        <w:rPr>
          <w:rFonts w:ascii="Times New Roman" w:hAnsi="Times New Roman" w:cs="Times New Roman"/>
          <w:b w:val="0"/>
          <w:bCs w:val="0"/>
        </w:rPr>
        <w:t xml:space="preserve"> </w:t>
      </w:r>
      <w:r>
        <w:rPr>
          <w:rFonts w:ascii="Times New Roman" w:hAnsi="Times New Roman" w:cs="Times New Roman"/>
          <w:b w:val="0"/>
        </w:rPr>
        <w:t xml:space="preserve">«ТЕХНИЧЕСКИЕ ТРЕБОВАНИЯ НА </w:t>
      </w:r>
      <w:r>
        <w:rPr>
          <w:rFonts w:ascii="Times New Roman" w:hAnsi="Times New Roman" w:cs="Times New Roman"/>
          <w:b w:val="0"/>
        </w:rPr>
        <w:t xml:space="preserve">ВЫПОЛНЕНИЕ РАБОТ</w:t>
      </w:r>
      <w:r>
        <w:rPr>
          <w:rFonts w:ascii="Times New Roman" w:hAnsi="Times New Roman" w:cs="Times New Roman"/>
          <w:b w:val="0"/>
        </w:rPr>
        <w:t xml:space="preserve">»</w:t>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случае если в части </w:t>
      </w:r>
      <w:r>
        <w:rPr>
          <w:rFonts w:ascii="Times New Roman" w:hAnsi="Times New Roman" w:cs="Times New Roman"/>
          <w:b w:val="0"/>
          <w:bCs w:val="0"/>
          <w:lang w:val="en-US"/>
        </w:rPr>
        <w:t xml:space="preserve">IV</w:t>
      </w:r>
      <w:r>
        <w:rPr>
          <w:rFonts w:ascii="Times New Roman" w:hAnsi="Times New Roman" w:cs="Times New Roman"/>
          <w:b w:val="0"/>
          <w:bCs w:val="0"/>
        </w:rPr>
        <w:t xml:space="preserve"> </w:t>
      </w:r>
      <w:r>
        <w:rPr>
          <w:rFonts w:ascii="Times New Roman" w:hAnsi="Times New Roman" w:cs="Times New Roman"/>
          <w:b w:val="0"/>
        </w:rPr>
        <w:t xml:space="preserve">«ТЕХНИЧЕСКИЕ ТРЕБОВАНИЯ НА </w:t>
      </w:r>
      <w:r>
        <w:rPr>
          <w:rFonts w:ascii="Times New Roman" w:hAnsi="Times New Roman" w:cs="Times New Roman"/>
          <w:b w:val="0"/>
        </w:rPr>
        <w:t xml:space="preserve">ВЫПОЛНЕНИЕ РАБОТ</w:t>
      </w:r>
      <w:r>
        <w:rPr>
          <w:rFonts w:ascii="Times New Roman" w:hAnsi="Times New Roman" w:cs="Times New Roman"/>
          <w:b w:val="0"/>
        </w:rPr>
        <w:t xml:space="preserve">»</w:t>
      </w:r>
      <w:r>
        <w:rPr>
          <w:rFonts w:ascii="Times New Roman" w:hAnsi="Times New Roman" w:cs="Times New Roman"/>
          <w:b w:val="0"/>
          <w:bCs w:val="0"/>
        </w:rPr>
        <w:t xml:space="preserve"> указаны товарные знаки, знаки обслуживания, патенты, полезные модели, промышленные образцы, наименования мест происхождени</w:t>
      </w:r>
      <w:r>
        <w:rPr>
          <w:rFonts w:ascii="Times New Roman" w:hAnsi="Times New Roman" w:cs="Times New Roman"/>
          <w:b w:val="0"/>
          <w:bCs w:val="0"/>
        </w:rPr>
        <w:t xml:space="preserve">я товара или наименования производителей, сопровождаемые словами «или эквивалент»,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r>
        <w:rPr>
          <w:rFonts w:ascii="Times New Roman" w:hAnsi="Times New Roman" w:cs="Times New Roman"/>
          <w:b w:val="0"/>
          <w:bCs w:val="0"/>
        </w:rPr>
      </w:r>
      <w:r>
        <w:rPr>
          <w:rFonts w:ascii="Times New Roman" w:hAnsi="Times New Roman" w:cs="Times New Roman"/>
          <w:b w:val="0"/>
          <w:bCs w:val="0"/>
        </w:rPr>
      </w:r>
    </w:p>
    <w:p>
      <w:pPr>
        <w:ind w:firstLine="567"/>
        <w:spacing w:after="0"/>
      </w:pPr>
      <w:r/>
      <w:r/>
    </w:p>
    <w:p>
      <w:pPr>
        <w:ind w:firstLine="567"/>
        <w:spacing w:after="0"/>
      </w:pPr>
      <w:r/>
      <w:r/>
    </w:p>
    <w:p>
      <w:pPr>
        <w:pStyle w:val="1014"/>
        <w:numPr>
          <w:ilvl w:val="1"/>
          <w:numId w:val="1"/>
        </w:numPr>
        <w:ind w:left="0" w:firstLine="567"/>
        <w:jc w:val="both"/>
        <w:keepNext w:val="0"/>
        <w:spacing w:after="0"/>
        <w:rPr>
          <w:i/>
          <w:sz w:val="24"/>
          <w:szCs w:val="24"/>
        </w:rPr>
      </w:pPr>
      <w:r/>
      <w:bookmarkStart w:id="55" w:name="_Ref119429503"/>
      <w:r/>
      <w:bookmarkStart w:id="56" w:name="_Toc72"/>
      <w:r/>
      <w:bookmarkEnd w:id="53"/>
      <w:r>
        <w:rPr>
          <w:i/>
          <w:sz w:val="24"/>
          <w:szCs w:val="24"/>
        </w:rPr>
        <w:t xml:space="preserve">Требования к обеспечению заявок на участие в закупке</w:t>
      </w:r>
      <w:bookmarkEnd w:id="55"/>
      <w:r/>
      <w:bookmarkEnd w:id="56"/>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случае если размер начальной (максимальной) цены договора превышает 5 (пять) миллионов рублей с НДС (либо без НДС, если закупка продукции не облагается НДС либо НДС равен 0) Организато</w:t>
      </w:r>
      <w:r>
        <w:rPr>
          <w:rFonts w:ascii="Times New Roman" w:hAnsi="Times New Roman" w:cs="Times New Roman"/>
          <w:b w:val="0"/>
          <w:bCs w:val="0"/>
        </w:rPr>
        <w:t xml:space="preserve">р вправе установить в документации о закупке требование к обеспечению заявки на участие в закупке в размере не более 5 (пяти) процентов от начальной (максимальной) цены договора. Обеспечение заявки может быть представлено в форме внесения денежных средств </w:t>
      </w:r>
      <w:r>
        <w:rPr>
          <w:rFonts w:ascii="Times New Roman" w:hAnsi="Times New Roman" w:cs="Times New Roman"/>
          <w:b w:val="0"/>
          <w:bCs w:val="0"/>
        </w:rPr>
        <w:t xml:space="preserve">или в форме независимой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Информация об установлении требования о предоставлении обеспечения и размер такого обеспечения указывается в пункте 15 раздела II «ИНФОРМАЦИОННАЯ КАРТА ЗАКУПКИ».</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Денежные средства вносятся участником закупки на Лицевой счет участника закупки, открытый оператором электронной площадки в соответствии с правилами, установленными Регламентом работы ЕЭТП. </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Порядок и случаи блокирования денежных средств, вне</w:t>
      </w:r>
      <w:r>
        <w:rPr>
          <w:rFonts w:ascii="Times New Roman" w:hAnsi="Times New Roman" w:cs="Times New Roman"/>
          <w:b w:val="0"/>
          <w:bCs w:val="0"/>
        </w:rPr>
        <w:t xml:space="preserve">сенных участниками закупки в целях обеспечения заявок на участие в закупке, и прекращения данного блокирования (возврат денежных средств) установлены действующим законодательством о закупках отдельных видов юридических лиц, а также Регламентом работы ЕЭТП. </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bookmarkStart w:id="57" w:name="_Ref535415072"/>
      <w:r>
        <w:rPr>
          <w:rFonts w:ascii="Times New Roman" w:hAnsi="Times New Roman" w:cs="Times New Roman"/>
          <w:b w:val="0"/>
          <w:bCs w:val="0"/>
        </w:rPr>
        <w:t xml:space="preserve">Возврат участнику закупки денежных средств, внесенных в качестве обеспечения заявки, не производится, а независимая гарантия предъявляется банку-гаранту для выплаты суммы обеспечения исполнения обязательств в следующих случаях:</w:t>
      </w:r>
      <w:bookmarkEnd w:id="57"/>
      <w:r>
        <w:rPr>
          <w:rFonts w:ascii="Times New Roman" w:hAnsi="Times New Roman" w:cs="Times New Roman"/>
          <w:b w:val="0"/>
          <w:bCs w:val="0"/>
        </w:rPr>
      </w:r>
      <w:r>
        <w:rPr>
          <w:rFonts w:ascii="Times New Roman" w:hAnsi="Times New Roman" w:cs="Times New Roman"/>
          <w:b w:val="0"/>
          <w:bCs w:val="0"/>
        </w:rPr>
      </w:r>
    </w:p>
    <w:p>
      <w:pPr>
        <w:ind w:firstLine="567"/>
        <w:spacing w:after="0"/>
        <w:tabs>
          <w:tab w:val="left" w:pos="993" w:leader="none"/>
        </w:tabs>
        <w:rPr>
          <w:rFonts w:eastAsia="MS Mincho"/>
          <w:bCs/>
        </w:rPr>
      </w:pPr>
      <w:r>
        <w:t xml:space="preserve">- непредставления или предоставления с наруше</w:t>
      </w:r>
      <w:r>
        <w:t xml:space="preserve">нием условий, установленных настоящей документацией о закупке, до заключения договора организатору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w:t>
      </w:r>
      <w:r>
        <w:rPr>
          <w:rFonts w:eastAsia="MS Mincho"/>
          <w:bCs/>
        </w:rPr>
      </w:r>
      <w:r>
        <w:rPr>
          <w:rFonts w:eastAsia="MS Mincho"/>
          <w:bCs/>
        </w:rPr>
      </w:r>
    </w:p>
    <w:p>
      <w:pPr>
        <w:ind w:firstLine="567"/>
        <w:spacing w:after="0"/>
        <w:tabs>
          <w:tab w:val="left" w:pos="993" w:leader="none"/>
        </w:tabs>
        <w:rPr>
          <w:rFonts w:eastAsia="MS Mincho"/>
          <w:bCs/>
        </w:rPr>
      </w:pPr>
      <w:r>
        <w:t xml:space="preserve">- уклонения или отказа участника закупки от заключения договора</w:t>
      </w:r>
      <w:r>
        <w:rPr>
          <w:spacing w:val="-2"/>
        </w:rPr>
        <w:t xml:space="preserve">.</w:t>
      </w:r>
      <w:r>
        <w:rPr>
          <w:rFonts w:eastAsia="MS Mincho"/>
          <w:bCs/>
        </w:rPr>
      </w:r>
      <w:r>
        <w:rPr>
          <w:rFonts w:eastAsia="MS Mincho"/>
          <w:bCs/>
        </w:rPr>
      </w:r>
    </w:p>
    <w:p>
      <w:pPr>
        <w:pStyle w:val="1015"/>
        <w:numPr>
          <w:ilvl w:val="2"/>
          <w:numId w:val="1"/>
        </w:numPr>
        <w:ind w:left="0" w:firstLine="567"/>
        <w:keepNext w:val="0"/>
        <w:spacing w:before="0" w:after="0"/>
        <w:rPr>
          <w:rFonts w:ascii="Times New Roman" w:hAnsi="Times New Roman" w:cs="Times New Roman"/>
          <w:b w:val="0"/>
        </w:rPr>
      </w:pPr>
      <w:r>
        <w:rPr>
          <w:rFonts w:ascii="Times New Roman" w:hAnsi="Times New Roman" w:cs="Times New Roman"/>
          <w:b w:val="0"/>
          <w:bCs w:val="0"/>
        </w:rPr>
        <w:t xml:space="preserve">Денежные средства, внесенные на Лицевой счет участника закупки в качестве обеспечения заявок на участие в закупке, в случаях, установленных пунктом 3.6.5 настоящей документации, перечисляются на счет Организатора </w:t>
      </w:r>
      <w:r>
        <w:rPr>
          <w:rFonts w:ascii="Times New Roman" w:hAnsi="Times New Roman" w:cs="Times New Roman"/>
          <w:b w:val="0"/>
        </w:rPr>
        <w:t xml:space="preserve">по следующим реквизитам: </w:t>
      </w:r>
      <w:r>
        <w:rPr>
          <w:rFonts w:ascii="Times New Roman" w:hAnsi="Times New Roman" w:cs="Times New Roman"/>
          <w:b w:val="0"/>
        </w:rPr>
      </w:r>
      <w:r>
        <w:rPr>
          <w:rFonts w:ascii="Times New Roman" w:hAnsi="Times New Roman" w:cs="Times New Roman"/>
          <w:b w:val="0"/>
        </w:rPr>
      </w:r>
    </w:p>
    <w:p>
      <w:pPr>
        <w:pStyle w:val="1334"/>
        <w:ind w:left="0" w:firstLine="567"/>
        <w:jc w:val="both"/>
        <w:tabs>
          <w:tab w:val="left" w:pos="0" w:leader="none"/>
          <w:tab w:val="left" w:pos="993" w:leader="none"/>
        </w:tabs>
      </w:pPr>
      <w:r>
        <w:t xml:space="preserve">Получатель – Филиал ПАО «Россети Юг» - «Кубаньэнерго»</w:t>
      </w:r>
      <w:r/>
    </w:p>
    <w:p>
      <w:pPr>
        <w:pStyle w:val="1334"/>
        <w:ind w:left="0" w:firstLine="567"/>
        <w:jc w:val="both"/>
        <w:tabs>
          <w:tab w:val="left" w:pos="0" w:leader="none"/>
          <w:tab w:val="left" w:pos="993" w:leader="none"/>
        </w:tabs>
      </w:pPr>
      <w:r>
        <w:t xml:space="preserve">ИНН   6164266561</w:t>
      </w:r>
      <w:r/>
    </w:p>
    <w:p>
      <w:pPr>
        <w:pStyle w:val="1334"/>
        <w:ind w:left="0" w:firstLine="567"/>
        <w:jc w:val="both"/>
        <w:tabs>
          <w:tab w:val="left" w:pos="0" w:leader="none"/>
          <w:tab w:val="left" w:pos="993" w:leader="none"/>
        </w:tabs>
      </w:pPr>
      <w:r>
        <w:t xml:space="preserve">КПП   230943001</w:t>
      </w:r>
      <w:r/>
    </w:p>
    <w:p>
      <w:pPr>
        <w:pStyle w:val="1334"/>
        <w:ind w:left="0" w:firstLine="567"/>
        <w:jc w:val="both"/>
        <w:tabs>
          <w:tab w:val="left" w:pos="0" w:leader="none"/>
          <w:tab w:val="left" w:pos="993" w:leader="none"/>
        </w:tabs>
      </w:pPr>
      <w:r>
        <w:t xml:space="preserve">Р/сч   40702810330020101989</w:t>
      </w:r>
      <w:r/>
    </w:p>
    <w:p>
      <w:pPr>
        <w:pStyle w:val="1334"/>
        <w:ind w:left="0" w:firstLine="567"/>
        <w:jc w:val="both"/>
        <w:tabs>
          <w:tab w:val="left" w:pos="0" w:leader="none"/>
          <w:tab w:val="left" w:pos="993" w:leader="none"/>
        </w:tabs>
      </w:pPr>
      <w:r>
        <w:t xml:space="preserve">БИК   040349602</w:t>
      </w:r>
      <w:r/>
    </w:p>
    <w:p>
      <w:pPr>
        <w:pStyle w:val="1334"/>
        <w:ind w:left="0" w:firstLine="567"/>
        <w:jc w:val="both"/>
        <w:tabs>
          <w:tab w:val="left" w:pos="0" w:leader="none"/>
          <w:tab w:val="left" w:pos="993" w:leader="none"/>
        </w:tabs>
      </w:pPr>
      <w:r>
        <w:t xml:space="preserve">К/сч   30101810100000000602</w:t>
      </w:r>
      <w:r/>
    </w:p>
    <w:p>
      <w:pPr>
        <w:pStyle w:val="1334"/>
        <w:ind w:left="0" w:firstLine="567"/>
        <w:jc w:val="both"/>
        <w:tabs>
          <w:tab w:val="left" w:pos="0" w:leader="none"/>
          <w:tab w:val="left" w:pos="993" w:leader="none"/>
        </w:tabs>
      </w:pPr>
      <w:r>
        <w:t xml:space="preserve">Банк   Краснодарское отделение №8619 ПАО Сбербанк</w:t>
      </w:r>
      <w:r/>
    </w:p>
    <w:p>
      <w:pPr>
        <w:pStyle w:val="1334"/>
        <w:ind w:left="0" w:firstLine="567"/>
        <w:jc w:val="both"/>
        <w:tabs>
          <w:tab w:val="left" w:pos="0" w:leader="none"/>
          <w:tab w:val="left" w:pos="993" w:leader="none"/>
        </w:tabs>
      </w:pPr>
      <w:r>
        <w:t xml:space="preserve">350033, г. Краснодар, ул. Ставропольская, 2А.</w:t>
      </w: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При выборе участником закупки способа обеспечения заявки в форме независимой гарантии участник должен предоставить независимую гарантию, составленную с учетом требований статей 368-379 Гражданского кодекса Российской Федерации и следующих условий:</w:t>
      </w:r>
      <w:r>
        <w:rPr>
          <w:rFonts w:ascii="Times New Roman" w:hAnsi="Times New Roman" w:cs="Times New Roman"/>
          <w:b w:val="0"/>
          <w:bCs w:val="0"/>
        </w:rPr>
      </w:r>
      <w:r>
        <w:rPr>
          <w:rFonts w:ascii="Times New Roman" w:hAnsi="Times New Roman" w:cs="Times New Roman"/>
          <w:b w:val="0"/>
          <w:bCs w:val="0"/>
        </w:rPr>
      </w:r>
    </w:p>
    <w:p>
      <w:pPr>
        <w:pStyle w:val="1334"/>
        <w:numPr>
          <w:ilvl w:val="0"/>
          <w:numId w:val="26"/>
        </w:numPr>
        <w:ind w:left="0" w:firstLine="567"/>
        <w:jc w:val="both"/>
        <w:tabs>
          <w:tab w:val="left" w:pos="993" w:leader="none"/>
        </w:tabs>
      </w:pPr>
      <w:r>
        <w:t xml:space="preserve">независимая гарантия должна быть безотзывной;</w:t>
      </w:r>
      <w:r/>
    </w:p>
    <w:p>
      <w:pPr>
        <w:pStyle w:val="1334"/>
        <w:numPr>
          <w:ilvl w:val="0"/>
          <w:numId w:val="26"/>
        </w:numPr>
        <w:ind w:left="0" w:firstLine="567"/>
        <w:jc w:val="both"/>
        <w:tabs>
          <w:tab w:val="left" w:pos="993" w:leader="none"/>
        </w:tabs>
      </w:pPr>
      <w:r>
        <w:t xml:space="preserve">срок действия независимой гарантии должен заканчиваться не ранее, чем через 70 календарных дней с даты окончания срока подачи заявок, установленного настоящей документацией;</w:t>
      </w:r>
      <w:r/>
    </w:p>
    <w:p>
      <w:pPr>
        <w:pStyle w:val="1334"/>
        <w:numPr>
          <w:ilvl w:val="0"/>
          <w:numId w:val="26"/>
        </w:numPr>
        <w:ind w:left="0" w:firstLine="567"/>
        <w:jc w:val="both"/>
        <w:tabs>
          <w:tab w:val="left" w:pos="993" w:leader="none"/>
        </w:tabs>
      </w:pPr>
      <w:r>
        <w:t xml:space="preserve">в независимой гарантии должна быть предусмотрена безусловная обязанность гаранта оплатить сумму независимой гарантии полностью или частично по письменному требованию бенефициара.</w:t>
      </w: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Независимая гарантия не должна предоставлять гаранту возможность требовать от бенефициара для совершения платежа по независимой гарантии предоставления каких-либо документов за исключением:</w:t>
      </w:r>
      <w:r>
        <w:rPr>
          <w:rFonts w:ascii="Times New Roman" w:hAnsi="Times New Roman" w:cs="Times New Roman"/>
          <w:b w:val="0"/>
          <w:bCs w:val="0"/>
        </w:rPr>
      </w:r>
      <w:r>
        <w:rPr>
          <w:rFonts w:ascii="Times New Roman" w:hAnsi="Times New Roman" w:cs="Times New Roman"/>
          <w:b w:val="0"/>
          <w:bCs w:val="0"/>
        </w:rPr>
      </w:r>
    </w:p>
    <w:p>
      <w:pPr>
        <w:pStyle w:val="1334"/>
        <w:numPr>
          <w:ilvl w:val="0"/>
          <w:numId w:val="27"/>
        </w:numPr>
        <w:ind w:left="0" w:firstLine="567"/>
        <w:jc w:val="both"/>
        <w:tabs>
          <w:tab w:val="left" w:pos="993" w:leader="none"/>
        </w:tabs>
      </w:pPr>
      <w:r>
        <w:t xml:space="preserve">надлежащим образом оформленного требования бенефициара;</w:t>
      </w:r>
      <w:r/>
    </w:p>
    <w:p>
      <w:pPr>
        <w:pStyle w:val="1334"/>
        <w:numPr>
          <w:ilvl w:val="0"/>
          <w:numId w:val="27"/>
        </w:numPr>
        <w:ind w:left="0" w:firstLine="567"/>
        <w:jc w:val="both"/>
        <w:tabs>
          <w:tab w:val="left" w:pos="993" w:leader="none"/>
        </w:tabs>
      </w:pPr>
      <w:r>
        <w:t xml:space="preserve">документов, подтверждающих полномочия лица, подписавшего требование от имени бенефициара;</w:t>
      </w:r>
      <w:r/>
    </w:p>
    <w:p>
      <w:pPr>
        <w:pStyle w:val="1334"/>
        <w:numPr>
          <w:ilvl w:val="0"/>
          <w:numId w:val="27"/>
        </w:numPr>
        <w:ind w:left="0" w:firstLine="567"/>
        <w:jc w:val="both"/>
        <w:tabs>
          <w:tab w:val="left" w:pos="993" w:leader="none"/>
        </w:tabs>
      </w:pPr>
      <w:r>
        <w:t xml:space="preserve">перечисленных в явном виде в тексте независимой гарантии информационных справок, для заверения которых достаточно подписи представителя бенефициара.</w:t>
      </w: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Банк, выдающий независимую гарантию, должен отвечать всем нижеследующим требованиям:</w:t>
      </w:r>
      <w:r>
        <w:rPr>
          <w:rFonts w:ascii="Times New Roman" w:hAnsi="Times New Roman" w:cs="Times New Roman"/>
          <w:b w:val="0"/>
          <w:bCs w:val="0"/>
        </w:rPr>
      </w:r>
      <w:r>
        <w:rPr>
          <w:rFonts w:ascii="Times New Roman" w:hAnsi="Times New Roman" w:cs="Times New Roman"/>
          <w:b w:val="0"/>
          <w:bCs w:val="0"/>
        </w:rPr>
      </w:r>
    </w:p>
    <w:p>
      <w:pPr>
        <w:pStyle w:val="1334"/>
        <w:numPr>
          <w:ilvl w:val="0"/>
          <w:numId w:val="28"/>
        </w:numPr>
        <w:ind w:left="0" w:firstLine="567"/>
        <w:jc w:val="both"/>
        <w:tabs>
          <w:tab w:val="num" w:pos="454" w:leader="none"/>
          <w:tab w:val="left" w:pos="993" w:leader="none"/>
        </w:tabs>
      </w:pPr>
      <w:r>
        <w:t xml:space="preserve">банк обладает действующей лицензией на банковскую деятельность, выданной Банком России;</w:t>
      </w:r>
      <w:r/>
    </w:p>
    <w:p>
      <w:pPr>
        <w:pStyle w:val="1334"/>
        <w:numPr>
          <w:ilvl w:val="0"/>
          <w:numId w:val="28"/>
        </w:numPr>
        <w:ind w:left="0" w:firstLine="567"/>
        <w:jc w:val="both"/>
        <w:tabs>
          <w:tab w:val="num" w:pos="454" w:leader="none"/>
          <w:tab w:val="left" w:pos="993" w:leader="none"/>
        </w:tabs>
      </w:pPr>
      <w:r>
        <w:t xml:space="preserve">кредитная организация не находится в процессе ликвидации или банкротства, полномочия исполнительных органов кредитной организации не были приостановлены в соответствии с законодательством о банкротстве;</w:t>
      </w:r>
      <w:r/>
    </w:p>
    <w:p>
      <w:pPr>
        <w:pStyle w:val="1334"/>
        <w:numPr>
          <w:ilvl w:val="0"/>
          <w:numId w:val="28"/>
        </w:numPr>
        <w:ind w:left="0" w:firstLine="567"/>
        <w:jc w:val="both"/>
        <w:tabs>
          <w:tab w:val="num" w:pos="454" w:leader="none"/>
          <w:tab w:val="left" w:pos="993" w:leader="none"/>
        </w:tabs>
        <w:rPr>
          <w:bCs/>
        </w:rPr>
      </w:pPr>
      <w:r>
        <w:t xml:space="preserve">кредитная организация входит в перечень кредитных организаций, </w:t>
      </w:r>
      <w:r>
        <w:rPr>
          <w:bCs/>
        </w:rPr>
        <w:t xml:space="preserve">имеющих право на открытие счетов и покрытых (депонированных) аккредитивов, заключение договоров банковского счета и договор</w:t>
      </w:r>
      <w:r>
        <w:rPr>
          <w:bCs/>
        </w:rPr>
        <w:t xml:space="preserve">ов банковского вклада (депозита) с хозяйственными обществами, имеющими стратегическое значение для оборонно-промышленного комплекса и безопасности Российской Федерации, а также обществами, находящимися под их прямым или косвенным контролем, по основаниям, </w:t>
      </w:r>
      <w:r>
        <w:t xml:space="preserve">предусмотренным частя</w:t>
      </w:r>
      <w:r>
        <w:t xml:space="preserve">ми 1 - 1.2 и 1.5 статьи 2 Федерального закона от 21 июля 2014 года № 213-ФЗ, пунктом 8 и абзацами первым, вторым и пятым пункта 9 статьи 24.1 Федерального закона от 14.11.2002 № 161-ФЗ и Постановлением Правительства Российской Федерации от 20.06.2018 № 706</w:t>
      </w:r>
      <w:r>
        <w:rPr>
          <w:rStyle w:val="1221"/>
        </w:rPr>
        <w:footnoteReference w:id="3"/>
      </w:r>
      <w:r>
        <w:t xml:space="preserve">;</w:t>
      </w:r>
      <w:r>
        <w:rPr>
          <w:bCs/>
        </w:rPr>
      </w:r>
      <w:r>
        <w:rPr>
          <w:bCs/>
        </w:rPr>
      </w:r>
    </w:p>
    <w:p>
      <w:pPr>
        <w:pStyle w:val="1334"/>
        <w:numPr>
          <w:ilvl w:val="0"/>
          <w:numId w:val="28"/>
        </w:numPr>
        <w:ind w:left="0" w:firstLine="567"/>
        <w:jc w:val="both"/>
        <w:tabs>
          <w:tab w:val="num" w:pos="454" w:leader="none"/>
          <w:tab w:val="left" w:pos="993" w:leader="none"/>
        </w:tabs>
        <w:rPr>
          <w:b/>
        </w:rPr>
      </w:pPr>
      <w:r>
        <w:t xml:space="preserve">банк имеет кредитный рейти</w:t>
      </w:r>
      <w:r>
        <w:t xml:space="preserve">нг по национальной рейтинговой шкале для Российской Федерации, присвоенный хотя бы одним из аккредитованных в Российской Федерации рейтинговых агентств, а также соответствует дополнительным требованиям, установленным в зависимости от уровня рейтинга банка:</w:t>
      </w:r>
      <w:r>
        <w:rPr>
          <w:b/>
        </w:rPr>
      </w:r>
      <w:r>
        <w:rPr>
          <w:b/>
        </w:rPr>
      </w:r>
    </w:p>
    <w:tbl>
      <w:tblPr>
        <w:tblStyle w:val="1340"/>
        <w:tblW w:w="10060" w:type="dxa"/>
        <w:tblLook w:val="04A0" w:firstRow="1" w:lastRow="0" w:firstColumn="1" w:lastColumn="0" w:noHBand="0" w:noVBand="1"/>
      </w:tblPr>
      <w:tblGrid>
        <w:gridCol w:w="4077"/>
        <w:gridCol w:w="5983"/>
      </w:tblGrid>
      <w:tr>
        <w:tblPrEx/>
        <w:trPr>
          <w:trHeight w:val="257"/>
        </w:trPr>
        <w:tc>
          <w:tcPr>
            <w:tcW w:w="4077" w:type="dxa"/>
            <w:textDirection w:val="lrTb"/>
            <w:noWrap w:val="false"/>
          </w:tcPr>
          <w:p>
            <w:pPr>
              <w:pStyle w:val="1370"/>
              <w:ind w:firstLine="567"/>
              <w:jc w:val="center"/>
              <w:spacing w:before="0" w:after="0" w:line="240" w:lineRule="auto"/>
              <w:widowControl w:val="off"/>
              <w:tabs>
                <w:tab w:val="num" w:pos="454" w:leader="none"/>
                <w:tab w:val="left" w:pos="993" w:leader="none"/>
                <w:tab w:val="left" w:pos="1080" w:leader="none"/>
              </w:tabs>
              <w:rPr>
                <w:szCs w:val="24"/>
              </w:rPr>
            </w:pPr>
            <w:r>
              <w:rPr>
                <w:szCs w:val="24"/>
              </w:rPr>
              <w:t xml:space="preserve">Рейтинг</w:t>
            </w:r>
            <w:r>
              <w:rPr>
                <w:szCs w:val="24"/>
              </w:rPr>
            </w:r>
            <w:r>
              <w:rPr>
                <w:szCs w:val="24"/>
              </w:rPr>
            </w:r>
          </w:p>
        </w:tc>
        <w:tc>
          <w:tcPr>
            <w:tcW w:w="5983" w:type="dxa"/>
            <w:textDirection w:val="lrTb"/>
            <w:noWrap w:val="false"/>
          </w:tcPr>
          <w:p>
            <w:pPr>
              <w:pStyle w:val="1370"/>
              <w:ind w:firstLine="567"/>
              <w:jc w:val="center"/>
              <w:spacing w:before="0" w:after="0" w:line="240" w:lineRule="auto"/>
              <w:widowControl w:val="off"/>
              <w:tabs>
                <w:tab w:val="num" w:pos="454" w:leader="none"/>
                <w:tab w:val="left" w:pos="993" w:leader="none"/>
                <w:tab w:val="left" w:pos="1080" w:leader="none"/>
              </w:tabs>
              <w:rPr>
                <w:szCs w:val="24"/>
              </w:rPr>
            </w:pPr>
            <w:r>
              <w:rPr>
                <w:szCs w:val="24"/>
              </w:rPr>
              <w:t xml:space="preserve">Дополнительные требования</w:t>
            </w:r>
            <w:r>
              <w:rPr>
                <w:szCs w:val="24"/>
              </w:rPr>
            </w:r>
            <w:r>
              <w:rPr>
                <w:szCs w:val="24"/>
              </w:rPr>
            </w:r>
          </w:p>
        </w:tc>
      </w:tr>
      <w:tr>
        <w:tblPrEx/>
        <w:trPr>
          <w:trHeight w:val="270"/>
        </w:trPr>
        <w:tc>
          <w:tcPr>
            <w:tcW w:w="4077" w:type="dxa"/>
            <w:textDirection w:val="lrTb"/>
            <w:noWrap w:val="false"/>
          </w:tcPr>
          <w:p>
            <w:pPr>
              <w:pStyle w:val="1370"/>
              <w:ind w:firstLine="567"/>
              <w:jc w:val="both"/>
              <w:spacing w:before="0" w:after="0" w:line="240" w:lineRule="auto"/>
              <w:widowControl w:val="off"/>
              <w:tabs>
                <w:tab w:val="num" w:pos="454" w:leader="none"/>
                <w:tab w:val="left" w:pos="993" w:leader="none"/>
                <w:tab w:val="left" w:pos="1080" w:leader="none"/>
              </w:tabs>
              <w:rPr>
                <w:b w:val="0"/>
                <w:szCs w:val="24"/>
              </w:rPr>
            </w:pPr>
            <w:r>
              <w:rPr>
                <w:b w:val="0"/>
                <w:szCs w:val="24"/>
              </w:rPr>
              <w:t xml:space="preserve">A- (RU)/ruA- и выше</w:t>
            </w:r>
            <w:r>
              <w:rPr>
                <w:b w:val="0"/>
                <w:szCs w:val="24"/>
              </w:rPr>
            </w:r>
            <w:r>
              <w:rPr>
                <w:b w:val="0"/>
                <w:szCs w:val="24"/>
              </w:rPr>
            </w:r>
          </w:p>
        </w:tc>
        <w:tc>
          <w:tcPr>
            <w:tcW w:w="5983" w:type="dxa"/>
            <w:textDirection w:val="lrTb"/>
            <w:noWrap w:val="false"/>
          </w:tcPr>
          <w:p>
            <w:pPr>
              <w:pStyle w:val="1370"/>
              <w:spacing w:before="0" w:after="0" w:line="240" w:lineRule="auto"/>
              <w:widowControl w:val="off"/>
              <w:tabs>
                <w:tab w:val="num" w:pos="454" w:leader="none"/>
                <w:tab w:val="left" w:pos="993" w:leader="none"/>
                <w:tab w:val="left" w:pos="1080" w:leader="none"/>
              </w:tabs>
              <w:rPr>
                <w:b w:val="0"/>
                <w:szCs w:val="24"/>
              </w:rPr>
            </w:pPr>
            <w:r>
              <w:rPr>
                <w:b w:val="0"/>
                <w:szCs w:val="24"/>
              </w:rPr>
              <w:t xml:space="preserve">- отсутствуют</w:t>
            </w:r>
            <w:r>
              <w:rPr>
                <w:b w:val="0"/>
                <w:szCs w:val="24"/>
              </w:rPr>
            </w:r>
            <w:r>
              <w:rPr>
                <w:b w:val="0"/>
                <w:szCs w:val="24"/>
              </w:rPr>
            </w:r>
          </w:p>
        </w:tc>
      </w:tr>
      <w:tr>
        <w:tblPrEx/>
        <w:trPr>
          <w:trHeight w:val="270"/>
        </w:trPr>
        <w:tc>
          <w:tcPr>
            <w:tcW w:w="4077" w:type="dxa"/>
            <w:textDirection w:val="lrTb"/>
            <w:noWrap w:val="false"/>
          </w:tcPr>
          <w:p>
            <w:pPr>
              <w:pStyle w:val="1370"/>
              <w:ind w:firstLine="567"/>
              <w:jc w:val="both"/>
              <w:spacing w:before="0" w:after="0" w:line="240" w:lineRule="auto"/>
              <w:widowControl w:val="off"/>
              <w:tabs>
                <w:tab w:val="num" w:pos="454" w:leader="none"/>
                <w:tab w:val="left" w:pos="993" w:leader="none"/>
                <w:tab w:val="left" w:pos="1080" w:leader="none"/>
              </w:tabs>
              <w:rPr>
                <w:b w:val="0"/>
                <w:szCs w:val="24"/>
                <w:lang w:val="en-US"/>
              </w:rPr>
            </w:pPr>
            <w:r>
              <w:rPr>
                <w:b w:val="0"/>
                <w:szCs w:val="24"/>
                <w:lang w:val="en-US"/>
              </w:rPr>
              <w:t xml:space="preserve">BBB+(RU)/</w:t>
            </w:r>
            <w:r>
              <w:rPr>
                <w:szCs w:val="24"/>
                <w:lang w:val="en-US"/>
              </w:rPr>
              <w:t xml:space="preserve"> </w:t>
            </w:r>
            <w:r>
              <w:rPr>
                <w:b w:val="0"/>
                <w:szCs w:val="24"/>
                <w:lang w:val="en-US"/>
              </w:rPr>
              <w:t xml:space="preserve">ruBBB+ </w:t>
            </w:r>
            <w:r>
              <w:rPr>
                <w:b w:val="0"/>
                <w:szCs w:val="24"/>
              </w:rPr>
              <w:t xml:space="preserve">или</w:t>
            </w:r>
            <w:r>
              <w:rPr>
                <w:b w:val="0"/>
                <w:szCs w:val="24"/>
                <w:lang w:val="en-US"/>
              </w:rPr>
              <w:t xml:space="preserve"> </w:t>
            </w:r>
            <w:r>
              <w:rPr>
                <w:b w:val="0"/>
                <w:szCs w:val="24"/>
                <w:lang w:val="en-US"/>
              </w:rPr>
            </w:r>
            <w:r>
              <w:rPr>
                <w:b w:val="0"/>
                <w:szCs w:val="24"/>
                <w:lang w:val="en-US"/>
              </w:rPr>
            </w:r>
          </w:p>
          <w:p>
            <w:pPr>
              <w:pStyle w:val="1370"/>
              <w:ind w:firstLine="567"/>
              <w:jc w:val="both"/>
              <w:spacing w:before="0" w:after="0" w:line="240" w:lineRule="auto"/>
              <w:widowControl w:val="off"/>
              <w:tabs>
                <w:tab w:val="num" w:pos="454" w:leader="none"/>
                <w:tab w:val="left" w:pos="993" w:leader="none"/>
                <w:tab w:val="left" w:pos="1080" w:leader="none"/>
              </w:tabs>
              <w:rPr>
                <w:b w:val="0"/>
                <w:szCs w:val="24"/>
                <w:lang w:val="en-US"/>
              </w:rPr>
            </w:pPr>
            <w:r>
              <w:rPr>
                <w:b w:val="0"/>
                <w:szCs w:val="24"/>
                <w:lang w:val="en-US"/>
              </w:rPr>
              <w:t xml:space="preserve">BBB(RU)/</w:t>
            </w:r>
            <w:r>
              <w:rPr>
                <w:szCs w:val="24"/>
                <w:lang w:val="en-US"/>
              </w:rPr>
              <w:t xml:space="preserve"> </w:t>
            </w:r>
            <w:r>
              <w:rPr>
                <w:b w:val="0"/>
                <w:szCs w:val="24"/>
                <w:lang w:val="en-US"/>
              </w:rPr>
              <w:t xml:space="preserve">ruBBB</w:t>
            </w:r>
            <w:r>
              <w:rPr>
                <w:b w:val="0"/>
                <w:szCs w:val="24"/>
                <w:lang w:val="en-US"/>
              </w:rPr>
            </w:r>
            <w:r>
              <w:rPr>
                <w:b w:val="0"/>
                <w:szCs w:val="24"/>
                <w:lang w:val="en-US"/>
              </w:rPr>
            </w:r>
          </w:p>
        </w:tc>
        <w:tc>
          <w:tcPr>
            <w:tcW w:w="5983" w:type="dxa"/>
            <w:textDirection w:val="lrTb"/>
            <w:noWrap w:val="false"/>
          </w:tcPr>
          <w:p>
            <w:pPr>
              <w:pStyle w:val="1370"/>
              <w:spacing w:before="0" w:after="0" w:line="240" w:lineRule="auto"/>
              <w:widowControl w:val="off"/>
              <w:tabs>
                <w:tab w:val="num" w:pos="454" w:leader="none"/>
                <w:tab w:val="left" w:pos="993" w:leader="none"/>
                <w:tab w:val="left" w:pos="1080" w:leader="none"/>
              </w:tabs>
              <w:rPr>
                <w:b w:val="0"/>
                <w:szCs w:val="24"/>
              </w:rPr>
            </w:pPr>
            <w:r>
              <w:rPr>
                <w:b w:val="0"/>
                <w:szCs w:val="24"/>
              </w:rPr>
              <w:t xml:space="preserve">- собственные средства (капитал) банка-гаранта</w:t>
            </w:r>
            <w:r>
              <w:rPr>
                <w:rStyle w:val="1221"/>
                <w:b w:val="0"/>
                <w:bCs w:val="0"/>
                <w:szCs w:val="24"/>
              </w:rPr>
              <w:footnoteReference w:id="4"/>
            </w:r>
            <w:r>
              <w:rPr>
                <w:b w:val="0"/>
                <w:szCs w:val="24"/>
              </w:rPr>
              <w:t xml:space="preserve"> превышает либо равен 10 млрд. рублей</w:t>
            </w:r>
            <w:r>
              <w:rPr>
                <w:b w:val="0"/>
                <w:szCs w:val="24"/>
              </w:rPr>
            </w:r>
            <w:r>
              <w:rPr>
                <w:b w:val="0"/>
                <w:szCs w:val="24"/>
              </w:rPr>
            </w:r>
          </w:p>
        </w:tc>
      </w:tr>
      <w:tr>
        <w:tblPrEx/>
        <w:trPr>
          <w:trHeight w:val="270"/>
        </w:trPr>
        <w:tc>
          <w:tcPr>
            <w:tcW w:w="4077" w:type="dxa"/>
            <w:textDirection w:val="lrTb"/>
            <w:noWrap w:val="false"/>
          </w:tcPr>
          <w:p>
            <w:pPr>
              <w:pStyle w:val="1370"/>
              <w:ind w:firstLine="567"/>
              <w:jc w:val="both"/>
              <w:spacing w:before="0" w:after="0" w:line="240" w:lineRule="auto"/>
              <w:widowControl w:val="off"/>
              <w:tabs>
                <w:tab w:val="left" w:pos="993" w:leader="none"/>
                <w:tab w:val="left" w:pos="1080" w:leader="none"/>
              </w:tabs>
              <w:rPr>
                <w:b w:val="0"/>
                <w:szCs w:val="24"/>
              </w:rPr>
            </w:pPr>
            <w:r>
              <w:rPr>
                <w:b w:val="0"/>
                <w:szCs w:val="24"/>
              </w:rPr>
              <w:t xml:space="preserve">BBB-(RU)/ruBBB-</w:t>
            </w:r>
            <w:r>
              <w:rPr>
                <w:b w:val="0"/>
                <w:szCs w:val="24"/>
              </w:rPr>
            </w:r>
            <w:r>
              <w:rPr>
                <w:b w:val="0"/>
                <w:szCs w:val="24"/>
              </w:rPr>
            </w:r>
          </w:p>
        </w:tc>
        <w:tc>
          <w:tcPr>
            <w:tcW w:w="5983" w:type="dxa"/>
            <w:textDirection w:val="lrTb"/>
            <w:noWrap w:val="false"/>
          </w:tcPr>
          <w:p>
            <w:pPr>
              <w:pStyle w:val="1370"/>
              <w:spacing w:before="0" w:after="0" w:line="240" w:lineRule="auto"/>
              <w:widowControl w:val="off"/>
              <w:tabs>
                <w:tab w:val="left" w:pos="993" w:leader="none"/>
                <w:tab w:val="left" w:pos="1080" w:leader="none"/>
              </w:tabs>
              <w:rPr>
                <w:b w:val="0"/>
                <w:szCs w:val="24"/>
              </w:rPr>
            </w:pPr>
            <w:r>
              <w:rPr>
                <w:b w:val="0"/>
                <w:szCs w:val="24"/>
              </w:rPr>
              <w:t xml:space="preserve">- собственные средства (капитал) банка-гаранта</w:t>
            </w:r>
            <w:r>
              <w:rPr>
                <w:b w:val="0"/>
                <w:szCs w:val="24"/>
                <w:vertAlign w:val="superscript"/>
              </w:rPr>
              <w:t xml:space="preserve">3</w:t>
            </w:r>
            <w:r>
              <w:rPr>
                <w:b w:val="0"/>
                <w:szCs w:val="24"/>
              </w:rPr>
              <w:t xml:space="preserve"> превышает либо равен 10 млрд. рублей, </w:t>
            </w:r>
            <w:r>
              <w:rPr>
                <w:b w:val="0"/>
                <w:szCs w:val="24"/>
              </w:rPr>
            </w:r>
            <w:r>
              <w:rPr>
                <w:b w:val="0"/>
                <w:szCs w:val="24"/>
              </w:rPr>
            </w:r>
          </w:p>
          <w:p>
            <w:pPr>
              <w:pStyle w:val="1370"/>
              <w:spacing w:before="0" w:after="0" w:line="240" w:lineRule="auto"/>
              <w:widowControl w:val="off"/>
              <w:tabs>
                <w:tab w:val="left" w:pos="993" w:leader="none"/>
                <w:tab w:val="left" w:pos="1080" w:leader="none"/>
              </w:tabs>
              <w:rPr>
                <w:b w:val="0"/>
                <w:szCs w:val="24"/>
              </w:rPr>
            </w:pPr>
            <w:r>
              <w:rPr>
                <w:b w:val="0"/>
                <w:szCs w:val="24"/>
              </w:rPr>
              <w:t xml:space="preserve">- прогноз рейтинга «стабильный» или «позитивный»</w:t>
            </w:r>
            <w:r>
              <w:rPr>
                <w:b w:val="0"/>
                <w:szCs w:val="24"/>
              </w:rPr>
            </w:r>
            <w:r>
              <w:rPr>
                <w:b w:val="0"/>
                <w:szCs w:val="24"/>
              </w:rPr>
            </w:r>
          </w:p>
        </w:tc>
      </w:tr>
    </w:tbl>
    <w:p>
      <w:pPr>
        <w:pStyle w:val="1334"/>
        <w:numPr>
          <w:ilvl w:val="0"/>
          <w:numId w:val="28"/>
        </w:numPr>
        <w:ind w:left="0" w:firstLine="567"/>
        <w:jc w:val="both"/>
        <w:tabs>
          <w:tab w:val="num" w:pos="454" w:leader="none"/>
          <w:tab w:val="left" w:pos="993" w:leader="none"/>
        </w:tabs>
      </w:pPr>
      <w:r>
        <w:t xml:space="preserve">отсутствие у банка-гаранта в течение предшествующих 24 месяцев прецедентов просрочки исполнения платежных обязательств перед Обществом по независимым гарантиям, выданным принципалу, предоставляющему независимую гарантию </w:t>
      </w: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Концентрация риска на одного банка-гаранта</w:t>
      </w:r>
      <w:r>
        <w:rPr>
          <w:rFonts w:ascii="Times New Roman" w:hAnsi="Times New Roman" w:cs="Times New Roman"/>
          <w:b w:val="0"/>
          <w:bCs w:val="0"/>
        </w:rPr>
      </w:r>
      <w:r>
        <w:rPr>
          <w:rFonts w:ascii="Times New Roman" w:hAnsi="Times New Roman" w:cs="Times New Roman"/>
          <w:b w:val="0"/>
          <w:bCs w:val="0"/>
        </w:rPr>
      </w:r>
    </w:p>
    <w:p>
      <w:pPr>
        <w:ind w:firstLine="567"/>
        <w:spacing w:after="0"/>
        <w:tabs>
          <w:tab w:val="left" w:pos="993" w:leader="none"/>
        </w:tabs>
        <w:rPr>
          <w:rFonts w:eastAsia="Calibri"/>
        </w:rPr>
      </w:pPr>
      <w:r>
        <w:rPr>
          <w:rFonts w:eastAsia="Calibri"/>
        </w:rPr>
        <w:t xml:space="preserve">Общая сумма независимых гарантий от одного банка-гаранта, принятых Обществом в обеспечение обязательств одного принципала, не должна превышать:</w:t>
      </w:r>
      <w:r>
        <w:rPr>
          <w:rFonts w:eastAsia="Calibri"/>
        </w:rPr>
      </w:r>
      <w:r>
        <w:rPr>
          <w:rFonts w:eastAsia="Calibri"/>
        </w:rPr>
      </w:r>
    </w:p>
    <w:p>
      <w:pPr>
        <w:ind w:firstLine="567"/>
        <w:spacing w:after="0"/>
        <w:tabs>
          <w:tab w:val="left" w:pos="993" w:leader="none"/>
        </w:tabs>
        <w:rPr>
          <w:rFonts w:eastAsia="Calibri"/>
        </w:rPr>
      </w:pPr>
      <w:r>
        <w:rPr>
          <w:rFonts w:eastAsia="Calibri"/>
        </w:rPr>
        <w:t xml:space="preserve">•</w:t>
      </w:r>
      <w:r>
        <w:rPr>
          <w:rFonts w:eastAsia="Calibri"/>
        </w:rPr>
        <w:tab/>
        <w:t xml:space="preserve">если банк находится под контролем Российской Федерации или Центрального Банка Российской Федерации: 5% от объема собственных средства (капитала)</w:t>
      </w:r>
      <w:r>
        <w:rPr>
          <w:b/>
          <w:vertAlign w:val="superscript"/>
        </w:rPr>
        <w:t xml:space="preserve">1</w:t>
      </w:r>
      <w:r>
        <w:rPr>
          <w:rFonts w:eastAsia="Calibri"/>
        </w:rPr>
        <w:t xml:space="preserve"> банка-гаранта;</w:t>
      </w:r>
      <w:r>
        <w:rPr>
          <w:rFonts w:eastAsia="Calibri"/>
        </w:rPr>
      </w:r>
      <w:r>
        <w:rPr>
          <w:rFonts w:eastAsia="Calibri"/>
        </w:rPr>
      </w:r>
    </w:p>
    <w:p>
      <w:pPr>
        <w:ind w:firstLine="567"/>
        <w:spacing w:after="0"/>
        <w:tabs>
          <w:tab w:val="left" w:pos="993" w:leader="none"/>
        </w:tabs>
        <w:rPr>
          <w:rFonts w:eastAsia="Calibri"/>
        </w:rPr>
      </w:pPr>
      <w:r>
        <w:rPr>
          <w:rFonts w:eastAsia="Calibri"/>
        </w:rPr>
        <w:t xml:space="preserve">•</w:t>
      </w:r>
      <w:r>
        <w:rPr>
          <w:rFonts w:eastAsia="Calibri"/>
        </w:rPr>
        <w:tab/>
        <w:t xml:space="preserve">если гарант имеет хотя бы 1 рейтинг на уровне не ниже A-(RU)/ruA-: 5% от объема собственных средства (капитала)</w:t>
      </w:r>
      <w:r>
        <w:rPr>
          <w:b/>
          <w:vertAlign w:val="superscript"/>
        </w:rPr>
        <w:t xml:space="preserve">1</w:t>
      </w:r>
      <w:r>
        <w:rPr>
          <w:rFonts w:eastAsia="Calibri"/>
        </w:rPr>
        <w:t xml:space="preserve"> банка-гаранта;</w:t>
      </w:r>
      <w:r>
        <w:rPr>
          <w:rFonts w:eastAsia="Calibri"/>
        </w:rPr>
      </w:r>
      <w:r>
        <w:rPr>
          <w:rFonts w:eastAsia="Calibri"/>
        </w:rPr>
      </w:r>
    </w:p>
    <w:p>
      <w:pPr>
        <w:ind w:firstLine="567"/>
        <w:spacing w:after="0"/>
        <w:tabs>
          <w:tab w:val="left" w:pos="993" w:leader="none"/>
        </w:tabs>
      </w:pPr>
      <w:r>
        <w:rPr>
          <w:rFonts w:eastAsia="Calibri"/>
        </w:rPr>
        <w:t xml:space="preserve">•</w:t>
      </w:r>
      <w:r>
        <w:rPr>
          <w:rFonts w:eastAsia="Calibri"/>
        </w:rPr>
        <w:tab/>
        <w:t xml:space="preserve">в остальных случаях: 2% от капитала объема собственных средства (капитала)</w:t>
      </w:r>
      <w:r>
        <w:rPr>
          <w:b/>
          <w:vertAlign w:val="superscript"/>
        </w:rPr>
        <w:t xml:space="preserve">1</w:t>
      </w:r>
      <w:r>
        <w:rPr>
          <w:rFonts w:eastAsia="Calibri"/>
        </w:rPr>
        <w:t xml:space="preserve"> банка-гаранта.</w:t>
      </w:r>
      <w:r>
        <w:t xml:space="preserve"> </w:t>
      </w:r>
      <w:r/>
    </w:p>
    <w:p>
      <w:pPr>
        <w:pStyle w:val="1015"/>
        <w:numPr>
          <w:ilvl w:val="2"/>
          <w:numId w:val="1"/>
        </w:numPr>
        <w:ind w:left="0" w:firstLine="567"/>
        <w:keepNext w:val="0"/>
        <w:spacing w:before="0" w:after="0"/>
        <w:rPr>
          <w:rFonts w:ascii="Times New Roman" w:hAnsi="Times New Roman" w:cs="Times New Roman"/>
          <w:b w:val="0"/>
        </w:rPr>
      </w:pPr>
      <w:r>
        <w:rPr>
          <w:rFonts w:ascii="Times New Roman" w:hAnsi="Times New Roman" w:cs="Times New Roman"/>
          <w:b w:val="0"/>
          <w:bCs w:val="0"/>
        </w:rPr>
        <w:t xml:space="preserve">Вместе</w:t>
      </w:r>
      <w:r>
        <w:rPr>
          <w:rFonts w:ascii="Times New Roman" w:hAnsi="Times New Roman" w:cs="Times New Roman"/>
          <w:b w:val="0"/>
        </w:rPr>
        <w:t xml:space="preserve"> с независимой гарантией участник представляет документы, подтверждающие полномочия лица, подписавшего независимую гарантию от имени банка: доверенность на лицо, подписавшее независимую гарантию.</w:t>
      </w:r>
      <w:r>
        <w:rPr>
          <w:rFonts w:ascii="Times New Roman" w:hAnsi="Times New Roman" w:cs="Times New Roman"/>
          <w:b w:val="0"/>
        </w:rPr>
      </w:r>
      <w:r>
        <w:rPr>
          <w:rFonts w:ascii="Times New Roman" w:hAnsi="Times New Roman" w:cs="Times New Roman"/>
          <w:b w:val="0"/>
        </w:rPr>
      </w:r>
    </w:p>
    <w:p>
      <w:pPr>
        <w:spacing w:after="0"/>
      </w:pPr>
      <w:r/>
      <w:r/>
    </w:p>
    <w:p>
      <w:pPr>
        <w:pStyle w:val="1014"/>
        <w:numPr>
          <w:ilvl w:val="1"/>
          <w:numId w:val="1"/>
        </w:numPr>
        <w:ind w:left="0" w:firstLine="567"/>
        <w:jc w:val="both"/>
        <w:keepNext w:val="0"/>
        <w:spacing w:after="0"/>
        <w:rPr>
          <w:i/>
          <w:sz w:val="24"/>
          <w:szCs w:val="24"/>
        </w:rPr>
      </w:pPr>
      <w:r/>
      <w:bookmarkStart w:id="58" w:name="_Toc73"/>
      <w:r>
        <w:rPr>
          <w:i/>
          <w:sz w:val="24"/>
          <w:szCs w:val="24"/>
        </w:rPr>
        <w:t xml:space="preserve">Порядок действий, осуществляемых Организатором в ходе проведения закупки, в случае предложения участником закупки аномально низкой цены </w:t>
      </w:r>
      <w:bookmarkEnd w:id="58"/>
      <w:r>
        <w:rPr>
          <w:i/>
          <w:sz w:val="24"/>
          <w:szCs w:val="24"/>
        </w:rPr>
      </w:r>
      <w:r>
        <w:rPr>
          <w:i/>
          <w:sz w:val="24"/>
          <w:szCs w:val="24"/>
        </w:rPr>
      </w:r>
    </w:p>
    <w:p>
      <w:pPr>
        <w:pStyle w:val="1015"/>
        <w:numPr>
          <w:ilvl w:val="2"/>
          <w:numId w:val="1"/>
        </w:numPr>
        <w:ind w:left="0" w:firstLine="567"/>
        <w:keepNext w:val="0"/>
        <w:spacing w:before="0" w:after="0"/>
        <w:widowControl w:val="off"/>
        <w:tabs>
          <w:tab w:val="clear" w:pos="454" w:leader="none"/>
          <w:tab w:val="num" w:pos="1021" w:leader="none"/>
        </w:tabs>
        <w:rPr>
          <w:rFonts w:ascii="Times New Roman" w:hAnsi="Times New Roman" w:cs="Times New Roman"/>
          <w:b w:val="0"/>
        </w:rPr>
      </w:pPr>
      <w:r>
        <w:rPr>
          <w:rFonts w:ascii="Times New Roman" w:hAnsi="Times New Roman" w:cs="Times New Roman"/>
          <w:b w:val="0"/>
        </w:rPr>
        <w:t xml:space="preserve">Под </w:t>
      </w:r>
      <w:r>
        <w:rPr>
          <w:rFonts w:ascii="Times New Roman" w:hAnsi="Times New Roman" w:cs="Times New Roman"/>
          <w:b w:val="0"/>
        </w:rPr>
        <w:t xml:space="preserve">аномально низкой ценой понимается снижение </w:t>
      </w:r>
      <w:r>
        <w:rPr>
          <w:rFonts w:ascii="Times New Roman" w:hAnsi="Times New Roman" w:cs="Times New Roman"/>
          <w:b w:val="0"/>
          <w:bCs w:val="0"/>
        </w:rPr>
        <w:t xml:space="preserve">стоимости единичных расценок без учета НДС</w:t>
      </w:r>
      <w:r>
        <w:rPr>
          <w:rFonts w:ascii="Times New Roman" w:hAnsi="Times New Roman" w:cs="Times New Roman"/>
          <w:b w:val="0"/>
        </w:rPr>
        <w:t xml:space="preserve"> участником закупки относительно начальной (максимальной) </w:t>
      </w:r>
      <w:r>
        <w:rPr>
          <w:rFonts w:ascii="Times New Roman" w:hAnsi="Times New Roman" w:cs="Times New Roman"/>
          <w:b w:val="0"/>
          <w:bCs w:val="0"/>
        </w:rPr>
        <w:t xml:space="preserve">стоимости единичных расценок без учета НДС</w:t>
      </w:r>
      <w:r>
        <w:rPr>
          <w:rFonts w:ascii="Times New Roman" w:hAnsi="Times New Roman" w:cs="Times New Roman"/>
          <w:b w:val="0"/>
        </w:rPr>
        <w:t xml:space="preserve">, указанной в извещении о закупки и документации о закупке</w:t>
      </w:r>
      <w:r>
        <w:rPr>
          <w:rFonts w:ascii="Times New Roman" w:hAnsi="Times New Roman" w:cs="Times New Roman"/>
          <w:b w:val="0"/>
        </w:rPr>
        <w:t xml:space="preserve">,</w:t>
      </w:r>
      <w:r>
        <w:rPr>
          <w:rFonts w:ascii="Times New Roman" w:hAnsi="Times New Roman" w:cs="Times New Roman"/>
          <w:b w:val="0"/>
        </w:rPr>
        <w:t xml:space="preserve"> на 25 (двадцать пять) и более процентов</w:t>
      </w:r>
      <w:r/>
      <w:r>
        <w:rPr>
          <w:rFonts w:ascii="Times New Roman" w:hAnsi="Times New Roman" w:cs="Times New Roman"/>
          <w:b w:val="0"/>
        </w:rPr>
        <w:t xml:space="preserve">.</w:t>
      </w:r>
      <w:r>
        <w:rPr>
          <w:rFonts w:ascii="Times New Roman" w:hAnsi="Times New Roman" w:cs="Times New Roman"/>
          <w:b w:val="0"/>
        </w:rPr>
      </w:r>
      <w:r>
        <w:rPr>
          <w:rFonts w:ascii="Times New Roman" w:hAnsi="Times New Roman" w:cs="Times New Roman"/>
          <w:b w:val="0"/>
        </w:rPr>
      </w:r>
    </w:p>
    <w:p>
      <w:pPr>
        <w:pStyle w:val="1015"/>
        <w:numPr>
          <w:ilvl w:val="2"/>
          <w:numId w:val="1"/>
        </w:numPr>
        <w:ind w:left="0" w:firstLine="567"/>
        <w:keepNext w:val="0"/>
        <w:spacing w:before="0" w:after="0"/>
        <w:widowControl w:val="off"/>
        <w:tabs>
          <w:tab w:val="clear" w:pos="454" w:leader="none"/>
          <w:tab w:val="num" w:pos="1021" w:leader="none"/>
        </w:tabs>
        <w:rPr>
          <w:rFonts w:ascii="Times New Roman" w:hAnsi="Times New Roman" w:cs="Times New Roman"/>
          <w:b w:val="0"/>
        </w:rPr>
      </w:pPr>
      <w:r/>
      <w:bookmarkStart w:id="59" w:name="_Ref4407664"/>
      <w:r/>
      <w:bookmarkStart w:id="60" w:name="_Ref536100021"/>
      <w:r>
        <w:rPr>
          <w:rFonts w:ascii="Times New Roman" w:hAnsi="Times New Roman" w:cs="Times New Roman"/>
          <w:b w:val="0"/>
        </w:rPr>
        <w:t xml:space="preserve">В </w:t>
      </w:r>
      <w:bookmarkEnd w:id="59"/>
      <w:r>
        <w:rPr>
          <w:rFonts w:ascii="Times New Roman" w:hAnsi="Times New Roman" w:cs="Times New Roman"/>
          <w:b w:val="0"/>
        </w:rPr>
        <w:t xml:space="preserve">случае если при проведении закупки победит</w:t>
      </w:r>
      <w:r>
        <w:rPr>
          <w:rFonts w:ascii="Times New Roman" w:hAnsi="Times New Roman" w:cs="Times New Roman"/>
          <w:b w:val="0"/>
        </w:rPr>
        <w:t xml:space="preserve">елем (либо единственным участником, признанным соответствующим требованиям документации о закупке) признается участник, предложивший аномально низкое ценовое предложение, таким участником предоставляется обеспечение исполнения договора в следующем размере:</w:t>
      </w:r>
      <w:r>
        <w:rPr>
          <w:rFonts w:ascii="Times New Roman" w:hAnsi="Times New Roman" w:cs="Times New Roman"/>
          <w:b w:val="0"/>
        </w:rPr>
      </w:r>
      <w:r>
        <w:rPr>
          <w:rFonts w:ascii="Times New Roman" w:hAnsi="Times New Roman" w:cs="Times New Roman"/>
          <w:b w:val="0"/>
        </w:rPr>
      </w:r>
    </w:p>
    <w:p>
      <w:pPr>
        <w:pStyle w:val="1334"/>
        <w:numPr>
          <w:ilvl w:val="0"/>
          <w:numId w:val="38"/>
        </w:numPr>
        <w:contextualSpacing/>
        <w:ind w:left="0" w:firstLine="567"/>
        <w:jc w:val="both"/>
        <w:tabs>
          <w:tab w:val="left" w:pos="1134" w:leader="none"/>
          <w:tab w:val="left" w:pos="1701" w:leader="none"/>
        </w:tabs>
        <w:rPr>
          <w:szCs w:val="28"/>
        </w:rPr>
      </w:pPr>
      <w:r>
        <w:rPr>
          <w:szCs w:val="28"/>
        </w:rPr>
        <w:t xml:space="preserve">в случае </w:t>
      </w:r>
      <w:r>
        <w:rPr>
          <w:szCs w:val="28"/>
        </w:rPr>
        <w:t xml:space="preserve">если документацией о закупке не предусмотрены предоставление обеспечения исполнения договора и выплата аванса, победитель закупки, подавший аномально низкое ценовое предложение, обязан предоставить обеспечение исполнения обязательств по договору в размере </w:t>
      </w:r>
      <w:r>
        <w:rPr>
          <w:szCs w:val="28"/>
        </w:rPr>
        <w:t xml:space="preserve">5% (пять процентов) от начальной (максимальной) цены договора, установленной при объявлении закупки.</w:t>
      </w:r>
      <w:r>
        <w:rPr>
          <w:szCs w:val="28"/>
        </w:rPr>
      </w:r>
      <w:r>
        <w:rPr>
          <w:szCs w:val="28"/>
        </w:rPr>
      </w:r>
    </w:p>
    <w:p>
      <w:pPr>
        <w:pStyle w:val="1334"/>
        <w:numPr>
          <w:ilvl w:val="0"/>
          <w:numId w:val="38"/>
        </w:numPr>
        <w:contextualSpacing/>
        <w:ind w:left="0" w:firstLine="567"/>
        <w:jc w:val="both"/>
        <w:tabs>
          <w:tab w:val="left" w:pos="1134" w:leader="none"/>
          <w:tab w:val="left" w:pos="1701" w:leader="none"/>
        </w:tabs>
        <w:rPr>
          <w:szCs w:val="28"/>
        </w:rPr>
      </w:pPr>
      <w:r>
        <w:rPr>
          <w:szCs w:val="28"/>
        </w:rPr>
        <w:t xml:space="preserve">в случае если документацией о закупке предусмотрено предоставление обеспечения исполнения договора и не предусмотрена выплата аванса, победитель закупки,</w:t>
      </w:r>
      <w:r>
        <w:rPr>
          <w:szCs w:val="28"/>
        </w:rPr>
        <w:t xml:space="preserve"> подавший аномально низкое ценовое предложение, обязан предоставить увеличенное от первоначально установленного обеспечения исполнения обязательств по договору в 1,5 (полтора) раза, но не менее 5% (пяти процентов) от начальной (максимальной) цены договора;</w:t>
      </w:r>
      <w:r>
        <w:rPr>
          <w:szCs w:val="28"/>
        </w:rPr>
      </w:r>
      <w:r>
        <w:rPr>
          <w:szCs w:val="28"/>
        </w:rPr>
      </w:r>
    </w:p>
    <w:p>
      <w:pPr>
        <w:pStyle w:val="1334"/>
        <w:numPr>
          <w:ilvl w:val="0"/>
          <w:numId w:val="38"/>
        </w:numPr>
        <w:contextualSpacing/>
        <w:ind w:left="0" w:firstLine="567"/>
        <w:jc w:val="both"/>
        <w:tabs>
          <w:tab w:val="left" w:pos="1134" w:leader="none"/>
          <w:tab w:val="left" w:pos="1701" w:leader="none"/>
        </w:tabs>
        <w:rPr>
          <w:szCs w:val="28"/>
        </w:rPr>
      </w:pPr>
      <w:r>
        <w:rPr>
          <w:szCs w:val="28"/>
        </w:rPr>
        <w:t xml:space="preserve">в случае если документацией о закупке не предусмотрено предоставление обеспечения исполнения договора, при этом предусмотрена выплата аванса и предоставление обесп</w:t>
      </w:r>
      <w:r>
        <w:rPr>
          <w:szCs w:val="28"/>
        </w:rPr>
        <w:t xml:space="preserve">ечения на возврат авансового платежа, победитель закупки, подавший аномально низкое ценовое предложение заявки, обязан предоставить обеспечение исполнения договора в размере аванса, но не менее 5% (пяти процентов) от начальной (максимальной) цены договора;</w:t>
      </w:r>
      <w:r>
        <w:rPr>
          <w:szCs w:val="28"/>
        </w:rPr>
      </w:r>
      <w:r>
        <w:rPr>
          <w:szCs w:val="28"/>
        </w:rPr>
      </w:r>
    </w:p>
    <w:p>
      <w:pPr>
        <w:pStyle w:val="1334"/>
        <w:numPr>
          <w:ilvl w:val="0"/>
          <w:numId w:val="38"/>
        </w:numPr>
        <w:contextualSpacing/>
        <w:ind w:left="0" w:firstLine="567"/>
        <w:jc w:val="both"/>
        <w:tabs>
          <w:tab w:val="left" w:pos="1134" w:leader="none"/>
          <w:tab w:val="left" w:pos="1701" w:leader="none"/>
        </w:tabs>
        <w:rPr>
          <w:szCs w:val="28"/>
        </w:rPr>
      </w:pPr>
      <w:r>
        <w:rPr>
          <w:szCs w:val="28"/>
        </w:rPr>
        <w:t xml:space="preserve">в случае если документацией о закупке предусмотрена выплата аванса, при этом не предусмотрено обеспечение исполнения договора и предоставлени</w:t>
      </w:r>
      <w:r>
        <w:rPr>
          <w:szCs w:val="28"/>
        </w:rPr>
        <w:t xml:space="preserve">е обеспечения на возврат авансового платежа, победитель закупки, подавший аномально низкое ценовое предложение, обязан предоставить обеспечение исполнения договора в размере аванса, но не менее 5% (пяти процентов) от начальной (максимальной) цены договора;</w:t>
      </w:r>
      <w:r>
        <w:rPr>
          <w:szCs w:val="28"/>
        </w:rPr>
      </w:r>
      <w:r>
        <w:rPr>
          <w:szCs w:val="28"/>
        </w:rPr>
      </w:r>
    </w:p>
    <w:p>
      <w:pPr>
        <w:pStyle w:val="1334"/>
        <w:numPr>
          <w:ilvl w:val="0"/>
          <w:numId w:val="38"/>
        </w:numPr>
        <w:contextualSpacing/>
        <w:ind w:left="0" w:firstLine="567"/>
        <w:jc w:val="both"/>
        <w:tabs>
          <w:tab w:val="left" w:pos="1134" w:leader="none"/>
          <w:tab w:val="left" w:pos="1701" w:leader="none"/>
        </w:tabs>
        <w:rPr>
          <w:szCs w:val="28"/>
        </w:rPr>
      </w:pPr>
      <w:r>
        <w:rPr>
          <w:szCs w:val="28"/>
        </w:rPr>
        <w:t xml:space="preserve">в случае если документацией о закупке предусмотрены предоставление обеспечения исполнения договора, выплата аванса, при этом не предусмотрено предоставление</w:t>
      </w:r>
      <w:r>
        <w:rPr>
          <w:szCs w:val="28"/>
        </w:rPr>
        <w:t xml:space="preserve"> обеспечения на возврат авансового платежа, победитель закупки, подавший аномально низкое ценовое предложение, обязан предоставить увеличенное от первоначально установленного обеспечения исполнения договора в 1,5 (полтора) раза, но не менее размера аванса;</w:t>
      </w:r>
      <w:r>
        <w:rPr>
          <w:szCs w:val="28"/>
        </w:rPr>
      </w:r>
      <w:r>
        <w:rPr>
          <w:szCs w:val="28"/>
        </w:rPr>
      </w:r>
    </w:p>
    <w:p>
      <w:pPr>
        <w:pStyle w:val="1334"/>
        <w:numPr>
          <w:ilvl w:val="0"/>
          <w:numId w:val="38"/>
        </w:numPr>
        <w:contextualSpacing/>
        <w:ind w:left="0" w:firstLine="567"/>
        <w:jc w:val="both"/>
        <w:tabs>
          <w:tab w:val="left" w:pos="1134" w:leader="none"/>
          <w:tab w:val="left" w:pos="1701" w:leader="none"/>
        </w:tabs>
        <w:rPr>
          <w:szCs w:val="28"/>
        </w:rPr>
      </w:pPr>
      <w:r>
        <w:rPr>
          <w:szCs w:val="28"/>
        </w:rPr>
        <w:t xml:space="preserve">в случае если документацией о закупке предусмотрены предоставление обеспечения исполнения договора, выплата аванса и предоставление обеспечения на возврат авансового платежа, поб</w:t>
      </w:r>
      <w:r>
        <w:rPr>
          <w:szCs w:val="28"/>
        </w:rPr>
        <w:t xml:space="preserve">едитель закупки, подавший аномально низкое ценовое предложение, обязан предоставить увеличенное от первоначально установленного обеспечения исполнения договора в 1,5 (полтора) раза, но не менее 5% (пяти процентов) от начальной (максимальной) цены договора.</w:t>
      </w:r>
      <w:bookmarkEnd w:id="60"/>
      <w:r>
        <w:rPr>
          <w:szCs w:val="28"/>
        </w:rPr>
      </w:r>
      <w:r>
        <w:rPr>
          <w:szCs w:val="28"/>
        </w:rPr>
      </w:r>
    </w:p>
    <w:p>
      <w:pPr>
        <w:pStyle w:val="1015"/>
        <w:numPr>
          <w:ilvl w:val="2"/>
          <w:numId w:val="1"/>
        </w:numPr>
        <w:ind w:left="0" w:firstLine="567"/>
        <w:keepNext w:val="0"/>
        <w:spacing w:before="0" w:after="0"/>
        <w:widowControl w:val="off"/>
        <w:rPr>
          <w:rFonts w:ascii="Times New Roman" w:hAnsi="Times New Roman" w:cs="Times New Roman"/>
          <w:b w:val="0"/>
        </w:rPr>
      </w:pPr>
      <w:r>
        <w:rPr>
          <w:rFonts w:ascii="Times New Roman" w:hAnsi="Times New Roman" w:cs="Times New Roman"/>
          <w:b w:val="0"/>
        </w:rPr>
        <w:t xml:space="preserve">Обеспечение исполнения договора может быть представлено путем внесения денежных средств на счет З</w:t>
      </w:r>
      <w:r>
        <w:rPr>
          <w:rFonts w:ascii="Times New Roman" w:hAnsi="Times New Roman" w:cs="Times New Roman"/>
          <w:b w:val="0"/>
        </w:rPr>
        <w:t xml:space="preserve">аказчика или путем предоставления независимой гарантии. Выбор способа обеспечения исполнения договора осуществляется участником закупки самостоятельно. Предоставление обеспечения иным, не указанным в Извещении о проведении закупки, способом не допускается.</w:t>
      </w:r>
      <w:r>
        <w:rPr>
          <w:rFonts w:ascii="Times New Roman" w:hAnsi="Times New Roman" w:cs="Times New Roman"/>
          <w:b w:val="0"/>
        </w:rPr>
      </w:r>
      <w:r>
        <w:rPr>
          <w:rFonts w:ascii="Times New Roman" w:hAnsi="Times New Roman" w:cs="Times New Roman"/>
          <w:b w:val="0"/>
        </w:rPr>
      </w:r>
    </w:p>
    <w:p>
      <w:pPr>
        <w:pStyle w:val="1015"/>
        <w:numPr>
          <w:ilvl w:val="2"/>
          <w:numId w:val="1"/>
        </w:numPr>
        <w:ind w:left="0" w:firstLine="567"/>
        <w:keepNext w:val="0"/>
        <w:spacing w:before="0" w:after="0"/>
        <w:widowControl w:val="off"/>
        <w:rPr>
          <w:rFonts w:ascii="Times New Roman" w:hAnsi="Times New Roman" w:cs="Times New Roman"/>
          <w:b w:val="0"/>
        </w:rPr>
      </w:pPr>
      <w:r>
        <w:rPr>
          <w:rFonts w:ascii="Times New Roman" w:hAnsi="Times New Roman" w:cs="Times New Roman"/>
          <w:b w:val="0"/>
        </w:rPr>
        <w:t xml:space="preserve">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устанавливается в проекте договора.</w:t>
      </w:r>
      <w:r>
        <w:rPr>
          <w:rFonts w:ascii="Times New Roman" w:hAnsi="Times New Roman" w:cs="Times New Roman"/>
          <w:b w:val="0"/>
        </w:rPr>
      </w:r>
      <w:r>
        <w:rPr>
          <w:rFonts w:ascii="Times New Roman" w:hAnsi="Times New Roman" w:cs="Times New Roman"/>
          <w:b w:val="0"/>
        </w:rPr>
      </w:r>
    </w:p>
    <w:p>
      <w:pPr>
        <w:pStyle w:val="1015"/>
        <w:numPr>
          <w:ilvl w:val="2"/>
          <w:numId w:val="1"/>
        </w:numPr>
        <w:ind w:left="0" w:firstLine="567"/>
        <w:keepNext w:val="0"/>
        <w:spacing w:before="0" w:after="0"/>
        <w:widowControl w:val="off"/>
        <w:rPr>
          <w:rFonts w:ascii="Times New Roman" w:hAnsi="Times New Roman" w:cs="Times New Roman"/>
          <w:b w:val="0"/>
        </w:rPr>
      </w:pPr>
      <w:r/>
      <w:bookmarkStart w:id="61" w:name="_Ref536099201"/>
      <w:r>
        <w:rPr>
          <w:rFonts w:ascii="Times New Roman" w:hAnsi="Times New Roman" w:cs="Times New Roman"/>
          <w:b w:val="0"/>
        </w:rPr>
        <w:t xml:space="preserve">В случае принятия участником закупки решения о предоставлении обеспечения исполнения обязательств по договору, предусмотренного в пункте </w:t>
      </w:r>
      <w:r>
        <w:fldChar w:fldCharType="begin"/>
      </w:r>
      <w:r>
        <w:instrText xml:space="preserve"> REF _Ref536100021 \r \h  \* MERGEFORMAT </w:instrText>
      </w:r>
      <w:r>
        <w:fldChar w:fldCharType="separate"/>
      </w:r>
      <w:r>
        <w:rPr>
          <w:rFonts w:ascii="Times New Roman" w:hAnsi="Times New Roman" w:cs="Times New Roman"/>
          <w:b w:val="0"/>
        </w:rPr>
        <w:t xml:space="preserve">3.7.2</w:t>
      </w:r>
      <w:r>
        <w:fldChar w:fldCharType="end"/>
      </w:r>
      <w:r>
        <w:rPr>
          <w:rFonts w:ascii="Times New Roman" w:hAnsi="Times New Roman" w:cs="Times New Roman"/>
          <w:b w:val="0"/>
        </w:rPr>
        <w:t xml:space="preserve"> документации о закупке в форме денежных средств, такие средства перечисляются на расчетный счет Заказчика, по реквизитам, указанным в проекте договора, составляемом по результатам закупки</w:t>
      </w:r>
      <w:bookmarkEnd w:id="61"/>
      <w:r>
        <w:rPr>
          <w:rFonts w:ascii="Times New Roman" w:hAnsi="Times New Roman" w:cs="Times New Roman"/>
          <w:b w:val="0"/>
        </w:rPr>
        <w:t xml:space="preserve">.</w:t>
      </w:r>
      <w:r>
        <w:rPr>
          <w:rFonts w:ascii="Times New Roman" w:hAnsi="Times New Roman" w:cs="Times New Roman"/>
          <w:b w:val="0"/>
        </w:rPr>
      </w:r>
      <w:r>
        <w:rPr>
          <w:rFonts w:ascii="Times New Roman" w:hAnsi="Times New Roman" w:cs="Times New Roman"/>
          <w:b w:val="0"/>
        </w:rPr>
      </w:r>
    </w:p>
    <w:p>
      <w:pPr>
        <w:pStyle w:val="1015"/>
        <w:numPr>
          <w:ilvl w:val="2"/>
          <w:numId w:val="1"/>
        </w:numPr>
        <w:ind w:left="0" w:firstLine="567"/>
        <w:keepNext w:val="0"/>
        <w:spacing w:before="0" w:after="0"/>
        <w:widowControl w:val="off"/>
        <w:rPr>
          <w:rFonts w:ascii="Times New Roman" w:hAnsi="Times New Roman" w:cs="Times New Roman"/>
          <w:b w:val="0"/>
        </w:rPr>
      </w:pPr>
      <w:r>
        <w:rPr>
          <w:rFonts w:ascii="Times New Roman" w:hAnsi="Times New Roman" w:cs="Times New Roman"/>
          <w:b w:val="0"/>
        </w:rPr>
        <w:t xml:space="preserve">В случае принятия решения о предоставлении обеспеч</w:t>
      </w:r>
      <w:r>
        <w:rPr>
          <w:rFonts w:ascii="Times New Roman" w:hAnsi="Times New Roman" w:cs="Times New Roman"/>
          <w:b w:val="0"/>
        </w:rPr>
        <w:t xml:space="preserve">ение исполнения обязательств по договору, предусмотренного в пункте 3.7.2 документации о закупке в форме независимой гарантии, такая независимая гарантия, а также гарант должны соответствовать требованиям, установленным в пункте 6.3 настоящей документации.</w:t>
      </w:r>
      <w:r>
        <w:rPr>
          <w:rFonts w:ascii="Times New Roman" w:hAnsi="Times New Roman" w:cs="Times New Roman"/>
          <w:b w:val="0"/>
        </w:rPr>
      </w:r>
      <w:r>
        <w:rPr>
          <w:rFonts w:ascii="Times New Roman" w:hAnsi="Times New Roman" w:cs="Times New Roman"/>
          <w:b w:val="0"/>
        </w:rPr>
      </w:r>
    </w:p>
    <w:p>
      <w:pPr>
        <w:spacing w:after="0"/>
      </w:pPr>
      <w:r/>
      <w:r/>
    </w:p>
    <w:p>
      <w:pPr>
        <w:pStyle w:val="1013"/>
        <w:numPr>
          <w:ilvl w:val="0"/>
          <w:numId w:val="1"/>
        </w:numPr>
        <w:ind w:left="0" w:firstLine="567"/>
        <w:jc w:val="both"/>
        <w:keepNext w:val="0"/>
        <w:spacing w:before="0" w:after="0"/>
        <w:tabs>
          <w:tab w:val="left" w:pos="993" w:leader="none"/>
        </w:tabs>
        <w:rPr>
          <w:i/>
          <w:sz w:val="24"/>
          <w:szCs w:val="24"/>
        </w:rPr>
      </w:pPr>
      <w:r/>
      <w:bookmarkStart w:id="62" w:name="_Toc74"/>
      <w:r>
        <w:rPr>
          <w:i/>
          <w:sz w:val="24"/>
          <w:szCs w:val="24"/>
        </w:rPr>
        <w:t xml:space="preserve">ПОДАЧА ЗАЯВОК НА УЧАСТИЕ В ЗАКУПКЕ</w:t>
      </w:r>
      <w:bookmarkEnd w:id="62"/>
      <w:r>
        <w:rPr>
          <w:i/>
          <w:sz w:val="24"/>
          <w:szCs w:val="24"/>
        </w:rPr>
      </w:r>
      <w:r>
        <w:rPr>
          <w:i/>
          <w:sz w:val="24"/>
          <w:szCs w:val="24"/>
        </w:rPr>
      </w:r>
    </w:p>
    <w:p>
      <w:pPr>
        <w:pStyle w:val="1014"/>
        <w:numPr>
          <w:ilvl w:val="1"/>
          <w:numId w:val="10"/>
        </w:numPr>
        <w:ind w:left="0" w:firstLine="567"/>
        <w:jc w:val="both"/>
        <w:keepNext w:val="0"/>
        <w:spacing w:after="0"/>
        <w:tabs>
          <w:tab w:val="clear" w:pos="576" w:leader="none"/>
          <w:tab w:val="num" w:pos="1134" w:leader="none"/>
        </w:tabs>
        <w:rPr>
          <w:i/>
          <w:sz w:val="24"/>
          <w:szCs w:val="24"/>
        </w:rPr>
      </w:pPr>
      <w:r/>
      <w:bookmarkStart w:id="63" w:name="_Ref166249895"/>
      <w:r/>
      <w:bookmarkStart w:id="64" w:name="_Toc75"/>
      <w:r>
        <w:rPr>
          <w:i/>
          <w:sz w:val="24"/>
          <w:szCs w:val="24"/>
        </w:rPr>
        <w:t xml:space="preserve">Порядок, место, дата начала и дата окончания срока подачи заявок на участие в </w:t>
      </w:r>
      <w:bookmarkEnd w:id="63"/>
      <w:r>
        <w:rPr>
          <w:i/>
          <w:sz w:val="24"/>
          <w:szCs w:val="24"/>
        </w:rPr>
        <w:t xml:space="preserve">закупке</w:t>
      </w:r>
      <w:bookmarkEnd w:id="64"/>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 закупки подает заявку на участие в закупке в электронной форме с использованием функционала и в соответствии с Регламентом работы ЕЭТП в сроки, установленные в пункте 7 части II «ИНФ</w:t>
      </w:r>
      <w:r>
        <w:rPr>
          <w:rFonts w:ascii="Times New Roman" w:hAnsi="Times New Roman" w:cs="Times New Roman"/>
          <w:b w:val="0"/>
          <w:bCs w:val="0"/>
        </w:rPr>
        <w:t xml:space="preserve">ОРМАЦИОННАЯ КАРТА ЗАКУПКИ». При этом участник должен принять во внимание, что заявка на участие в закупке должна состоять из неценового и ценового предложений. Неценовое предложение размещается участником на ЕЭТП в отдельной вкладке «Заявка поставщика» и до</w:t>
      </w:r>
      <w:r>
        <w:rPr>
          <w:rFonts w:ascii="Times New Roman" w:hAnsi="Times New Roman" w:cs="Times New Roman"/>
          <w:b w:val="0"/>
          <w:bCs w:val="0"/>
        </w:rPr>
        <w:t xml:space="preserve">лжно включать в себя сведения и документы, указанные в документации о закупке, не относящиеся к ценовому предложению (не содержащие информацию о цене предложения). Ценовое предложение размещается участником на ЕЭТП в отдельной вкладке «Ценовое предложение».</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 должен принять во внимание, что, если в составе неценового предложения, поданного на участие в закупке в электронной форме с использованием функционала и в соответствии с Регламентом работы ЕЭТП размещенного </w:t>
      </w:r>
      <w:r>
        <w:rPr>
          <w:rFonts w:ascii="Times New Roman" w:hAnsi="Times New Roman" w:cs="Times New Roman"/>
          <w:b w:val="0"/>
          <w:bCs w:val="0"/>
        </w:rPr>
        <w:t xml:space="preserve">во вкладке «Заявка поставщика» будут отсутствовать документы, установленные в соответствии с требованиями настоящей Документации, такая заявка участника подлежит отклонению вне зависимости от наличия недостающих документов во вкладке «ценовое предложение».</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 закупки вправе подать только одну заявку на участие в процедуре закупки в отношении каждого лота.</w:t>
      </w:r>
      <w:r>
        <w:rPr>
          <w:rFonts w:ascii="Times New Roman" w:hAnsi="Times New Roman" w:cs="Times New Roman"/>
          <w:b w:val="0"/>
          <w:bCs w:val="0"/>
        </w:rPr>
      </w:r>
      <w:r>
        <w:rPr>
          <w:rFonts w:ascii="Times New Roman" w:hAnsi="Times New Roman" w:cs="Times New Roman"/>
          <w:b w:val="0"/>
          <w:bCs w:val="0"/>
        </w:rPr>
      </w:r>
    </w:p>
    <w:p>
      <w:pPr>
        <w:spacing w:after="0"/>
      </w:pPr>
      <w:r/>
      <w:r/>
    </w:p>
    <w:p>
      <w:pPr>
        <w:pStyle w:val="1014"/>
        <w:numPr>
          <w:ilvl w:val="1"/>
          <w:numId w:val="10"/>
        </w:numPr>
        <w:ind w:left="0" w:firstLine="567"/>
        <w:jc w:val="both"/>
        <w:keepNext w:val="0"/>
        <w:spacing w:after="0"/>
        <w:tabs>
          <w:tab w:val="clear" w:pos="576" w:leader="none"/>
          <w:tab w:val="num" w:pos="1134" w:leader="none"/>
        </w:tabs>
        <w:rPr>
          <w:i/>
          <w:sz w:val="24"/>
          <w:szCs w:val="24"/>
        </w:rPr>
      </w:pPr>
      <w:r/>
      <w:bookmarkStart w:id="65" w:name="_Ref119429670"/>
      <w:r/>
      <w:bookmarkStart w:id="66" w:name="_Toc76"/>
      <w:r>
        <w:rPr>
          <w:i/>
          <w:sz w:val="24"/>
          <w:szCs w:val="24"/>
        </w:rPr>
        <w:t xml:space="preserve">Изменения и отзыв заявок на участие в </w:t>
      </w:r>
      <w:bookmarkEnd w:id="65"/>
      <w:r>
        <w:rPr>
          <w:i/>
          <w:sz w:val="24"/>
          <w:szCs w:val="24"/>
        </w:rPr>
        <w:t xml:space="preserve">закупке</w:t>
      </w:r>
      <w:bookmarkEnd w:id="66"/>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Участник закупки, подавший заявку на участие в закупке, вправе изменить или отозвать заявку на участие в закупке в любое время до момента окончания срока подачи заявок на участие в закупке.</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Порядок изменения и отзыва заявок на участие в закупке определен Регламентом работы ЕЭТП. </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После окончания срока подачи заявок не допускается изменение или отзыв заявок на участие в закупке за исключением случаев, предусмотренных законодательством о закупках отдельных видов юридических лиц.</w:t>
      </w:r>
      <w:r>
        <w:rPr>
          <w:rFonts w:ascii="Times New Roman" w:hAnsi="Times New Roman" w:cs="Times New Roman"/>
          <w:b w:val="0"/>
          <w:bCs w:val="0"/>
        </w:rPr>
      </w:r>
      <w:r>
        <w:rPr>
          <w:rFonts w:ascii="Times New Roman" w:hAnsi="Times New Roman" w:cs="Times New Roman"/>
          <w:b w:val="0"/>
          <w:bCs w:val="0"/>
        </w:rPr>
      </w:r>
    </w:p>
    <w:p>
      <w:pPr>
        <w:spacing w:after="0"/>
      </w:pPr>
      <w:r/>
      <w:r/>
    </w:p>
    <w:p>
      <w:pPr>
        <w:pStyle w:val="1013"/>
        <w:numPr>
          <w:ilvl w:val="0"/>
          <w:numId w:val="1"/>
        </w:numPr>
        <w:ind w:left="0" w:firstLine="567"/>
        <w:jc w:val="both"/>
        <w:keepNext w:val="0"/>
        <w:spacing w:before="0" w:after="0"/>
        <w:tabs>
          <w:tab w:val="left" w:pos="993" w:leader="none"/>
        </w:tabs>
        <w:rPr>
          <w:i/>
          <w:sz w:val="24"/>
          <w:szCs w:val="24"/>
        </w:rPr>
      </w:pPr>
      <w:r/>
      <w:bookmarkStart w:id="67" w:name="_Toc77"/>
      <w:r/>
      <w:bookmarkStart w:id="68" w:name="_Ref119430360"/>
      <w:r>
        <w:rPr>
          <w:i/>
          <w:sz w:val="24"/>
          <w:szCs w:val="24"/>
        </w:rPr>
        <w:t xml:space="preserve">ПОРЯДОК ПРОВЕДЕНИЯ ЗАКУПКИ</w:t>
      </w:r>
      <w:bookmarkEnd w:id="67"/>
      <w:r>
        <w:rPr>
          <w:i/>
          <w:sz w:val="24"/>
          <w:szCs w:val="24"/>
        </w:rPr>
      </w:r>
      <w:r>
        <w:rPr>
          <w:i/>
          <w:sz w:val="24"/>
          <w:szCs w:val="24"/>
        </w:rPr>
      </w:r>
    </w:p>
    <w:p>
      <w:pPr>
        <w:pStyle w:val="1014"/>
        <w:numPr>
          <w:ilvl w:val="1"/>
          <w:numId w:val="10"/>
        </w:numPr>
        <w:ind w:left="0" w:firstLine="567"/>
        <w:jc w:val="both"/>
        <w:keepNext w:val="0"/>
        <w:spacing w:after="0"/>
        <w:tabs>
          <w:tab w:val="clear" w:pos="576" w:leader="none"/>
          <w:tab w:val="num" w:pos="1134" w:leader="none"/>
        </w:tabs>
        <w:rPr>
          <w:i/>
          <w:sz w:val="24"/>
          <w:szCs w:val="24"/>
        </w:rPr>
      </w:pPr>
      <w:r/>
      <w:bookmarkStart w:id="69" w:name="_Toc78"/>
      <w:r/>
      <w:bookmarkStart w:id="70" w:name="_Ref125827199"/>
      <w:r/>
      <w:bookmarkEnd w:id="68"/>
      <w:r>
        <w:rPr>
          <w:i/>
          <w:sz w:val="24"/>
          <w:szCs w:val="24"/>
        </w:rPr>
        <w:t xml:space="preserve">Постоянно действующая закупочная комиссия</w:t>
      </w:r>
      <w:bookmarkEnd w:id="69"/>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целях проведения закупки Организатор формирует Постоянно действующую закупочную комиссию, осуществляющую свои полномочия в порядке, установленном Положением о закупке Заказчика.</w:t>
      </w:r>
      <w:r>
        <w:rPr>
          <w:rFonts w:ascii="Times New Roman" w:hAnsi="Times New Roman" w:cs="Times New Roman"/>
          <w:b w:val="0"/>
          <w:bCs w:val="0"/>
        </w:rPr>
      </w:r>
      <w:r>
        <w:rPr>
          <w:rFonts w:ascii="Times New Roman" w:hAnsi="Times New Roman" w:cs="Times New Roman"/>
          <w:b w:val="0"/>
          <w:bCs w:val="0"/>
        </w:rPr>
      </w:r>
    </w:p>
    <w:p>
      <w:pPr>
        <w:spacing w:after="0"/>
      </w:pPr>
      <w:r/>
      <w:r/>
    </w:p>
    <w:p>
      <w:pPr>
        <w:pStyle w:val="1014"/>
        <w:numPr>
          <w:ilvl w:val="1"/>
          <w:numId w:val="10"/>
        </w:numPr>
        <w:ind w:left="0" w:firstLine="567"/>
        <w:jc w:val="both"/>
        <w:keepNext w:val="0"/>
        <w:spacing w:after="0"/>
        <w:tabs>
          <w:tab w:val="clear" w:pos="576" w:leader="none"/>
          <w:tab w:val="num" w:pos="1134" w:leader="none"/>
        </w:tabs>
        <w:rPr>
          <w:i/>
          <w:sz w:val="24"/>
          <w:szCs w:val="24"/>
        </w:rPr>
      </w:pPr>
      <w:r/>
      <w:bookmarkStart w:id="71" w:name="_Toc79"/>
      <w:r>
        <w:rPr>
          <w:i/>
          <w:sz w:val="24"/>
          <w:szCs w:val="24"/>
        </w:rPr>
        <w:t xml:space="preserve">Рассмотрение и оценка заявок участников закупки</w:t>
      </w:r>
      <w:bookmarkEnd w:id="71"/>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Рассмотрение заявок участников осуществляется ПДЗК в сроки, установленные в пункте 7 части II «ИНФОРМАЦИОННАЯ КАРТА ЗАКУПКИ». На данном этапе </w:t>
      </w:r>
      <w:r>
        <w:rPr>
          <w:rFonts w:ascii="Times New Roman" w:hAnsi="Times New Roman" w:cs="Times New Roman"/>
          <w:bCs w:val="0"/>
        </w:rPr>
        <w:t xml:space="preserve">не рассматривается</w:t>
      </w:r>
      <w:r>
        <w:rPr>
          <w:rFonts w:ascii="Times New Roman" w:hAnsi="Times New Roman" w:cs="Times New Roman"/>
          <w:b w:val="0"/>
          <w:bCs w:val="0"/>
        </w:rPr>
        <w:t xml:space="preserve"> соответствие заявок участников требованиям к ценовому предложению (в том числе требованиям по не превышению начальной (максимальной) цены договора, требованиям к форме предоставления ценовых предложений и т.п.). </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tabs>
          <w:tab w:val="clear" w:pos="454" w:leader="none"/>
        </w:tabs>
        <w:rPr>
          <w:rFonts w:ascii="Times New Roman" w:hAnsi="Times New Roman" w:cs="Times New Roman"/>
          <w:b w:val="0"/>
          <w:bCs w:val="0"/>
        </w:rPr>
      </w:pPr>
      <w:r>
        <w:rPr>
          <w:rFonts w:ascii="Times New Roman" w:hAnsi="Times New Roman" w:cs="Times New Roman"/>
          <w:b w:val="0"/>
          <w:bCs w:val="0"/>
        </w:rPr>
        <w:t xml:space="preserve">Заявки участников рассматриваются в соответствии с требованиями, устанавливаемыми в документации о закупке, на основании представленных в составе заявок сведений и документов, а также иных источников информации, предусмотренных</w:t>
      </w:r>
      <w:r>
        <w:rPr>
          <w:rFonts w:ascii="Times New Roman" w:hAnsi="Times New Roman" w:cs="Times New Roman"/>
          <w:b w:val="0"/>
          <w:bCs w:val="0"/>
        </w:rPr>
        <w:t xml:space="preserve"> документацией о закупке, законодательством Российской Федерации, в том числе официальных сайтов государственных органов, организаций в сети Интернет (https://pb.nalog.ru, https://egrul.nalog.ru/index.html, https://bo.nalog.gov.ru и т.п.). На данном этапе </w:t>
      </w:r>
      <w:r>
        <w:rPr>
          <w:rFonts w:ascii="Times New Roman" w:hAnsi="Times New Roman" w:cs="Times New Roman"/>
          <w:bCs w:val="0"/>
        </w:rPr>
        <w:t xml:space="preserve">не рассматривается</w:t>
      </w:r>
      <w:r>
        <w:rPr>
          <w:rFonts w:ascii="Times New Roman" w:hAnsi="Times New Roman" w:cs="Times New Roman"/>
          <w:b w:val="0"/>
          <w:bCs w:val="0"/>
        </w:rPr>
        <w:t xml:space="preserve"> соответствие заявок участников требованиям к ценовому предложению (</w:t>
      </w:r>
      <w:r>
        <w:rPr>
          <w:rFonts w:ascii="Times New Roman" w:hAnsi="Times New Roman" w:cs="Times New Roman"/>
          <w:b w:val="0"/>
          <w:bCs w:val="0"/>
        </w:rPr>
        <w:t xml:space="preserve">в том числе требованиям по не</w:t>
      </w:r>
      <w:r>
        <w:rPr>
          <w:rFonts w:ascii="Times New Roman" w:hAnsi="Times New Roman" w:cs="Times New Roman"/>
          <w:b w:val="0"/>
          <w:bCs w:val="0"/>
        </w:rPr>
        <w:t xml:space="preserve"> </w:t>
      </w:r>
      <w:r>
        <w:rPr>
          <w:rFonts w:ascii="Times New Roman" w:hAnsi="Times New Roman" w:cs="Times New Roman"/>
          <w:b w:val="0"/>
          <w:bCs w:val="0"/>
        </w:rPr>
        <w:t xml:space="preserve">превышению начальной (максимальной) цены договора/</w:t>
      </w:r>
      <w:r>
        <w:rPr>
          <w:rFonts w:ascii="Times New Roman" w:hAnsi="Times New Roman" w:cs="Times New Roman"/>
          <w:b w:val="0"/>
          <w:bCs w:val="0"/>
        </w:rPr>
        <w:t xml:space="preserve">стоимости единичных расценок</w:t>
      </w:r>
      <w:r>
        <w:rPr>
          <w:rFonts w:ascii="Times New Roman" w:hAnsi="Times New Roman" w:cs="Times New Roman"/>
          <w:b w:val="0"/>
          <w:bCs w:val="0"/>
        </w:rPr>
        <w:t xml:space="preserve">, требованиям к форме предоставления ценовых предложений и т.п.</w:t>
      </w:r>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Не допускается предъявлять к участникам закупки, к закупаемым товарам, работам, услугам, а также к условиям исполнения договора требования, не установленные в документации о закупке. Требования, предъявляемые к учас</w:t>
      </w:r>
      <w:r>
        <w:rPr>
          <w:rFonts w:ascii="Times New Roman" w:hAnsi="Times New Roman" w:cs="Times New Roman"/>
          <w:b w:val="0"/>
          <w:bCs w:val="0"/>
        </w:rPr>
        <w:t xml:space="preserve">тникам закупки, к закупаемым товарам, работам, услугам, а также к условиям исполнения договора,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ПДЗК отклоняет заявку участника в случаях, если:</w:t>
      </w:r>
      <w:r>
        <w:rPr>
          <w:rFonts w:ascii="Times New Roman" w:hAnsi="Times New Roman" w:cs="Times New Roman"/>
          <w:b w:val="0"/>
          <w:bCs w:val="0"/>
        </w:rPr>
      </w:r>
      <w:r>
        <w:rPr>
          <w:rFonts w:ascii="Times New Roman" w:hAnsi="Times New Roman" w:cs="Times New Roman"/>
          <w:b w:val="0"/>
          <w:bCs w:val="0"/>
        </w:rPr>
      </w:r>
    </w:p>
    <w:p>
      <w:pPr>
        <w:pStyle w:val="1334"/>
        <w:numPr>
          <w:ilvl w:val="0"/>
          <w:numId w:val="15"/>
        </w:numPr>
        <w:ind w:left="0" w:firstLine="567"/>
        <w:jc w:val="both"/>
        <w:tabs>
          <w:tab w:val="left" w:pos="993" w:leader="none"/>
        </w:tabs>
      </w:pPr>
      <w:r>
        <w:t xml:space="preserve">участник не соответствует требованиям к участнику закупки, установленным документацией о закупке;</w:t>
      </w:r>
      <w:r/>
    </w:p>
    <w:p>
      <w:pPr>
        <w:pStyle w:val="1334"/>
        <w:numPr>
          <w:ilvl w:val="0"/>
          <w:numId w:val="15"/>
        </w:numPr>
        <w:ind w:left="0" w:firstLine="567"/>
        <w:jc w:val="both"/>
        <w:tabs>
          <w:tab w:val="num" w:pos="0" w:leader="none"/>
          <w:tab w:val="left" w:pos="993" w:leader="none"/>
        </w:tabs>
      </w:pPr>
      <w:r>
        <w:t xml:space="preserve">заявка участника не соответствует требованиям, </w:t>
      </w:r>
      <w:r>
        <w:t xml:space="preserve">установленным документацией о закупке,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r/>
    </w:p>
    <w:p>
      <w:pPr>
        <w:pStyle w:val="1334"/>
        <w:numPr>
          <w:ilvl w:val="0"/>
          <w:numId w:val="15"/>
        </w:numPr>
        <w:ind w:left="0" w:firstLine="567"/>
        <w:jc w:val="both"/>
        <w:tabs>
          <w:tab w:val="left" w:pos="993" w:leader="none"/>
        </w:tabs>
      </w:pPr>
      <w:r>
        <w:t xml:space="preserve">участник закупки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p>
    <w:p>
      <w:pPr>
        <w:pStyle w:val="1334"/>
        <w:numPr>
          <w:ilvl w:val="0"/>
          <w:numId w:val="15"/>
        </w:numPr>
        <w:ind w:left="0" w:firstLine="567"/>
        <w:jc w:val="both"/>
        <w:tabs>
          <w:tab w:val="left" w:pos="993" w:leader="none"/>
        </w:tabs>
      </w:pPr>
      <w:r>
        <w:t xml:space="preserve">участником не соблюдены требования постановления Правительства о запрете, предусмотренные Приложением № 1 к Постановлению Правительства РФ от 23.12.2024 № 1875;</w:t>
      </w:r>
      <w:r/>
    </w:p>
    <w:p>
      <w:pPr>
        <w:pStyle w:val="1334"/>
        <w:numPr>
          <w:ilvl w:val="0"/>
          <w:numId w:val="15"/>
        </w:numPr>
        <w:ind w:left="0" w:firstLine="567"/>
        <w:jc w:val="both"/>
        <w:tabs>
          <w:tab w:val="left" w:pos="993" w:leader="none"/>
        </w:tabs>
      </w:pPr>
      <w:r>
        <w:t xml:space="preserve">заявка участника содержит предложение на поставку товара, указанного в Приложении № 2 к Постановлению Правительства РФ от 23.12.2024 № 1875, происходящего из иностранного государства и подана заявка другого участника на участие в закупке, окончательное пре</w:t>
      </w:r>
      <w:r>
        <w:t xml:space="preserve">дложение, признанное по результатам их рассмотрения соответствующим требованиям положения о закупке, извещения об осуществлении конкурентной закупки, документации о конкурентной закупке, и содержащее предложение о поставке товара российского происхождения.</w:t>
      </w: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w:t>
      </w:r>
      <w:r>
        <w:rPr>
          <w:rFonts w:ascii="Times New Roman" w:hAnsi="Times New Roman" w:cs="Times New Roman"/>
          <w:b w:val="0"/>
          <w:bCs w:val="0"/>
        </w:rPr>
        <w:t xml:space="preserve">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Организатор закупки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органы, лицам, указанным в заявке, а также проводить выездные проверки.</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На основании результатов рассмотрения заявок на участие в закупке ПДЗК принимается решение: </w:t>
      </w:r>
      <w:r>
        <w:rPr>
          <w:rFonts w:ascii="Times New Roman" w:hAnsi="Times New Roman" w:cs="Times New Roman"/>
          <w:b w:val="0"/>
          <w:bCs w:val="0"/>
        </w:rPr>
      </w:r>
      <w:r>
        <w:rPr>
          <w:rFonts w:ascii="Times New Roman" w:hAnsi="Times New Roman" w:cs="Times New Roman"/>
          <w:b w:val="0"/>
          <w:bCs w:val="0"/>
        </w:rPr>
      </w:r>
    </w:p>
    <w:p>
      <w:pPr>
        <w:pStyle w:val="1334"/>
        <w:numPr>
          <w:ilvl w:val="0"/>
          <w:numId w:val="34"/>
        </w:numPr>
        <w:ind w:left="0" w:firstLine="567"/>
        <w:jc w:val="both"/>
        <w:tabs>
          <w:tab w:val="left" w:pos="993" w:leader="none"/>
        </w:tabs>
      </w:pPr>
      <w:r>
        <w:t xml:space="preserve">о признании участника и/или заявки участника соответствующими требованиям документации о закупке;</w:t>
      </w:r>
      <w:r/>
    </w:p>
    <w:p>
      <w:pPr>
        <w:pStyle w:val="1334"/>
        <w:numPr>
          <w:ilvl w:val="0"/>
          <w:numId w:val="34"/>
        </w:numPr>
        <w:ind w:left="0" w:firstLine="567"/>
        <w:jc w:val="both"/>
        <w:tabs>
          <w:tab w:val="left" w:pos="993" w:leader="none"/>
        </w:tabs>
      </w:pPr>
      <w:r>
        <w:t xml:space="preserve">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ПДЗК помимо принятия решения о соответствии заявки участника требованиям документации о закупке осуществляет оценку заявок участников по соответствующим неценовым критериям. Оценка заявок производится при условии допуска двух и более участников закупки.</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Заявки участников закупки оцениваются исходя из критериев и в порядке, установленном в приложении 1 части II «ИНФОРМАЦИОННАЯ КАРТА ЗАКУПКИ». </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Не допускается осуществлять оценку заявок на участие в закупке по критериям и в порядке, которые не указаны в д</w:t>
      </w:r>
      <w:r>
        <w:rPr>
          <w:rFonts w:ascii="Times New Roman" w:hAnsi="Times New Roman" w:cs="Times New Roman"/>
          <w:b w:val="0"/>
          <w:bCs w:val="0"/>
        </w:rPr>
        <w:t xml:space="preserve">окументации о закупке. Критерии и порядок оценки и сопоставления заявок на участие в закупке, установленные Организатором, применяются в равной степени ко всем участникам закупки, к предлагаемым ими товарам, работам, услугам, к условиям исполнения договора</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По результатам этапа рассмотрения и оценки заявок участников закупки составляется протокол, в котором указывается информация, предусмотренная Законом 223-ФЗ и Поло</w:t>
      </w:r>
      <w:r>
        <w:rPr>
          <w:rFonts w:ascii="Times New Roman" w:hAnsi="Times New Roman" w:cs="Times New Roman"/>
          <w:b w:val="0"/>
          <w:bCs w:val="0"/>
        </w:rPr>
        <w:t xml:space="preserve">жением о закупке Заказчика, в том числе основания отклонения каждой заявки на участие в закупке (в случае принятия ПДЗК соответствующего решения) с указанием положений документации о закупке и/или извещения о закупке которым не соответствует такая заявка. </w:t>
      </w:r>
      <w:r>
        <w:rPr>
          <w:rFonts w:ascii="Times New Roman" w:hAnsi="Times New Roman" w:cs="Times New Roman"/>
          <w:b w:val="0"/>
          <w:bCs w:val="0"/>
        </w:rPr>
      </w:r>
      <w:r>
        <w:rPr>
          <w:rFonts w:ascii="Times New Roman" w:hAnsi="Times New Roman" w:cs="Times New Roman"/>
          <w:b w:val="0"/>
          <w:bCs w:val="0"/>
        </w:rPr>
      </w:r>
    </w:p>
    <w:p>
      <w:pPr>
        <w:spacing w:after="0"/>
      </w:pPr>
      <w:r/>
      <w:r/>
    </w:p>
    <w:p>
      <w:pPr>
        <w:pStyle w:val="1014"/>
        <w:numPr>
          <w:ilvl w:val="1"/>
          <w:numId w:val="10"/>
        </w:numPr>
        <w:ind w:left="0" w:firstLine="567"/>
        <w:jc w:val="both"/>
        <w:keepNext w:val="0"/>
        <w:spacing w:after="0"/>
        <w:tabs>
          <w:tab w:val="clear" w:pos="576" w:leader="none"/>
          <w:tab w:val="num" w:pos="1134" w:leader="none"/>
        </w:tabs>
        <w:rPr>
          <w:i/>
          <w:sz w:val="24"/>
          <w:szCs w:val="24"/>
        </w:rPr>
      </w:pPr>
      <w:r/>
      <w:bookmarkStart w:id="72" w:name="_Toc80"/>
      <w:r>
        <w:rPr>
          <w:i/>
          <w:sz w:val="24"/>
          <w:szCs w:val="24"/>
        </w:rPr>
        <w:t xml:space="preserve">Переторжка</w:t>
      </w:r>
      <w:bookmarkEnd w:id="72"/>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При проведении закупки в электронной форме переторжка проводится в обязательном порядке. Переторжка может быть проведена неограниченное количество раз.</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Переторжка проводится при условии допуска к участию в закупке одного и более участников. Участник закупки вправе не участвовать в переторжке, в этом случае его заявка остается действующей с ранее объявленной ценой.</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Процедура переторжки проводится на ЕЭТП в заочной либо очной (on-line) форме (</w:t>
      </w:r>
      <w:r>
        <w:rPr>
          <w:rFonts w:ascii="Times New Roman" w:hAnsi="Times New Roman" w:cs="Times New Roman"/>
          <w:b w:val="0"/>
          <w:bCs w:val="0"/>
        </w:rPr>
        <w:t xml:space="preserve">при наличии данного функционала на ЕЭТП). Решение о форме переторжки принимает ПДЗК. Порядок проведения определяется правилами и требованиями регламента, и инструкцией пользователя ЕЭТП. Участники уведомляются о проведении переторжки автоматически через ЕЭТП.</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ходе переторжки участник закупки вправе подавать ценовые предложения при собственном лидирующем (</w:t>
      </w:r>
      <w:r>
        <w:rPr>
          <w:rFonts w:ascii="Times New Roman" w:hAnsi="Times New Roman" w:cs="Times New Roman"/>
          <w:b w:val="0"/>
          <w:bCs w:val="0"/>
        </w:rPr>
        <w:t xml:space="preserve">наилучшем) ценовом предложении. Заявка участника по ухудшению первоначальных условий не рассматриваются, такой участник считается не участвовавшим в переторжке, при этом его заявка на участие в процедуре остается действующим с ранее объявленными условиями.</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При проведении переторжки в очной (on-line) форме с установлением шага переторжки в период с момента начала переторжки на ЕЭТП Участник, </w:t>
      </w:r>
      <w:r>
        <w:rPr>
          <w:rFonts w:ascii="Times New Roman" w:hAnsi="Times New Roman" w:cs="Times New Roman"/>
          <w:b w:val="0"/>
          <w:bCs w:val="0"/>
        </w:rPr>
        <w:t xml:space="preserve">приглашенный к участию в процедуре переторжки и желающий повысить предпочтительность своей заявки путем снижения </w:t>
      </w:r>
      <w:r>
        <w:rPr>
          <w:rFonts w:ascii="Times New Roman" w:hAnsi="Times New Roman" w:cs="Times New Roman"/>
          <w:b w:val="0"/>
          <w:bCs w:val="0"/>
        </w:rPr>
        <w:t xml:space="preserve">стоимости единичных расценок</w:t>
      </w:r>
      <w:r>
        <w:rPr>
          <w:rFonts w:ascii="Times New Roman" w:hAnsi="Times New Roman" w:cs="Times New Roman"/>
          <w:b w:val="0"/>
          <w:bCs w:val="0"/>
        </w:rPr>
        <w:t xml:space="preserve">, должен заявить в режиме реального времени</w:t>
      </w:r>
      <w:r/>
      <w:r>
        <w:rPr>
          <w:rFonts w:ascii="Times New Roman" w:hAnsi="Times New Roman" w:cs="Times New Roman"/>
          <w:b w:val="0"/>
          <w:bCs w:val="0"/>
        </w:rPr>
      </w:r>
      <w:r>
        <w:rPr>
          <w:rFonts w:ascii="Times New Roman" w:hAnsi="Times New Roman" w:cs="Times New Roman"/>
          <w:b w:val="0"/>
          <w:bCs w:val="0"/>
        </w:rPr>
        <w:t xml:space="preserve"> на ЕЭТП «окончательную» цену в соответствии с регламентом работы ЕЭТП. Снижение стоимости единичных расценок заявки может производиться Участником поэтапно с учетом шага пер</w:t>
      </w:r>
      <w:r>
        <w:rPr>
          <w:rFonts w:ascii="Times New Roman" w:hAnsi="Times New Roman" w:cs="Times New Roman"/>
          <w:b w:val="0"/>
          <w:bCs w:val="0"/>
        </w:rPr>
        <w:t xml:space="preserve">еторжки до момента окончания переторжки. </w:t>
      </w:r>
      <w:r>
        <w:rPr>
          <w:rFonts w:ascii="Times New Roman" w:hAnsi="Times New Roman" w:cs="Times New Roman"/>
          <w:b w:val="0"/>
          <w:bCs w:val="0"/>
        </w:rPr>
        <w:t xml:space="preserve">Цена, указанная участником, может быть больше суммы шага. Изменение </w:t>
      </w:r>
      <w:r>
        <w:rPr>
          <w:rFonts w:ascii="Times New Roman" w:hAnsi="Times New Roman" w:cs="Times New Roman"/>
          <w:b w:val="0"/>
          <w:bCs w:val="0"/>
        </w:rPr>
        <w:t xml:space="preserve">стоимости единичных расценок </w:t>
      </w:r>
      <w:r>
        <w:rPr>
          <w:rFonts w:ascii="Times New Roman" w:hAnsi="Times New Roman" w:cs="Times New Roman"/>
          <w:b w:val="0"/>
          <w:bCs w:val="0"/>
        </w:rPr>
        <w:t xml:space="preserve">заявки не должно повлечь за собой изменение иных условий предложения. Прием предложений по снижению цен заявок прекращается на Е</w:t>
      </w:r>
      <w:r>
        <w:rPr>
          <w:rFonts w:ascii="Times New Roman" w:hAnsi="Times New Roman" w:cs="Times New Roman"/>
          <w:b w:val="0"/>
          <w:bCs w:val="0"/>
        </w:rPr>
        <w:t xml:space="preserve">ЭТП в момент окончания переторжки. Шаг переторжки определяется в зависимости от начальной (максимальной) </w:t>
      </w:r>
      <w:r>
        <w:rPr>
          <w:rFonts w:ascii="Times New Roman" w:hAnsi="Times New Roman" w:cs="Times New Roman"/>
          <w:b w:val="0"/>
          <w:bCs w:val="0"/>
        </w:rPr>
        <w:t xml:space="preserve">стоимости единичных расценок</w:t>
      </w:r>
      <w:r>
        <w:rPr>
          <w:rFonts w:ascii="Times New Roman" w:hAnsi="Times New Roman" w:cs="Times New Roman"/>
          <w:b w:val="0"/>
          <w:bCs w:val="0"/>
        </w:rPr>
        <w:t xml:space="preserve"> с учетом НДС (либо без НДС, если закупка продукции не облагается НДС либо НДС равен 0) и указывается в пункте 7 части II </w:t>
      </w:r>
      <w:r>
        <w:rPr>
          <w:rFonts w:ascii="Times New Roman" w:hAnsi="Times New Roman" w:cs="Times New Roman"/>
          <w:b w:val="0"/>
          <w:bCs w:val="0"/>
        </w:rPr>
        <w:t xml:space="preserve">«</w:t>
      </w:r>
      <w:r>
        <w:rPr>
          <w:rFonts w:ascii="Times New Roman" w:hAnsi="Times New Roman" w:cs="Times New Roman"/>
          <w:b w:val="0"/>
          <w:bCs w:val="0"/>
        </w:rPr>
        <w:t xml:space="preserve">ИНФОРМАЦИОННАЯ КАРТА ЗАКУПКИ</w:t>
      </w:r>
      <w:r>
        <w:rPr>
          <w:rFonts w:ascii="Times New Roman" w:hAnsi="Times New Roman" w:cs="Times New Roman"/>
          <w:b w:val="0"/>
          <w:bCs w:val="0"/>
        </w:rPr>
        <w:t xml:space="preserve">»</w:t>
      </w:r>
      <w:r/>
      <w:r>
        <w:rPr>
          <w:rFonts w:ascii="Times New Roman" w:hAnsi="Times New Roman" w:cs="Times New Roman"/>
          <w:b w:val="0"/>
          <w:bCs w:val="0"/>
        </w:rPr>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w:t>
      </w:r>
      <w:r>
        <w:rPr>
          <w:rFonts w:ascii="Times New Roman" w:hAnsi="Times New Roman" w:cs="Times New Roman"/>
          <w:b w:val="0"/>
          <w:bCs w:val="0"/>
        </w:rPr>
        <w:t xml:space="preserve">и проведении переторжки в заочной форме Участник, приглашенный к участию в процедуре переторжки и желающий повысить предпочтительность своей заявки путем снижения его стоимости единичных расценок, должен заявить на ЕЭТП «окончательную» цену в соответствии с регламентом работы ЕЭТП.</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Дата проведения первой процедуры пере</w:t>
      </w:r>
      <w:r>
        <w:rPr>
          <w:rFonts w:ascii="Times New Roman" w:hAnsi="Times New Roman" w:cs="Times New Roman"/>
          <w:b w:val="0"/>
          <w:bCs w:val="0"/>
        </w:rPr>
        <w:t xml:space="preserve">торжки указывается Организатором в пункте 7 части II «ИНФОРМАЦИОННАЯ КАРТА ЗАКУПКИ». Дата и время проведения повторных процедур переторжки указывается на сайте электронной площадки, информация, о чем доводится до сведения участников закупки средствами ЕЭТП.</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rPr>
      </w:pPr>
      <w:r>
        <w:rPr>
          <w:rFonts w:ascii="Times New Roman" w:hAnsi="Times New Roman" w:cs="Times New Roman"/>
          <w:b w:val="0"/>
          <w:bCs w:val="0"/>
        </w:rPr>
        <w:t xml:space="preserve">По результатам</w:t>
      </w:r>
      <w:r>
        <w:rPr>
          <w:rFonts w:ascii="Times New Roman" w:hAnsi="Times New Roman" w:cs="Times New Roman"/>
          <w:b w:val="0"/>
        </w:rPr>
        <w:t xml:space="preserve"> переторжки составляется протокол, в котором указывается информация, предусмотренная Законом 223-ФЗ и Положением о закупке Заказчика.</w:t>
      </w:r>
      <w:r>
        <w:rPr>
          <w:rFonts w:ascii="Times New Roman" w:hAnsi="Times New Roman" w:cs="Times New Roman"/>
          <w:b w:val="0"/>
        </w:rPr>
      </w:r>
      <w:r>
        <w:rPr>
          <w:rFonts w:ascii="Times New Roman" w:hAnsi="Times New Roman" w:cs="Times New Roman"/>
          <w:b w:val="0"/>
        </w:rPr>
      </w:r>
    </w:p>
    <w:p>
      <w:pPr>
        <w:ind w:firstLine="567"/>
        <w:spacing w:after="0"/>
      </w:pPr>
      <w:r/>
      <w:r/>
    </w:p>
    <w:p>
      <w:pPr>
        <w:pStyle w:val="1014"/>
        <w:numPr>
          <w:ilvl w:val="1"/>
          <w:numId w:val="10"/>
        </w:numPr>
        <w:ind w:left="0" w:firstLine="567"/>
        <w:jc w:val="both"/>
        <w:keepNext w:val="0"/>
        <w:spacing w:after="0"/>
        <w:tabs>
          <w:tab w:val="clear" w:pos="576" w:leader="none"/>
          <w:tab w:val="num" w:pos="1134" w:leader="none"/>
        </w:tabs>
        <w:rPr>
          <w:i/>
          <w:sz w:val="24"/>
          <w:szCs w:val="24"/>
        </w:rPr>
      </w:pPr>
      <w:r/>
      <w:bookmarkStart w:id="73" w:name="_Toc81"/>
      <w:r>
        <w:rPr>
          <w:i/>
          <w:sz w:val="24"/>
          <w:szCs w:val="24"/>
        </w:rPr>
        <w:t xml:space="preserve">Подведение итогов</w:t>
      </w:r>
      <w:bookmarkEnd w:id="73"/>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Подведение итогов закупки осуществляется ПДЗК в сроки, установленные в пункте 8 части II «ИНФОРМАЦИОННАЯ КАРТА ЗАКУПКИ».</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rPr>
      </w:pPr>
      <w:r>
        <w:rPr>
          <w:rFonts w:ascii="Times New Roman" w:hAnsi="Times New Roman" w:cs="Times New Roman"/>
          <w:b w:val="0"/>
          <w:bCs w:val="0"/>
        </w:rPr>
        <w:t xml:space="preserve">В ра</w:t>
      </w:r>
      <w:r>
        <w:rPr>
          <w:rFonts w:ascii="Times New Roman" w:hAnsi="Times New Roman" w:cs="Times New Roman"/>
          <w:b w:val="0"/>
        </w:rPr>
        <w:t xml:space="preserve">мках подведения итогов осуществляется </w:t>
      </w:r>
      <w:r>
        <w:rPr>
          <w:rFonts w:ascii="Times New Roman" w:hAnsi="Times New Roman" w:cs="Times New Roman"/>
        </w:rPr>
        <w:t xml:space="preserve">рассмотрение </w:t>
      </w:r>
      <w:r>
        <w:rPr>
          <w:rFonts w:ascii="Times New Roman" w:hAnsi="Times New Roman" w:cs="Times New Roman"/>
          <w:bCs w:val="0"/>
        </w:rPr>
        <w:t xml:space="preserve">ценовых предложений участников</w:t>
      </w:r>
      <w:r>
        <w:rPr>
          <w:rFonts w:ascii="Times New Roman" w:hAnsi="Times New Roman" w:cs="Times New Roman"/>
          <w:b w:val="0"/>
          <w:bCs w:val="0"/>
        </w:rPr>
        <w:t xml:space="preserve"> на предмет соответствия их требованиям документации о закупке в порядке и по правилам, установленным п. 5.3 настоящей документации</w:t>
      </w:r>
      <w:r>
        <w:rPr>
          <w:rFonts w:ascii="Times New Roman" w:hAnsi="Times New Roman" w:cs="Times New Roman"/>
          <w:b w:val="0"/>
        </w:rPr>
        <w:t xml:space="preserve">, а также осуществляется оценка и сопоставление заявок участников, допущенных до участия в закупке. Заявки</w:t>
      </w:r>
      <w:r>
        <w:rPr>
          <w:rFonts w:ascii="Times New Roman" w:hAnsi="Times New Roman" w:cs="Times New Roman"/>
          <w:b w:val="0"/>
          <w:bCs w:val="0"/>
        </w:rPr>
        <w:t xml:space="preserve"> участников закупки оцениваются исходя из критериев и в порядке, установленном в приложении 1 части II «ИНФОРМАЦИОННАЯ КАРТА ЗАКУПКИ».</w:t>
      </w:r>
      <w:r>
        <w:t xml:space="preserve"> </w:t>
      </w:r>
      <w:r>
        <w:rPr>
          <w:rFonts w:ascii="Times New Roman" w:hAnsi="Times New Roman" w:cs="Times New Roman"/>
          <w:b w:val="0"/>
          <w:bCs w:val="0"/>
        </w:rPr>
        <w:t xml:space="preserve">Оценка заявок производится при условии допуска двух и более участников закупки.</w:t>
      </w:r>
      <w:r>
        <w:rPr>
          <w:rFonts w:ascii="Times New Roman" w:hAnsi="Times New Roman" w:cs="Times New Roman"/>
          <w:b w:val="0"/>
        </w:rPr>
      </w:r>
      <w:r>
        <w:rPr>
          <w:rFonts w:ascii="Times New Roman" w:hAnsi="Times New Roman" w:cs="Times New Roman"/>
          <w:b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Не допускается осуществлять оценку и сопоставление заявок на участие в закупке по критериям и в порядке, которые не указаны в до</w:t>
      </w:r>
      <w:r>
        <w:rPr>
          <w:rFonts w:ascii="Times New Roman" w:hAnsi="Times New Roman" w:cs="Times New Roman"/>
          <w:b w:val="0"/>
          <w:bCs w:val="0"/>
        </w:rPr>
        <w:t xml:space="preserve">кументации о закупке. Критерии и порядок оценки и сопоставления заявок на участие в закупке, установленные Организатором, применяются в равной степени ко всем участникам закупки, к предлагаемым ими товарам, работам, услугам, к условиям исполнения договора.</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Победителем закупки признается участник закупки, заявка на участие в закупке, которого соответствует требованиям, установленным документацией о закупке, и заявка, которого по результатам сопоставления заявок на основании указанных в документации о</w:t>
      </w:r>
      <w:r>
        <w:rPr>
          <w:rFonts w:ascii="Times New Roman" w:hAnsi="Times New Roman" w:cs="Times New Roman"/>
          <w:b w:val="0"/>
          <w:bCs w:val="0"/>
        </w:rPr>
        <w:t xml:space="preserve"> такой закупке критериев оценки содержит лучшие условия исполнения договора. 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ранее других заявок.</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По результатам осуществления оценки и сопоставления заявок составляется итоговый протокол, в котором указывается информация, предусмотренная Законом 223-ФЗ и Поло</w:t>
      </w:r>
      <w:r>
        <w:rPr>
          <w:rFonts w:ascii="Times New Roman" w:hAnsi="Times New Roman" w:cs="Times New Roman"/>
          <w:b w:val="0"/>
          <w:bCs w:val="0"/>
        </w:rPr>
        <w:t xml:space="preserve">жением о закупке Заказчика, в том числе основания отклонения каждой заявки на участие в закупке (в случае принятия ПДЗК соответствующего решения) с указанием положений документации о закупке и/или извещения о закупке, которым не соответствуют такие заявки,</w:t>
      </w:r>
      <w:r>
        <w:rPr>
          <w:rFonts w:ascii="Times New Roman" w:hAnsi="Times New Roman" w:cs="Times New Roman"/>
          <w:b w:val="0"/>
        </w:rPr>
        <w:t xml:space="preserve"> результаты оценки заявок на участие в закупке с указанием итогового решения ПДЗК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w:t>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Если до заключения договора по результатам закупки будет выявлено, что ПДЗК при проведении закупки допустила нарушение норм действующего законодательства, Стандарта и/или документации о закупке, повлекшие необоснованное решение о выборе </w:t>
      </w:r>
      <w:r>
        <w:rPr>
          <w:rFonts w:ascii="Times New Roman" w:hAnsi="Times New Roman" w:cs="Times New Roman"/>
          <w:b w:val="0"/>
          <w:bCs w:val="0"/>
        </w:rPr>
        <w:t xml:space="preserve">победителя закупки (единственного участника закупки, соответствующего требованиям документации о закупке), ПДЗК обязана отменить ранее принятые решения и провести процедуры рассмотрения, оценки и сопоставления заявок повторно с учетом выявленных нарушений.</w:t>
      </w:r>
      <w:r>
        <w:rPr>
          <w:rFonts w:ascii="Times New Roman" w:hAnsi="Times New Roman" w:cs="Times New Roman"/>
          <w:b w:val="0"/>
          <w:bCs w:val="0"/>
        </w:rPr>
      </w:r>
      <w:r>
        <w:rPr>
          <w:rFonts w:ascii="Times New Roman" w:hAnsi="Times New Roman" w:cs="Times New Roman"/>
          <w:b w:val="0"/>
          <w:bCs w:val="0"/>
        </w:rPr>
      </w:r>
    </w:p>
    <w:p>
      <w:r/>
      <w:r/>
    </w:p>
    <w:p>
      <w:pPr>
        <w:pStyle w:val="1014"/>
        <w:numPr>
          <w:ilvl w:val="1"/>
          <w:numId w:val="10"/>
        </w:numPr>
        <w:ind w:left="0" w:firstLine="567"/>
        <w:jc w:val="both"/>
        <w:keepNext w:val="0"/>
        <w:spacing w:after="0"/>
        <w:tabs>
          <w:tab w:val="clear" w:pos="576" w:leader="none"/>
          <w:tab w:val="num" w:pos="1134" w:leader="none"/>
        </w:tabs>
        <w:rPr>
          <w:i/>
          <w:sz w:val="24"/>
          <w:szCs w:val="24"/>
        </w:rPr>
      </w:pPr>
      <w:r/>
      <w:bookmarkStart w:id="74" w:name="_Toc82"/>
      <w:r>
        <w:rPr>
          <w:i/>
          <w:sz w:val="24"/>
          <w:szCs w:val="24"/>
        </w:rPr>
        <w:t xml:space="preserve">Признание закупки несостоявшейся</w:t>
      </w:r>
      <w:bookmarkEnd w:id="74"/>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Заказчика. </w:t>
      </w:r>
      <w:r>
        <w:rPr>
          <w:rFonts w:ascii="Times New Roman" w:hAnsi="Times New Roman" w:cs="Times New Roman"/>
          <w:b w:val="0"/>
          <w:bCs w:val="0"/>
        </w:rPr>
      </w:r>
      <w:r>
        <w:rPr>
          <w:rFonts w:ascii="Times New Roman" w:hAnsi="Times New Roman" w:cs="Times New Roman"/>
          <w:b w:val="0"/>
          <w:bCs w:val="0"/>
        </w:rPr>
      </w:r>
    </w:p>
    <w:p>
      <w:pPr>
        <w:spacing w:after="0"/>
      </w:pPr>
      <w:r/>
      <w:r/>
    </w:p>
    <w:p>
      <w:pPr>
        <w:pStyle w:val="1014"/>
        <w:numPr>
          <w:ilvl w:val="1"/>
          <w:numId w:val="10"/>
        </w:numPr>
        <w:ind w:left="0" w:firstLine="567"/>
        <w:jc w:val="both"/>
        <w:keepNext w:val="0"/>
        <w:spacing w:after="0"/>
        <w:tabs>
          <w:tab w:val="clear" w:pos="576" w:leader="none"/>
          <w:tab w:val="num" w:pos="1134" w:leader="none"/>
        </w:tabs>
        <w:rPr>
          <w:i/>
          <w:sz w:val="24"/>
          <w:szCs w:val="24"/>
        </w:rPr>
      </w:pPr>
      <w:r/>
      <w:bookmarkStart w:id="75" w:name="_Toc83"/>
      <w:r>
        <w:rPr>
          <w:i/>
          <w:sz w:val="24"/>
          <w:szCs w:val="24"/>
        </w:rPr>
        <w:t xml:space="preserve">Рассмотрение жалоб и обращений участников закупки</w:t>
      </w:r>
      <w:bookmarkEnd w:id="75"/>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Рассмотрение жалоб и обращений участников закупки осуществляется в порядке, предусмотренном Положением о закупке Заказчика.</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Ор</w:t>
      </w:r>
      <w:r>
        <w:rPr>
          <w:rFonts w:ascii="Times New Roman" w:hAnsi="Times New Roman" w:cs="Times New Roman"/>
          <w:b w:val="0"/>
          <w:bCs w:val="0"/>
        </w:rPr>
        <w:t xml:space="preserve">ганизатора, указанный в извещении о закупке и документации о закупке, запрос о разъяснении причин отклонения заявки такого участника. Организатор обязан ответить на такой запрос в срок не позднее 10 (десяти) рабочих дней с момента получения такого запроса.</w:t>
      </w:r>
      <w:r>
        <w:rPr>
          <w:rFonts w:ascii="Times New Roman" w:hAnsi="Times New Roman" w:cs="Times New Roman"/>
          <w:b w:val="0"/>
          <w:bCs w:val="0"/>
        </w:rPr>
      </w:r>
      <w:r>
        <w:rPr>
          <w:rFonts w:ascii="Times New Roman" w:hAnsi="Times New Roman" w:cs="Times New Roman"/>
          <w:b w:val="0"/>
          <w:bCs w:val="0"/>
        </w:rPr>
      </w:r>
    </w:p>
    <w:p>
      <w:pPr>
        <w:spacing w:after="0"/>
      </w:pPr>
      <w:r/>
      <w:r/>
    </w:p>
    <w:p>
      <w:pPr>
        <w:pStyle w:val="1014"/>
        <w:numPr>
          <w:ilvl w:val="1"/>
          <w:numId w:val="10"/>
        </w:numPr>
        <w:ind w:left="0" w:firstLine="567"/>
        <w:jc w:val="both"/>
        <w:keepNext w:val="0"/>
        <w:spacing w:after="0"/>
        <w:tabs>
          <w:tab w:val="clear" w:pos="576" w:leader="none"/>
          <w:tab w:val="num" w:pos="1134" w:leader="none"/>
        </w:tabs>
        <w:rPr>
          <w:i/>
          <w:sz w:val="24"/>
          <w:szCs w:val="24"/>
        </w:rPr>
      </w:pPr>
      <w:r/>
      <w:bookmarkStart w:id="76" w:name="_Toc84"/>
      <w:r>
        <w:rPr>
          <w:i/>
          <w:sz w:val="24"/>
          <w:szCs w:val="24"/>
        </w:rPr>
        <w:t xml:space="preserve">Проведение преддоговорных переговоров</w:t>
      </w:r>
      <w:bookmarkEnd w:id="76"/>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После подведения итогов закупки Заказчик вправе провести преддоговорные переговоры с участником, признанным победителем (единственным участником закупки, с которым планируется заключить договор). </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Преддоговорные </w:t>
      </w:r>
      <w:r>
        <w:rPr>
          <w:rFonts w:ascii="Times New Roman" w:hAnsi="Times New Roman" w:cs="Times New Roman"/>
          <w:b w:val="0"/>
          <w:bCs w:val="0"/>
        </w:rPr>
      </w:r>
      <w:r>
        <w:rPr>
          <w:rFonts w:ascii="Times New Roman" w:hAnsi="Times New Roman" w:cs="Times New Roman"/>
          <w:b w:val="0"/>
          <w:bCs w:val="0"/>
        </w:rPr>
        <w:t xml:space="preserve">переговоры могут касаться вопросов снижения цены договора/</w:t>
      </w:r>
      <w:r>
        <w:rPr>
          <w:rFonts w:ascii="Times New Roman" w:hAnsi="Times New Roman" w:cs="Times New Roman"/>
          <w:b w:val="0"/>
          <w:bCs w:val="0"/>
        </w:rPr>
        <w:t xml:space="preserve">стоимости единичных расценок</w:t>
      </w:r>
      <w:r>
        <w:rPr>
          <w:rFonts w:ascii="Times New Roman" w:hAnsi="Times New Roman" w:cs="Times New Roman"/>
          <w:b w:val="0"/>
          <w:bCs w:val="0"/>
        </w:rPr>
        <w:t xml:space="preserve"> без изменения объема закупаемой продукции и иных условий исполнения договора</w:t>
      </w:r>
      <w:r/>
      <w:r>
        <w:rPr>
          <w:rFonts w:ascii="Times New Roman" w:hAnsi="Times New Roman" w:cs="Times New Roman"/>
          <w:b w:val="0"/>
          <w:bCs w:val="0"/>
        </w:rPr>
        <w:t xml:space="preserve">.</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Проведение преддоговорны</w:t>
      </w:r>
      <w:r>
        <w:rPr>
          <w:rFonts w:ascii="Times New Roman" w:hAnsi="Times New Roman" w:cs="Times New Roman"/>
          <w:b w:val="0"/>
          <w:bCs w:val="0"/>
        </w:rPr>
        <w:t xml:space="preserve">х переговоров не должно давать преимущественных условий победителю (единственному участнику закупки, с которым планируется заключить договор). Результаты проведения преддоговорных переговоров оформляются соглашением о проведении преддоговорных переговоров.</w:t>
      </w:r>
      <w:r>
        <w:rPr>
          <w:rFonts w:ascii="Times New Roman" w:hAnsi="Times New Roman" w:cs="Times New Roman"/>
          <w:b w:val="0"/>
          <w:bCs w:val="0"/>
        </w:rPr>
      </w:r>
      <w:r>
        <w:rPr>
          <w:rFonts w:ascii="Times New Roman" w:hAnsi="Times New Roman" w:cs="Times New Roman"/>
          <w:b w:val="0"/>
          <w:bCs w:val="0"/>
        </w:rPr>
      </w:r>
    </w:p>
    <w:p>
      <w:pPr>
        <w:spacing w:after="0"/>
      </w:pPr>
      <w:r/>
      <w:r/>
    </w:p>
    <w:p>
      <w:pPr>
        <w:pStyle w:val="1013"/>
        <w:numPr>
          <w:ilvl w:val="0"/>
          <w:numId w:val="1"/>
        </w:numPr>
        <w:ind w:left="0" w:firstLine="567"/>
        <w:jc w:val="both"/>
        <w:keepNext w:val="0"/>
        <w:spacing w:before="0" w:after="0"/>
        <w:tabs>
          <w:tab w:val="left" w:pos="993" w:leader="none"/>
        </w:tabs>
        <w:rPr>
          <w:i/>
          <w:sz w:val="24"/>
          <w:szCs w:val="24"/>
        </w:rPr>
      </w:pPr>
      <w:r/>
      <w:bookmarkStart w:id="77" w:name="Par110"/>
      <w:r/>
      <w:bookmarkStart w:id="78" w:name="Par144"/>
      <w:r/>
      <w:bookmarkStart w:id="79" w:name="_Toc85"/>
      <w:r/>
      <w:bookmarkEnd w:id="70"/>
      <w:r/>
      <w:bookmarkEnd w:id="77"/>
      <w:r/>
      <w:bookmarkEnd w:id="78"/>
      <w:r>
        <w:rPr>
          <w:i/>
          <w:sz w:val="24"/>
          <w:szCs w:val="24"/>
        </w:rPr>
        <w:t xml:space="preserve">ЗАКЛЮЧЕНИЕ, ИЗМЕНЕНИЕ И РАСТОРЖЕНИЕ ДОГОВОРА</w:t>
      </w:r>
      <w:bookmarkEnd w:id="79"/>
      <w:r>
        <w:rPr>
          <w:i/>
          <w:sz w:val="24"/>
          <w:szCs w:val="24"/>
        </w:rPr>
      </w:r>
      <w:r>
        <w:rPr>
          <w:i/>
          <w:sz w:val="24"/>
          <w:szCs w:val="24"/>
        </w:rPr>
      </w:r>
    </w:p>
    <w:p>
      <w:pPr>
        <w:pStyle w:val="1014"/>
        <w:numPr>
          <w:ilvl w:val="1"/>
          <w:numId w:val="10"/>
        </w:numPr>
        <w:ind w:left="0" w:firstLine="567"/>
        <w:jc w:val="both"/>
        <w:keepNext w:val="0"/>
        <w:spacing w:after="0"/>
        <w:tabs>
          <w:tab w:val="clear" w:pos="576" w:leader="none"/>
          <w:tab w:val="num" w:pos="1134" w:leader="none"/>
        </w:tabs>
        <w:rPr>
          <w:i/>
          <w:sz w:val="24"/>
          <w:szCs w:val="24"/>
        </w:rPr>
      </w:pPr>
      <w:r/>
      <w:bookmarkStart w:id="80" w:name="_Toc86"/>
      <w:r/>
      <w:bookmarkStart w:id="81" w:name="_Ref130891676"/>
      <w:r>
        <w:rPr>
          <w:i/>
          <w:sz w:val="24"/>
          <w:szCs w:val="24"/>
        </w:rPr>
        <w:t xml:space="preserve">Срок и порядок заключения договора</w:t>
      </w:r>
      <w:bookmarkEnd w:id="80"/>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rPr>
        <w:t xml:space="preserve">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победителя </w:t>
      </w:r>
      <w:r>
        <w:rPr>
          <w:rFonts w:ascii="Times New Roman" w:hAnsi="Times New Roman" w:cs="Times New Roman"/>
          <w:b w:val="0"/>
          <w:bCs w:val="0"/>
        </w:rPr>
        <w:t xml:space="preserve">такой закупки, с которым заключается договор с учетом результатов преддоговорных переговоров в случае их проведения. По результатам закупки с участником может быть заключено также несколько договоров.</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Заказчиком может быть предусмотрена возможность заключения договора по результатам закупки с несколькими участниками, признан</w:t>
      </w:r>
      <w:r>
        <w:rPr>
          <w:rFonts w:ascii="Times New Roman" w:hAnsi="Times New Roman" w:cs="Times New Roman"/>
          <w:b w:val="0"/>
          <w:bCs w:val="0"/>
        </w:rPr>
        <w:t xml:space="preserve">ными победителями закупки. Информация об установлении такой возможности указывается в пункте 19 части II «ИНФОРМАЦИОННАЯ КАРТА ЗАКУПКИ». Порядок выбора нескольких победителей закупки устанавливается в Приложении 1 к части II «ИНФОРМАЦИОННАЯ КАРТА ЗАКУПКИ».</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Дого</w:t>
      </w:r>
      <w:r>
        <w:rPr>
          <w:rFonts w:ascii="Times New Roman" w:hAnsi="Times New Roman" w:cs="Times New Roman"/>
          <w:b w:val="0"/>
          <w:bCs w:val="0"/>
        </w:rPr>
        <w:t xml:space="preserve">вор по результатам закупки заключается в срок не ранее чем через десять дней и не позднее чем через двадцать дней с даты размещения в ЕИС итогового протокола. В случае необходимости одобрения органом управления Заказчика в соответствии с законодательством </w:t>
      </w:r>
      <w:r>
        <w:rPr>
          <w:rFonts w:ascii="Times New Roman" w:hAnsi="Times New Roman" w:cs="Times New Roman"/>
          <w:b w:val="0"/>
          <w:bCs w:val="0"/>
        </w:rPr>
        <w:t xml:space="preserve">Российской Федерации заключения договора или в случае обжалования в антимонопольном органе либо в судебном порядке действий (бездействия) Заказчика, ПДЗК, оператора электронной площадки договор должен быть заключен в сроки, установленные законодательством.</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Заказчик направляет учас</w:t>
      </w:r>
      <w:r>
        <w:rPr>
          <w:rFonts w:ascii="Times New Roman" w:hAnsi="Times New Roman" w:cs="Times New Roman"/>
          <w:b w:val="0"/>
          <w:bCs w:val="0"/>
        </w:rPr>
        <w:t xml:space="preserve">тнику закупки на адрес, указанный в заявке такого участника (путем направления электронного документа, либо путем направления бумажной версии документа) проект договора в течение 2 (двух) рабочих дней с даты согласования проекта договора в соответствии с п</w:t>
      </w:r>
      <w:r>
        <w:rPr>
          <w:rFonts w:ascii="Times New Roman" w:hAnsi="Times New Roman" w:cs="Times New Roman"/>
          <w:b w:val="0"/>
          <w:bCs w:val="0"/>
        </w:rPr>
        <w:t xml:space="preserve">орядком, установленным внутренними организационно-распорядительными документами Заказчика, но не ранее чем через 10 (десять) дней с даты размещения в ЕИС итогового протокола по результатам закупки. Участник подписывает проект договора в течение 3 (трех) ра</w:t>
      </w:r>
      <w:r>
        <w:rPr>
          <w:rFonts w:ascii="Times New Roman" w:hAnsi="Times New Roman" w:cs="Times New Roman"/>
          <w:b w:val="0"/>
          <w:bCs w:val="0"/>
        </w:rPr>
        <w:t xml:space="preserve">бочих дней и направляет его Заказчику. Заказчик после получения проекта договора, подписанного участником, обеспечивает подписание такого договора в срок, не превышающий 20 (двадцати) дней с даты размещения в ЕИС итогового протокола по результатам закупки.</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w:t>
      </w:r>
      <w:r>
        <w:rPr>
          <w:rFonts w:ascii="Times New Roman" w:hAnsi="Times New Roman" w:cs="Times New Roman"/>
          <w:b w:val="0"/>
          <w:bCs w:val="0"/>
        </w:rPr>
        <w:t xml:space="preserve">договора, не соответствующим извещению о закупке, документации о закупке и своей заявки, с указанием соответствующих положений данных документов. Протокол разногласий направляется Заказчику в срок не более 2 (двух) рабочих дней с момента получения проекта </w:t>
      </w:r>
      <w:r>
        <w:rPr>
          <w:rFonts w:ascii="Times New Roman" w:hAnsi="Times New Roman" w:cs="Times New Roman"/>
          <w:b w:val="0"/>
          <w:bCs w:val="0"/>
        </w:rPr>
        <w:t xml:space="preserve">договора. Заказчик в срок не более 2 (двух) рабочих дней с момента получения протокола разногласий рассматривает протокол разногласий и н</w:t>
      </w:r>
      <w:r>
        <w:rPr>
          <w:rFonts w:ascii="Times New Roman" w:hAnsi="Times New Roman" w:cs="Times New Roman"/>
          <w:b w:val="0"/>
          <w:bCs w:val="0"/>
        </w:rPr>
        <w:t xml:space="preserve">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 </w:t>
      </w:r>
      <w:r>
        <w:rPr>
          <w:rFonts w:ascii="Times New Roman" w:hAnsi="Times New Roman" w:cs="Times New Roman"/>
          <w:b w:val="0"/>
          <w:bCs w:val="0"/>
        </w:rPr>
        <w:t xml:space="preserve">в срок не более 3 (трех) рабочих дней. Заказчик после получения проекта договора, подписанного участником, обеспечивает подписание такого договора в срок, не превышающий 20 (двадцати) дней с даты размещения в ЕИС итогового протокола по результатам закупки.</w:t>
      </w:r>
      <w:r>
        <w:rPr>
          <w:rFonts w:ascii="Times New Roman" w:hAnsi="Times New Roman" w:cs="Times New Roman"/>
          <w:b w:val="0"/>
          <w:bCs w:val="0"/>
        </w:rPr>
      </w:r>
      <w:r>
        <w:rPr>
          <w:rFonts w:ascii="Times New Roman" w:hAnsi="Times New Roman" w:cs="Times New Roman"/>
          <w:b w:val="0"/>
          <w:bCs w:val="0"/>
        </w:rPr>
      </w:r>
    </w:p>
    <w:p>
      <w:pPr>
        <w:spacing w:after="0"/>
      </w:pPr>
      <w:r/>
      <w:r/>
    </w:p>
    <w:p>
      <w:pPr>
        <w:pStyle w:val="1014"/>
        <w:numPr>
          <w:ilvl w:val="1"/>
          <w:numId w:val="10"/>
        </w:numPr>
        <w:ind w:left="0" w:firstLine="567"/>
        <w:jc w:val="both"/>
        <w:keepNext w:val="0"/>
        <w:spacing w:after="0"/>
        <w:tabs>
          <w:tab w:val="clear" w:pos="576" w:leader="none"/>
          <w:tab w:val="num" w:pos="1134" w:leader="none"/>
        </w:tabs>
        <w:rPr>
          <w:i/>
          <w:sz w:val="24"/>
          <w:szCs w:val="24"/>
        </w:rPr>
      </w:pPr>
      <w:r/>
      <w:bookmarkStart w:id="82" w:name="_Toc87"/>
      <w:r>
        <w:rPr>
          <w:i/>
          <w:sz w:val="24"/>
          <w:szCs w:val="24"/>
        </w:rPr>
        <w:t xml:space="preserve">Обеспечение исполнения договора, порядок предоставления такого обеспечения, требования к такому обеспечению</w:t>
      </w:r>
      <w:bookmarkEnd w:id="82"/>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Заказчик вправе установить в документации о закупке требование к обеспечению исполнения договора в размере не более 5 (пяти) процентов от начальной (максимальной) цены догов</w:t>
      </w:r>
      <w:r>
        <w:rPr>
          <w:rFonts w:ascii="Times New Roman" w:hAnsi="Times New Roman" w:cs="Times New Roman"/>
          <w:b w:val="0"/>
          <w:bCs w:val="0"/>
        </w:rPr>
        <w:t xml:space="preserve">ора, либо в размере аванса (если договором предусмотрена выплата аванса). Информация об установлении требования о предоставлении обеспечения исполнения договора и размер такого обеспечения указывается в пункте 16 раздела II «ИНФОРМАЦИОННАЯ КАРТА ЗАКУПКИ». </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Обеспечение исполнения договора может быть представлено в форме внесения денежных средств на счет Заказчика, указанный в пункте 17 раздела II «ИНФОРМАЦИ</w:t>
      </w:r>
      <w:r>
        <w:rPr>
          <w:rFonts w:ascii="Times New Roman" w:hAnsi="Times New Roman" w:cs="Times New Roman"/>
          <w:b w:val="0"/>
          <w:bCs w:val="0"/>
        </w:rPr>
        <w:t xml:space="preserve">ОННАЯ КАРТА ЗАКУПКИ» или в форме независимой гарантии. Выбор способа обеспечения исполнения договора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устанавливается в проекте договора.</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Денежные средства, внесенные в качестве обеспечения исполнения договора, возвращаются участнику в срок согласно разделу V «Проект договора» настоящей документации о закупке.</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rPr>
      </w:pPr>
      <w:r>
        <w:rPr>
          <w:rFonts w:ascii="Times New Roman" w:hAnsi="Times New Roman" w:cs="Times New Roman"/>
          <w:b w:val="0"/>
          <w:bCs w:val="0"/>
        </w:rPr>
        <w:t xml:space="preserve">В случае если по результатам закупки договор заключается </w:t>
      </w:r>
      <w:r>
        <w:rPr>
          <w:rFonts w:ascii="Times New Roman" w:hAnsi="Times New Roman" w:cs="Times New Roman"/>
          <w:b w:val="0"/>
          <w:bCs w:val="0"/>
        </w:rPr>
        <w:br/>
        <w:t xml:space="preserve">с организациями,</w:t>
      </w:r>
      <w:r>
        <w:rPr>
          <w:rFonts w:ascii="Times New Roman" w:hAnsi="Times New Roman" w:cs="Times New Roman"/>
          <w:b w:val="0"/>
        </w:rPr>
        <w:t xml:space="preserve"> в отношении которых иностранными государствами введены ограничительные меры, а также организациями, в отношении бенефициарных </w:t>
      </w:r>
      <w:r>
        <w:rPr>
          <w:rFonts w:ascii="Times New Roman" w:hAnsi="Times New Roman" w:cs="Times New Roman"/>
          <w:b w:val="0"/>
          <w:spacing w:val="-4"/>
        </w:rPr>
        <w:t xml:space="preserve">владельцев (если совокупная доля их прямого и (или) косвенного участия в этой</w:t>
      </w:r>
      <w:r>
        <w:rPr>
          <w:rFonts w:ascii="Times New Roman" w:hAnsi="Times New Roman" w:cs="Times New Roman"/>
          <w:b w:val="0"/>
        </w:rPr>
        <w:t xml:space="preserve"> организации составляет не ме</w:t>
      </w:r>
      <w:r>
        <w:rPr>
          <w:rFonts w:ascii="Times New Roman" w:hAnsi="Times New Roman" w:cs="Times New Roman"/>
          <w:b w:val="0"/>
        </w:rPr>
        <w:t xml:space="preserve">нее 25 процентов) которых иностранными государствами введены ограничительные меры, обеспечение исполнения договора может быть представлено в форме поручительства аффилированных с такими организациями - участниками закупки лиц (далее - Аффилированные лица):</w:t>
      </w:r>
      <w:r>
        <w:rPr>
          <w:rFonts w:ascii="Times New Roman" w:hAnsi="Times New Roman" w:cs="Times New Roman"/>
          <w:b w:val="0"/>
        </w:rPr>
      </w:r>
      <w:r>
        <w:rPr>
          <w:rFonts w:ascii="Times New Roman" w:hAnsi="Times New Roman" w:cs="Times New Roman"/>
          <w:b w:val="0"/>
        </w:rPr>
      </w:r>
    </w:p>
    <w:p>
      <w:pPr>
        <w:pStyle w:val="1334"/>
        <w:numPr>
          <w:ilvl w:val="0"/>
          <w:numId w:val="30"/>
        </w:numPr>
        <w:ind w:left="0" w:firstLine="567"/>
        <w:jc w:val="both"/>
        <w:tabs>
          <w:tab w:val="left" w:pos="0" w:leader="none"/>
          <w:tab w:val="left" w:pos="960" w:leader="none"/>
        </w:tabs>
      </w:pPr>
      <w:r>
        <w:t xml:space="preserve">обладающих кредитным рейтингом не ниже категории «А» </w:t>
      </w:r>
      <w:r>
        <w:br/>
        <w:t xml:space="preserve">по национальной рейтинговой шкале для Российской Федерации кредитного рейтингового агентства Аналитическое Кредитное Рейтинговое Агентство </w:t>
      </w:r>
      <w:r>
        <w:br/>
        <w:t xml:space="preserve">или кредитного рейтингового агентства Акционерное общество «Рейтинговое Агентство «Эксперт РА»;</w:t>
      </w:r>
      <w:r/>
    </w:p>
    <w:p>
      <w:pPr>
        <w:pStyle w:val="1334"/>
        <w:numPr>
          <w:ilvl w:val="0"/>
          <w:numId w:val="30"/>
        </w:numPr>
        <w:ind w:left="0" w:firstLine="567"/>
        <w:jc w:val="both"/>
        <w:tabs>
          <w:tab w:val="left" w:pos="0" w:leader="none"/>
          <w:tab w:val="left" w:pos="960" w:leader="none"/>
        </w:tabs>
      </w:pPr>
      <w:r>
        <w:t xml:space="preserve">представивших Заказчику сведения, подтверждающие платежеспособность Аффилированного лица, в том числе его ежегодную бухгалтерскую (финансовую) отчетность;</w:t>
      </w:r>
      <w:r/>
    </w:p>
    <w:p>
      <w:pPr>
        <w:pStyle w:val="1334"/>
        <w:numPr>
          <w:ilvl w:val="0"/>
          <w:numId w:val="30"/>
        </w:numPr>
        <w:ind w:left="0" w:firstLine="567"/>
        <w:jc w:val="both"/>
        <w:tabs>
          <w:tab w:val="left" w:pos="0" w:leader="none"/>
          <w:tab w:val="left" w:pos="960" w:leader="none"/>
        </w:tabs>
      </w:pPr>
      <w:r>
        <w:t xml:space="preserve">принявших обязательство письменно извещать Заказчика в течение </w:t>
      </w:r>
      <w:r>
        <w:br/>
        <w:t xml:space="preserve">3 рабочих дней со дня наступления следующих событий:</w:t>
      </w:r>
      <w:r/>
    </w:p>
    <w:p>
      <w:pPr>
        <w:numPr>
          <w:ilvl w:val="0"/>
          <w:numId w:val="29"/>
        </w:numPr>
        <w:ind w:firstLine="567"/>
        <w:spacing w:after="0"/>
        <w:tabs>
          <w:tab w:val="left" w:pos="0" w:leader="none"/>
          <w:tab w:val="left" w:pos="845" w:leader="none"/>
        </w:tabs>
      </w:pPr>
      <w:r>
        <w:t xml:space="preserve">предъявление к Аффилированному лицу имущественных требований, </w:t>
      </w:r>
      <w:r>
        <w:rPr>
          <w:spacing w:val="-2"/>
        </w:rPr>
        <w:t xml:space="preserve">превышающих 10 процентов балансовой стоимости активов Аффилированного</w:t>
      </w:r>
      <w:r>
        <w:t xml:space="preserve"> лица со стороны третьих лиц;</w:t>
      </w:r>
      <w:r/>
    </w:p>
    <w:p>
      <w:pPr>
        <w:numPr>
          <w:ilvl w:val="0"/>
          <w:numId w:val="29"/>
        </w:numPr>
        <w:ind w:firstLine="567"/>
        <w:spacing w:after="0"/>
        <w:tabs>
          <w:tab w:val="left" w:pos="0" w:leader="none"/>
          <w:tab w:val="left" w:pos="845" w:leader="none"/>
        </w:tabs>
      </w:pPr>
      <w:r>
        <w:t xml:space="preserve">возбуждение в отношении руководителя Аффилированного лица </w:t>
      </w:r>
      <w:r>
        <w:rPr>
          <w:spacing w:val="-2"/>
        </w:rPr>
        <w:t xml:space="preserve">уголовного дела в соответствии с уголовно-процессуальным законодательством</w:t>
      </w:r>
      <w:r>
        <w:t xml:space="preserve"> Российской Федерации;</w:t>
      </w:r>
      <w:r/>
    </w:p>
    <w:p>
      <w:pPr>
        <w:numPr>
          <w:ilvl w:val="0"/>
          <w:numId w:val="29"/>
        </w:numPr>
        <w:ind w:firstLine="567"/>
        <w:spacing w:after="0"/>
        <w:tabs>
          <w:tab w:val="left" w:pos="0" w:leader="none"/>
          <w:tab w:val="left" w:pos="845" w:leader="none"/>
        </w:tabs>
      </w:pPr>
      <w:r>
        <w:t xml:space="preserve">изменение местонахождения, учредительных документов, органов </w:t>
      </w:r>
      <w:r>
        <w:rPr>
          <w:spacing w:val="-2"/>
        </w:rPr>
        <w:t xml:space="preserve">управления Аффилированного лица, банковских реквизитов Аффилированного</w:t>
      </w:r>
      <w:r>
        <w:t xml:space="preserve"> лица;</w:t>
      </w:r>
      <w:r/>
    </w:p>
    <w:p>
      <w:pPr>
        <w:numPr>
          <w:ilvl w:val="0"/>
          <w:numId w:val="29"/>
        </w:numPr>
        <w:ind w:firstLine="567"/>
        <w:spacing w:after="0"/>
        <w:tabs>
          <w:tab w:val="left" w:pos="0" w:leader="none"/>
          <w:tab w:val="left" w:pos="845" w:leader="none"/>
        </w:tabs>
      </w:pPr>
      <w:r>
        <w:t xml:space="preserve">принятие решения о реорганизации или ликвидации Аффилированного лица;</w:t>
      </w:r>
      <w:r/>
    </w:p>
    <w:p>
      <w:pPr>
        <w:ind w:firstLine="567"/>
        <w:tabs>
          <w:tab w:val="left" w:pos="0" w:leader="none"/>
          <w:tab w:val="left" w:pos="1134" w:leader="none"/>
        </w:tabs>
      </w:pPr>
      <w:r>
        <w:rPr>
          <w:spacing w:val="-4"/>
        </w:rPr>
        <w:t xml:space="preserve">- </w:t>
      </w:r>
      <w:r>
        <w:t xml:space="preserve">принятие судом к производству заявления о признании Аффилированного лица несостоятельным (банкротом).</w:t>
      </w:r>
      <w:r/>
    </w:p>
    <w:p>
      <w:pPr>
        <w:pStyle w:val="1015"/>
        <w:numPr>
          <w:ilvl w:val="3"/>
          <w:numId w:val="10"/>
        </w:numPr>
        <w:ind w:left="0" w:firstLine="567"/>
        <w:keepNext w:val="0"/>
        <w:spacing w:before="0" w:after="0"/>
        <w:tabs>
          <w:tab w:val="clear" w:pos="1290" w:leader="none"/>
          <w:tab w:val="num" w:pos="1560" w:leader="none"/>
        </w:tabs>
        <w:rPr>
          <w:rFonts w:ascii="Times New Roman" w:hAnsi="Times New Roman" w:cs="Times New Roman"/>
          <w:b w:val="0"/>
          <w:bCs w:val="0"/>
        </w:rPr>
      </w:pPr>
      <w:r>
        <w:rPr>
          <w:rFonts w:ascii="Times New Roman" w:hAnsi="Times New Roman" w:cs="Times New Roman"/>
          <w:b w:val="0"/>
          <w:bCs w:val="0"/>
        </w:rPr>
        <w:t xml:space="preserve">При </w:t>
      </w:r>
      <w:r>
        <w:rPr>
          <w:rFonts w:ascii="Times New Roman" w:hAnsi="Times New Roman" w:cs="Times New Roman"/>
          <w:b w:val="0"/>
          <w:spacing w:val="-4"/>
        </w:rPr>
        <w:t xml:space="preserve">наступлении</w:t>
      </w:r>
      <w:r>
        <w:rPr>
          <w:rFonts w:ascii="Times New Roman" w:hAnsi="Times New Roman" w:cs="Times New Roman"/>
          <w:b w:val="0"/>
          <w:bCs w:val="0"/>
        </w:rPr>
        <w:t xml:space="preserve"> одного из указанных событий Заказчик вправе требовать замены </w:t>
      </w:r>
      <w:r>
        <w:rPr>
          <w:rFonts w:ascii="Times New Roman" w:hAnsi="Times New Roman" w:cs="Times New Roman"/>
          <w:b w:val="0"/>
        </w:rPr>
        <w:t xml:space="preserve">поручительства</w:t>
      </w:r>
      <w:r>
        <w:rPr>
          <w:rFonts w:ascii="Times New Roman" w:hAnsi="Times New Roman" w:cs="Times New Roman"/>
          <w:b w:val="0"/>
          <w:bCs w:val="0"/>
        </w:rPr>
        <w:t xml:space="preserve"> Аффилированного лица на независимую гарантию, на поручительство иного Аффилированного лица, иное обеспечение обязательств.</w:t>
      </w:r>
      <w:r>
        <w:rPr>
          <w:rFonts w:ascii="Times New Roman" w:hAnsi="Times New Roman" w:cs="Times New Roman"/>
          <w:b w:val="0"/>
          <w:bCs w:val="0"/>
        </w:rPr>
      </w:r>
      <w:r>
        <w:rPr>
          <w:rFonts w:ascii="Times New Roman" w:hAnsi="Times New Roman" w:cs="Times New Roman"/>
          <w:b w:val="0"/>
          <w:bCs w:val="0"/>
        </w:rPr>
      </w:r>
    </w:p>
    <w:p>
      <w:pPr>
        <w:spacing w:after="0"/>
        <w:tabs>
          <w:tab w:val="left" w:pos="1380" w:leader="none"/>
        </w:tabs>
      </w:pPr>
      <w:r>
        <w:tab/>
      </w:r>
      <w:r/>
    </w:p>
    <w:p>
      <w:pPr>
        <w:pStyle w:val="1014"/>
        <w:numPr>
          <w:ilvl w:val="1"/>
          <w:numId w:val="10"/>
        </w:numPr>
        <w:ind w:left="0" w:firstLine="567"/>
        <w:jc w:val="both"/>
        <w:keepNext w:val="0"/>
        <w:spacing w:after="0"/>
        <w:tabs>
          <w:tab w:val="clear" w:pos="576" w:leader="none"/>
          <w:tab w:val="num" w:pos="1134" w:leader="none"/>
        </w:tabs>
        <w:rPr>
          <w:i/>
          <w:sz w:val="24"/>
          <w:szCs w:val="24"/>
        </w:rPr>
      </w:pPr>
      <w:r/>
      <w:bookmarkStart w:id="83" w:name="_Ref536100618"/>
      <w:r/>
      <w:bookmarkStart w:id="84" w:name="_Toc88"/>
      <w:r>
        <w:rPr>
          <w:i/>
          <w:sz w:val="24"/>
          <w:szCs w:val="24"/>
        </w:rPr>
        <w:t xml:space="preserve">Требования к условиям независимой гарантии, выданной в качестве обеспечения исполнения договора</w:t>
      </w:r>
      <w:bookmarkEnd w:id="83"/>
      <w:r/>
      <w:bookmarkEnd w:id="84"/>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rPr>
      </w:pPr>
      <w:r>
        <w:rPr>
          <w:rFonts w:ascii="Times New Roman" w:hAnsi="Times New Roman" w:cs="Times New Roman"/>
          <w:b w:val="0"/>
          <w:bCs w:val="0"/>
        </w:rPr>
        <w:t xml:space="preserve">При</w:t>
      </w:r>
      <w:r>
        <w:rPr>
          <w:rFonts w:ascii="Times New Roman" w:hAnsi="Times New Roman"/>
          <w:b w:val="0"/>
        </w:rPr>
        <w:t xml:space="preserve"> </w:t>
      </w:r>
      <w:r>
        <w:rPr>
          <w:rFonts w:ascii="Times New Roman" w:hAnsi="Times New Roman" w:cs="Times New Roman"/>
          <w:b w:val="0"/>
        </w:rPr>
        <w:t xml:space="preserve">выборе участником закупки способа обеспечения исполнения договора в форме независимой гарантии, независимая гарантия должна быть составлена с учетом требований статей 368-379 Гражданского кодекса Российской Федерации и следующих условий: </w:t>
      </w:r>
      <w:r>
        <w:rPr>
          <w:rFonts w:ascii="Times New Roman" w:hAnsi="Times New Roman" w:cs="Times New Roman"/>
          <w:b w:val="0"/>
        </w:rPr>
      </w:r>
      <w:r>
        <w:rPr>
          <w:rFonts w:ascii="Times New Roman" w:hAnsi="Times New Roman" w:cs="Times New Roman"/>
          <w:b w:val="0"/>
        </w:rPr>
      </w:r>
    </w:p>
    <w:p>
      <w:pPr>
        <w:numPr>
          <w:ilvl w:val="0"/>
          <w:numId w:val="36"/>
        </w:numPr>
        <w:ind w:left="0" w:firstLine="567"/>
        <w:spacing w:after="0"/>
        <w:tabs>
          <w:tab w:val="left" w:pos="993" w:leader="none"/>
        </w:tabs>
      </w:pPr>
      <w:r>
        <w:t xml:space="preserve">независимая гарантия должна быть безотзывной;</w:t>
      </w:r>
      <w:r/>
    </w:p>
    <w:p>
      <w:pPr>
        <w:numPr>
          <w:ilvl w:val="0"/>
          <w:numId w:val="36"/>
        </w:numPr>
        <w:ind w:left="0" w:firstLine="567"/>
        <w:spacing w:after="0"/>
        <w:tabs>
          <w:tab w:val="left" w:pos="993" w:leader="none"/>
        </w:tabs>
      </w:pPr>
      <w:r>
        <w:t xml:space="preserve">в независимой гарантии должна быть предусмотрена безусловная обязанность гаранта оплатить сумму независимой гарантии полностью или частично по письменному требованию Бенефициара;</w:t>
      </w:r>
      <w:r/>
    </w:p>
    <w:p>
      <w:pPr>
        <w:numPr>
          <w:ilvl w:val="0"/>
          <w:numId w:val="36"/>
        </w:numPr>
        <w:ind w:left="0" w:firstLine="567"/>
        <w:spacing w:after="0"/>
        <w:tabs>
          <w:tab w:val="left" w:pos="993" w:leader="none"/>
        </w:tabs>
      </w:pPr>
      <w:r>
        <w:t xml:space="preserve">срок действия независимой гарантии должен заканчиваться не ранее, чем через 60 календарных дней после планируемой даты исполнения контрагентом обязательств, обеспеченных независимой гарантией;</w:t>
      </w:r>
      <w:r/>
    </w:p>
    <w:p>
      <w:pPr>
        <w:numPr>
          <w:ilvl w:val="0"/>
          <w:numId w:val="36"/>
        </w:numPr>
        <w:ind w:left="0" w:firstLine="567"/>
        <w:spacing w:after="0"/>
        <w:tabs>
          <w:tab w:val="left" w:pos="993" w:leader="none"/>
        </w:tabs>
      </w:pPr>
      <w:r>
        <w:t xml:space="preserve">независимая гарантия не должна предоставлять Гаранту возможность требовать от Бенефициара для совершения платежа по независимой гарантии предоставления каких-либо документов за исключением:</w:t>
      </w:r>
      <w:r/>
    </w:p>
    <w:p>
      <w:pPr>
        <w:pStyle w:val="1334"/>
        <w:numPr>
          <w:ilvl w:val="0"/>
          <w:numId w:val="35"/>
        </w:numPr>
        <w:contextualSpacing/>
        <w:ind w:left="0" w:firstLine="567"/>
        <w:jc w:val="both"/>
        <w:tabs>
          <w:tab w:val="left" w:pos="993" w:leader="none"/>
        </w:tabs>
      </w:pPr>
      <w:r>
        <w:t xml:space="preserve">надлежащим образом оформленного требования Бенефициара;</w:t>
      </w:r>
      <w:r/>
    </w:p>
    <w:p>
      <w:pPr>
        <w:pStyle w:val="1334"/>
        <w:numPr>
          <w:ilvl w:val="0"/>
          <w:numId w:val="35"/>
        </w:numPr>
        <w:contextualSpacing/>
        <w:ind w:left="0" w:firstLine="567"/>
        <w:jc w:val="both"/>
        <w:tabs>
          <w:tab w:val="left" w:pos="993" w:leader="none"/>
        </w:tabs>
      </w:pPr>
      <w:r>
        <w:t xml:space="preserve">документов, подтверждающих полномочия лица, подписавшего требование от имени Бенефициара;</w:t>
      </w:r>
      <w:r/>
    </w:p>
    <w:p>
      <w:pPr>
        <w:pStyle w:val="1334"/>
        <w:numPr>
          <w:ilvl w:val="0"/>
          <w:numId w:val="35"/>
        </w:numPr>
        <w:contextualSpacing/>
        <w:ind w:left="0" w:firstLine="567"/>
        <w:jc w:val="both"/>
        <w:tabs>
          <w:tab w:val="left" w:pos="993" w:leader="none"/>
        </w:tabs>
      </w:pPr>
      <w:r>
        <w:t xml:space="preserve">перечисленных в явном виде в тексте независимой гарантии информационных справок, для заверения которых достаточно подписи представителя Бенефициара.</w:t>
      </w:r>
      <w:r/>
    </w:p>
    <w:p>
      <w:pPr>
        <w:pStyle w:val="1015"/>
        <w:numPr>
          <w:ilvl w:val="2"/>
          <w:numId w:val="1"/>
        </w:numPr>
        <w:ind w:left="0" w:firstLine="567"/>
        <w:keepNext w:val="0"/>
        <w:spacing w:before="0" w:after="0"/>
        <w:tabs>
          <w:tab w:val="clear" w:pos="454" w:leader="none"/>
        </w:tabs>
        <w:rPr>
          <w:rFonts w:ascii="Times New Roman" w:hAnsi="Times New Roman" w:cs="Times New Roman"/>
          <w:b w:val="0"/>
          <w:bCs w:val="0"/>
        </w:rPr>
      </w:pPr>
      <w:r>
        <w:rPr>
          <w:rFonts w:ascii="Times New Roman" w:hAnsi="Times New Roman" w:cs="Times New Roman"/>
          <w:b w:val="0"/>
          <w:bCs w:val="0"/>
        </w:rPr>
        <w:t xml:space="preserve">Независимая гарантия предоставляется по форме, соответствующей приложению № 3 к Постановлению Правительства Российской Фед</w:t>
      </w:r>
      <w:r>
        <w:rPr>
          <w:rFonts w:ascii="Times New Roman" w:hAnsi="Times New Roman" w:cs="Times New Roman"/>
          <w:b w:val="0"/>
          <w:bCs w:val="0"/>
        </w:rPr>
        <w:t xml:space="preserve">ерации от 09.08.2022г.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w:t>
      </w:r>
      <w:r>
        <w:rPr>
          <w:rFonts w:ascii="Times New Roman" w:hAnsi="Times New Roman" w:cs="Times New Roman"/>
          <w:b w:val="0"/>
          <w:bCs w:val="0"/>
        </w:rPr>
        <w:t xml:space="preserve">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в случае ее отсутствия в проекте договора (раздел V «Проект дог</w:t>
      </w:r>
      <w:r>
        <w:rPr>
          <w:rFonts w:ascii="Times New Roman" w:hAnsi="Times New Roman" w:cs="Times New Roman"/>
          <w:b w:val="0"/>
          <w:bCs w:val="0"/>
        </w:rPr>
        <w:t xml:space="preserve">овора» документации о закупке).</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Вместе с независимой гарантией участник представляет документы, подтверждающие полномочия лица, подписавшего независимую гарантию от имени гаранта: доверенность на лицо, подписавшее независимую гарантию.</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Взыскание</w:t>
      </w:r>
      <w:r>
        <w:rPr>
          <w:rFonts w:ascii="Times New Roman" w:hAnsi="Times New Roman" w:cs="Times New Roman"/>
          <w:b w:val="0"/>
        </w:rPr>
        <w:t xml:space="preserve"> по независимой гарантии производится</w:t>
      </w:r>
      <w:r>
        <w:rPr>
          <w:rFonts w:ascii="Times New Roman" w:hAnsi="Times New Roman" w:cs="Times New Roman"/>
          <w:b w:val="0"/>
          <w:bCs w:val="0"/>
        </w:rPr>
        <w:t xml:space="preserve"> при наступлении обстоятельств, предусмотренных независимой гарантией. </w:t>
      </w:r>
      <w:r>
        <w:rPr>
          <w:rFonts w:ascii="Times New Roman" w:hAnsi="Times New Roman" w:cs="Times New Roman"/>
          <w:b w:val="0"/>
          <w:bCs w:val="0"/>
        </w:rPr>
      </w:r>
      <w:r>
        <w:rPr>
          <w:rFonts w:ascii="Times New Roman" w:hAnsi="Times New Roman" w:cs="Times New Roman"/>
          <w:b w:val="0"/>
          <w:bCs w:val="0"/>
        </w:rPr>
      </w:r>
    </w:p>
    <w:p>
      <w:pPr>
        <w:ind w:firstLine="567"/>
        <w:spacing w:after="0"/>
      </w:pPr>
      <w:r/>
      <w:r/>
    </w:p>
    <w:p>
      <w:pPr>
        <w:pStyle w:val="1014"/>
        <w:numPr>
          <w:ilvl w:val="1"/>
          <w:numId w:val="10"/>
        </w:numPr>
        <w:ind w:left="0" w:firstLine="567"/>
        <w:jc w:val="both"/>
        <w:keepNext w:val="0"/>
        <w:spacing w:after="0"/>
        <w:tabs>
          <w:tab w:val="clear" w:pos="576" w:leader="none"/>
          <w:tab w:val="num" w:pos="1134" w:leader="none"/>
        </w:tabs>
        <w:rPr>
          <w:i/>
          <w:sz w:val="24"/>
          <w:szCs w:val="24"/>
        </w:rPr>
      </w:pPr>
      <w:r/>
      <w:bookmarkStart w:id="85" w:name="_Toc89"/>
      <w:r>
        <w:rPr>
          <w:i/>
          <w:sz w:val="24"/>
          <w:szCs w:val="24"/>
        </w:rPr>
        <w:t xml:space="preserve">Отказ от заключения договора</w:t>
      </w:r>
      <w:bookmarkEnd w:id="85"/>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Заказчик отказывается от заключения договора с победителем (единственным участником закупки, с которым планируется заключить договор) в любой момент до заключения договора, если Заказчик или ПДЗК обнару</w:t>
      </w:r>
      <w:r>
        <w:rPr>
          <w:rFonts w:ascii="Times New Roman" w:hAnsi="Times New Roman" w:cs="Times New Roman"/>
          <w:b w:val="0"/>
          <w:bCs w:val="0"/>
        </w:rPr>
        <w:t xml:space="preserve">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bookmarkStart w:id="86" w:name="_Ref302129490"/>
      <w:r>
        <w:rPr>
          <w:rFonts w:ascii="Times New Roman" w:hAnsi="Times New Roman" w:cs="Times New Roman"/>
          <w:b w:val="0"/>
          <w:bCs w:val="0"/>
        </w:rPr>
        <w:t xml:space="preserve">Участник закупки, признанный победителем, утрачивает статус победителя, и его действия (бездействия) означают отказ от заключения договора в следующих случаях:</w:t>
      </w:r>
      <w:bookmarkEnd w:id="86"/>
      <w:r>
        <w:rPr>
          <w:rFonts w:ascii="Times New Roman" w:hAnsi="Times New Roman" w:cs="Times New Roman"/>
          <w:b w:val="0"/>
          <w:bCs w:val="0"/>
        </w:rPr>
      </w:r>
      <w:r>
        <w:rPr>
          <w:rFonts w:ascii="Times New Roman" w:hAnsi="Times New Roman" w:cs="Times New Roman"/>
          <w:b w:val="0"/>
          <w:bCs w:val="0"/>
        </w:rPr>
      </w:r>
    </w:p>
    <w:p>
      <w:pPr>
        <w:pStyle w:val="1359"/>
        <w:numPr>
          <w:ilvl w:val="0"/>
          <w:numId w:val="14"/>
        </w:numPr>
        <w:ind w:left="0" w:firstLine="567"/>
        <w:widowControl w:val="off"/>
        <w:tabs>
          <w:tab w:val="left" w:pos="0" w:leader="none"/>
          <w:tab w:val="left" w:pos="993" w:leader="none"/>
        </w:tabs>
        <w:rPr>
          <w:sz w:val="24"/>
          <w:szCs w:val="24"/>
        </w:rPr>
      </w:pPr>
      <w:r>
        <w:rPr>
          <w:sz w:val="24"/>
          <w:szCs w:val="24"/>
        </w:rPr>
        <w:t xml:space="preserve">уклонения или отказа участника закупки от заключения договора, в том числе путем предложения Заказчику внести существенные изменения, ухудшающие для Заказчика условия договора;</w:t>
      </w:r>
      <w:r>
        <w:rPr>
          <w:sz w:val="24"/>
          <w:szCs w:val="24"/>
        </w:rPr>
      </w:r>
      <w:r>
        <w:rPr>
          <w:sz w:val="24"/>
          <w:szCs w:val="24"/>
        </w:rPr>
      </w:r>
    </w:p>
    <w:p>
      <w:pPr>
        <w:pStyle w:val="1350"/>
        <w:numPr>
          <w:ilvl w:val="0"/>
          <w:numId w:val="14"/>
        </w:numPr>
        <w:ind w:left="0" w:firstLine="567"/>
        <w:jc w:val="both"/>
        <w:tabs>
          <w:tab w:val="left" w:pos="993" w:leader="none"/>
          <w:tab w:val="left" w:pos="1418" w:leader="none"/>
        </w:tabs>
        <w:rPr>
          <w:smallCaps/>
          <w:color w:val="auto"/>
        </w:rPr>
      </w:pPr>
      <w:r>
        <w:t xml:space="preserve">непредставления или представ</w:t>
      </w:r>
      <w:r>
        <w:t xml:space="preserve">ления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w:t>
      </w:r>
      <w:bookmarkEnd w:id="81"/>
      <w:r>
        <w:rPr>
          <w:smallCaps/>
          <w:color w:val="auto"/>
        </w:rPr>
      </w:r>
      <w:r>
        <w:rPr>
          <w:smallCaps/>
          <w:color w:val="auto"/>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В случае если победитель закупки будет признан уклонившимся от заключения договора, договор будет заключен Заказчиком с участником закупки, который предложил такие </w:t>
      </w:r>
      <w:r>
        <w:rPr>
          <w:rFonts w:ascii="Times New Roman" w:hAnsi="Times New Roman" w:cs="Times New Roman"/>
          <w:b w:val="0"/>
          <w:bCs w:val="0"/>
        </w:rPr>
        <w:t xml:space="preserve">же, как и победитель закупки, условия исполнения договора или заявка которого содержит лучшие условия исполнения договора, следующие после условий, предложенных победителем закупки.</w:t>
      </w:r>
      <w:r>
        <w:rPr>
          <w:rFonts w:ascii="Times New Roman" w:hAnsi="Times New Roman" w:cs="Times New Roman"/>
          <w:b w:val="0"/>
          <w:bCs w:val="0"/>
        </w:rPr>
      </w:r>
      <w:r>
        <w:rPr>
          <w:rFonts w:ascii="Times New Roman" w:hAnsi="Times New Roman" w:cs="Times New Roman"/>
          <w:b w:val="0"/>
          <w:bCs w:val="0"/>
        </w:rPr>
      </w:r>
    </w:p>
    <w:p>
      <w:r/>
      <w:r/>
    </w:p>
    <w:p>
      <w:pPr>
        <w:pStyle w:val="1014"/>
        <w:numPr>
          <w:ilvl w:val="1"/>
          <w:numId w:val="10"/>
        </w:numPr>
        <w:ind w:left="0" w:firstLine="567"/>
        <w:jc w:val="both"/>
        <w:keepNext w:val="0"/>
        <w:spacing w:after="0"/>
        <w:tabs>
          <w:tab w:val="clear" w:pos="576" w:leader="none"/>
          <w:tab w:val="num" w:pos="1134" w:leader="none"/>
        </w:tabs>
        <w:rPr>
          <w:i/>
          <w:sz w:val="24"/>
          <w:szCs w:val="24"/>
        </w:rPr>
      </w:pPr>
      <w:r/>
      <w:bookmarkStart w:id="87" w:name="_Toc90"/>
      <w:r>
        <w:rPr>
          <w:i/>
          <w:sz w:val="24"/>
          <w:szCs w:val="24"/>
        </w:rPr>
        <w:t xml:space="preserve">Изменение и расторжение договора</w:t>
      </w:r>
      <w:bookmarkEnd w:id="87"/>
      <w:r>
        <w:rPr>
          <w:i/>
          <w:sz w:val="24"/>
          <w:szCs w:val="24"/>
        </w:rPr>
      </w:r>
      <w:r>
        <w:rPr>
          <w:i/>
          <w:sz w:val="24"/>
          <w:szCs w:val="24"/>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Договор исполняется в соотв</w:t>
      </w:r>
      <w:r>
        <w:rPr>
          <w:rFonts w:ascii="Times New Roman" w:hAnsi="Times New Roman" w:cs="Times New Roman"/>
          <w:b w:val="0"/>
          <w:bCs w:val="0"/>
        </w:rPr>
        <w:t xml:space="preserve">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возможно в порядке, предусмотренном действующим законодательством и Положением о закупке Заказчика.</w:t>
      </w:r>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bookmarkStart w:id="88" w:name="_Ref119429963"/>
      <w:r>
        <w:rPr>
          <w:rFonts w:ascii="Times New Roman" w:hAnsi="Times New Roman" w:cs="Times New Roman"/>
          <w:b w:val="0"/>
          <w:bCs w:val="0"/>
        </w:rPr>
        <w:t xml:space="preserve">При исполн</w:t>
      </w:r>
      <w:r>
        <w:rPr>
          <w:rFonts w:ascii="Times New Roman" w:hAnsi="Times New Roman" w:cs="Times New Roman"/>
          <w:b w:val="0"/>
          <w:bCs w:val="0"/>
        </w:rPr>
        <w:t xml:space="preserve">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w:t>
      </w:r>
      <w:r>
        <w:rPr>
          <w:rFonts w:ascii="Times New Roman" w:hAnsi="Times New Roman" w:cs="Times New Roman"/>
          <w:b w:val="0"/>
          <w:bCs w:val="0"/>
        </w:rPr>
        <w:t xml:space="preserve">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bookmarkEnd w:id="88"/>
      <w:r>
        <w:rPr>
          <w:rFonts w:ascii="Times New Roman" w:hAnsi="Times New Roman" w:cs="Times New Roman"/>
          <w:b w:val="0"/>
          <w:bCs w:val="0"/>
        </w:rPr>
      </w:r>
      <w:r>
        <w:rPr>
          <w:rFonts w:ascii="Times New Roman" w:hAnsi="Times New Roman" w:cs="Times New Roman"/>
          <w:b w:val="0"/>
          <w:bCs w:val="0"/>
        </w:rPr>
      </w:r>
    </w:p>
    <w:p>
      <w:pPr>
        <w:pStyle w:val="1015"/>
        <w:numPr>
          <w:ilvl w:val="2"/>
          <w:numId w:val="1"/>
        </w:numPr>
        <w:ind w:left="0" w:firstLine="567"/>
        <w:keepNext w:val="0"/>
        <w:spacing w:before="0" w:after="0"/>
        <w:rPr>
          <w:rFonts w:ascii="Times New Roman" w:hAnsi="Times New Roman" w:cs="Times New Roman"/>
          <w:b w:val="0"/>
          <w:bCs w:val="0"/>
        </w:rPr>
      </w:pPr>
      <w:r>
        <w:rPr>
          <w:rFonts w:ascii="Times New Roman" w:hAnsi="Times New Roman" w:cs="Times New Roman"/>
          <w:b w:val="0"/>
          <w:bCs w:val="0"/>
        </w:rPr>
        <w:t xml:space="preserve">Расторжение договора, в том числе односторонний отказ от договора допускается по основаниям и в порядке, предусмотренном действующим законодательством и договором.</w:t>
      </w:r>
      <w:r>
        <w:rPr>
          <w:rFonts w:ascii="Times New Roman" w:hAnsi="Times New Roman" w:cs="Times New Roman"/>
          <w:b w:val="0"/>
          <w:bCs w:val="0"/>
        </w:rPr>
      </w:r>
      <w:r>
        <w:rPr>
          <w:rFonts w:ascii="Times New Roman" w:hAnsi="Times New Roman" w:cs="Times New Roman"/>
          <w:b w:val="0"/>
          <w:bCs w:val="0"/>
        </w:rPr>
      </w:r>
    </w:p>
    <w:p>
      <w:pPr>
        <w:pStyle w:val="1014"/>
        <w:ind w:left="0" w:firstLine="567"/>
        <w:jc w:val="both"/>
        <w:keepNext w:val="0"/>
        <w:spacing w:after="0"/>
        <w:tabs>
          <w:tab w:val="clear" w:pos="576" w:leader="none"/>
        </w:tabs>
        <w:rPr>
          <w:b w:val="0"/>
        </w:rPr>
      </w:pPr>
      <w:r>
        <w:rPr>
          <w:b w:val="0"/>
        </w:rPr>
        <w:br w:type="page" w:clear="all"/>
      </w:r>
      <w:r>
        <w:rPr>
          <w:b w:val="0"/>
        </w:rPr>
      </w:r>
      <w:r>
        <w:rPr>
          <w:b w:val="0"/>
        </w:rPr>
      </w:r>
    </w:p>
    <w:p>
      <w:pPr>
        <w:pStyle w:val="1013"/>
        <w:numPr>
          <w:ilvl w:val="0"/>
          <w:numId w:val="6"/>
        </w:numPr>
        <w:ind w:left="0" w:firstLine="567"/>
        <w:spacing w:before="0" w:after="0"/>
        <w:rPr>
          <w:rStyle w:val="1316"/>
          <w:b/>
          <w:bCs/>
          <w:i/>
          <w:sz w:val="24"/>
          <w:szCs w:val="24"/>
        </w:rPr>
      </w:pPr>
      <w:r/>
      <w:bookmarkStart w:id="89" w:name="_РАЗДЕЛ_I_3_ИНФОРМАЦИОННАЯ_КАРТА_КОН"/>
      <w:r/>
      <w:bookmarkStart w:id="90" w:name="_Ref119427269"/>
      <w:r/>
      <w:bookmarkStart w:id="91" w:name="_Toc91"/>
      <w:r/>
      <w:bookmarkEnd w:id="89"/>
      <w:r>
        <w:rPr>
          <w:rStyle w:val="1316"/>
          <w:b/>
          <w:bCs/>
          <w:i/>
          <w:sz w:val="24"/>
          <w:szCs w:val="24"/>
        </w:rPr>
        <w:t xml:space="preserve">ИНФОРМАЦИОННАЯ КАРТА </w:t>
      </w:r>
      <w:bookmarkEnd w:id="90"/>
      <w:r>
        <w:rPr>
          <w:rStyle w:val="1316"/>
          <w:b/>
          <w:bCs/>
          <w:i/>
          <w:sz w:val="24"/>
          <w:szCs w:val="24"/>
        </w:rPr>
        <w:t xml:space="preserve">ЗАКУПКИ</w:t>
      </w:r>
      <w:bookmarkEnd w:id="91"/>
      <w:r>
        <w:rPr>
          <w:rStyle w:val="1316"/>
          <w:b/>
          <w:bCs/>
          <w:i/>
          <w:sz w:val="24"/>
          <w:szCs w:val="24"/>
        </w:rPr>
      </w:r>
      <w:r>
        <w:rPr>
          <w:rStyle w:val="1316"/>
          <w:b/>
          <w:bCs/>
          <w:i/>
          <w:sz w:val="24"/>
          <w:szCs w:val="24"/>
        </w:rPr>
      </w:r>
    </w:p>
    <w:p>
      <w:pPr>
        <w:spacing w:after="0"/>
      </w:pPr>
      <w:r/>
      <w:r/>
    </w:p>
    <w:p>
      <w:pPr>
        <w:ind w:firstLine="567"/>
        <w:spacing w:after="0"/>
      </w:pPr>
      <w:r>
        <w:t xml:space="preserve">В части II «ИНФОРМАЦИОННАЯ КАРТА ЗАКУПКИ» содержится информация для данной закупки, которая уточняет, разъясняет и дополняет положения части «ОБЩИЕ УСЛОВИЯ ПРОВЕДЕНИЯ ЗАКУПКИ».</w:t>
      </w:r>
      <w:r/>
    </w:p>
    <w:p>
      <w:pPr>
        <w:ind w:firstLine="567"/>
        <w:spacing w:after="0"/>
      </w:pPr>
      <w:r>
        <w:t xml:space="preserve">При возникновении противоречия между положениями части </w:t>
      </w:r>
      <w:r>
        <w:rPr>
          <w:lang w:val="en-US"/>
        </w:rPr>
        <w:t xml:space="preserve">I</w:t>
      </w:r>
      <w:r>
        <w:t xml:space="preserve"> «ОБЩИЕ УСЛОВИЯ ПРОВЕДЕНИЯ ЗАКУПКИ» и части II «ИНФОРМАЦИОННАЯ КАРТА ЗАКУПКИ», применяются положения Части II.</w:t>
      </w:r>
      <w:r/>
    </w:p>
    <w:tbl>
      <w:tblPr>
        <w:tblpPr w:horzAnchor="text" w:tblpXSpec="center" w:vertAnchor="text" w:tblpY="1" w:leftFromText="180" w:topFromText="0" w:rightFromText="180" w:bottomFromText="0"/>
        <w:tblW w:w="10166" w:type="dxa"/>
        <w:jc w:val="center"/>
        <w:tblLayout w:type="fixed"/>
        <w:tblLook w:val="0000" w:firstRow="0" w:lastRow="0" w:firstColumn="0" w:lastColumn="0" w:noHBand="0" w:noVBand="0"/>
      </w:tblPr>
      <w:tblGrid>
        <w:gridCol w:w="704"/>
        <w:gridCol w:w="2126"/>
        <w:gridCol w:w="2551"/>
        <w:gridCol w:w="4785"/>
      </w:tblGrid>
      <w:tr>
        <w:tblPrEx/>
        <w:trPr>
          <w:jc w:val="center"/>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jc w:val="center"/>
              <w:keepLines/>
              <w:keepNext/>
              <w:spacing w:after="0" w:afterAutospacing="0" w:line="283" w:lineRule="atLeast"/>
              <w:widowControl w:val="off"/>
              <w:rPr>
                <w:b/>
                <w:bCs/>
                <w:i/>
                <w:sz w:val="22"/>
                <w:szCs w:val="22"/>
              </w:rPr>
              <w:suppressLineNumbers/>
            </w:pPr>
            <w:r>
              <w:rPr>
                <w:b/>
                <w:bCs/>
                <w:i/>
                <w:sz w:val="22"/>
                <w:szCs w:val="22"/>
              </w:rPr>
              <w:t xml:space="preserve">№</w:t>
            </w:r>
            <w:r>
              <w:rPr>
                <w:b/>
                <w:bCs/>
                <w:i/>
                <w:sz w:val="22"/>
                <w:szCs w:val="22"/>
              </w:rPr>
            </w:r>
            <w:r>
              <w:rPr>
                <w:b/>
                <w:bCs/>
                <w:i/>
                <w:sz w:val="22"/>
                <w:szCs w:val="22"/>
              </w:rPr>
            </w:r>
          </w:p>
          <w:p>
            <w:pPr>
              <w:jc w:val="center"/>
              <w:keepLines/>
              <w:keepNext/>
              <w:spacing w:after="0" w:afterAutospacing="0" w:line="283" w:lineRule="atLeast"/>
              <w:widowControl w:val="off"/>
              <w:rPr>
                <w:b/>
                <w:bCs/>
                <w:i/>
                <w:sz w:val="22"/>
                <w:szCs w:val="22"/>
              </w:rPr>
              <w:suppressLineNumbers/>
            </w:pPr>
            <w:r>
              <w:rPr>
                <w:b/>
                <w:bCs/>
                <w:i/>
                <w:sz w:val="22"/>
                <w:szCs w:val="22"/>
              </w:rPr>
              <w:t xml:space="preserve">пункта</w:t>
            </w:r>
            <w:r>
              <w:rPr>
                <w:b/>
                <w:bCs/>
                <w:i/>
                <w:sz w:val="22"/>
                <w:szCs w:val="22"/>
              </w:rPr>
            </w:r>
            <w:r>
              <w:rPr>
                <w:b/>
                <w:bCs/>
                <w:i/>
                <w:sz w:val="22"/>
                <w:szCs w:val="22"/>
              </w:rPr>
            </w:r>
          </w:p>
        </w:tc>
        <w:tc>
          <w:tcPr>
            <w:tcBorders>
              <w:top w:val="single" w:color="auto" w:sz="4" w:space="0"/>
              <w:left w:val="single" w:color="auto" w:sz="4" w:space="0"/>
              <w:bottom w:val="single" w:color="auto" w:sz="4" w:space="0"/>
              <w:right w:val="single" w:color="auto" w:sz="4" w:space="0"/>
            </w:tcBorders>
            <w:tcW w:w="2126" w:type="dxa"/>
            <w:vAlign w:val="center"/>
            <w:textDirection w:val="lrTb"/>
            <w:noWrap w:val="false"/>
          </w:tcPr>
          <w:p>
            <w:pPr>
              <w:ind w:right="-108"/>
              <w:jc w:val="center"/>
              <w:keepLines/>
              <w:keepNext/>
              <w:spacing w:after="0" w:afterAutospacing="0" w:line="283" w:lineRule="atLeast"/>
              <w:widowControl w:val="off"/>
              <w:rPr>
                <w:b/>
                <w:bCs/>
                <w:i/>
                <w:sz w:val="22"/>
                <w:szCs w:val="22"/>
              </w:rPr>
              <w:suppressLineNumbers/>
            </w:pPr>
            <w:r>
              <w:rPr>
                <w:b/>
                <w:bCs/>
                <w:i/>
                <w:sz w:val="22"/>
                <w:szCs w:val="22"/>
              </w:rPr>
              <w:t xml:space="preserve">Ссылка на разделы, подразделы, пункты и подпункты </w:t>
            </w:r>
            <w:r>
              <w:rPr>
                <w:b/>
                <w:bCs/>
                <w:i/>
                <w:sz w:val="22"/>
                <w:szCs w:val="22"/>
              </w:rPr>
            </w:r>
            <w:r>
              <w:rPr>
                <w:b/>
                <w:bCs/>
                <w:i/>
                <w:sz w:val="22"/>
                <w:szCs w:val="22"/>
              </w:rPr>
            </w:r>
          </w:p>
          <w:p>
            <w:pPr>
              <w:ind w:right="-108"/>
              <w:jc w:val="center"/>
              <w:keepLines/>
              <w:keepNext/>
              <w:spacing w:after="0" w:afterAutospacing="0" w:line="283" w:lineRule="atLeast"/>
              <w:widowControl w:val="off"/>
              <w:rPr>
                <w:b/>
                <w:bCs/>
                <w:i/>
                <w:sz w:val="22"/>
                <w:szCs w:val="22"/>
              </w:rPr>
              <w:suppressLineNumbers/>
            </w:pPr>
            <w:r>
              <w:rPr>
                <w:b/>
                <w:bCs/>
                <w:i/>
                <w:sz w:val="22"/>
                <w:szCs w:val="22"/>
              </w:rPr>
              <w:t xml:space="preserve">части «ОБЩИЕ УСЛОВИЯ ПРОВЕДЕНИЯ ЗАКУПКИ»</w:t>
            </w:r>
            <w:r>
              <w:rPr>
                <w:b/>
                <w:bCs/>
                <w:i/>
                <w:sz w:val="22"/>
                <w:szCs w:val="22"/>
              </w:rPr>
            </w:r>
            <w:r>
              <w:rPr>
                <w:b/>
                <w:bCs/>
                <w:i/>
                <w:sz w:val="22"/>
                <w:szCs w:val="22"/>
              </w:rPr>
            </w:r>
          </w:p>
        </w:tc>
        <w:tc>
          <w:tcPr>
            <w:tcBorders>
              <w:top w:val="single" w:color="auto" w:sz="4" w:space="0"/>
              <w:left w:val="single" w:color="auto" w:sz="4" w:space="0"/>
              <w:bottom w:val="single" w:color="auto" w:sz="4" w:space="0"/>
              <w:right w:val="single" w:color="auto" w:sz="4" w:space="0"/>
            </w:tcBorders>
            <w:tcW w:w="2551" w:type="dxa"/>
            <w:vAlign w:val="center"/>
            <w:textDirection w:val="lrTb"/>
            <w:noWrap w:val="false"/>
          </w:tcPr>
          <w:p>
            <w:pPr>
              <w:jc w:val="center"/>
              <w:keepLines/>
              <w:keepNext/>
              <w:spacing w:after="0" w:afterAutospacing="0" w:line="283" w:lineRule="atLeast"/>
              <w:widowControl w:val="off"/>
              <w:rPr>
                <w:b/>
                <w:bCs/>
                <w:i/>
                <w:sz w:val="22"/>
                <w:szCs w:val="22"/>
              </w:rPr>
              <w:suppressLineNumbers/>
            </w:pPr>
            <w:r>
              <w:rPr>
                <w:b/>
                <w:bCs/>
                <w:i/>
                <w:sz w:val="22"/>
                <w:szCs w:val="22"/>
              </w:rPr>
              <w:t xml:space="preserve">Наименование </w:t>
            </w:r>
            <w:r>
              <w:rPr>
                <w:b/>
                <w:bCs/>
                <w:i/>
                <w:sz w:val="22"/>
                <w:szCs w:val="22"/>
              </w:rPr>
            </w:r>
            <w:r>
              <w:rPr>
                <w:b/>
                <w:bCs/>
                <w:i/>
                <w:sz w:val="22"/>
                <w:szCs w:val="22"/>
              </w:rPr>
            </w:r>
          </w:p>
        </w:tc>
        <w:tc>
          <w:tcPr>
            <w:tcBorders>
              <w:top w:val="single" w:color="auto" w:sz="4" w:space="0"/>
              <w:left w:val="single" w:color="auto" w:sz="4" w:space="0"/>
              <w:bottom w:val="single" w:color="auto" w:sz="4" w:space="0"/>
              <w:right w:val="single" w:color="auto" w:sz="4" w:space="0"/>
            </w:tcBorders>
            <w:tcW w:w="4785" w:type="dxa"/>
            <w:vAlign w:val="center"/>
            <w:textDirection w:val="lrTb"/>
            <w:noWrap w:val="false"/>
          </w:tcPr>
          <w:p>
            <w:pPr>
              <w:jc w:val="center"/>
              <w:keepLines/>
              <w:keepNext/>
              <w:spacing w:after="0" w:afterAutospacing="0" w:line="283" w:lineRule="atLeast"/>
              <w:widowControl w:val="off"/>
              <w:rPr>
                <w:b/>
                <w:bCs/>
                <w:i/>
                <w:sz w:val="22"/>
                <w:szCs w:val="22"/>
              </w:rPr>
              <w:suppressLineNumbers/>
            </w:pPr>
            <w:r>
              <w:rPr>
                <w:b/>
                <w:bCs/>
                <w:i/>
                <w:sz w:val="22"/>
                <w:szCs w:val="22"/>
              </w:rPr>
              <w:t xml:space="preserve">Информация</w:t>
            </w:r>
            <w:r>
              <w:rPr>
                <w:b/>
                <w:bCs/>
                <w:i/>
                <w:sz w:val="22"/>
                <w:szCs w:val="22"/>
              </w:rPr>
            </w:r>
            <w:r>
              <w:rPr>
                <w:b/>
                <w:bCs/>
                <w:i/>
                <w:sz w:val="22"/>
                <w:szCs w:val="22"/>
              </w:rPr>
            </w:r>
          </w:p>
        </w:tc>
      </w:tr>
      <w:tr>
        <w:tblPrEx/>
        <w:trPr>
          <w:jc w:val="center"/>
          <w:trHeight w:val="2586"/>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bookmarkStart w:id="92" w:name="_Ref166267282"/>
            <w:r/>
            <w:bookmarkEnd w:id="92"/>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keepLines/>
              <w:keepNext/>
              <w:spacing w:after="0" w:afterAutospacing="0" w:line="283" w:lineRule="atLeast"/>
              <w:widowControl w:val="off"/>
              <w:suppressLineNumbers/>
            </w:pPr>
            <w:r>
              <w:t xml:space="preserve">1.2.1</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keepNext/>
              <w:spacing w:after="0" w:afterAutospacing="0" w:line="283" w:lineRule="atLeast"/>
              <w:widowControl w:val="off"/>
              <w:suppressLineNumbers/>
            </w:pPr>
            <w:r>
              <w:rPr>
                <w:bCs/>
              </w:rPr>
              <w:t xml:space="preserve">Наименование, место нахождения, почтовый адрес, адрес электронной почты, номер контактного телефона Заказчика и Организатора закупки</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spacing w:after="0" w:afterAutospacing="0" w:line="283" w:lineRule="atLeast"/>
            </w:pPr>
            <w:r>
              <w:t xml:space="preserve">Заказчик и Организатор закупки </w:t>
            </w:r>
            <w:r>
              <w:t xml:space="preserve">-</w:t>
            </w:r>
            <w:r>
              <w:t xml:space="preserve"> ПАО</w:t>
            </w:r>
            <w:r>
              <w:rPr>
                <w:lang w:val="en-US"/>
              </w:rPr>
              <w:t xml:space="preserve"> </w:t>
            </w:r>
            <w:r>
              <w:t xml:space="preserve">«Россети Юг»</w:t>
            </w:r>
            <w:r/>
          </w:p>
          <w:p>
            <w:pPr>
              <w:spacing w:after="0" w:afterAutospacing="0" w:line="283" w:lineRule="atLeast"/>
            </w:pPr>
            <w:r>
              <w:t xml:space="preserve">Юридический/почтовый адрес: </w:t>
            </w:r>
            <w:r/>
          </w:p>
          <w:p>
            <w:pPr>
              <w:spacing w:after="0" w:afterAutospacing="0" w:line="283" w:lineRule="atLeast"/>
            </w:pPr>
            <w:r>
              <w:t xml:space="preserve">344002, Россия, г. Ростов-на-Дону, ул.</w:t>
            </w:r>
            <w:r>
              <w:rPr>
                <w:lang w:val="en-US"/>
              </w:rPr>
              <w:t xml:space="preserve"> </w:t>
            </w:r>
            <w:r>
              <w:t xml:space="preserve">Большая Садовая, 49/42</w:t>
            </w:r>
            <w:r/>
          </w:p>
          <w:p>
            <w:pPr>
              <w:spacing w:after="0" w:afterAutospacing="0" w:line="283" w:lineRule="atLeast"/>
            </w:pPr>
            <w:r>
              <w:t xml:space="preserve">Фактический адрес: 350033, г. Краснодар, ул.</w:t>
            </w:r>
            <w:r>
              <w:rPr>
                <w:lang w:val="en-US"/>
              </w:rPr>
              <w:t xml:space="preserve"> </w:t>
            </w:r>
            <w:r>
              <w:t xml:space="preserve">Ставропольская, 2А</w:t>
            </w:r>
            <w:r/>
          </w:p>
          <w:p>
            <w:pPr>
              <w:spacing w:after="0" w:afterAutospacing="0" w:line="283" w:lineRule="atLeast"/>
              <w:rPr>
                <w:lang w:val="en-US"/>
              </w:rPr>
            </w:pPr>
            <w:r>
              <w:rPr>
                <w:lang w:val="en-US"/>
              </w:rPr>
              <w:t xml:space="preserve">E</w:t>
            </w:r>
            <w:r>
              <w:rPr>
                <w:lang w:val="en-US"/>
              </w:rPr>
              <w:t xml:space="preserve">-</w:t>
            </w:r>
            <w:r>
              <w:rPr>
                <w:lang w:val="en-US"/>
              </w:rPr>
              <w:t xml:space="preserve">mail</w:t>
            </w:r>
            <w:r>
              <w:rPr>
                <w:lang w:val="en-US"/>
              </w:rPr>
              <w:t xml:space="preserve">: </w:t>
            </w:r>
            <w:r>
              <w:rPr>
                <w:lang w:val="en-US"/>
              </w:rPr>
              <w:t xml:space="preserve">telet</w:t>
            </w:r>
            <w:r>
              <w:rPr>
                <w:lang w:val="en-US"/>
              </w:rPr>
              <w:t xml:space="preserve">@</w:t>
            </w:r>
            <w:r>
              <w:rPr>
                <w:lang w:val="en-US"/>
              </w:rPr>
              <w:t xml:space="preserve">kub</w:t>
            </w:r>
            <w:r>
              <w:rPr>
                <w:lang w:val="en-US"/>
              </w:rPr>
              <w:t xml:space="preserve">.</w:t>
            </w:r>
            <w:r>
              <w:rPr>
                <w:lang w:val="en-US"/>
              </w:rPr>
              <w:t xml:space="preserve">rosseti</w:t>
            </w:r>
            <w:r>
              <w:rPr>
                <w:lang w:val="en-US"/>
              </w:rPr>
              <w:t xml:space="preserve">-</w:t>
            </w:r>
            <w:r>
              <w:rPr>
                <w:lang w:val="en-US"/>
              </w:rPr>
              <w:t xml:space="preserve">yug</w:t>
            </w:r>
            <w:r>
              <w:rPr>
                <w:lang w:val="en-US"/>
              </w:rPr>
              <w:t xml:space="preserve">.</w:t>
            </w:r>
            <w:r>
              <w:rPr>
                <w:lang w:val="en-US"/>
              </w:rPr>
              <w:t xml:space="preserve">ru</w:t>
            </w:r>
            <w:r>
              <w:rPr>
                <w:lang w:val="en-US"/>
              </w:rPr>
            </w:r>
            <w:r>
              <w:rPr>
                <w:lang w:val="en-US"/>
              </w:rPr>
            </w:r>
          </w:p>
          <w:p>
            <w:pPr>
              <w:spacing w:after="0" w:afterAutospacing="0" w:line="283" w:lineRule="atLeast"/>
            </w:pPr>
            <w:r>
              <w:t xml:space="preserve">Тел.: 8(861) 212-24-03</w:t>
            </w:r>
            <w:r/>
          </w:p>
          <w:p>
            <w:pPr>
              <w:spacing w:after="0" w:afterAutospacing="0" w:line="283" w:lineRule="atLeast"/>
            </w:pPr>
            <w:r>
              <w:t xml:space="preserve">Контактное лицо:</w:t>
            </w:r>
            <w:r/>
          </w:p>
          <w:p>
            <w:pPr>
              <w:spacing w:after="0"/>
              <w:tabs>
                <w:tab w:val="left" w:pos="851" w:leader="none"/>
                <w:tab w:val="left" w:pos="1134" w:leader="none"/>
              </w:tabs>
            </w:pPr>
            <w:r>
              <w:t xml:space="preserve">Бармикова Екатерина Викторовна</w:t>
            </w:r>
            <w:r/>
            <w:r/>
          </w:p>
          <w:p>
            <w:pPr>
              <w:spacing w:after="0"/>
              <w:tabs>
                <w:tab w:val="left" w:pos="851" w:leader="none"/>
                <w:tab w:val="left" w:pos="1134" w:leader="none"/>
              </w:tabs>
              <w:rPr>
                <w:lang w:val="en-US"/>
              </w:rPr>
            </w:pPr>
            <w:r>
              <w:rPr>
                <w:lang w:val="en-US"/>
              </w:rPr>
              <w:t xml:space="preserve">E</w:t>
            </w:r>
            <w:r>
              <w:rPr>
                <w:lang w:val="en-US"/>
              </w:rPr>
              <w:t xml:space="preserve">-</w:t>
            </w:r>
            <w:r>
              <w:rPr>
                <w:lang w:val="en-US"/>
              </w:rPr>
              <w:t xml:space="preserve">mail</w:t>
            </w:r>
            <w:r>
              <w:rPr>
                <w:lang w:val="en-US"/>
              </w:rPr>
              <w:t xml:space="preserve">: </w:t>
            </w:r>
            <w:r>
              <w:rPr>
                <w:lang w:val="en-US"/>
              </w:rPr>
              <w:t xml:space="preserve">barmikovaev@</w:t>
            </w:r>
            <w:r>
              <w:rPr>
                <w:highlight w:val="white"/>
              </w:rPr>
              <w:t xml:space="preserve">kub.rosseti-yug.ru</w:t>
            </w:r>
            <w:r>
              <w:rPr>
                <w:lang w:val="en-US"/>
              </w:rPr>
            </w:r>
            <w:r>
              <w:rPr>
                <w:lang w:val="en-US"/>
              </w:rPr>
            </w:r>
          </w:p>
          <w:p>
            <w:pPr>
              <w:spacing w:after="0"/>
            </w:pPr>
            <w:r>
              <w:t xml:space="preserve">Тел.: 8 (861) 212-25</w:t>
            </w:r>
            <w:r>
              <w:t xml:space="preserve">-66</w:t>
            </w:r>
            <w:r/>
            <w:r/>
            <w:r>
              <w:rPr>
                <w:lang w:val="en-US"/>
              </w:rPr>
            </w:r>
            <w:r>
              <w:rPr>
                <w:lang w:val="en-US"/>
              </w:rPr>
            </w:r>
            <w:r/>
          </w:p>
        </w:tc>
      </w:tr>
      <w:tr>
        <w:tblPrEx/>
        <w:trPr>
          <w:jc w:val="center"/>
          <w:trHeight w:val="270"/>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bookmarkStart w:id="93" w:name="_Ref166267388"/>
            <w:r/>
            <w:bookmarkStart w:id="94" w:name="_Ref166267499"/>
            <w:r/>
            <w:bookmarkStart w:id="95" w:name="_Ref166267456"/>
            <w:r/>
            <w:bookmarkStart w:id="96" w:name="_Ref354428801"/>
            <w:r/>
            <w:bookmarkEnd w:id="93"/>
            <w:r/>
            <w:bookmarkEnd w:id="94"/>
            <w:r/>
            <w:bookmarkEnd w:id="95"/>
            <w:r>
              <w:rPr>
                <w:rFonts w:ascii="Times New Roman" w:hAnsi="Times New Roman" w:cs="Times New Roman"/>
              </w:rPr>
            </w:r>
            <w:r>
              <w:rPr>
                <w:rFonts w:ascii="Times New Roman" w:hAnsi="Times New Roman" w:cs="Times New Roman"/>
              </w:rPr>
            </w:r>
          </w:p>
          <w:p>
            <w:pPr>
              <w:ind w:left="360" w:hanging="796"/>
              <w:jc w:val="left"/>
              <w:spacing w:after="0" w:afterAutospacing="0" w:line="283" w:lineRule="atLeast"/>
              <w:tabs>
                <w:tab w:val="left" w:pos="284" w:leader="none"/>
              </w:tabs>
              <w:rPr>
                <w:b/>
                <w:bCs/>
              </w:rPr>
            </w:pPr>
            <w:r>
              <w:rPr>
                <w:b/>
                <w:bCs/>
              </w:rPr>
            </w:r>
            <w:r>
              <w:rPr>
                <w:b/>
                <w:bCs/>
              </w:rPr>
            </w:r>
            <w:r>
              <w:rPr>
                <w:b/>
                <w:bCs/>
              </w:rPr>
            </w:r>
          </w:p>
          <w:p>
            <w:pPr>
              <w:ind w:left="360" w:hanging="796"/>
              <w:jc w:val="left"/>
              <w:spacing w:after="0" w:afterAutospacing="0" w:line="283" w:lineRule="atLeast"/>
              <w:tabs>
                <w:tab w:val="left" w:pos="284" w:leader="none"/>
              </w:tabs>
              <w:rPr>
                <w:b/>
                <w:bCs/>
              </w:rPr>
            </w:pPr>
            <w:r>
              <w:rPr>
                <w:b/>
                <w:bCs/>
              </w:rPr>
            </w:r>
            <w:bookmarkEnd w:id="96"/>
            <w:r>
              <w:rPr>
                <w:b/>
                <w:bCs/>
              </w:rPr>
            </w:r>
            <w:r>
              <w:rPr>
                <w:b/>
                <w:bCs/>
              </w:rPr>
            </w:r>
          </w:p>
          <w:p>
            <w:pPr>
              <w:ind w:left="360" w:hanging="796"/>
              <w:jc w:val="left"/>
              <w:spacing w:after="0" w:afterAutospacing="0" w:line="283" w:lineRule="atLeast"/>
              <w:tabs>
                <w:tab w:val="left" w:pos="284" w:leader="none"/>
              </w:tabs>
              <w:rPr>
                <w:b/>
                <w:bCs/>
              </w:rPr>
            </w:pPr>
            <w:r>
              <w:rPr>
                <w:b/>
                <w:bCs/>
              </w:rPr>
            </w:r>
            <w:r>
              <w:rPr>
                <w:b/>
                <w:bCs/>
              </w:rPr>
            </w:r>
            <w:r>
              <w:rPr>
                <w:b/>
                <w:bCs/>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1.2.1</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keepNext/>
              <w:spacing w:after="0" w:afterAutospacing="0" w:line="283" w:lineRule="atLeast"/>
              <w:widowControl w:val="off"/>
              <w:suppressLineNumbers/>
            </w:pPr>
            <w:r>
              <w:t xml:space="preserve">Предмет закупки</w:t>
            </w:r>
            <w:r/>
          </w:p>
        </w:tc>
        <w:tc>
          <w:tcPr>
            <w:shd w:val="clear" w:color="auto" w:fill="auto"/>
            <w:tcBorders>
              <w:top w:val="single" w:color="auto" w:sz="4" w:space="0"/>
              <w:left w:val="single" w:color="auto" w:sz="4" w:space="0"/>
              <w:bottom w:val="single" w:color="auto" w:sz="4" w:space="0"/>
              <w:right w:val="single" w:color="auto" w:sz="4" w:space="0"/>
            </w:tcBorders>
            <w:tcW w:w="4785" w:type="dxa"/>
            <w:textDirection w:val="lrTb"/>
            <w:noWrap w:val="false"/>
          </w:tcPr>
          <w:p>
            <w:pPr>
              <w:spacing w:after="0" w:afterAutospacing="0" w:line="283" w:lineRule="atLeast"/>
            </w:pPr>
            <w:r>
              <w:t xml:space="preserve">Лот № 1: Право </w:t>
            </w:r>
            <w:r>
              <w:t xml:space="preserve">заключения договора на  выполнение работ по миграции АРМ пользователей и подключение к системе совместной работы пользователей с учетом импортозамещения офисного программного обеспечения в филиале ПАО «Россети Юг» - «Кубаньэнерго»</w:t>
            </w:r>
            <w:r>
              <w:t xml:space="preserve">.</w:t>
            </w:r>
            <w:r/>
          </w:p>
          <w:p>
            <w:pPr>
              <w:spacing w:after="0" w:afterAutospacing="0" w:line="283" w:lineRule="atLeast"/>
            </w:pPr>
            <w:r/>
            <w:r/>
          </w:p>
          <w:p>
            <w:pPr>
              <w:spacing w:after="0" w:afterAutospacing="0" w:line="283" w:lineRule="atLeast"/>
            </w:pPr>
            <w:r>
              <w:t xml:space="preserve">Описание предмета закупки в соответствии с частью 6.1 статьи 3 Закона 223-ФЗ установлено в разделе </w:t>
            </w:r>
            <w:r>
              <w:rPr>
                <w:bCs/>
              </w:rPr>
              <w:t xml:space="preserve">IV</w:t>
            </w:r>
            <w:r>
              <w:t xml:space="preserve"> «ТЕХНИЧЕСКИЕ ТРЕБОВАНИЯ НА </w:t>
            </w:r>
            <w:r>
              <w:rPr>
                <w:rFonts w:ascii="Times New Roman" w:hAnsi="Times New Roman" w:cs="Times New Roman"/>
                <w:b w:val="0"/>
              </w:rPr>
              <w:t xml:space="preserve">ВЫПОЛНЕНИЕ РАБОТ</w:t>
            </w:r>
            <w:r>
              <w:t xml:space="preserve">» документации о закупке.</w:t>
            </w:r>
            <w:r/>
          </w:p>
          <w:p>
            <w:pPr>
              <w:keepLines/>
              <w:keepNext/>
              <w:spacing w:after="0" w:afterAutospacing="0" w:line="283" w:lineRule="atLeast"/>
              <w:widowControl w:val="off"/>
              <w:suppressLineNumbers/>
            </w:pPr>
            <w:r/>
            <w:r/>
          </w:p>
          <w:p>
            <w:pPr>
              <w:keepLines/>
              <w:keepNext/>
              <w:spacing w:after="0" w:afterAutospacing="0" w:line="283" w:lineRule="atLeast"/>
              <w:widowControl w:val="off"/>
              <w:suppressLineNumbers/>
            </w:pPr>
            <w:r>
              <w:t xml:space="preserve">Частичное выполнение работ/оказание услуг </w:t>
            </w:r>
            <w:r>
              <w:t xml:space="preserve">не предусмотрено.</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bookmarkStart w:id="97" w:name="_Ref166267457"/>
            <w:r/>
            <w:bookmarkStart w:id="98" w:name="_Ref354440659"/>
            <w:r/>
            <w:bookmarkEnd w:id="97"/>
            <w:r/>
            <w:bookmarkEnd w:id="98"/>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1.2.1</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keepNext/>
              <w:spacing w:after="0" w:afterAutospacing="0" w:line="283" w:lineRule="atLeast"/>
              <w:widowControl w:val="off"/>
              <w:suppressLineNumbers/>
            </w:pPr>
            <w:r>
              <w:t xml:space="preserve">Место, условия и сроки (периоды) поставки товара, выполнения работы, оказания услуги</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keepLines/>
              <w:keepNext/>
              <w:spacing w:after="0" w:afterAutospacing="0" w:line="283" w:lineRule="atLeast"/>
              <w:widowControl w:val="off"/>
              <w:suppressLineNumbers/>
            </w:pPr>
            <w:r>
              <w:t xml:space="preserve">Место поставки товара (выполнения работ/ оказания услуг):</w:t>
            </w:r>
            <w:r/>
          </w:p>
          <w:p>
            <w:pPr>
              <w:spacing w:after="0" w:afterAutospacing="0" w:line="283" w:lineRule="atLeast"/>
            </w:pPr>
            <w:r>
              <w:t xml:space="preserve">Согласно разделу </w:t>
            </w:r>
            <w:r>
              <w:rPr>
                <w:bCs/>
                <w:lang w:val="en-US"/>
              </w:rPr>
              <w:t xml:space="preserve">I</w:t>
            </w:r>
            <w:r>
              <w:rPr>
                <w:lang w:val="en-US"/>
              </w:rPr>
              <w:t xml:space="preserve">V</w:t>
            </w:r>
            <w:r>
              <w:t xml:space="preserve"> «ТЕХНИЧЕСКИЕ ТРЕБОВАНИЯ НА </w:t>
            </w:r>
            <w:r>
              <w:rPr>
                <w:rFonts w:ascii="Times New Roman" w:hAnsi="Times New Roman" w:cs="Times New Roman"/>
                <w:b w:val="0"/>
              </w:rPr>
              <w:t xml:space="preserve">ВЫПОЛНЕНИЕ РАБОТ</w:t>
            </w:r>
            <w:r>
              <w:t xml:space="preserve">» документации о закупке. </w:t>
            </w:r>
            <w:r/>
          </w:p>
          <w:p>
            <w:pPr>
              <w:spacing w:after="0" w:afterAutospacing="0" w:line="283" w:lineRule="atLeast"/>
            </w:pPr>
            <w:r>
              <w:t xml:space="preserve">Сроки поставки товара (выполнения работ/ оказания услуг): </w:t>
            </w:r>
            <w:r/>
          </w:p>
          <w:p>
            <w:pPr>
              <w:spacing w:after="0" w:afterAutospacing="0" w:line="283" w:lineRule="atLeast"/>
            </w:pPr>
            <w:r>
              <w:t xml:space="preserve">Согласно разделу </w:t>
            </w:r>
            <w:r>
              <w:rPr>
                <w:bCs/>
                <w:lang w:val="en-US"/>
              </w:rPr>
              <w:t xml:space="preserve">I</w:t>
            </w:r>
            <w:r>
              <w:rPr>
                <w:lang w:val="en-US"/>
              </w:rPr>
              <w:t xml:space="preserve">V</w:t>
            </w:r>
            <w:r>
              <w:t xml:space="preserve"> «ТЕХНИЧЕСКИЕ ТРЕБОВАНИЯ НА </w:t>
            </w:r>
            <w:r>
              <w:rPr>
                <w:rFonts w:ascii="Times New Roman" w:hAnsi="Times New Roman" w:cs="Times New Roman"/>
                <w:b w:val="0"/>
              </w:rPr>
              <w:t xml:space="preserve">ВЫПОЛНЕНИЕ РАБОТ</w:t>
            </w:r>
            <w:r>
              <w:t xml:space="preserve">» документации о закупке.</w:t>
            </w:r>
            <w:r/>
          </w:p>
          <w:p>
            <w:pPr>
              <w:spacing w:after="0" w:afterAutospacing="0" w:line="283" w:lineRule="atLeast"/>
            </w:pPr>
            <w:r>
              <w:t xml:space="preserve">Условия поставки товара (выполнения работ/ оказания услуг) указаны в разделе </w:t>
            </w:r>
            <w:r>
              <w:rPr>
                <w:lang w:val="en-US"/>
              </w:rPr>
              <w:t xml:space="preserve">V</w:t>
            </w:r>
            <w:r>
              <w:t xml:space="preserve"> «Проект договора» настоящей документации о закупке.</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bookmarkStart w:id="99" w:name="_Ref166267727"/>
            <w:r/>
            <w:bookmarkStart w:id="100" w:name="_Ref354428953"/>
            <w:r/>
            <w:bookmarkEnd w:id="99"/>
            <w:r/>
            <w:bookmarkEnd w:id="100"/>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1.3.1, 3.5.1</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keepNext/>
              <w:spacing w:after="0" w:afterAutospacing="0" w:line="283" w:lineRule="atLeast"/>
              <w:widowControl w:val="off"/>
              <w:suppressLineNumbers/>
            </w:pPr>
            <w:r>
              <w:t xml:space="preserve">Сведения о начальной (максимальной) цене договора, либо формула </w:t>
            </w:r>
            <w:r>
              <w:t xml:space="preserve">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 </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spacing w:after="0" w:afterAutospacing="0" w:line="283" w:lineRule="atLeast"/>
              <w:rPr>
                <w:rFonts w:eastAsia="Calibri"/>
              </w:rPr>
            </w:pPr>
            <w:r>
              <w:t xml:space="preserve">Начальная (максимальная) цена договора </w:t>
            </w:r>
            <w:r>
              <w:rPr>
                <w:bCs/>
              </w:rPr>
              <w:t xml:space="preserve">(цена единицы закупаемой продукции) - в соответствии с Извещением о проведении закупки</w:t>
            </w:r>
            <w:r>
              <w:rPr>
                <w:bCs/>
                <w:lang w:eastAsia="ar-SA"/>
              </w:rPr>
              <w:t xml:space="preserve">.</w:t>
            </w:r>
            <w:r>
              <w:rPr>
                <w:rFonts w:eastAsia="Calibri"/>
              </w:rPr>
            </w:r>
            <w:r>
              <w:rPr>
                <w:rFonts w:eastAsia="Calibri"/>
              </w:rPr>
            </w:r>
          </w:p>
          <w:p>
            <w:pPr>
              <w:spacing w:after="0" w:afterAutospacing="0" w:line="283" w:lineRule="atLeast"/>
              <w:rPr>
                <w:rFonts w:eastAsia="Calibri"/>
              </w:rPr>
            </w:pPr>
            <w:r>
              <w:rPr>
                <w:rFonts w:eastAsia="Calibri"/>
              </w:rPr>
            </w:r>
            <w:r>
              <w:rPr>
                <w:rFonts w:eastAsia="Calibri"/>
              </w:rPr>
            </w:r>
            <w:r>
              <w:rPr>
                <w:rFonts w:eastAsia="Calibri"/>
              </w:rPr>
            </w:r>
          </w:p>
          <w:p>
            <w:pPr>
              <w:spacing w:after="0"/>
              <w:rPr>
                <w:bCs/>
              </w:rPr>
            </w:pPr>
            <w:r>
              <w:rPr>
                <w:rFonts w:eastAsia="Calibri"/>
              </w:rPr>
              <w:t xml:space="preserve">Начальная </w:t>
            </w:r>
            <w:r>
              <w:rPr>
                <w:rFonts w:eastAsia="Calibri"/>
              </w:rPr>
            </w:r>
            <w:r>
              <w:rPr>
                <w:rFonts w:eastAsia="Calibri"/>
              </w:rPr>
            </w:r>
            <w:r>
              <w:rPr>
                <w:bCs/>
              </w:rPr>
              <w:t xml:space="preserve">(максимальная) </w:t>
            </w:r>
            <w:r>
              <w:rPr>
                <w:bCs/>
              </w:rPr>
              <w:t xml:space="preserve">стоимость единичных расценок </w:t>
            </w:r>
            <w:r>
              <w:rPr>
                <w:bCs/>
              </w:rPr>
              <w:t xml:space="preserve">подлежит изменению (снижению) в процессе проведения </w:t>
            </w:r>
            <w:r>
              <w:rPr>
                <w:bCs/>
              </w:rPr>
              <w:t xml:space="preserve">закупки.</w:t>
            </w:r>
            <w:r>
              <w:t xml:space="preserve"> </w:t>
            </w:r>
            <w:r>
              <w:rPr>
                <w:bCs/>
              </w:rPr>
              <w:t xml:space="preserve">Превышение начальной (максимальной) </w:t>
            </w:r>
            <w:r>
              <w:rPr>
                <w:bCs/>
              </w:rPr>
              <w:t xml:space="preserve">стоимости единичных расценок</w:t>
            </w:r>
            <w:r>
              <w:rPr>
                <w:bCs/>
              </w:rPr>
              <w:t xml:space="preserve">, а также цены за единицу продукции не допускается и </w:t>
            </w:r>
            <w:r>
              <w:rPr>
                <w:bCs/>
              </w:rPr>
              <w:t xml:space="preserve">является основанием для отклонения заявки участника по решению ПДЗК</w:t>
            </w:r>
            <w:r>
              <w:rPr>
                <w:bCs/>
              </w:rPr>
              <w:t xml:space="preserve">.</w:t>
            </w:r>
            <w:r/>
            <w:r>
              <w:rPr>
                <w:bCs/>
              </w:rPr>
            </w:r>
          </w:p>
          <w:p>
            <w:pPr>
              <w:spacing w:after="0"/>
              <w:rPr>
                <w:bCs/>
              </w:rPr>
            </w:pPr>
            <w:r>
              <w:rPr>
                <w:bCs/>
              </w:rPr>
            </w:r>
            <w:r>
              <w:rPr>
                <w:bCs/>
              </w:rPr>
            </w:r>
            <w:r>
              <w:rPr>
                <w:bCs/>
              </w:rPr>
            </w:r>
          </w:p>
          <w:p>
            <w:pPr>
              <w:spacing w:after="0"/>
              <w:rPr>
                <w:bCs/>
              </w:rPr>
            </w:pPr>
            <w:r>
              <w:rPr>
                <w:bCs/>
              </w:rPr>
              <w:t xml:space="preserve">Стоимость договора является фиксированной и изменению в процессе проведения закупки не подлежит. Изменение фиксированной</w:t>
            </w:r>
            <w:r>
              <w:rPr>
                <w:bCs/>
              </w:rPr>
              <w:t xml:space="preserve"> стоимости договора в процессе проведения </w:t>
            </w:r>
            <w:r>
              <w:rPr>
                <w:bCs/>
              </w:rPr>
              <w:t xml:space="preserve">закупки</w:t>
            </w:r>
            <w:r>
              <w:rPr>
                <w:bCs/>
              </w:rPr>
              <w:t xml:space="preserve"> является основанием для отклонения заявки участника по решению </w:t>
            </w:r>
            <w:r>
              <w:rPr>
                <w:bCs/>
              </w:rPr>
              <w:t xml:space="preserve">ПДЗК.</w:t>
            </w:r>
            <w:r>
              <w:rPr>
                <w:bCs/>
              </w:rPr>
            </w:r>
            <w:r>
              <w:rPr>
                <w:bCs/>
              </w:rPr>
            </w:r>
          </w:p>
          <w:p>
            <w:pPr>
              <w:spacing w:after="0"/>
              <w:rPr>
                <w:rFonts w:eastAsia="Calibri"/>
              </w:rPr>
            </w:pPr>
            <w:r>
              <w:rPr>
                <w:rFonts w:eastAsia="Calibri"/>
              </w:rPr>
            </w:r>
            <w:r>
              <w:rPr>
                <w:rFonts w:eastAsia="Calibri"/>
              </w:rPr>
            </w:r>
            <w:r>
              <w:rPr>
                <w:rFonts w:eastAsia="Calibri"/>
              </w:rPr>
            </w:r>
          </w:p>
          <w:p>
            <w:pPr>
              <w:spacing w:after="0"/>
              <w:rPr>
                <w:rFonts w:eastAsia="Calibri"/>
              </w:rPr>
            </w:pPr>
            <w:r>
              <w:rPr>
                <w:rFonts w:eastAsia="Calibri"/>
              </w:rPr>
              <w:t xml:space="preserve">Начальная (максимальная) цена договора</w:t>
            </w:r>
            <w:r>
              <w:rPr>
                <w:rFonts w:eastAsia="Calibri"/>
              </w:rPr>
              <w:t xml:space="preserve">/</w:t>
            </w:r>
            <w:r>
              <w:rPr>
                <w:bCs/>
              </w:rPr>
              <w:t xml:space="preserve">стоимост</w:t>
            </w:r>
            <w:r>
              <w:rPr>
                <w:bCs/>
              </w:rPr>
              <w:t xml:space="preserve">ь </w:t>
            </w:r>
            <w:r>
              <w:rPr>
                <w:bCs/>
              </w:rPr>
              <w:t xml:space="preserve">единичных расценок </w:t>
            </w:r>
            <w:r>
              <w:rPr>
                <w:rFonts w:eastAsia="Calibri"/>
              </w:rPr>
              <w:t xml:space="preserve">должна включать в себя: все затраты, накладные расхо</w:t>
            </w:r>
            <w:r>
              <w:rPr>
                <w:rFonts w:eastAsia="Calibri"/>
              </w:rPr>
              <w:t xml:space="preserve">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w:t>
            </w:r>
            <w:r>
              <w:rPr>
                <w:rFonts w:eastAsia="Calibri"/>
              </w:rPr>
              <w:t xml:space="preserve">заявки</w:t>
            </w:r>
            <w:r>
              <w:rPr>
                <w:rFonts w:eastAsia="Calibri"/>
              </w:rPr>
              <w:t xml:space="preserve">, представленного участником закупки</w:t>
            </w:r>
            <w:r>
              <w:rPr>
                <w:rFonts w:eastAsia="Calibri"/>
              </w:rPr>
              <w:t xml:space="preserve">.</w:t>
            </w:r>
            <w:r>
              <w:rPr>
                <w:rFonts w:eastAsia="Calibri"/>
              </w:rPr>
            </w:r>
            <w:r>
              <w:rPr>
                <w:rFonts w:eastAsia="Calibri"/>
              </w:rPr>
            </w:r>
          </w:p>
          <w:p>
            <w:pPr>
              <w:spacing w:after="0"/>
              <w:rPr>
                <w:rFonts w:eastAsia="Calibri"/>
              </w:rPr>
            </w:pPr>
            <w:r>
              <w:rPr>
                <w:rFonts w:eastAsia="Calibri"/>
              </w:rPr>
            </w:r>
            <w:r>
              <w:rPr>
                <w:rFonts w:eastAsia="Calibri"/>
              </w:rPr>
            </w:r>
            <w:r>
              <w:rPr>
                <w:rFonts w:eastAsia="Calibri"/>
              </w:rPr>
            </w:r>
          </w:p>
          <w:p>
            <w:pPr>
              <w:spacing w:after="0"/>
              <w:rPr>
                <w:rFonts w:eastAsia="Calibri"/>
                <w:b/>
                <w:bCs/>
                <w:i/>
                <w:iCs/>
                <w:highlight w:val="yellow"/>
                <w:u w:val="single"/>
              </w:rPr>
            </w:pPr>
            <w:r>
              <w:rPr>
                <w:rFonts w:eastAsia="Calibri"/>
                <w:b/>
                <w:bCs/>
                <w:i/>
                <w:iCs/>
                <w:highlight w:val="yellow"/>
                <w:u w:val="single"/>
              </w:rPr>
            </w:r>
            <w:r>
              <w:rPr>
                <w:rFonts w:eastAsia="Calibri"/>
              </w:rPr>
              <w:t xml:space="preserve">Ст</w:t>
            </w:r>
            <w:r>
              <w:rPr>
                <w:rFonts w:eastAsia="Calibri"/>
              </w:rPr>
              <w:t xml:space="preserve">оимость заявки участника является указанием участника на единый процент снижения (скидки) на весь перечень предлагаемых участником товаров (работ, услуг) относительно установленных в документации о закупке единичных расценок. Размер скидки рассчитывается, </w:t>
            </w:r>
            <w:r>
              <w:rPr>
                <w:rFonts w:eastAsia="Calibri"/>
              </w:rPr>
              <w:t xml:space="preserve">как процент снижения ценового предложения участника относительно начальной (максимальной) цены договора, и распространяется на каждую позицию единичных расценок.</w:t>
            </w:r>
            <w:r>
              <w:rPr>
                <w:rFonts w:eastAsia="Calibri"/>
                <w:b/>
                <w:bCs/>
                <w:i/>
                <w:iCs/>
                <w:highlight w:val="yellow"/>
                <w:u w:val="single"/>
              </w:rPr>
            </w:r>
            <w:r>
              <w:rPr>
                <w:rFonts w:eastAsia="Calibri"/>
                <w:b/>
                <w:bCs/>
                <w:i/>
                <w:iCs/>
                <w:highlight w:val="yellow"/>
                <w:u w:val="single"/>
              </w:rPr>
            </w:r>
          </w:p>
          <w:p>
            <w:pPr>
              <w:spacing w:after="0"/>
              <w:rPr>
                <w:rFonts w:eastAsia="Calibri"/>
              </w:rPr>
            </w:pPr>
            <w:r>
              <w:rPr>
                <w:rFonts w:eastAsia="Calibri"/>
              </w:rPr>
            </w:r>
            <w:r>
              <w:rPr>
                <w:rFonts w:eastAsia="Calibri"/>
              </w:rPr>
            </w:r>
            <w:r>
              <w:rPr>
                <w:rFonts w:eastAsia="Calibri"/>
              </w:rPr>
            </w:r>
          </w:p>
          <w:p>
            <w:pPr>
              <w:spacing w:after="0" w:afterAutospacing="0" w:line="283" w:lineRule="atLeast"/>
              <w:rPr>
                <w:rFonts w:eastAsia="Calibri"/>
              </w:rPr>
            </w:pPr>
            <w:r>
              <w:t xml:space="preserve">Договор заключается с победителем закупки (либо единственным участником, признанны</w:t>
            </w:r>
            <w:r>
              <w:t xml:space="preserve">м соответствующим требованиям документации о закупке) с ценой с учетом ставки НДС, применяемой победителем закупки (либо единственным участником, признанным соответствующим требованиям документации о закупке) в соответствии с действующим законодательством</w:t>
            </w:r>
            <w:r/>
            <w:r>
              <w:rPr>
                <w:rFonts w:eastAsia="Calibri"/>
              </w:rPr>
            </w:r>
            <w:r>
              <w:rPr>
                <w:rFonts w:eastAsia="Calibri"/>
              </w:rPr>
            </w:r>
            <w:r>
              <w:rPr>
                <w:rFonts w:eastAsia="Calibri"/>
              </w:rPr>
            </w:r>
            <w:r>
              <w:rPr>
                <w:rFonts w:eastAsia="Calibri"/>
              </w:rPr>
              <w:t xml:space="preserve">.</w:t>
            </w:r>
            <w:r>
              <w:rPr>
                <w:rFonts w:eastAsia="Calibri"/>
              </w:rPr>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ind w:left="0"/>
              <w:jc w:val="left"/>
              <w:spacing w:before="0" w:after="0" w:afterAutospacing="0" w:line="283" w:lineRule="atLeast"/>
              <w:tabs>
                <w:tab w:val="left" w:pos="284" w:leader="none"/>
                <w:tab w:val="clear" w:pos="312" w:leader="none"/>
              </w:tabs>
              <w:rPr>
                <w:rFonts w:ascii="Times New Roman" w:hAnsi="Times New Roman" w:cs="Times New Roman"/>
                <w:b w:val="0"/>
              </w:rPr>
            </w:pPr>
            <w:r>
              <w:rPr>
                <w:rFonts w:ascii="Times New Roman" w:hAnsi="Times New Roman" w:cs="Times New Roman"/>
                <w:b w:val="0"/>
              </w:rPr>
              <w:t xml:space="preserve">4.1</w:t>
            </w:r>
            <w:r>
              <w:rPr>
                <w:rFonts w:ascii="Times New Roman" w:hAnsi="Times New Roman" w:cs="Times New Roman"/>
                <w:b w:val="0"/>
              </w:rPr>
            </w:r>
            <w:r>
              <w:rPr>
                <w:rFonts w:ascii="Times New Roman" w:hAnsi="Times New Roman" w:cs="Times New Roman"/>
                <w:b w:val="0"/>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1.3.2.</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keepNext/>
              <w:spacing w:after="0" w:afterAutospacing="0" w:line="283" w:lineRule="atLeast"/>
              <w:widowControl w:val="off"/>
              <w:suppressLineNumbers/>
            </w:pPr>
            <w: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w:t>
            </w:r>
            <w:r>
              <w:t xml:space="preserve">обязательных платежей</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spacing w:after="0" w:afterAutospacing="0" w:line="283" w:lineRule="atLeast"/>
            </w:pPr>
            <w:r>
              <w:t xml:space="preserve">Обоснование начальной (максимальной) цены договора размещено в составе настоящей документации о закупке.</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1.2.1</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keepNext/>
              <w:spacing w:after="0" w:afterAutospacing="0" w:line="283" w:lineRule="atLeast"/>
              <w:widowControl w:val="off"/>
              <w:suppressLineNumbers/>
            </w:pPr>
            <w:r>
              <w:t xml:space="preserve">Форма, сроки и порядок оплаты товара, работы, услуги</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spacing w:after="0" w:afterAutospacing="0" w:line="283" w:lineRule="atLeast"/>
            </w:pPr>
            <w:r>
              <w:t xml:space="preserve">Форма, сроки и порядок оплаты товара, работы, услуги установлены в разделе </w:t>
            </w:r>
            <w:r>
              <w:rPr>
                <w:bCs/>
              </w:rPr>
              <w:t xml:space="preserve"> </w:t>
            </w:r>
            <w:r>
              <w:rPr>
                <w:bCs/>
                <w:lang w:val="en-US"/>
              </w:rPr>
              <w:t xml:space="preserve">I</w:t>
            </w:r>
            <w:r>
              <w:rPr>
                <w:lang w:val="en-US"/>
              </w:rPr>
              <w:t xml:space="preserve">V</w:t>
            </w:r>
            <w:r>
              <w:t xml:space="preserve"> «ТЕХНИЧЕСКИЕ ТРЕБОВАНИЯ НА </w:t>
            </w:r>
            <w:r>
              <w:rPr>
                <w:rFonts w:ascii="Times New Roman" w:hAnsi="Times New Roman" w:cs="Times New Roman"/>
                <w:b w:val="0"/>
              </w:rPr>
              <w:t xml:space="preserve">ВЫПОЛНЕНИЕ РАБОТ</w:t>
            </w:r>
            <w:r>
              <w:t xml:space="preserve">» и разделе </w:t>
            </w:r>
            <w:r>
              <w:rPr>
                <w:lang w:val="en-US"/>
              </w:rPr>
              <w:t xml:space="preserve">V</w:t>
            </w:r>
            <w:r>
              <w:t xml:space="preserve"> «Проект договора» настоящей документации о закупке.</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5.2, 5.3, 5.4. 5.5</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keepNext/>
              <w:spacing w:after="0" w:afterAutospacing="0" w:line="283" w:lineRule="atLeast"/>
              <w:widowControl w:val="off"/>
              <w:suppressLineNumbers/>
            </w:pPr>
            <w:r>
              <w:t xml:space="preserve">Этапы проведения закупки и их применение в рамках настоящей закупки</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pStyle w:val="1334"/>
              <w:numPr>
                <w:ilvl w:val="0"/>
                <w:numId w:val="11"/>
              </w:numPr>
              <w:ind w:left="34" w:firstLine="0"/>
              <w:jc w:val="both"/>
              <w:spacing w:after="0" w:afterAutospacing="0" w:line="283" w:lineRule="atLeast"/>
              <w:tabs>
                <w:tab w:val="left" w:pos="316" w:leader="none"/>
              </w:tabs>
            </w:pPr>
            <w:r>
              <w:t xml:space="preserve">Рассмотрение заявок -</w:t>
            </w:r>
            <w:r>
              <w:rPr>
                <w:b/>
              </w:rPr>
              <w:t xml:space="preserve"> применяется;</w:t>
            </w:r>
            <w:r/>
          </w:p>
          <w:p>
            <w:pPr>
              <w:pStyle w:val="1334"/>
              <w:numPr>
                <w:ilvl w:val="0"/>
                <w:numId w:val="11"/>
              </w:numPr>
              <w:ind w:left="34" w:firstLine="0"/>
              <w:jc w:val="both"/>
              <w:spacing w:after="0" w:afterAutospacing="0" w:line="283" w:lineRule="atLeast"/>
              <w:tabs>
                <w:tab w:val="left" w:pos="316" w:leader="none"/>
              </w:tabs>
            </w:pPr>
            <w:r>
              <w:t xml:space="preserve">Переторжка - </w:t>
            </w:r>
            <w:r>
              <w:rPr>
                <w:b/>
              </w:rPr>
              <w:t xml:space="preserve">применяется в заочной форме;</w:t>
            </w:r>
            <w:r/>
          </w:p>
          <w:p>
            <w:pPr>
              <w:pStyle w:val="1334"/>
              <w:numPr>
                <w:ilvl w:val="0"/>
                <w:numId w:val="11"/>
              </w:numPr>
              <w:ind w:left="34" w:firstLine="0"/>
              <w:jc w:val="both"/>
              <w:spacing w:after="0" w:afterAutospacing="0" w:line="283" w:lineRule="atLeast"/>
              <w:tabs>
                <w:tab w:val="left" w:pos="316" w:leader="none"/>
              </w:tabs>
            </w:pPr>
            <w:r>
              <w:t xml:space="preserve">Подведение итогов - </w:t>
            </w:r>
            <w:r>
              <w:rPr>
                <w:b/>
              </w:rPr>
              <w:t xml:space="preserve">применяется.</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5.2, 5.3, 5.4, 5.5</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keepNext/>
              <w:spacing w:after="0" w:afterAutospacing="0" w:line="283" w:lineRule="atLeast"/>
              <w:widowControl w:val="off"/>
              <w:suppressLineNumbers/>
            </w:pPr>
            <w:r>
              <w:t xml:space="preserve">Порядок, дата начала, дата и время окончания срока подачи заявок на участие в закупке (этапах закупки), дата рассмотрения заявок участников и подведения итогов.</w:t>
            </w:r>
            <w:r/>
          </w:p>
          <w:p>
            <w:pPr>
              <w:jc w:val="left"/>
              <w:keepLines/>
              <w:keepNext/>
              <w:spacing w:after="0" w:afterAutospacing="0" w:line="283" w:lineRule="atLeast"/>
              <w:widowControl w:val="off"/>
              <w:suppressLineNumbers/>
            </w:pPr>
            <w:r>
              <w:t xml:space="preserve">Дата рассмотрения заявок участников такой закупки и подведения итогов такой закупки</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pStyle w:val="1350"/>
              <w:jc w:val="both"/>
              <w:spacing w:after="0" w:afterAutospacing="0" w:line="283" w:lineRule="atLeast"/>
            </w:pPr>
            <w:r>
              <w:t xml:space="preserve">Заявка подается в электронной форме с использованием функционала и в соответствии с Регламентом работы ЕЭТП.</w:t>
            </w:r>
            <w:r/>
          </w:p>
          <w:p>
            <w:pPr>
              <w:pStyle w:val="1350"/>
              <w:jc w:val="both"/>
              <w:spacing w:after="0" w:afterAutospacing="0" w:line="283" w:lineRule="atLeast"/>
            </w:pPr>
            <w:r/>
            <w:r/>
          </w:p>
          <w:p>
            <w:pPr>
              <w:pStyle w:val="1350"/>
              <w:jc w:val="both"/>
              <w:spacing w:after="0" w:afterAutospacing="0" w:line="283" w:lineRule="atLeast"/>
            </w:pPr>
            <w:r>
              <w:t xml:space="preserve">Дата начала срока подачи заявок: </w:t>
            </w:r>
            <w:r/>
          </w:p>
          <w:p>
            <w:pPr>
              <w:pStyle w:val="1350"/>
              <w:jc w:val="both"/>
              <w:spacing w:after="0" w:afterAutospacing="0" w:line="283" w:lineRule="atLeast"/>
            </w:pPr>
            <w:r>
              <w:t xml:space="preserve">«14</w:t>
            </w:r>
            <w:r>
              <w:t xml:space="preserve">» октября</w:t>
            </w:r>
            <w:r>
              <w:t xml:space="preserve"> 2026 года;</w:t>
            </w:r>
            <w:r/>
          </w:p>
          <w:p>
            <w:pPr>
              <w:pStyle w:val="1350"/>
              <w:jc w:val="both"/>
              <w:spacing w:after="0" w:afterAutospacing="0" w:line="283" w:lineRule="atLeast"/>
            </w:pPr>
            <w:r/>
            <w:r/>
          </w:p>
          <w:p>
            <w:pPr>
              <w:pStyle w:val="1350"/>
              <w:jc w:val="both"/>
              <w:spacing w:after="0" w:afterAutospacing="0" w:line="283" w:lineRule="atLeast"/>
            </w:pPr>
            <w:r>
              <w:t xml:space="preserve">Дата и время окончания срока подачи заявок:</w:t>
            </w:r>
            <w:r/>
          </w:p>
          <w:p>
            <w:pPr>
              <w:pStyle w:val="1350"/>
              <w:jc w:val="both"/>
              <w:spacing w:after="0" w:afterAutospacing="0" w:line="283" w:lineRule="atLeast"/>
            </w:pPr>
            <w:r>
              <w:t xml:space="preserve">«26</w:t>
            </w:r>
            <w:r>
              <w:t xml:space="preserve">» октября</w:t>
            </w:r>
            <w:r>
              <w:t xml:space="preserve"> 2026 года 11:00</w:t>
            </w:r>
            <w:r>
              <w:t xml:space="preserve"> </w:t>
            </w:r>
            <w:r>
              <w:t xml:space="preserve">(время московское)</w:t>
            </w:r>
            <w:r/>
          </w:p>
          <w:p>
            <w:pPr>
              <w:pStyle w:val="1350"/>
              <w:jc w:val="both"/>
              <w:spacing w:after="0" w:afterAutospacing="0" w:line="283" w:lineRule="atLeast"/>
            </w:pPr>
            <w:r/>
            <w:r/>
          </w:p>
          <w:p>
            <w:pPr>
              <w:pStyle w:val="1350"/>
              <w:jc w:val="both"/>
              <w:spacing w:after="0" w:afterAutospacing="0" w:line="283" w:lineRule="atLeast"/>
            </w:pPr>
            <w:r>
              <w:t xml:space="preserve">Рассмотрение заявок: </w:t>
            </w:r>
            <w:r/>
          </w:p>
          <w:p>
            <w:pPr>
              <w:pStyle w:val="1350"/>
              <w:jc w:val="both"/>
              <w:spacing w:after="0" w:afterAutospacing="0" w:line="283" w:lineRule="atLeast"/>
            </w:pPr>
            <w:r>
              <w:t xml:space="preserve">Дата проведения этапа:</w:t>
            </w:r>
            <w:r>
              <w:t xml:space="preserve"> </w:t>
            </w:r>
            <w:r/>
          </w:p>
          <w:p>
            <w:pPr>
              <w:pStyle w:val="1350"/>
              <w:jc w:val="both"/>
              <w:spacing w:after="0" w:afterAutospacing="0" w:line="283" w:lineRule="atLeast"/>
            </w:pPr>
            <w:r>
              <w:t xml:space="preserve">«28</w:t>
            </w:r>
            <w:r>
              <w:t xml:space="preserve">» октября</w:t>
            </w:r>
            <w:r>
              <w:t xml:space="preserve"> 2026 года.</w:t>
            </w:r>
            <w:r/>
          </w:p>
          <w:p>
            <w:pPr>
              <w:pStyle w:val="1350"/>
              <w:jc w:val="both"/>
              <w:spacing w:after="0" w:afterAutospacing="0" w:line="283" w:lineRule="atLeast"/>
            </w:pPr>
            <w:r/>
            <w:r/>
          </w:p>
          <w:p>
            <w:pPr>
              <w:pStyle w:val="1350"/>
              <w:jc w:val="both"/>
              <w:spacing w:after="0" w:afterAutospacing="0" w:line="283" w:lineRule="atLeast"/>
            </w:pPr>
            <w:r>
              <w:t xml:space="preserve">Переторжка: </w:t>
            </w:r>
            <w:r/>
          </w:p>
          <w:p>
            <w:pPr>
              <w:pStyle w:val="1350"/>
              <w:jc w:val="both"/>
              <w:spacing w:after="0" w:afterAutospacing="0" w:line="283" w:lineRule="atLeast"/>
            </w:pPr>
            <w:r>
              <w:t xml:space="preserve">Дата проведения этапа:</w:t>
            </w:r>
            <w:r/>
          </w:p>
          <w:p>
            <w:pPr>
              <w:pStyle w:val="1350"/>
              <w:jc w:val="both"/>
              <w:spacing w:after="0" w:afterAutospacing="0" w:line="283" w:lineRule="atLeast"/>
            </w:pPr>
            <w:r>
              <w:t xml:space="preserve">«29</w:t>
            </w:r>
            <w:r>
              <w:t xml:space="preserve">» октября</w:t>
            </w:r>
            <w:r>
              <w:t xml:space="preserve"> 2026 года.</w:t>
            </w:r>
            <w:r/>
          </w:p>
          <w:p>
            <w:pPr>
              <w:pStyle w:val="1350"/>
              <w:jc w:val="both"/>
              <w:spacing w:after="0" w:afterAutospacing="0" w:line="283" w:lineRule="atLeast"/>
              <w:rPr>
                <w:i/>
              </w:rPr>
            </w:pPr>
            <w:r>
              <w:rPr>
                <w:i/>
              </w:rPr>
              <w:t xml:space="preserve">Шаг </w:t>
            </w:r>
            <w:r>
              <w:rPr>
                <w:i/>
              </w:rPr>
              <w:t xml:space="preserve">переторжки </w:t>
            </w:r>
            <w:r>
              <w:rPr>
                <w:i/>
              </w:rPr>
              <w:t xml:space="preserve">в очной форме </w:t>
            </w:r>
            <w:r>
              <w:rPr>
                <w:i/>
              </w:rPr>
              <w:t xml:space="preserve">определяется</w:t>
            </w:r>
            <w:r>
              <w:rPr>
                <w:i/>
              </w:rPr>
              <w:t xml:space="preserve"> в зависимости от начальн</w:t>
            </w:r>
            <w:r>
              <w:rPr>
                <w:i/>
              </w:rPr>
              <w:t xml:space="preserve">ой (максимальной) цены договора/</w:t>
            </w:r>
            <w:r>
              <w:rPr>
                <w:i/>
              </w:rPr>
              <w:t xml:space="preserve">стоимости единичных расценок</w:t>
            </w:r>
            <w:r>
              <w:rPr>
                <w:i/>
              </w:rPr>
              <w:t xml:space="preserve">, а именно</w:t>
            </w:r>
            <w:r/>
            <w:r>
              <w:rPr>
                <w:i/>
              </w:rPr>
              <w:t xml:space="preserve">:</w:t>
            </w:r>
            <w:r>
              <w:rPr>
                <w:i/>
              </w:rPr>
            </w:r>
            <w:r>
              <w:rPr>
                <w:i/>
              </w:rPr>
            </w:r>
          </w:p>
          <w:p>
            <w:pPr>
              <w:pStyle w:val="1350"/>
              <w:spacing w:after="0" w:afterAutospacing="0" w:line="283" w:lineRule="atLeast"/>
              <w:rPr>
                <w:i/>
              </w:rPr>
            </w:pPr>
            <w:r>
              <w:rPr>
                <w:i/>
              </w:rPr>
              <w:t xml:space="preserve">«до 10 млн. руб. (включительно) – 0,6-1%;</w:t>
            </w:r>
            <w:r>
              <w:rPr>
                <w:i/>
              </w:rPr>
            </w:r>
            <w:r>
              <w:rPr>
                <w:i/>
              </w:rPr>
            </w:r>
          </w:p>
          <w:p>
            <w:pPr>
              <w:pStyle w:val="1350"/>
              <w:spacing w:after="0" w:afterAutospacing="0" w:line="283" w:lineRule="atLeast"/>
              <w:rPr>
                <w:i/>
              </w:rPr>
            </w:pPr>
            <w:r>
              <w:rPr>
                <w:i/>
              </w:rPr>
              <w:t xml:space="preserve">свыше 10 млн. руб. до 100 млн. руб. (включительно) – 0,16-0,5%;</w:t>
            </w:r>
            <w:r>
              <w:rPr>
                <w:i/>
              </w:rPr>
            </w:r>
            <w:r>
              <w:rPr>
                <w:i/>
              </w:rPr>
            </w:r>
          </w:p>
          <w:p>
            <w:pPr>
              <w:pStyle w:val="1350"/>
              <w:spacing w:after="0" w:afterAutospacing="0" w:line="283" w:lineRule="atLeast"/>
              <w:rPr>
                <w:i/>
              </w:rPr>
            </w:pPr>
            <w:r>
              <w:rPr>
                <w:i/>
              </w:rPr>
              <w:t xml:space="preserve">свыше 100 млн. руб. до 500 млн. руб. (включительно) – 0,08-0,15%;</w:t>
            </w:r>
            <w:r>
              <w:rPr>
                <w:i/>
              </w:rPr>
            </w:r>
            <w:r>
              <w:rPr>
                <w:i/>
              </w:rPr>
            </w:r>
          </w:p>
          <w:p>
            <w:pPr>
              <w:pStyle w:val="1350"/>
              <w:spacing w:after="0" w:afterAutospacing="0" w:line="283" w:lineRule="atLeast"/>
              <w:rPr>
                <w:i/>
              </w:rPr>
            </w:pPr>
            <w:r>
              <w:rPr>
                <w:i/>
              </w:rPr>
              <w:t xml:space="preserve">свыше 500 млн. руб. до 1 млрд. руб. (включительно) – 0,05-0,07%;</w:t>
            </w:r>
            <w:r>
              <w:rPr>
                <w:i/>
              </w:rPr>
            </w:r>
            <w:r>
              <w:rPr>
                <w:i/>
              </w:rPr>
            </w:r>
          </w:p>
          <w:p>
            <w:pPr>
              <w:pStyle w:val="1350"/>
              <w:spacing w:after="0" w:afterAutospacing="0" w:line="283" w:lineRule="atLeast"/>
              <w:rPr>
                <w:i/>
              </w:rPr>
            </w:pPr>
            <w:r>
              <w:rPr>
                <w:i/>
              </w:rPr>
              <w:t xml:space="preserve">более 1 млрд. руб. – 0,01-0,04%».</w:t>
            </w:r>
            <w:r>
              <w:rPr>
                <w:i/>
              </w:rPr>
            </w:r>
            <w:r>
              <w:rPr>
                <w:i/>
              </w:rPr>
            </w:r>
          </w:p>
          <w:p>
            <w:pPr>
              <w:pStyle w:val="1350"/>
              <w:jc w:val="both"/>
              <w:spacing w:after="0" w:afterAutospacing="0" w:line="283" w:lineRule="atLeast"/>
            </w:pPr>
            <w:r/>
            <w:r/>
          </w:p>
          <w:p>
            <w:pPr>
              <w:pStyle w:val="1350"/>
              <w:jc w:val="both"/>
              <w:spacing w:after="0" w:afterAutospacing="0" w:line="283" w:lineRule="atLeast"/>
            </w:pPr>
            <w:r>
              <w:t xml:space="preserve">Подведение итогов:</w:t>
            </w:r>
            <w:r/>
          </w:p>
          <w:p>
            <w:pPr>
              <w:pStyle w:val="1350"/>
              <w:jc w:val="both"/>
              <w:spacing w:after="0" w:afterAutospacing="0" w:line="283" w:lineRule="atLeast"/>
            </w:pPr>
            <w:r>
              <w:t xml:space="preserve">Дата проведения этапа:</w:t>
            </w:r>
            <w:r/>
          </w:p>
          <w:p>
            <w:pPr>
              <w:pStyle w:val="1350"/>
              <w:jc w:val="both"/>
              <w:spacing w:after="0" w:afterAutospacing="0" w:line="283" w:lineRule="atLeast"/>
            </w:pPr>
            <w:r>
              <w:t xml:space="preserve">«03</w:t>
            </w:r>
            <w:r>
              <w:t xml:space="preserve">»</w:t>
            </w:r>
            <w:r>
              <w:t xml:space="preserve"> ноября</w:t>
            </w:r>
            <w:r>
              <w:t xml:space="preserve"> 2026 года.</w:t>
            </w:r>
            <w:r/>
          </w:p>
          <w:p>
            <w:pPr>
              <w:pStyle w:val="1350"/>
              <w:jc w:val="both"/>
              <w:spacing w:after="0" w:afterAutospacing="0" w:line="283" w:lineRule="atLeast"/>
            </w:pPr>
            <w:r>
              <w:t xml:space="preserve">Порядок проведения этапов закупки установлен в подразделе 5 </w:t>
            </w:r>
            <w:r>
              <w:rPr>
                <w:lang w:val="en-US"/>
              </w:rPr>
              <w:t xml:space="preserve">I</w:t>
            </w:r>
            <w:r>
              <w:t xml:space="preserve"> «ОБЩИЕ УЛОВИЯ ПРОВЕДЕНИЯ ЗАКУПКИ» документации о закупке.</w:t>
            </w:r>
            <w:r/>
          </w:p>
          <w:p>
            <w:pPr>
              <w:spacing w:after="0" w:afterAutospacing="0" w:line="283" w:lineRule="atLeast"/>
            </w:pPr>
            <w:r/>
            <w:r/>
          </w:p>
          <w:p>
            <w:pPr>
              <w:spacing w:after="0" w:afterAutospacing="0" w:line="283" w:lineRule="atLeast"/>
            </w:pPr>
            <w:r>
              <w:t xml:space="preserve">По решению ПДЗК после окончания срока подачи заявок Организатор закупки вправе изменить сроки проведения последующих этапов закупки.</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1.4</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keepNext/>
              <w:spacing w:after="0" w:afterAutospacing="0" w:line="283" w:lineRule="atLeast"/>
              <w:widowControl w:val="off"/>
              <w:suppressLineNumbers/>
            </w:pPr>
            <w:r>
              <w:t xml:space="preserve">Требования к </w:t>
            </w:r>
            <w:r>
              <w:t xml:space="preserve">участникам закупки</w:t>
            </w:r>
            <w:r/>
          </w:p>
          <w:p>
            <w:pPr>
              <w:jc w:val="left"/>
              <w:keepLines/>
              <w:keepNext/>
              <w:spacing w:after="0" w:afterAutospacing="0" w:line="283" w:lineRule="atLeast"/>
              <w:widowControl w:val="off"/>
              <w:suppressLineNumbers/>
            </w:pPr>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spacing w:after="0" w:afterAutospacing="0" w:line="283" w:lineRule="atLeast"/>
            </w:pPr>
            <w:r>
              <w:t xml:space="preserve">Участником закупки может быть:</w:t>
            </w:r>
            <w:r/>
          </w:p>
          <w:p>
            <w:pPr>
              <w:spacing w:after="0" w:afterAutospacing="0" w:line="283" w:lineRule="atLeast"/>
            </w:pPr>
            <w:r>
              <w:t xml:space="preserve">а)</w:t>
            </w:r>
            <w:r>
              <w:tab/>
              <w:t xml:space="preserve">любое юридическое лицо или несколько юридических лиц, выступа</w:t>
            </w:r>
            <w:r>
              <w:t xml:space="preserve">ющих на стороне одного участника закупки (в том числе на основании договора о создании простого товарищества в соответствии с требованиями действующего законодательства Российской Федерации), независимо от организационно-правовой формы, формы собственности</w:t>
            </w:r>
            <w:r>
              <w:t xml:space="preserve">,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r/>
          </w:p>
          <w:p>
            <w:pPr>
              <w:spacing w:after="0" w:afterAutospacing="0" w:line="283" w:lineRule="atLeast"/>
            </w:pPr>
            <w:r>
              <w:t xml:space="preserve">б)</w:t>
            </w:r>
            <w:r>
              <w:tab/>
              <w:t xml:space="preserve"> любое физическое лицо или несколько физических лиц, выступающих на стороне одного </w:t>
            </w:r>
            <w:r>
              <w:t xml:space="preserve">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 том числе на основании договора о создании простого товарищества в соответствии с требованиями д</w:t>
            </w:r>
            <w:r>
              <w:t xml:space="preserve">ействующего законодательства Российской Федерации),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r/>
          </w:p>
          <w:p>
            <w:pPr>
              <w:spacing w:after="0" w:afterAutospacing="0" w:line="283" w:lineRule="atLeast"/>
            </w:pPr>
            <w:r/>
            <w:r/>
          </w:p>
          <w:p>
            <w:pPr>
              <w:spacing w:after="0" w:afterAutospacing="0" w:line="283" w:lineRule="atLeast"/>
            </w:pPr>
            <w:r>
              <w:t xml:space="preserve">Чтобы претендовать на победу в закупке и получения права заключить договор, участник закупки должен отвечать требованиям, установленным участникам закупки в соответствии с Приложением № 2 к части  II «ИНФОРМАЦИОННАЯ КАРТА ЗАКУПКИ».</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1.4, 3.4.1, 3.4.2</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keepNext/>
              <w:spacing w:after="0" w:afterAutospacing="0" w:line="283" w:lineRule="atLeast"/>
              <w:widowControl w:val="off"/>
              <w:suppressLineNumbers/>
            </w:pPr>
            <w:r>
              <w:t xml:space="preserve">Документы и сведения, входящие в состав заявки на участие в закупке для подтверждения соответствия требованиям, установленным в пункте 8 части </w:t>
            </w:r>
            <w:r>
              <w:rPr>
                <w:lang w:val="en-US"/>
              </w:rPr>
              <w:t xml:space="preserve">II</w:t>
            </w:r>
            <w:r>
              <w:t xml:space="preserve"> «ИНФОРМАЦИОННАЯ КАРТА ЗАКУПКИ»</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keepLines/>
              <w:keepNext/>
              <w:spacing w:after="0" w:afterAutospacing="0" w:line="283" w:lineRule="atLeast"/>
              <w:widowControl w:val="off"/>
              <w:suppressLineNumbers/>
            </w:pPr>
            <w:r>
              <w:t xml:space="preserve">Документы и сведения, входящие в состав заявки на участие в закупке установлены в Приложении № 2 к части II «ИНФОРМАЦИОННАЯ КАРТА ЗАКУПКИ».</w:t>
            </w:r>
            <w:r/>
          </w:p>
          <w:p>
            <w:pPr>
              <w:pStyle w:val="1362"/>
              <w:jc w:val="both"/>
              <w:spacing w:after="0" w:afterAutospacing="0" w:line="283" w:lineRule="atLeast"/>
              <w:widowControl w:val="off"/>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1.4.4</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keepNext/>
              <w:spacing w:after="0" w:afterAutospacing="0" w:line="283" w:lineRule="atLeast"/>
              <w:widowControl w:val="off"/>
              <w:suppressLineNumbers/>
            </w:pPr>
            <w:r>
              <w:t xml:space="preserve">Требование об отсутствии сведений об участнике закупки </w:t>
            </w:r>
            <w:r>
              <w:t xml:space="preserve">в реестре недобросовестных поставщиков</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pStyle w:val="1334"/>
              <w:ind w:left="0"/>
              <w:jc w:val="both"/>
              <w:spacing w:after="0" w:afterAutospacing="0" w:line="283" w:lineRule="atLeast"/>
            </w:pPr>
            <w:r>
              <w:t xml:space="preserve">Установлено:</w:t>
            </w:r>
            <w:r/>
          </w:p>
          <w:p>
            <w:pPr>
              <w:spacing w:after="0" w:afterAutospacing="0" w:line="283" w:lineRule="atLeast"/>
            </w:pPr>
            <w:r>
              <w:t xml:space="preserve">- отсутствие в реестре недобросовестных поставщиков (подрядчиков, исполнителей) информации об участнике закупки.</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1.4, 3.4.1, 3.4.2</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keepNext/>
              <w:spacing w:after="0" w:afterAutospacing="0" w:line="283" w:lineRule="atLeast"/>
              <w:widowControl w:val="off"/>
              <w:suppressLineNumbers/>
            </w:pPr>
            <w:r>
              <w:t xml:space="preserve">Документы и сведения, входящие в состав заявки на участие в закупке для подтверждения соответствия требованию, установленному в пункте 10  части </w:t>
            </w:r>
            <w:r>
              <w:rPr>
                <w:lang w:val="en-US"/>
              </w:rPr>
              <w:t xml:space="preserve">II</w:t>
            </w:r>
            <w:r>
              <w:t xml:space="preserve"> «ИНФОРМАЦИОННАЯ КАРТА ЗАКУПКИ»</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pStyle w:val="1334"/>
              <w:ind w:left="0"/>
              <w:jc w:val="both"/>
              <w:spacing w:after="0" w:afterAutospacing="0" w:line="283" w:lineRule="atLeast"/>
            </w:pPr>
            <w:r>
              <w:t xml:space="preserve">Не требуются</w:t>
            </w:r>
            <w:r/>
          </w:p>
          <w:p>
            <w:pPr>
              <w:pStyle w:val="1334"/>
              <w:ind w:left="0"/>
              <w:jc w:val="both"/>
              <w:spacing w:after="0" w:afterAutospacing="0" w:line="283" w:lineRule="atLeast"/>
            </w:pPr>
            <w:r>
              <w:t xml:space="preserve">Проверка соответствия установленному требованию осуществляется на основании открытых данных соответствующих реестров.</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bookmarkStart w:id="101" w:name="_Ref166311076"/>
            <w:r/>
            <w:bookmarkEnd w:id="101"/>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1.4.7</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keepNext/>
              <w:spacing w:after="0" w:afterAutospacing="0" w:line="283" w:lineRule="atLeast"/>
              <w:widowControl w:val="off"/>
              <w:suppressLineNumbers/>
            </w:pPr>
            <w:r>
              <w:t xml:space="preserve">Требования к участникам закупки и прив</w:t>
            </w:r>
            <w:r>
              <w:t xml:space="preserve">лекаемым ими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jc w:val="left"/>
              <w:spacing w:after="0" w:afterAutospacing="0" w:line="283" w:lineRule="atLeast"/>
            </w:pPr>
            <w:r>
              <w:t xml:space="preserve">В соответствии с настоящей документацией о закупке.</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bookmarkStart w:id="102" w:name="_Ref166311380"/>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3.4.1, 3.4.2</w:t>
            </w:r>
            <w:bookmarkEnd w:id="102"/>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keepNext/>
              <w:spacing w:after="0" w:afterAutospacing="0" w:line="283" w:lineRule="atLeast"/>
              <w:widowControl w:val="off"/>
              <w:suppressLineNumbers/>
            </w:pPr>
            <w:r>
              <w:t xml:space="preserve">Документы и сведения, входящие в состав заявки на участие в закупке для подтверждения соответствия требованиям, установленным в пункте 12  части </w:t>
            </w:r>
            <w:r>
              <w:rPr>
                <w:lang w:val="en-US"/>
              </w:rPr>
              <w:t xml:space="preserve">II</w:t>
            </w:r>
            <w:r>
              <w:t xml:space="preserve"> «ИНФОРМАЦИОННАЯ КАРТА ЗАКУПКИ»</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spacing w:after="0" w:afterAutospacing="0" w:line="283" w:lineRule="atLeast"/>
            </w:pPr>
            <w:r>
              <w:t xml:space="preserve">В соответствии с настоящей документацией о закупке.</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2.2.1</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keepNext/>
              <w:spacing w:after="0" w:afterAutospacing="0" w:line="283" w:lineRule="atLeast"/>
              <w:widowControl w:val="off"/>
              <w:suppressLineNumbers/>
            </w:pPr>
            <w:r>
              <w:t xml:space="preserve">Дата и время окончания срока предоставления участникам закупки разъяснений положений документации о закупке</w:t>
            </w:r>
            <w:r/>
          </w:p>
        </w:tc>
        <w:tc>
          <w:tcPr>
            <w:shd w:val="clear" w:color="auto" w:fill="auto"/>
            <w:tcBorders>
              <w:top w:val="single" w:color="auto" w:sz="4" w:space="0"/>
              <w:left w:val="single" w:color="auto" w:sz="4" w:space="0"/>
              <w:bottom w:val="single" w:color="auto" w:sz="4" w:space="0"/>
              <w:right w:val="single" w:color="auto" w:sz="4" w:space="0"/>
            </w:tcBorders>
            <w:tcW w:w="4785" w:type="dxa"/>
            <w:textDirection w:val="lrTb"/>
            <w:noWrap w:val="false"/>
          </w:tcPr>
          <w:p>
            <w:pPr>
              <w:spacing w:after="0" w:afterAutospacing="0" w:line="283" w:lineRule="atLeast"/>
            </w:pPr>
            <w:r>
              <w:t xml:space="preserve">«21</w:t>
            </w:r>
            <w:r>
              <w:t xml:space="preserve">» ок</w:t>
            </w:r>
            <w:r>
              <w:t xml:space="preserve">тября</w:t>
            </w:r>
            <w:r>
              <w:t xml:space="preserve"> 2026 года 17:00 (время московское)</w:t>
            </w:r>
            <w:r/>
          </w:p>
          <w:p>
            <w:pPr>
              <w:spacing w:after="0" w:afterAutospacing="0" w:line="283" w:lineRule="atLeast"/>
            </w:pPr>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3.6</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pStyle w:val="1361"/>
              <w:numPr>
                <w:ilvl w:val="0"/>
                <w:numId w:val="0"/>
              </w:numPr>
              <w:jc w:val="left"/>
              <w:spacing w:after="0" w:afterAutospacing="0" w:line="283" w:lineRule="atLeast"/>
              <w:widowControl w:val="off"/>
              <w:tabs>
                <w:tab w:val="left" w:pos="708" w:leader="none"/>
              </w:tabs>
              <w:rPr>
                <w:sz w:val="24"/>
                <w:szCs w:val="24"/>
              </w:rPr>
            </w:pPr>
            <w:r>
              <w:rPr>
                <w:sz w:val="24"/>
                <w:szCs w:val="24"/>
              </w:rPr>
              <w:t xml:space="preserve">Обеспечение заявок на участие в закупке.</w:t>
            </w:r>
            <w:r>
              <w:rPr>
                <w:sz w:val="24"/>
                <w:szCs w:val="24"/>
              </w:rPr>
            </w:r>
            <w:r>
              <w:rPr>
                <w:sz w:val="24"/>
                <w:szCs w:val="24"/>
              </w:rPr>
            </w:r>
          </w:p>
          <w:p>
            <w:pPr>
              <w:jc w:val="left"/>
              <w:keepLines/>
              <w:spacing w:after="0" w:afterAutospacing="0" w:line="283" w:lineRule="atLeast"/>
              <w:widowControl w:val="off"/>
              <w:suppressLineNumbers/>
            </w:pPr>
            <w:r>
              <w:t xml:space="preserve">Размер обеспечения заявок на участие в </w:t>
            </w:r>
            <w:r>
              <w:t xml:space="preserve">закупке, срок и порядок внесения денежных средств в качестве обеспечения такой заявки, условия независимой гарантии.</w:t>
            </w:r>
            <w:r>
              <w:rPr>
                <w:rStyle w:val="1221"/>
              </w:rPr>
              <w:t xml:space="preserve"> </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spacing w:after="0"/>
            </w:pPr>
            <w:r>
              <w:rPr>
                <w:highlight w:val="none"/>
              </w:rPr>
            </w:r>
            <w:r>
              <w:rPr>
                <w:highlight w:val="none"/>
              </w:rPr>
              <w:t xml:space="preserve">Обеспечение заявок на участие в закупке предусмотрено в размере 5% от начальной (максимальной) цены договора, что составляет 640 500 (шестьсот сорок тысяч пятьсот) рублей 00 копеек.</w:t>
            </w:r>
            <w:r/>
          </w:p>
          <w:p>
            <w:pPr>
              <w:spacing w:after="0"/>
            </w:pPr>
            <w:r>
              <w:rPr>
                <w:highlight w:val="none"/>
              </w:rPr>
            </w:r>
            <w:r/>
          </w:p>
          <w:p>
            <w:pPr>
              <w:spacing w:after="0"/>
            </w:pPr>
            <w:r>
              <w:rPr>
                <w:highlight w:val="none"/>
              </w:rPr>
              <w:t xml:space="preserve">Срок предоставления обеспечения заявок на участие в закупке: не позднее даты и времени окончания срока подачи заявок на участие в закупке, установленные в п. 7 части II «ИНФОРМАЦИОННАЯ КАРТА ЗАКУПКИ».</w:t>
            </w:r>
            <w:r/>
          </w:p>
          <w:p>
            <w:pPr>
              <w:spacing w:after="0" w:afterAutospacing="0" w:line="283" w:lineRule="atLeast"/>
            </w:pPr>
            <w:r>
              <w:rPr>
                <w:highlight w:val="none"/>
              </w:rPr>
              <w:t xml:space="preserve">Порядок внесения денежных средств и условия независимой гарантии, а также срок и случаи возврата обеспечения заявок установлены в разделе 3 части I «ОБЩИЕ УСЛОВИЯ ПРОВЕДЕНИЯ ЗАКУПКИ».</w:t>
            </w:r>
            <w:r/>
          </w:p>
        </w:tc>
      </w:tr>
      <w:tr>
        <w:tblPrEx/>
        <w:trPr>
          <w:jc w:val="center"/>
          <w:trHeight w:val="274"/>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bookmarkStart w:id="104" w:name="_Ref166312503"/>
            <w:r/>
            <w:bookmarkStart w:id="105" w:name="_Ref166381471"/>
            <w:r/>
            <w:bookmarkEnd w:id="104"/>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6.2, 6.3</w:t>
            </w:r>
            <w:bookmarkEnd w:id="105"/>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pStyle w:val="1361"/>
              <w:numPr>
                <w:ilvl w:val="0"/>
                <w:numId w:val="0"/>
              </w:numPr>
              <w:jc w:val="left"/>
              <w:spacing w:after="0" w:afterAutospacing="0" w:line="283" w:lineRule="atLeast"/>
              <w:widowControl w:val="off"/>
              <w:tabs>
                <w:tab w:val="left" w:pos="708" w:leader="none"/>
              </w:tabs>
              <w:rPr>
                <w:sz w:val="24"/>
                <w:szCs w:val="24"/>
              </w:rPr>
            </w:pPr>
            <w:r>
              <w:rPr>
                <w:sz w:val="24"/>
                <w:szCs w:val="24"/>
              </w:rPr>
              <w:t xml:space="preserve">Обеспечение исполнения договора</w:t>
            </w:r>
            <w:r>
              <w:rPr>
                <w:sz w:val="24"/>
                <w:szCs w:val="24"/>
              </w:rPr>
            </w:r>
            <w:r>
              <w:rPr>
                <w:sz w:val="24"/>
                <w:szCs w:val="24"/>
              </w:rPr>
            </w:r>
          </w:p>
          <w:p>
            <w:pPr>
              <w:jc w:val="left"/>
              <w:keepLines/>
              <w:keepNext/>
              <w:spacing w:after="0" w:afterAutospacing="0" w:line="283" w:lineRule="atLeast"/>
              <w:widowControl w:val="off"/>
              <w:suppressLineNumbers/>
            </w:pPr>
            <w:r>
              <w:t xml:space="preserve">Размер обеспечения исполнения договора в закупке, срок и порядок внесения денежных средств в качестве обеспечения такого договора, условия независимой гарантии.</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jc w:val="left"/>
              <w:spacing w:after="0" w:afterAutospacing="0" w:line="283" w:lineRule="atLeast"/>
            </w:pPr>
            <w:r>
              <w:t xml:space="preserve">Согласно разделу </w:t>
            </w:r>
            <w:r>
              <w:rPr>
                <w:lang w:val="en-US"/>
              </w:rPr>
              <w:t xml:space="preserve">V</w:t>
            </w:r>
            <w:r>
              <w:t xml:space="preserve"> «Проект договора» настоящей документации о закупке.</w:t>
            </w:r>
            <w:r/>
          </w:p>
          <w:p>
            <w:pPr>
              <w:jc w:val="left"/>
              <w:spacing w:after="0" w:afterAutospacing="0" w:line="283" w:lineRule="atLeast"/>
              <w:rPr>
                <w:highlight w:val="red"/>
              </w:rPr>
            </w:pPr>
            <w:r>
              <w:rPr>
                <w:highlight w:val="red"/>
              </w:rPr>
            </w:r>
            <w:r>
              <w:rPr>
                <w:highlight w:val="red"/>
              </w:rPr>
            </w:r>
            <w:r>
              <w:rPr>
                <w:highlight w:val="red"/>
              </w:rPr>
            </w:r>
          </w:p>
          <w:p>
            <w:pPr>
              <w:jc w:val="left"/>
              <w:spacing w:after="0" w:afterAutospacing="0" w:line="283" w:lineRule="atLeast"/>
              <w:rPr>
                <w:highlight w:val="red"/>
              </w:rPr>
            </w:pPr>
            <w:r>
              <w:rPr>
                <w:highlight w:val="red"/>
              </w:rPr>
            </w:r>
            <w:r>
              <w:rPr>
                <w:highlight w:val="red"/>
              </w:rPr>
            </w:r>
            <w:r>
              <w:rPr>
                <w:highlight w:val="red"/>
              </w:rPr>
            </w:r>
          </w:p>
          <w:p>
            <w:pPr>
              <w:spacing w:after="0" w:afterAutospacing="0" w:line="283" w:lineRule="atLeast"/>
            </w:pPr>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bookmarkStart w:id="106" w:name="_Ref166313061"/>
            <w:r/>
            <w:bookmarkStart w:id="107" w:name="_Ref354440864"/>
            <w:r/>
            <w:bookmarkEnd w:id="106"/>
            <w:r/>
            <w:bookmarkEnd w:id="107"/>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suppressLineNumbers/>
            </w:pPr>
            <w:r>
              <w:t xml:space="preserve">6.2.2</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spacing w:after="0" w:afterAutospacing="0" w:line="283" w:lineRule="atLeast"/>
            </w:pPr>
            <w:r>
              <w:t xml:space="preserve">Реквизиты счета для внесения обеспечения исполнения договора (в случае если участник закупки выбрал обеспечение исполнения договора в виде  внесения денежных средств)</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jc w:val="left"/>
              <w:spacing w:after="0" w:afterAutospacing="0" w:line="283" w:lineRule="atLeast"/>
            </w:pPr>
            <w:r>
              <w:t xml:space="preserve">Согласно разделу </w:t>
            </w:r>
            <w:r>
              <w:rPr>
                <w:lang w:val="en-US"/>
              </w:rPr>
              <w:t xml:space="preserve">V</w:t>
            </w:r>
            <w:r>
              <w:t xml:space="preserve"> «Проект договора» настоящей документации о закупке.</w:t>
            </w:r>
            <w:r/>
          </w:p>
          <w:p>
            <w:pPr>
              <w:jc w:val="left"/>
              <w:spacing w:after="0" w:afterAutospacing="0" w:line="283" w:lineRule="atLeast"/>
            </w:pPr>
            <w:r/>
            <w:r/>
          </w:p>
          <w:p>
            <w:pPr>
              <w:jc w:val="left"/>
              <w:spacing w:after="0" w:afterAutospacing="0" w:line="283" w:lineRule="atLeast"/>
            </w:pPr>
            <w:r/>
            <w:r/>
          </w:p>
        </w:tc>
      </w:tr>
      <w:tr>
        <w:tblPrEx/>
        <w:trPr>
          <w:jc w:val="center"/>
          <w:trHeight w:val="1408"/>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bookmarkStart w:id="108" w:name="_Ref166313235"/>
            <w:r/>
            <w:bookmarkStart w:id="109" w:name="_Ref354428632"/>
            <w:r/>
            <w:bookmarkEnd w:id="108"/>
            <w:r/>
            <w:bookmarkEnd w:id="109"/>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keepNext/>
              <w:spacing w:after="0" w:afterAutospacing="0" w:line="283" w:lineRule="atLeast"/>
              <w:widowControl w:val="off"/>
              <w:tabs>
                <w:tab w:val="num" w:pos="312" w:leader="none"/>
              </w:tabs>
              <w:outlineLvl w:val="2"/>
              <w:suppressLineNumbers/>
            </w:pPr>
            <w:r>
              <w:t xml:space="preserve">5.2.9</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spacing w:after="0" w:afterAutospacing="0" w:line="283" w:lineRule="atLeast"/>
              <w:widowControl w:val="off"/>
              <w:suppressLineNumbers/>
            </w:pPr>
            <w:r>
              <w:t xml:space="preserve">Критерии и порядок оценки и сопоставления заявок на участие в закупке</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spacing w:after="0" w:afterAutospacing="0" w:line="283" w:lineRule="atLeast"/>
            </w:pPr>
            <w:r>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1 к части II «ИНФОРМАЦИОННАЯ КАРТА ЗАКУПКИ».</w:t>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bookmarkStart w:id="110" w:name="_Ref166315600"/>
            <w:r/>
            <w:bookmarkStart w:id="111" w:name="_Ref354134594"/>
            <w:r/>
            <w:bookmarkEnd w:id="110"/>
            <w:r/>
            <w:bookmarkEnd w:id="111"/>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spacing w:after="0" w:afterAutospacing="0" w:line="283" w:lineRule="atLeast"/>
              <w:widowControl w:val="off"/>
              <w:suppressLineNumbers/>
            </w:pPr>
            <w:r>
              <w:t xml:space="preserve">6.1.2</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keepNext/>
              <w:spacing w:after="0" w:afterAutospacing="0" w:line="283" w:lineRule="atLeast"/>
              <w:widowControl w:val="off"/>
              <w:suppressLineNumbers/>
            </w:pPr>
            <w:r>
              <w:t xml:space="preserve">Право Заказчика заключить договор с несколькими участниками закупки</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keepLines/>
              <w:keepNext/>
              <w:spacing w:after="0" w:afterAutospacing="0" w:line="283" w:lineRule="atLeast"/>
              <w:widowControl w:val="off"/>
              <w:rPr>
                <w:i/>
              </w:rPr>
              <w:suppressLineNumbers/>
            </w:pPr>
            <w:r>
              <w:t xml:space="preserve">Не предусмотрено</w:t>
            </w:r>
            <w:r>
              <w:rPr>
                <w:i/>
              </w:rPr>
            </w:r>
            <w:r>
              <w:rPr>
                <w:i/>
              </w:rPr>
            </w:r>
          </w:p>
          <w:p>
            <w:pPr>
              <w:pStyle w:val="1334"/>
              <w:ind w:left="0"/>
              <w:jc w:val="both"/>
              <w:spacing w:after="0" w:afterAutospacing="0" w:line="283" w:lineRule="atLeast"/>
            </w:pPr>
            <w: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spacing w:after="0" w:afterAutospacing="0" w:line="283" w:lineRule="atLeast"/>
              <w:widowControl w:val="off"/>
              <w:suppressLineNumbers/>
            </w:pPr>
            <w:r>
              <w:t xml:space="preserve">6.5.3</w:t>
            </w:r>
            <w:r/>
          </w:p>
        </w:tc>
        <w:tc>
          <w:tcPr>
            <w:tcBorders>
              <w:top w:val="single" w:color="auto" w:sz="4" w:space="0"/>
              <w:left w:val="single" w:color="auto" w:sz="4" w:space="0"/>
              <w:bottom w:val="single" w:color="auto" w:sz="4" w:space="0"/>
              <w:right w:val="single" w:color="auto" w:sz="4" w:space="0"/>
            </w:tcBorders>
            <w:tcW w:w="2551" w:type="dxa"/>
            <w:textDirection w:val="lrTb"/>
            <w:noWrap w:val="false"/>
          </w:tcPr>
          <w:p>
            <w:pPr>
              <w:jc w:val="left"/>
              <w:keepLines/>
              <w:spacing w:after="0" w:afterAutospacing="0" w:line="283" w:lineRule="atLeast"/>
              <w:widowControl w:val="off"/>
              <w:suppressLineNumbers/>
            </w:pPr>
            <w:r>
              <w:t xml:space="preserve">Сведения о возможности одностороннего отказа от исполнения обязательств, предусмотренных договором</w:t>
            </w:r>
            <w:r/>
          </w:p>
        </w:tc>
        <w:tc>
          <w:tcPr>
            <w:tcBorders>
              <w:top w:val="single" w:color="auto" w:sz="4" w:space="0"/>
              <w:left w:val="single" w:color="auto" w:sz="4" w:space="0"/>
              <w:bottom w:val="single" w:color="auto" w:sz="4" w:space="0"/>
              <w:right w:val="single" w:color="auto" w:sz="4" w:space="0"/>
            </w:tcBorders>
            <w:tcW w:w="4785" w:type="dxa"/>
            <w:textDirection w:val="lrTb"/>
            <w:noWrap w:val="false"/>
          </w:tcPr>
          <w:p>
            <w:pPr>
              <w:spacing w:after="0" w:afterAutospacing="0" w:line="283" w:lineRule="atLeast"/>
              <w:rPr>
                <w:i/>
              </w:rPr>
            </w:pPr>
            <w:r>
              <w:t xml:space="preserve">Односторонний отказ от исполнения договора возможен в порядке, установленном в проекте договора</w:t>
            </w:r>
            <w:r>
              <w:rPr>
                <w:i/>
              </w:rPr>
            </w:r>
            <w:r>
              <w:rPr>
                <w:i/>
              </w:rPr>
            </w:r>
          </w:p>
        </w:tc>
      </w:tr>
      <w:tr>
        <w:tblPrEx/>
        <w:trPr>
          <w:jc w:val="center"/>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pStyle w:val="1015"/>
              <w:numPr>
                <w:ilvl w:val="0"/>
                <w:numId w:val="9"/>
              </w:numPr>
              <w:ind w:hanging="796"/>
              <w:jc w:val="left"/>
              <w:spacing w:before="0" w:after="0" w:afterAutospacing="0" w:line="283" w:lineRule="atLeast"/>
              <w:tabs>
                <w:tab w:val="left" w:pos="284"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2126" w:type="dxa"/>
            <w:textDirection w:val="lrTb"/>
            <w:noWrap w:val="false"/>
          </w:tcPr>
          <w:p>
            <w:pPr>
              <w:jc w:val="left"/>
              <w:keepLines/>
              <w:spacing w:after="0" w:afterAutospacing="0" w:line="283" w:lineRule="atLeast"/>
              <w:widowControl w:val="off"/>
              <w:suppressLineNumbers/>
            </w:pPr>
            <w:r>
              <w:t xml:space="preserve">1.7</w:t>
            </w:r>
            <w:r/>
          </w:p>
        </w:tc>
        <w:tc>
          <w:tcPr>
            <w:shd w:val="clear" w:color="auto" w:fill="auto"/>
            <w:tcBorders>
              <w:top w:val="single" w:color="auto" w:sz="4" w:space="0"/>
              <w:bottom w:val="single" w:color="auto" w:sz="4" w:space="0"/>
              <w:right w:val="single" w:color="auto" w:sz="4" w:space="0"/>
            </w:tcBorders>
            <w:tcW w:w="2551" w:type="dxa"/>
            <w:textDirection w:val="lrTb"/>
            <w:noWrap w:val="false"/>
          </w:tcPr>
          <w:p>
            <w:pPr>
              <w:pStyle w:val="1350"/>
              <w:spacing w:after="0" w:afterAutospacing="0" w:line="283" w:lineRule="atLeast"/>
            </w:pPr>
            <w:r>
              <w:t xml:space="preserve">Сведения о предоставлении приоритетов товаров российского </w:t>
            </w:r>
            <w:r>
              <w:t xml:space="preserve">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p>
        </w:tc>
        <w:tc>
          <w:tcPr>
            <w:shd w:val="clear" w:color="auto" w:fill="auto"/>
            <w:tcBorders>
              <w:top w:val="single" w:color="auto" w:sz="4" w:space="0"/>
              <w:left w:val="single" w:color="auto" w:sz="4" w:space="0"/>
              <w:bottom w:val="single" w:color="auto" w:sz="4" w:space="0"/>
              <w:right w:val="single" w:color="auto" w:sz="4" w:space="0"/>
            </w:tcBorders>
            <w:tcW w:w="4785" w:type="dxa"/>
            <w:textDirection w:val="lrTb"/>
            <w:noWrap w:val="false"/>
          </w:tcPr>
          <w:p>
            <w:pPr>
              <w:pStyle w:val="1350"/>
              <w:jc w:val="both"/>
              <w:spacing w:after="0" w:afterAutospacing="0" w:line="283" w:lineRule="atLeast"/>
            </w:pPr>
            <w:r>
              <w:t xml:space="preserve">Применение приоритетов, запретов, преимуществ или ограничений при закупке товаров российского происхождения, работ, услуг, выполняемых, оказываемых </w:t>
            </w:r>
            <w:r>
              <w:t xml:space="preserve">российск</w:t>
            </w:r>
            <w:r>
              <w:t xml:space="preserve">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 в соответствии с постановлением Правительства Российской Федерации от  23.12.2024 № 1875-ПП.</w:t>
            </w:r>
            <w:r/>
          </w:p>
        </w:tc>
      </w:tr>
    </w:tbl>
    <w:p>
      <w:pPr>
        <w:pStyle w:val="1015"/>
        <w:ind w:left="0" w:firstLine="567"/>
        <w:jc w:val="right"/>
        <w:pageBreakBefore/>
        <w:spacing w:before="0" w:after="0"/>
        <w:rPr>
          <w:rFonts w:ascii="Times New Roman" w:hAnsi="Times New Roman" w:cs="Times New Roman"/>
          <w:i/>
        </w:rPr>
      </w:pPr>
      <w:r/>
      <w:bookmarkStart w:id="112" w:name="_Ref306138385"/>
      <w:r/>
      <w:bookmarkStart w:id="113" w:name="_Ref119427310"/>
      <w:r/>
      <w:bookmarkStart w:id="114" w:name="_Ref166101288"/>
      <w:r/>
      <w:bookmarkStart w:id="115" w:name="_Ref166101291"/>
      <w:r/>
      <w:bookmarkStart w:id="116" w:name="_Ref166158276"/>
      <w:r/>
      <w:bookmarkStart w:id="117" w:name="_Ref166158279"/>
      <w:r/>
      <w:bookmarkStart w:id="118" w:name="_Ref166329210"/>
      <w:r/>
      <w:bookmarkStart w:id="119" w:name="_Ref166329212"/>
      <w:r/>
      <w:bookmarkStart w:id="120" w:name="_Ref166329217"/>
      <w:r>
        <w:rPr>
          <w:rFonts w:ascii="Times New Roman" w:hAnsi="Times New Roman" w:cs="Times New Roman"/>
          <w:i/>
        </w:rPr>
        <w:t xml:space="preserve">Приложение № 1 </w:t>
      </w:r>
      <w:r>
        <w:rPr>
          <w:rFonts w:ascii="Times New Roman" w:hAnsi="Times New Roman" w:cs="Times New Roman"/>
          <w:i/>
        </w:rPr>
      </w:r>
      <w:r>
        <w:rPr>
          <w:rFonts w:ascii="Times New Roman" w:hAnsi="Times New Roman" w:cs="Times New Roman"/>
          <w:i/>
        </w:rPr>
      </w:r>
    </w:p>
    <w:p>
      <w:pPr>
        <w:pStyle w:val="1364"/>
        <w:numPr>
          <w:ilvl w:val="0"/>
          <w:numId w:val="0"/>
        </w:numPr>
        <w:ind w:firstLine="567"/>
        <w:jc w:val="right"/>
        <w:spacing w:line="240" w:lineRule="auto"/>
        <w:tabs>
          <w:tab w:val="clear" w:pos="1080" w:leader="none"/>
          <w:tab w:val="left" w:pos="1418" w:leader="none"/>
        </w:tabs>
        <w:rPr>
          <w:b/>
          <w:i/>
        </w:rPr>
      </w:pPr>
      <w:r>
        <w:rPr>
          <w:b/>
          <w:i/>
        </w:rPr>
        <w:t xml:space="preserve">к части II «ИНФОРМАЦИОННАЯ КАРТА ЗАКУПКИ»</w:t>
      </w:r>
      <w:bookmarkEnd w:id="112"/>
      <w:r>
        <w:rPr>
          <w:b/>
          <w:i/>
        </w:rPr>
      </w:r>
      <w:r>
        <w:rPr>
          <w:b/>
          <w:i/>
        </w:rPr>
      </w:r>
    </w:p>
    <w:p>
      <w:pPr>
        <w:pStyle w:val="1364"/>
        <w:numPr>
          <w:ilvl w:val="0"/>
          <w:numId w:val="0"/>
        </w:numPr>
        <w:ind w:firstLine="567"/>
        <w:jc w:val="center"/>
        <w:spacing w:line="240" w:lineRule="auto"/>
        <w:tabs>
          <w:tab w:val="clear" w:pos="1080" w:leader="none"/>
          <w:tab w:val="left" w:pos="1418" w:leader="none"/>
        </w:tabs>
        <w:rPr>
          <w:b/>
          <w:i/>
        </w:rPr>
      </w:pPr>
      <w:r>
        <w:rPr>
          <w:b/>
          <w:i/>
        </w:rPr>
      </w:r>
      <w:r>
        <w:rPr>
          <w:b/>
          <w:i/>
        </w:rPr>
      </w:r>
      <w:r>
        <w:rPr>
          <w:b/>
          <w:i/>
        </w:rPr>
      </w:r>
    </w:p>
    <w:p>
      <w:pPr>
        <w:pStyle w:val="1364"/>
        <w:numPr>
          <w:ilvl w:val="0"/>
          <w:numId w:val="0"/>
        </w:numPr>
        <w:ind w:firstLine="567"/>
        <w:jc w:val="center"/>
        <w:spacing w:line="240" w:lineRule="auto"/>
        <w:tabs>
          <w:tab w:val="clear" w:pos="1080" w:leader="none"/>
          <w:tab w:val="left" w:pos="1418" w:leader="none"/>
        </w:tabs>
        <w:rPr>
          <w:b/>
          <w:i/>
        </w:rPr>
      </w:pPr>
      <w:r>
        <w:rPr>
          <w:b/>
          <w:i/>
          <w:lang w:val="en-US"/>
        </w:rPr>
        <w:t xml:space="preserve">I</w:t>
      </w:r>
      <w:r>
        <w:rPr>
          <w:b/>
          <w:i/>
        </w:rPr>
        <w:t xml:space="preserve">. Оценочная стадия</w:t>
      </w:r>
      <w:r>
        <w:rPr>
          <w:b/>
          <w:i/>
        </w:rPr>
      </w:r>
      <w:r>
        <w:rPr>
          <w:b/>
          <w:i/>
        </w:rPr>
      </w:r>
    </w:p>
    <w:p>
      <w:pPr>
        <w:pStyle w:val="1334"/>
        <w:numPr>
          <w:ilvl w:val="1"/>
          <w:numId w:val="25"/>
        </w:numPr>
        <w:contextualSpacing/>
        <w:ind w:left="0" w:firstLine="567"/>
        <w:jc w:val="both"/>
        <w:keepLines/>
        <w:tabs>
          <w:tab w:val="left" w:pos="1134" w:leader="none"/>
        </w:tabs>
        <w:rPr>
          <w:rFonts w:eastAsia="Arial Unicode MS"/>
        </w:rPr>
      </w:pPr>
      <w:r>
        <w:rPr>
          <w:rFonts w:eastAsia="Arial Unicode MS"/>
        </w:rPr>
        <w:t xml:space="preserve">Для определения степени предпочтительности заявок, которые по результатам рассмотрения по отборочны</w:t>
      </w:r>
      <w:r>
        <w:rPr>
          <w:rFonts w:eastAsia="Arial Unicode MS"/>
        </w:rPr>
        <w:t xml:space="preserve">м критериям были признаны Постоянно действующей закупочной комиссией соответствующими отборочным требованиям, в том числе с учетом установленных допустимых отклонений от установленных числовых значений критериев, производится оценочная стадия рассмотрения </w:t>
      </w:r>
      <w:r>
        <w:rPr>
          <w:rFonts w:eastAsia="Arial Unicode MS"/>
          <w:bCs/>
        </w:rPr>
        <w:t xml:space="preserve">заявок </w:t>
      </w:r>
      <w:r>
        <w:rPr>
          <w:rFonts w:eastAsia="Arial Unicode MS"/>
        </w:rPr>
        <w:t xml:space="preserve">по неценовым критериям. Оценка производится в баллах, при этом для каждого критерия в зависимости от его значимости устанавливается весовой коэффициент для учета при расчете общей предпочтительности заявки. </w:t>
      </w:r>
      <w:r>
        <w:rPr>
          <w:rFonts w:eastAsia="Arial Unicode MS"/>
        </w:rPr>
      </w:r>
      <w:r>
        <w:rPr>
          <w:rFonts w:eastAsia="Arial Unicode MS"/>
        </w:rPr>
      </w:r>
    </w:p>
    <w:p>
      <w:pPr>
        <w:pStyle w:val="1334"/>
        <w:numPr>
          <w:ilvl w:val="1"/>
          <w:numId w:val="25"/>
        </w:numPr>
        <w:contextualSpacing/>
        <w:ind w:left="0" w:firstLine="567"/>
        <w:jc w:val="both"/>
        <w:keepLines/>
        <w:tabs>
          <w:tab w:val="left" w:pos="1134" w:leader="none"/>
        </w:tabs>
        <w:rPr>
          <w:rFonts w:eastAsia="Arial Unicode MS"/>
        </w:rPr>
      </w:pPr>
      <w:r>
        <w:rPr>
          <w:rFonts w:eastAsia="Arial Unicode MS"/>
        </w:rPr>
        <w:t xml:space="preserve">Кроме того, производится расчет рейтинга заявок по критерию ст</w:t>
      </w:r>
      <w:r>
        <w:rPr>
          <w:rFonts w:eastAsia="Arial Unicode MS"/>
        </w:rPr>
        <w:t xml:space="preserve">оимости. После окончания оценочной стадии производится расчет интегральной оценки общей предпочтительности заявок, в соответствии с которым Постоянно действующая закупочная комиссия определяет итоговый ранжир заявок и участника, чья заявка признана лучшей.</w:t>
      </w:r>
      <w:r>
        <w:rPr>
          <w:rFonts w:eastAsia="Arial Unicode MS"/>
        </w:rPr>
      </w:r>
      <w:r>
        <w:rPr>
          <w:rFonts w:eastAsia="Arial Unicode MS"/>
        </w:rPr>
      </w:r>
    </w:p>
    <w:p>
      <w:pPr>
        <w:pStyle w:val="1334"/>
        <w:numPr>
          <w:ilvl w:val="1"/>
          <w:numId w:val="25"/>
        </w:numPr>
        <w:contextualSpacing/>
        <w:ind w:left="0" w:firstLine="567"/>
        <w:jc w:val="both"/>
        <w:keepLines/>
        <w:tabs>
          <w:tab w:val="left" w:pos="1134" w:leader="none"/>
        </w:tabs>
        <w:rPr>
          <w:rFonts w:eastAsia="Arial Unicode MS"/>
        </w:rPr>
      </w:pPr>
      <w:r>
        <w:rPr>
          <w:rFonts w:eastAsia="Arial Unicode MS"/>
        </w:rPr>
        <w:t xml:space="preserve">В рамках оценочной стадии Постоянно действующая закупочная комиссия оценивает и сопоставляет заявки и проводит их ранжирование по степени предпочтительности для Организатора, исходя из следующих критериев (включая подкритерии) и их весовых коэффициентов:</w:t>
      </w:r>
      <w:r>
        <w:rPr>
          <w:rFonts w:eastAsia="Arial Unicode MS"/>
        </w:rPr>
      </w:r>
      <w:r>
        <w:rPr>
          <w:rFonts w:eastAsia="Arial Unicode MS"/>
        </w:rPr>
      </w:r>
    </w:p>
    <w:tbl>
      <w:tblPr>
        <w:tblpPr w:horzAnchor="text" w:tblpX="108" w:vertAnchor="text" w:tblpY="1" w:leftFromText="180" w:topFromText="0" w:rightFromText="180" w:bottomFromText="0"/>
        <w:tblW w:w="4933"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A0" w:firstRow="1" w:lastRow="0" w:firstColumn="1" w:lastColumn="0" w:noHBand="0" w:noVBand="0"/>
      </w:tblPr>
      <w:tblGrid>
        <w:gridCol w:w="6586"/>
        <w:gridCol w:w="3326"/>
      </w:tblGrid>
      <w:tr>
        <w:tblPrEx/>
        <w:trPr>
          <w:trHeight w:val="464"/>
          <w:tblHeader/>
        </w:trPr>
        <w:tc>
          <w:tcPr>
            <w:tcW w:w="6412" w:type="dxa"/>
            <w:vAlign w:val="center"/>
            <w:vMerge w:val="restart"/>
            <w:textDirection w:val="lrTb"/>
            <w:noWrap w:val="false"/>
          </w:tcPr>
          <w:p>
            <w:pPr>
              <w:ind w:firstLine="567"/>
              <w:jc w:val="center"/>
              <w:spacing w:after="0"/>
              <w:widowControl w:val="off"/>
              <w:rPr>
                <w:b/>
                <w:i/>
              </w:rPr>
            </w:pPr>
            <w:r>
              <w:rPr>
                <w:b/>
                <w:i/>
              </w:rPr>
              <w:t xml:space="preserve">Наименование критериев оценки</w:t>
            </w:r>
            <w:r>
              <w:rPr>
                <w:b/>
                <w:i/>
              </w:rPr>
            </w:r>
            <w:r>
              <w:rPr>
                <w:b/>
                <w:i/>
              </w:rPr>
            </w:r>
          </w:p>
        </w:tc>
        <w:tc>
          <w:tcPr>
            <w:tcW w:w="3238" w:type="dxa"/>
            <w:vAlign w:val="center"/>
            <w:vMerge w:val="restart"/>
            <w:textDirection w:val="lrTb"/>
            <w:noWrap w:val="false"/>
          </w:tcPr>
          <w:p>
            <w:pPr>
              <w:ind w:firstLine="206"/>
              <w:jc w:val="center"/>
              <w:spacing w:after="0"/>
              <w:widowControl w:val="off"/>
              <w:rPr>
                <w:b/>
                <w:i/>
              </w:rPr>
            </w:pPr>
            <w:r>
              <w:rPr>
                <w:b/>
                <w:i/>
              </w:rPr>
              <w:t xml:space="preserve">Весовой коэффициент</w:t>
            </w:r>
            <w:r>
              <w:rPr>
                <w:b/>
                <w:i/>
              </w:rPr>
            </w:r>
            <w:r>
              <w:rPr>
                <w:b/>
                <w:i/>
              </w:rPr>
            </w:r>
          </w:p>
        </w:tc>
      </w:tr>
      <w:tr>
        <w:tblPrEx/>
        <w:trPr>
          <w:trHeight w:val="65"/>
        </w:trPr>
        <w:tc>
          <w:tcPr>
            <w:tcW w:w="6412" w:type="dxa"/>
            <w:vAlign w:val="center"/>
            <w:textDirection w:val="lrTb"/>
            <w:noWrap w:val="false"/>
          </w:tcPr>
          <w:p>
            <w:pPr>
              <w:numPr>
                <w:ilvl w:val="0"/>
                <w:numId w:val="41"/>
              </w:numPr>
              <w:ind w:left="0" w:firstLine="0"/>
              <w:jc w:val="left"/>
              <w:spacing w:after="0"/>
              <w:widowControl w:val="off"/>
              <w:tabs>
                <w:tab w:val="left" w:pos="0" w:leader="none"/>
                <w:tab w:val="left" w:pos="284" w:leader="none"/>
                <w:tab w:val="left" w:pos="993" w:leader="none"/>
              </w:tabs>
              <w:rPr>
                <w:b/>
                <w:i/>
              </w:rPr>
            </w:pPr>
            <w:r>
              <w:rPr>
                <w:b/>
                <w:i/>
              </w:rPr>
            </w:r>
            <w:r>
              <w:rPr>
                <w:b/>
                <w:i/>
                <w:lang w:bidi="ru-RU"/>
              </w:rPr>
              <w:t xml:space="preserve">Стоимость </w:t>
            </w:r>
            <w:r>
              <w:rPr>
                <w:b/>
                <w:i/>
                <w:lang w:bidi="ru-RU"/>
              </w:rPr>
              <w:t xml:space="preserve">единичных расценок</w:t>
            </w:r>
            <w:r/>
            <w:r>
              <w:rPr>
                <w:b/>
                <w:i/>
              </w:rPr>
            </w:r>
            <w:r>
              <w:rPr>
                <w:b/>
                <w:i/>
              </w:rPr>
            </w:r>
          </w:p>
        </w:tc>
        <w:tc>
          <w:tcPr>
            <w:tcW w:w="3238" w:type="dxa"/>
            <w:vAlign w:val="center"/>
            <w:textDirection w:val="lrTb"/>
            <w:noWrap w:val="false"/>
          </w:tcPr>
          <w:p>
            <w:pPr>
              <w:ind w:firstLine="4"/>
              <w:jc w:val="center"/>
              <w:spacing w:after="0"/>
              <w:widowControl w:val="off"/>
              <w:rPr>
                <w:b/>
                <w:bCs/>
                <w:i/>
              </w:rPr>
            </w:pPr>
            <w:r>
              <w:rPr>
                <w:b/>
                <w:i/>
              </w:rPr>
              <w:t xml:space="preserve">0,90</w:t>
            </w:r>
            <w:r>
              <w:rPr>
                <w:b/>
                <w:bCs/>
                <w:i/>
              </w:rPr>
            </w:r>
            <w:r>
              <w:rPr>
                <w:b/>
                <w:bCs/>
                <w:i/>
              </w:rPr>
            </w:r>
          </w:p>
        </w:tc>
      </w:tr>
      <w:tr>
        <w:tblPrEx/>
        <w:trPr>
          <w:trHeight w:val="65"/>
        </w:trPr>
        <w:tc>
          <w:tcPr>
            <w:tcW w:w="6412" w:type="dxa"/>
            <w:vAlign w:val="center"/>
            <w:textDirection w:val="lrTb"/>
            <w:noWrap w:val="false"/>
          </w:tcPr>
          <w:p>
            <w:pPr>
              <w:numPr>
                <w:ilvl w:val="0"/>
                <w:numId w:val="41"/>
              </w:numPr>
              <w:ind w:left="0" w:firstLine="0"/>
              <w:jc w:val="left"/>
              <w:spacing w:after="0"/>
              <w:widowControl w:val="off"/>
              <w:tabs>
                <w:tab w:val="left" w:pos="0" w:leader="none"/>
                <w:tab w:val="left" w:pos="284" w:leader="none"/>
                <w:tab w:val="left" w:pos="993" w:leader="none"/>
              </w:tabs>
              <w:rPr>
                <w:b/>
                <w:i/>
              </w:rPr>
            </w:pPr>
            <w:r>
              <w:rPr>
                <w:b/>
                <w:i/>
              </w:rPr>
              <w:t xml:space="preserve">Опыт выполнения аналогичных работ</w:t>
            </w:r>
            <w:r>
              <w:rPr>
                <w:b/>
                <w:i/>
              </w:rPr>
            </w:r>
            <w:r>
              <w:rPr>
                <w:b/>
                <w:i/>
              </w:rPr>
            </w:r>
          </w:p>
        </w:tc>
        <w:tc>
          <w:tcPr>
            <w:tcW w:w="3238" w:type="dxa"/>
            <w:vAlign w:val="center"/>
            <w:textDirection w:val="lrTb"/>
            <w:noWrap w:val="false"/>
          </w:tcPr>
          <w:p>
            <w:pPr>
              <w:ind w:firstLine="4"/>
              <w:jc w:val="center"/>
              <w:spacing w:after="0"/>
              <w:widowControl w:val="off"/>
              <w:rPr>
                <w:b/>
                <w:bCs/>
                <w:i/>
              </w:rPr>
            </w:pPr>
            <w:r>
              <w:rPr>
                <w:b/>
                <w:i/>
              </w:rPr>
              <w:t xml:space="preserve">0,10</w:t>
            </w:r>
            <w:r>
              <w:rPr>
                <w:b/>
                <w:bCs/>
                <w:i/>
              </w:rPr>
            </w:r>
            <w:r>
              <w:rPr>
                <w:b/>
                <w:bCs/>
                <w:i/>
              </w:rPr>
            </w:r>
          </w:p>
        </w:tc>
      </w:tr>
    </w:tbl>
    <w:p>
      <w:pPr>
        <w:ind w:firstLine="567"/>
        <w:spacing w:after="0"/>
        <w:tabs>
          <w:tab w:val="left" w:pos="851" w:leader="none"/>
        </w:tabs>
        <w:rPr>
          <w:color w:val="000000" w:themeColor="text1"/>
        </w:rPr>
      </w:pPr>
      <w:r>
        <w:t xml:space="preserve">По </w:t>
      </w:r>
      <w:r>
        <w:t xml:space="preserve">критерию «Опыт выполнения</w:t>
      </w:r>
      <w:r>
        <w:t xml:space="preserve"> аналогичных работ» оценка производится членами ПДЗК (при необходимости - с привлечением экспертов) </w:t>
      </w:r>
      <w:r>
        <w:rPr>
          <w:color w:val="000000" w:themeColor="text1"/>
        </w:rPr>
        <w:t xml:space="preserve">на основании сведений, предоставленных участником в</w:t>
      </w:r>
      <w:r>
        <w:rPr>
          <w:color w:val="000000" w:themeColor="text1"/>
        </w:rPr>
        <w:t xml:space="preserve"> составе заявки, а именно </w:t>
      </w:r>
      <w:r>
        <w:rPr>
          <w:color w:val="000000" w:themeColor="text1"/>
        </w:rPr>
        <w:t xml:space="preserve">договоров (включая приложения), копии актов приёмки выполненных работ</w:t>
      </w:r>
      <w:r>
        <w:rPr>
          <w:color w:val="000000" w:themeColor="text1"/>
        </w:rPr>
        <w:t xml:space="preserve">, при этом дата подписания последнего акта приёмки </w:t>
      </w:r>
      <w:r>
        <w:rPr>
          <w:color w:val="000000" w:themeColor="text1"/>
        </w:rPr>
        <w:t xml:space="preserve">выполненных работ</w:t>
      </w:r>
      <w:r>
        <w:rPr>
          <w:color w:val="000000" w:themeColor="text1"/>
        </w:rPr>
        <w:t xml:space="preserve"> </w:t>
      </w:r>
      <w:r>
        <w:rPr>
          <w:color w:val="000000" w:themeColor="text1"/>
        </w:rPr>
        <w:t xml:space="preserve">не должна быть ранее 3</w:t>
      </w:r>
      <w:r>
        <w:rPr>
          <w:color w:val="000000" w:themeColor="text1"/>
        </w:rPr>
        <w:t xml:space="preserve"> лет </w:t>
      </w:r>
      <w:r>
        <w:rPr>
          <w:color w:val="000000" w:themeColor="text1"/>
        </w:rPr>
        <w:t xml:space="preserve">до даты публикации</w:t>
      </w:r>
      <w:r>
        <w:rPr>
          <w:color w:val="000000" w:themeColor="text1"/>
        </w:rPr>
        <w:t xml:space="preserve"> </w:t>
      </w:r>
      <w:r>
        <w:rPr>
          <w:color w:val="000000" w:themeColor="text1"/>
        </w:rPr>
        <w:t xml:space="preserve">извещения о настоящей закупке</w:t>
      </w:r>
      <w:r>
        <w:rPr>
          <w:color w:val="000000" w:themeColor="text1"/>
        </w:rPr>
        <w:t xml:space="preserve">. Исполнение договора должно быть подтверждено копией акта исполнения обязательств по договору, либо копиями актов приёмки выполненных работ</w:t>
      </w:r>
      <w:r>
        <w:rPr>
          <w:color w:val="000000" w:themeColor="text1"/>
        </w:rPr>
        <w:t xml:space="preserve"> </w:t>
      </w:r>
      <w:r>
        <w:rPr>
          <w:color w:val="000000" w:themeColor="text1"/>
        </w:rPr>
        <w:t xml:space="preserve">на полный объём обязательств участника по контракту (договору).</w:t>
      </w:r>
      <w:r>
        <w:rPr>
          <w:color w:val="000000" w:themeColor="text1"/>
        </w:rPr>
      </w:r>
      <w:r>
        <w:rPr>
          <w:color w:val="000000" w:themeColor="text1"/>
        </w:rPr>
      </w:r>
    </w:p>
    <w:p>
      <w:pPr>
        <w:ind w:firstLine="567"/>
        <w:spacing w:after="0"/>
        <w:shd w:val="clear" w:color="auto" w:fill="ffffff"/>
        <w:tabs>
          <w:tab w:val="num" w:pos="1700" w:leader="none"/>
        </w:tabs>
      </w:pPr>
      <w:r>
        <w:rPr>
          <w:color w:val="000000" w:themeColor="text1"/>
        </w:rPr>
        <w:t xml:space="preserve">О</w:t>
      </w:r>
      <w:r>
        <w:rPr>
          <w:color w:val="000000" w:themeColor="text1"/>
        </w:rPr>
        <w:t xml:space="preserve">ценка</w:t>
      </w:r>
      <w:r>
        <w:rPr>
          <w:color w:val="000000" w:themeColor="text1"/>
        </w:rPr>
        <w:t xml:space="preserve"> «0» баллов присваивается, если опыт выполнения аналогичных работ соответствует требованиям, установленным в Техническом задании (Приложении №1 к Документации о закупке) (наличие 1 (одного) договора). За каждый последующий исполненный договор за последние три года стоимостью без учета </w:t>
      </w:r>
      <w:r>
        <w:rPr>
          <w:color w:val="000000" w:themeColor="text1"/>
        </w:rPr>
        <w:t xml:space="preserve">Н</w:t>
      </w:r>
      <w:r>
        <w:rPr>
          <w:color w:val="000000" w:themeColor="text1"/>
        </w:rPr>
        <w:t xml:space="preserve">ДС не менее 80% от начальной (максимальной) цены закупки без учета НДС, а также за выполненные работы по договору, находящемуся на исполнении со стоимостью исполненного объема без учета НДС не менее 80% от начальной (максимальной) цены закупки без учета НД</w:t>
      </w:r>
      <w:r>
        <w:rPr>
          <w:color w:val="000000" w:themeColor="text1"/>
        </w:rPr>
        <w:t xml:space="preserve">С участник получает 1 балл.  Максимальный балл по данному критерию составляет 10 баллов</w:t>
      </w:r>
      <w:r>
        <w:rPr>
          <w:color w:val="000000" w:themeColor="text1"/>
        </w:rPr>
        <w:t xml:space="preserve">. </w:t>
      </w:r>
      <w:r/>
    </w:p>
    <w:p>
      <w:pPr>
        <w:ind w:firstLine="567"/>
        <w:spacing w:after="0"/>
        <w:shd w:val="clear" w:color="auto" w:fill="ffffff"/>
        <w:tabs>
          <w:tab w:val="num" w:pos="1700" w:leader="none"/>
        </w:tabs>
        <w:rPr>
          <w:rFonts w:ascii="Times New Roman" w:hAnsi="Times New Roman" w:cs="Times New Roman"/>
        </w:rPr>
      </w:pPr>
      <w:r>
        <w:rPr>
          <w:color w:val="000000" w:themeColor="text1"/>
        </w:rPr>
        <w:t xml:space="preserve">В случае участия в закупке коллективных участников данные по неценовым критериям оценки в целях осуществления оценки такой заявки суммируются</w:t>
      </w:r>
      <w:r>
        <w:rPr>
          <w:color w:val="000000" w:themeColor="text1"/>
        </w:rPr>
        <w:t xml:space="preserve">.</w:t>
      </w:r>
      <w:r>
        <w:rPr>
          <w:rFonts w:ascii="Times New Roman" w:hAnsi="Times New Roman" w:cs="Times New Roman"/>
        </w:rPr>
      </w:r>
      <w:r>
        <w:rPr>
          <w:rFonts w:ascii="Times New Roman" w:hAnsi="Times New Roman" w:cs="Times New Roman"/>
        </w:rPr>
      </w:r>
    </w:p>
    <w:p>
      <w:pPr>
        <w:pStyle w:val="1334"/>
        <w:numPr>
          <w:ilvl w:val="1"/>
          <w:numId w:val="25"/>
        </w:numPr>
        <w:contextualSpacing/>
        <w:ind w:left="0" w:firstLine="567"/>
        <w:jc w:val="both"/>
        <w:keepLines/>
        <w:tabs>
          <w:tab w:val="left" w:pos="1134" w:leader="none"/>
        </w:tabs>
        <w:rPr>
          <w:rFonts w:eastAsia="Arial Unicode MS"/>
        </w:rPr>
      </w:pPr>
      <w:r>
        <w:rPr>
          <w:rFonts w:eastAsia="Arial Unicode MS"/>
        </w:rPr>
        <w:t xml:space="preserve">Рейтинг заявки по критерию стоимости единичных расценок участника рассчитывается как значение, </w:t>
      </w:r>
      <w:r>
        <w:rPr>
          <w:rFonts w:eastAsia="Calibri"/>
        </w:rPr>
        <w:t xml:space="preserve">равное разнице в процентах между </w:t>
      </w:r>
      <w:r>
        <w:rPr>
          <w:rFonts w:eastAsia="Calibri"/>
        </w:rPr>
        <w:t xml:space="preserve">стоимостью единичных расценок заявки</w:t>
      </w:r>
      <w:r>
        <w:rPr>
          <w:rFonts w:eastAsia="Calibri"/>
        </w:rPr>
        <w:t xml:space="preserve"> </w:t>
      </w:r>
      <w:r>
        <w:rPr>
          <w:rFonts w:eastAsia="Calibri"/>
        </w:rPr>
        <w:t xml:space="preserve">у</w:t>
      </w:r>
      <w:r>
        <w:rPr>
          <w:rFonts w:eastAsia="Calibri"/>
        </w:rPr>
        <w:t xml:space="preserve">частника</w:t>
      </w:r>
      <w:r>
        <w:rPr>
          <w:rFonts w:eastAsia="Calibri"/>
        </w:rPr>
        <w:t xml:space="preserve"> и объявленной </w:t>
      </w:r>
      <w:r>
        <w:rPr>
          <w:rFonts w:eastAsia="Calibri"/>
        </w:rPr>
        <w:t xml:space="preserve">начальной (максимальной) стоимостью единичных расценок</w:t>
      </w:r>
      <w:r/>
      <w:r>
        <w:rPr>
          <w:rFonts w:eastAsia="Arial Unicode MS"/>
        </w:rPr>
        <w:t xml:space="preserve">.</w:t>
      </w:r>
      <w:r>
        <w:rPr>
          <w:rFonts w:eastAsia="Arial Unicode MS"/>
        </w:rPr>
      </w:r>
      <w:r>
        <w:rPr>
          <w:rFonts w:eastAsia="Arial Unicode MS"/>
        </w:rPr>
      </w:r>
    </w:p>
    <w:p>
      <w:pPr>
        <w:pStyle w:val="1334"/>
        <w:contextualSpacing/>
        <w:ind w:left="567"/>
        <w:jc w:val="both"/>
        <w:keepLines/>
        <w:tabs>
          <w:tab w:val="left" w:pos="1134" w:leader="none"/>
        </w:tabs>
        <w:rPr>
          <w:rFonts w:eastAsia="Arial Unicode MS"/>
        </w:rPr>
      </w:pPr>
      <w:r>
        <w:rPr>
          <w:rFonts w:eastAsia="Arial Unicode MS"/>
        </w:rPr>
      </w:r>
      <w:r>
        <w:rPr>
          <w:rFonts w:eastAsia="Arial Unicode MS"/>
        </w:rPr>
      </w:r>
      <w:r>
        <w:rPr>
          <w:rFonts w:eastAsia="Arial Unicode MS"/>
        </w:rPr>
      </w:r>
    </w:p>
    <w:p>
      <w:pPr>
        <w:ind w:firstLine="567"/>
        <w:spacing w:after="0"/>
      </w:pPr>
      <w:r>
        <w:rPr>
          <w:bCs/>
        </w:rPr>
        <w:t xml:space="preserve">Расчет</w:t>
      </w:r>
      <w:r>
        <w:t xml:space="preserve"> значения производится по следующей формуле: </w:t>
      </w:r>
      <w:r/>
    </w:p>
    <w:p>
      <w:pPr>
        <w:ind w:firstLine="567"/>
        <w:jc w:val="left"/>
        <w:spacing w:after="0"/>
        <w:rPr>
          <w:rFonts w:eastAsia="Calibri"/>
          <w:lang w:val="en-US"/>
        </w:rPr>
      </w:pPr>
      <w:r>
        <w:rPr>
          <w:rFonts w:eastAsia="Calibri"/>
          <w:lang w:val="en-US"/>
        </w:rPr>
        <w:t xml:space="preserve">                              </w:t>
      </w:r>
      <w:r>
        <w:rPr>
          <w:rFonts w:eastAsia="Calibri"/>
        </w:rPr>
        <w:t xml:space="preserve">          </w:t>
      </w:r>
      <w:r>
        <w:rPr>
          <w:rFonts w:eastAsia="Calibri"/>
          <w:lang w:val="en-US"/>
        </w:rPr>
        <w:t xml:space="preserve">S</w:t>
      </w:r>
      <w:r>
        <w:rPr>
          <w:rFonts w:eastAsia="Calibri"/>
          <w:vertAlign w:val="subscript"/>
          <w:lang w:val="en-US"/>
        </w:rPr>
        <w:t xml:space="preserve">max</w:t>
      </w:r>
      <w:r>
        <w:rPr>
          <w:rFonts w:eastAsia="Calibri"/>
          <w:lang w:val="en-US"/>
        </w:rPr>
        <w:t xml:space="preserve"> - S</w:t>
      </w:r>
      <w:r>
        <w:rPr>
          <w:rFonts w:eastAsia="Calibri"/>
          <w:vertAlign w:val="subscript"/>
          <w:lang w:val="en-US"/>
        </w:rPr>
        <w:t xml:space="preserve">i</w:t>
      </w:r>
      <w:r>
        <w:rPr>
          <w:rFonts w:eastAsia="Calibri"/>
          <w:lang w:val="en-US"/>
        </w:rPr>
      </w:r>
      <w:r>
        <w:rPr>
          <w:rFonts w:eastAsia="Calibri"/>
          <w:lang w:val="en-US"/>
        </w:rPr>
      </w:r>
    </w:p>
    <w:p>
      <w:pPr>
        <w:ind w:firstLine="567"/>
        <w:jc w:val="left"/>
        <w:spacing w:after="0"/>
        <w:rPr>
          <w:rFonts w:eastAsia="Calibri"/>
          <w:lang w:val="en-US"/>
        </w:rPr>
      </w:pPr>
      <w:r>
        <w:rPr>
          <w:rFonts w:eastAsia="Calibri"/>
          <w:lang w:val="en-US"/>
        </w:rPr>
        <w:t xml:space="preserve">                           Rs</w:t>
      </w:r>
      <w:r>
        <w:rPr>
          <w:rFonts w:eastAsia="Calibri"/>
          <w:vertAlign w:val="subscript"/>
          <w:lang w:val="en-US"/>
        </w:rPr>
        <w:t xml:space="preserve">i</w:t>
      </w:r>
      <w:r>
        <w:rPr>
          <w:rFonts w:eastAsia="Calibri"/>
          <w:lang w:val="en-US"/>
        </w:rPr>
        <w:t xml:space="preserve"> = --------------- x 100,</w:t>
      </w:r>
      <w:r>
        <w:rPr>
          <w:rFonts w:eastAsia="Calibri"/>
          <w:lang w:val="en-US"/>
        </w:rPr>
      </w:r>
      <w:r>
        <w:rPr>
          <w:rFonts w:eastAsia="Calibri"/>
          <w:lang w:val="en-US"/>
        </w:rPr>
      </w:r>
    </w:p>
    <w:p>
      <w:pPr>
        <w:ind w:firstLine="567"/>
        <w:jc w:val="left"/>
        <w:spacing w:after="0"/>
        <w:rPr>
          <w:rFonts w:eastAsia="Calibri"/>
          <w:lang w:val="en-US"/>
        </w:rPr>
      </w:pPr>
      <w:r>
        <w:rPr>
          <w:rFonts w:eastAsia="Calibri"/>
          <w:lang w:val="en-US"/>
        </w:rPr>
        <w:t xml:space="preserve">                                           S</w:t>
      </w:r>
      <w:r>
        <w:rPr>
          <w:rFonts w:eastAsia="Calibri"/>
          <w:vertAlign w:val="subscript"/>
          <w:lang w:val="en-US"/>
        </w:rPr>
        <w:t xml:space="preserve">max</w:t>
      </w:r>
      <w:r>
        <w:rPr>
          <w:rFonts w:eastAsia="Calibri"/>
          <w:lang w:val="en-US"/>
        </w:rPr>
      </w:r>
      <w:r>
        <w:rPr>
          <w:rFonts w:eastAsia="Calibri"/>
          <w:lang w:val="en-US"/>
        </w:rPr>
      </w:r>
    </w:p>
    <w:p>
      <w:pPr>
        <w:ind w:firstLine="567"/>
        <w:spacing w:after="0"/>
        <w:tabs>
          <w:tab w:val="left" w:pos="1134" w:leader="none"/>
        </w:tabs>
        <w:rPr>
          <w:rFonts w:eastAsia="Calibri"/>
          <w:lang w:val="en-US"/>
        </w:rPr>
      </w:pPr>
      <w:r>
        <w:rPr>
          <w:rFonts w:eastAsia="Calibri"/>
        </w:rPr>
        <w:t xml:space="preserve">где</w:t>
      </w:r>
      <w:r>
        <w:rPr>
          <w:rFonts w:eastAsia="Calibri"/>
          <w:lang w:val="en-US"/>
        </w:rPr>
        <w:t xml:space="preserve">: </w:t>
      </w:r>
      <w:r>
        <w:rPr>
          <w:rFonts w:eastAsia="Calibri"/>
          <w:lang w:val="en-US"/>
        </w:rPr>
      </w:r>
      <w:r>
        <w:rPr>
          <w:rFonts w:eastAsia="Calibri"/>
          <w:lang w:val="en-US"/>
        </w:rPr>
      </w:r>
    </w:p>
    <w:p>
      <w:pPr>
        <w:numPr>
          <w:ilvl w:val="0"/>
          <w:numId w:val="40"/>
        </w:numPr>
        <w:ind w:left="0" w:firstLine="567"/>
        <w:spacing w:after="0"/>
        <w:widowControl w:val="off"/>
        <w:tabs>
          <w:tab w:val="left" w:pos="426" w:leader="none"/>
          <w:tab w:val="left" w:pos="1134" w:leader="none"/>
        </w:tabs>
      </w:pPr>
      <w:r>
        <w:rPr>
          <w:rFonts w:eastAsia="Calibri"/>
          <w:lang w:val="en-US"/>
        </w:rPr>
        <w:t xml:space="preserve">Rs</w:t>
      </w:r>
      <w:r>
        <w:rPr>
          <w:rFonts w:eastAsia="Calibri"/>
          <w:vertAlign w:val="subscript"/>
          <w:lang w:val="en-US"/>
        </w:rPr>
        <w:t xml:space="preserve">i</w:t>
      </w:r>
      <w:r>
        <w:t xml:space="preserve">  - рейтинг i-й </w:t>
      </w:r>
      <w:r>
        <w:t xml:space="preserve">заявки</w:t>
      </w:r>
      <w:r>
        <w:t xml:space="preserve"> по критерию </w:t>
      </w:r>
      <w:r>
        <w:t xml:space="preserve">стоимости единичных расценок</w:t>
      </w:r>
      <w:r/>
      <w:r>
        <w:t xml:space="preserve">;</w:t>
      </w:r>
      <w:r/>
    </w:p>
    <w:p>
      <w:pPr>
        <w:numPr>
          <w:ilvl w:val="0"/>
          <w:numId w:val="40"/>
        </w:numPr>
        <w:ind w:left="0" w:firstLine="567"/>
        <w:spacing w:after="0"/>
        <w:widowControl w:val="off"/>
        <w:tabs>
          <w:tab w:val="left" w:pos="426" w:leader="none"/>
          <w:tab w:val="left" w:pos="1134" w:leader="none"/>
        </w:tabs>
      </w:pPr>
      <w:r>
        <w:t xml:space="preserve">S</w:t>
      </w:r>
      <w:r>
        <w:rPr>
          <w:vertAlign w:val="subscript"/>
        </w:rPr>
        <w:t xml:space="preserve">max</w:t>
      </w:r>
      <w:r>
        <w:t xml:space="preserve"> - начальная (максимальная) </w:t>
      </w:r>
      <w:r>
        <w:t xml:space="preserve">стоимость единичных расценок</w:t>
      </w:r>
      <w:r>
        <w:t xml:space="preserve">, установл</w:t>
      </w:r>
      <w:r>
        <w:t xml:space="preserve">енная в документации о закупке. </w:t>
      </w:r>
      <w:r>
        <w:t xml:space="preserve">Для расчета используется цена без учета НДС</w:t>
      </w:r>
      <w:r/>
      <w:r>
        <w:t xml:space="preserve">.</w:t>
      </w:r>
      <w:r/>
    </w:p>
    <w:p>
      <w:pPr>
        <w:numPr>
          <w:ilvl w:val="0"/>
          <w:numId w:val="40"/>
        </w:numPr>
        <w:ind w:left="0" w:firstLine="567"/>
        <w:spacing w:after="0"/>
        <w:widowControl w:val="off"/>
        <w:tabs>
          <w:tab w:val="left" w:pos="426" w:leader="none"/>
          <w:tab w:val="left" w:pos="1134" w:leader="none"/>
        </w:tabs>
        <w:rPr>
          <w:rFonts w:eastAsia="Calibri"/>
        </w:rPr>
      </w:pPr>
      <w:r>
        <w:t xml:space="preserve">S</w:t>
      </w:r>
      <w:r>
        <w:rPr>
          <w:vertAlign w:val="subscript"/>
        </w:rPr>
        <w:t xml:space="preserve">i</w:t>
      </w:r>
      <w:r>
        <w:t xml:space="preserve"> - расчетная </w:t>
      </w:r>
      <w:r>
        <w:t xml:space="preserve">стоимость единичных расценок заявки</w:t>
      </w:r>
      <w:r>
        <w:rPr>
          <w:rFonts w:eastAsia="Calibri"/>
        </w:rPr>
        <w:t xml:space="preserve"> </w:t>
      </w:r>
      <w:r>
        <w:t xml:space="preserve">i-го у</w:t>
      </w:r>
      <w:r>
        <w:t xml:space="preserve">частника. Для расчета используется цена без учета НДС</w:t>
      </w:r>
      <w:r/>
      <w:r/>
      <w:r>
        <w:rPr>
          <w:rFonts w:eastAsia="Calibri"/>
        </w:rPr>
        <w:t xml:space="preserve">.</w:t>
      </w:r>
      <w:r>
        <w:rPr>
          <w:rFonts w:eastAsia="Calibri"/>
        </w:rPr>
      </w:r>
      <w:r>
        <w:rPr>
          <w:rFonts w:eastAsia="Calibri"/>
        </w:rPr>
      </w:r>
    </w:p>
    <w:p>
      <w:pPr>
        <w:ind w:firstLine="567"/>
        <w:spacing w:after="0"/>
        <w:tabs>
          <w:tab w:val="left" w:pos="840" w:leader="none"/>
          <w:tab w:val="left" w:pos="1134" w:leader="none"/>
        </w:tabs>
        <w:rPr>
          <w:rFonts w:eastAsia="Calibri"/>
        </w:rPr>
      </w:pPr>
      <w:r>
        <w:rPr>
          <w:rFonts w:eastAsia="Calibri"/>
        </w:rPr>
        <w:t xml:space="preserve">Полученное значение ценового рейтинга заявки является балльной оценкой по данному </w:t>
      </w:r>
      <w:r>
        <w:rPr>
          <w:bCs/>
        </w:rPr>
        <w:t xml:space="preserve">критерию</w:t>
      </w:r>
      <w:r>
        <w:rPr>
          <w:rFonts w:eastAsia="Calibri"/>
        </w:rPr>
        <w:t xml:space="preserve"> и учитывается в итоговом рейтинге с применением весового коэффициента.</w:t>
      </w:r>
      <w:r>
        <w:rPr>
          <w:rFonts w:eastAsia="Calibri"/>
        </w:rPr>
      </w:r>
      <w:r>
        <w:rPr>
          <w:rFonts w:eastAsia="Calibri"/>
        </w:rPr>
      </w:r>
    </w:p>
    <w:p>
      <w:pPr>
        <w:pStyle w:val="1334"/>
        <w:numPr>
          <w:ilvl w:val="1"/>
          <w:numId w:val="25"/>
        </w:numPr>
        <w:contextualSpacing/>
        <w:ind w:left="0" w:firstLine="567"/>
        <w:jc w:val="both"/>
        <w:keepLines/>
        <w:tabs>
          <w:tab w:val="left" w:pos="1134" w:leader="none"/>
        </w:tabs>
      </w:pPr>
      <w:r>
        <w:rPr>
          <w:rFonts w:eastAsia="Arial Unicode MS"/>
        </w:rPr>
        <w:t xml:space="preserve">Полученные </w:t>
      </w:r>
      <w:r>
        <w:t xml:space="preserve">оценки по неценовому критерию, а </w:t>
      </w:r>
      <w:r>
        <w:rPr>
          <w:rFonts w:eastAsia="Calibri"/>
        </w:rPr>
        <w:t xml:space="preserve">также рейтинг по критерию </w:t>
      </w:r>
      <w:r>
        <w:rPr>
          <w:rFonts w:eastAsia="Calibri"/>
        </w:rPr>
        <w:t xml:space="preserve">стоимости единичных расценок заявки</w:t>
      </w:r>
      <w:r>
        <w:rPr>
          <w:rFonts w:eastAsia="Calibri"/>
        </w:rPr>
        <w:t xml:space="preserve"> </w:t>
      </w:r>
      <w:r>
        <w:rPr>
          <w:rFonts w:eastAsia="Calibri"/>
        </w:rPr>
        <w:t xml:space="preserve">у</w:t>
      </w:r>
      <w:r>
        <w:rPr>
          <w:rFonts w:eastAsia="Calibri"/>
        </w:rPr>
        <w:t xml:space="preserve">частника</w:t>
      </w:r>
      <w:r/>
      <w:r/>
      <w:r>
        <w:t xml:space="preserve"> применяется для расчета интегральной оценки общей предпочтительности заявки участника. Данный показатель рассчитывается как сумма полученных балльных оценок с учетом их весовых коэффициентов</w:t>
      </w:r>
      <w:r/>
    </w:p>
    <w:p>
      <w:pPr>
        <w:ind w:firstLine="567"/>
        <w:jc w:val="center"/>
        <w:spacing w:after="0"/>
        <w:tabs>
          <w:tab w:val="left" w:pos="1134" w:leader="none"/>
        </w:tabs>
        <w:rPr>
          <w:rFonts w:eastAsia="Calibri"/>
          <w:lang w:val="en-US"/>
        </w:rPr>
      </w:pPr>
      <w:r>
        <w:rPr>
          <w:rFonts w:eastAsia="Calibri"/>
          <w:lang w:val="en-US"/>
        </w:rPr>
        <w:t xml:space="preserve">R</w:t>
      </w:r>
      <w:r>
        <w:rPr>
          <w:rFonts w:eastAsia="Calibri"/>
          <w:vertAlign w:val="subscript"/>
          <w:lang w:val="en-US"/>
        </w:rPr>
        <w:t xml:space="preserve">i</w:t>
      </w:r>
      <w:r>
        <w:rPr>
          <w:rFonts w:eastAsia="Calibri"/>
          <w:lang w:val="en-US"/>
        </w:rPr>
        <w:t xml:space="preserve"> = (K</w:t>
      </w:r>
      <w:r>
        <w:rPr>
          <w:rFonts w:eastAsia="Calibri"/>
          <w:vertAlign w:val="subscript"/>
          <w:lang w:val="en-US"/>
        </w:rPr>
        <w:t xml:space="preserve">1 </w:t>
      </w:r>
      <w:r>
        <w:rPr>
          <w:rFonts w:eastAsia="Calibri"/>
          <w:lang w:val="en-US"/>
        </w:rPr>
        <w:t xml:space="preserve">x V</w:t>
      </w:r>
      <w:r>
        <w:rPr>
          <w:rFonts w:eastAsia="Calibri"/>
          <w:vertAlign w:val="subscript"/>
          <w:lang w:val="en-US"/>
        </w:rPr>
        <w:t xml:space="preserve">1</w:t>
      </w:r>
      <w:r>
        <w:rPr>
          <w:rFonts w:eastAsia="Calibri"/>
          <w:lang w:val="en-US"/>
        </w:rPr>
        <w:t xml:space="preserve">) + (K</w:t>
      </w:r>
      <w:r>
        <w:rPr>
          <w:rFonts w:eastAsia="Calibri"/>
          <w:vertAlign w:val="subscript"/>
          <w:lang w:val="en-US"/>
        </w:rPr>
        <w:t xml:space="preserve">2</w:t>
      </w:r>
      <w:r>
        <w:rPr>
          <w:rFonts w:eastAsia="Calibri"/>
          <w:lang w:val="en-US"/>
        </w:rPr>
        <w:t xml:space="preserve"> x V</w:t>
      </w:r>
      <w:r>
        <w:rPr>
          <w:rFonts w:eastAsia="Calibri"/>
          <w:vertAlign w:val="subscript"/>
          <w:lang w:val="en-US"/>
        </w:rPr>
        <w:t xml:space="preserve">2</w:t>
      </w:r>
      <w:r>
        <w:rPr>
          <w:rFonts w:eastAsia="Calibri"/>
          <w:lang w:val="en-US"/>
        </w:rPr>
        <w:t xml:space="preserve">) + ….. + (K</w:t>
      </w:r>
      <w:r>
        <w:rPr>
          <w:rFonts w:eastAsia="Calibri"/>
          <w:vertAlign w:val="subscript"/>
          <w:lang w:val="en-US"/>
        </w:rPr>
        <w:t xml:space="preserve">z</w:t>
      </w:r>
      <w:r>
        <w:rPr>
          <w:rFonts w:eastAsia="Calibri"/>
          <w:lang w:val="en-US"/>
        </w:rPr>
        <w:t xml:space="preserve"> x V</w:t>
      </w:r>
      <w:r>
        <w:rPr>
          <w:rFonts w:eastAsia="Calibri"/>
          <w:vertAlign w:val="subscript"/>
          <w:lang w:val="en-US"/>
        </w:rPr>
        <w:t xml:space="preserve">z</w:t>
      </w:r>
      <w:r>
        <w:rPr>
          <w:rFonts w:eastAsia="Calibri"/>
          <w:lang w:val="en-US"/>
        </w:rPr>
        <w:t xml:space="preserve">) + (Rs</w:t>
      </w:r>
      <w:r>
        <w:rPr>
          <w:rFonts w:eastAsia="Calibri"/>
          <w:vertAlign w:val="subscript"/>
          <w:lang w:val="en-US"/>
        </w:rPr>
        <w:t xml:space="preserve">i</w:t>
      </w:r>
      <w:r>
        <w:rPr>
          <w:rFonts w:eastAsia="Calibri"/>
          <w:lang w:val="en-US"/>
        </w:rPr>
        <w:t xml:space="preserve"> x Vs),</w:t>
      </w:r>
      <w:r>
        <w:rPr>
          <w:rFonts w:eastAsia="Calibri"/>
          <w:lang w:val="en-US"/>
        </w:rPr>
      </w:r>
      <w:r>
        <w:rPr>
          <w:rFonts w:eastAsia="Calibri"/>
          <w:lang w:val="en-US"/>
        </w:rPr>
      </w:r>
    </w:p>
    <w:p>
      <w:pPr>
        <w:ind w:firstLine="567"/>
        <w:spacing w:after="0"/>
        <w:tabs>
          <w:tab w:val="left" w:pos="1134" w:leader="none"/>
        </w:tabs>
        <w:rPr>
          <w:rFonts w:eastAsia="Calibri"/>
        </w:rPr>
      </w:pPr>
      <w:r>
        <w:rPr>
          <w:rFonts w:eastAsia="Calibri"/>
        </w:rPr>
        <w:t xml:space="preserve">где:</w:t>
      </w:r>
      <w:r>
        <w:rPr>
          <w:rFonts w:eastAsia="Calibri"/>
        </w:rPr>
      </w:r>
      <w:r>
        <w:rPr>
          <w:rFonts w:eastAsia="Calibri"/>
        </w:rPr>
      </w:r>
    </w:p>
    <w:p>
      <w:pPr>
        <w:pStyle w:val="1334"/>
        <w:numPr>
          <w:ilvl w:val="0"/>
          <w:numId w:val="42"/>
        </w:numPr>
        <w:ind w:left="850"/>
        <w:widowControl w:val="off"/>
        <w:tabs>
          <w:tab w:val="left" w:pos="426" w:leader="none"/>
          <w:tab w:val="left" w:pos="850" w:leader="none"/>
          <w:tab w:val="left" w:pos="1276" w:leader="none"/>
        </w:tabs>
      </w:pPr>
      <w:r>
        <w:rPr>
          <w:rFonts w:eastAsia="Calibri"/>
        </w:rPr>
        <w:t xml:space="preserve">R</w:t>
      </w:r>
      <w:r>
        <w:rPr>
          <w:rFonts w:eastAsia="Calibri"/>
          <w:vertAlign w:val="subscript"/>
        </w:rPr>
        <w:t xml:space="preserve">i</w:t>
      </w:r>
      <w:r>
        <w:rPr>
          <w:rFonts w:eastAsia="Calibri"/>
        </w:rPr>
        <w:t xml:space="preserve"> </w:t>
      </w:r>
      <w:r>
        <w:t xml:space="preserve">- общий рейтинг предпочтительности i-й заявки;</w:t>
      </w:r>
      <w:r/>
    </w:p>
    <w:p>
      <w:pPr>
        <w:pStyle w:val="1334"/>
        <w:numPr>
          <w:ilvl w:val="0"/>
          <w:numId w:val="42"/>
        </w:numPr>
        <w:ind w:left="850"/>
        <w:widowControl w:val="off"/>
        <w:tabs>
          <w:tab w:val="left" w:pos="426" w:leader="none"/>
          <w:tab w:val="left" w:pos="850" w:leader="none"/>
          <w:tab w:val="left" w:pos="1276" w:leader="none"/>
        </w:tabs>
      </w:pPr>
      <w:r>
        <w:t xml:space="preserve">K</w:t>
      </w:r>
      <w:r>
        <w:rPr>
          <w:rFonts w:eastAsia="Calibri"/>
          <w:vertAlign w:val="subscript"/>
        </w:rPr>
        <w:t xml:space="preserve">1</w:t>
      </w:r>
      <w:r>
        <w:t xml:space="preserve"> -  K</w:t>
      </w:r>
      <w:r>
        <w:rPr>
          <w:vertAlign w:val="subscript"/>
        </w:rPr>
        <w:t xml:space="preserve">z</w:t>
      </w:r>
      <w:r>
        <w:t xml:space="preserve"> - балльные оценки по критериям без учета весовых коэффициентов;</w:t>
      </w:r>
      <w:r/>
    </w:p>
    <w:p>
      <w:pPr>
        <w:pStyle w:val="1334"/>
        <w:numPr>
          <w:ilvl w:val="0"/>
          <w:numId w:val="42"/>
        </w:numPr>
        <w:ind w:left="850"/>
        <w:widowControl w:val="off"/>
        <w:tabs>
          <w:tab w:val="left" w:pos="426" w:leader="none"/>
          <w:tab w:val="left" w:pos="850" w:leader="none"/>
          <w:tab w:val="left" w:pos="1276" w:leader="none"/>
        </w:tabs>
      </w:pPr>
      <w:r>
        <w:t xml:space="preserve">V</w:t>
      </w:r>
      <w:r>
        <w:rPr>
          <w:vertAlign w:val="subscript"/>
        </w:rPr>
        <w:t xml:space="preserve">1</w:t>
      </w:r>
      <w:r>
        <w:t xml:space="preserve"> - V</w:t>
      </w:r>
      <w:r>
        <w:rPr>
          <w:vertAlign w:val="subscript"/>
        </w:rPr>
        <w:t xml:space="preserve">z</w:t>
      </w:r>
      <w:r>
        <w:t xml:space="preserve"> - весовые коэффициенты соответствующих критериев;</w:t>
      </w:r>
      <w:r/>
    </w:p>
    <w:p>
      <w:pPr>
        <w:pStyle w:val="1334"/>
        <w:numPr>
          <w:ilvl w:val="0"/>
          <w:numId w:val="42"/>
        </w:numPr>
        <w:ind w:left="850"/>
        <w:widowControl w:val="off"/>
        <w:tabs>
          <w:tab w:val="left" w:pos="426" w:leader="none"/>
          <w:tab w:val="left" w:pos="850" w:leader="none"/>
          <w:tab w:val="left" w:pos="1276" w:leader="none"/>
        </w:tabs>
      </w:pPr>
      <w:r>
        <w:rPr>
          <w:rFonts w:eastAsia="Calibri"/>
          <w:lang w:val="en-US"/>
        </w:rPr>
        <w:t xml:space="preserve">Rs</w:t>
      </w:r>
      <w:r>
        <w:rPr>
          <w:rFonts w:eastAsia="Calibri"/>
          <w:vertAlign w:val="subscript"/>
          <w:lang w:val="en-US"/>
        </w:rPr>
        <w:t xml:space="preserve">i</w:t>
      </w:r>
      <w:r>
        <w:t xml:space="preserve"> - рейтинг i-й заявки по критерию стоимости единичных расценок;</w:t>
      </w:r>
      <w:r/>
    </w:p>
    <w:p>
      <w:pPr>
        <w:pStyle w:val="1334"/>
        <w:numPr>
          <w:ilvl w:val="0"/>
          <w:numId w:val="42"/>
        </w:numPr>
        <w:ind w:left="850"/>
        <w:widowControl w:val="off"/>
        <w:tabs>
          <w:tab w:val="left" w:pos="426" w:leader="none"/>
          <w:tab w:val="left" w:pos="850" w:leader="none"/>
          <w:tab w:val="left" w:pos="1276" w:leader="none"/>
        </w:tabs>
        <w:rPr>
          <w:rFonts w:eastAsia="Calibri"/>
        </w:rPr>
      </w:pPr>
      <w:r>
        <w:t xml:space="preserve">Vs - весовой коэффициент</w:t>
      </w:r>
      <w:r>
        <w:rPr>
          <w:rFonts w:eastAsia="Calibri"/>
        </w:rPr>
        <w:t xml:space="preserve"> по критерию стоимости единичных расценок.</w:t>
      </w:r>
      <w:r>
        <w:rPr>
          <w:rFonts w:eastAsia="Calibri"/>
        </w:rPr>
      </w:r>
      <w:r>
        <w:rPr>
          <w:rFonts w:eastAsia="Calibri"/>
        </w:rPr>
      </w:r>
    </w:p>
    <w:p>
      <w:pPr>
        <w:pStyle w:val="1334"/>
        <w:numPr>
          <w:ilvl w:val="1"/>
          <w:numId w:val="25"/>
        </w:numPr>
        <w:contextualSpacing/>
        <w:ind w:left="0" w:firstLine="567"/>
        <w:jc w:val="both"/>
        <w:keepLines/>
        <w:tabs>
          <w:tab w:val="left" w:pos="1134" w:leader="none"/>
        </w:tabs>
      </w:pPr>
      <w:r>
        <w:rPr>
          <w:rStyle w:val="1368"/>
        </w:rPr>
        <w:t xml:space="preserve">По результатам расчета рейтинга каждой заявке присуждается порядковый номер. Заявке, </w:t>
      </w:r>
      <w:r>
        <w:t xml:space="preserve">набравшей наибольший рейтинг, присваивается первый номер. Последующие номера присваиваются </w:t>
      </w:r>
      <w:r>
        <w:t xml:space="preserve">заявкам по мере уменьшения их рейтинга. При равных рейтингах нескольких заявок меньший номер присваивается заявке, которая была подана участником закупки раньше других. Победителем закупки признаётся участник, заявка которого имеет первый порядковый номер.</w:t>
      </w:r>
      <w:r/>
    </w:p>
    <w:p>
      <w:pPr>
        <w:pStyle w:val="1334"/>
        <w:numPr>
          <w:ilvl w:val="1"/>
          <w:numId w:val="25"/>
        </w:numPr>
        <w:contextualSpacing/>
        <w:ind w:left="0" w:firstLine="567"/>
        <w:jc w:val="both"/>
        <w:keepLines/>
        <w:tabs>
          <w:tab w:val="left" w:pos="1134" w:leader="none"/>
        </w:tabs>
      </w:pPr>
      <w:r>
        <w:t xml:space="preserve">ПДЗК ранжирует заявки Участников по степени предпочтительности условий, предложенных Участниками.</w:t>
      </w:r>
      <w:r/>
    </w:p>
    <w:p>
      <w:pPr>
        <w:pStyle w:val="1334"/>
        <w:numPr>
          <w:ilvl w:val="1"/>
          <w:numId w:val="25"/>
        </w:numPr>
        <w:contextualSpacing/>
        <w:ind w:left="0" w:firstLine="567"/>
        <w:jc w:val="both"/>
        <w:keepLines/>
        <w:tabs>
          <w:tab w:val="left" w:pos="1134" w:leader="none"/>
        </w:tabs>
        <w:rPr>
          <w:bCs/>
        </w:rPr>
      </w:pPr>
      <w:r>
        <w:t xml:space="preserve">Отнес</w:t>
      </w:r>
      <w:r>
        <w:t xml:space="preserve">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w:t>
      </w:r>
      <w:r>
        <w:rPr>
          <w:rFonts w:eastAsia="Calibri"/>
        </w:rPr>
        <w:t xml:space="preserve"> личность (для фи</w:t>
      </w:r>
      <w:r>
        <w:rPr>
          <w:rFonts w:eastAsia="Calibri"/>
        </w:rPr>
        <w:t xml:space="preserve">зических лиц). Отнесение участника закупки к иностранному агенту производится на основании информации, содержащейся в Реестре иностранных агентов, размещенном на официальном сайте уполномоченного органа в информационно-телекоммуникационной сети «Интернет».</w:t>
      </w:r>
      <w:r>
        <w:rPr>
          <w:bCs/>
        </w:rPr>
      </w:r>
      <w:r>
        <w:rPr>
          <w:bCs/>
        </w:rPr>
      </w:r>
    </w:p>
    <w:p>
      <w:pPr>
        <w:pStyle w:val="1015"/>
        <w:ind w:left="0" w:firstLine="567"/>
        <w:jc w:val="right"/>
        <w:pageBreakBefore/>
        <w:spacing w:before="0" w:after="0"/>
        <w:rPr>
          <w:rFonts w:ascii="Times New Roman" w:hAnsi="Times New Roman" w:cs="Times New Roman"/>
          <w:i/>
        </w:rPr>
      </w:pPr>
      <w:r>
        <w:rPr>
          <w:rFonts w:ascii="Times New Roman" w:hAnsi="Times New Roman" w:cs="Times New Roman"/>
          <w:i/>
        </w:rPr>
        <w:t xml:space="preserve">Приложение № 2 </w:t>
      </w:r>
      <w:r>
        <w:rPr>
          <w:rFonts w:ascii="Times New Roman" w:hAnsi="Times New Roman" w:cs="Times New Roman"/>
          <w:i/>
        </w:rPr>
      </w:r>
      <w:r>
        <w:rPr>
          <w:rFonts w:ascii="Times New Roman" w:hAnsi="Times New Roman" w:cs="Times New Roman"/>
          <w:i/>
        </w:rPr>
      </w:r>
    </w:p>
    <w:p>
      <w:pPr>
        <w:ind w:firstLine="567"/>
        <w:jc w:val="right"/>
        <w:spacing w:after="0"/>
        <w:rPr>
          <w:b/>
          <w:i/>
        </w:rPr>
      </w:pPr>
      <w:r>
        <w:rPr>
          <w:b/>
          <w:i/>
        </w:rPr>
        <w:t xml:space="preserve">к части II «ИНФОРМАЦИОННАЯ КАРТА ЗАКУПКИ» </w:t>
      </w:r>
      <w:r>
        <w:rPr>
          <w:b/>
          <w:i/>
        </w:rPr>
      </w:r>
      <w:r>
        <w:rPr>
          <w:b/>
          <w:i/>
        </w:rPr>
      </w:r>
    </w:p>
    <w:p>
      <w:pPr>
        <w:ind w:firstLine="567"/>
        <w:jc w:val="center"/>
        <w:spacing w:after="0"/>
        <w:rPr>
          <w:b/>
        </w:rPr>
      </w:pPr>
      <w:r>
        <w:rPr>
          <w:b/>
        </w:rPr>
      </w:r>
      <w:r>
        <w:rPr>
          <w:b/>
        </w:rPr>
      </w:r>
      <w:r>
        <w:rPr>
          <w:b/>
        </w:rPr>
      </w:r>
    </w:p>
    <w:p>
      <w:pPr>
        <w:ind w:firstLine="567"/>
        <w:jc w:val="center"/>
        <w:spacing w:after="0"/>
        <w:rPr>
          <w:b/>
          <w:i/>
        </w:rPr>
      </w:pPr>
      <w:r>
        <w:rPr>
          <w:b/>
          <w:i/>
        </w:rPr>
        <w:t xml:space="preserve">Требования к сведениям и документам, представляемым в составе заявки участника закупки</w:t>
      </w:r>
      <w:r>
        <w:rPr>
          <w:b/>
          <w:i/>
        </w:rPr>
      </w:r>
      <w:r>
        <w:rPr>
          <w:b/>
          <w:i/>
        </w:rPr>
      </w:r>
    </w:p>
    <w:p>
      <w:pPr>
        <w:pStyle w:val="1362"/>
        <w:ind w:firstLine="567"/>
        <w:jc w:val="both"/>
        <w:spacing w:after="0"/>
        <w:widowControl w:val="off"/>
        <w:rPr>
          <w:rFonts w:ascii="Times New Roman" w:hAnsi="Times New Roman" w:cs="Times New Roman"/>
          <w:b w:val="0"/>
          <w:color w:val="auto"/>
          <w:sz w:val="24"/>
          <w:szCs w:val="24"/>
        </w:rPr>
      </w:pPr>
      <w:r/>
      <w:bookmarkStart w:id="121" w:name="_РАЗДЕЛ_I_4_ОБРАЗЦЫ_ФОРМ_И_ДОКУМЕНТО"/>
      <w:r/>
      <w:bookmarkEnd w:id="121"/>
      <w:r>
        <w:rPr>
          <w:rFonts w:ascii="Times New Roman" w:hAnsi="Times New Roman" w:cs="Times New Roman"/>
          <w:b w:val="0"/>
          <w:color w:val="auto"/>
          <w:sz w:val="24"/>
          <w:szCs w:val="24"/>
        </w:rPr>
        <w:t xml:space="preserve">В целях подтверждения соответствия установленным требованиям, участник закупки должен включить в состав заявки следующие сведения и документы:</w:t>
      </w:r>
      <w:r>
        <w:rPr>
          <w:rFonts w:ascii="Times New Roman" w:hAnsi="Times New Roman" w:cs="Times New Roman"/>
          <w:b w:val="0"/>
          <w:color w:val="auto"/>
          <w:sz w:val="24"/>
          <w:szCs w:val="24"/>
        </w:rPr>
      </w:r>
      <w:r>
        <w:rPr>
          <w:rFonts w:ascii="Times New Roman" w:hAnsi="Times New Roman" w:cs="Times New Roman"/>
          <w:b w:val="0"/>
          <w:color w:val="auto"/>
          <w:sz w:val="24"/>
          <w:szCs w:val="24"/>
        </w:rPr>
      </w:r>
    </w:p>
    <w:p>
      <w:pPr>
        <w:ind w:firstLine="567"/>
        <w:spacing w:after="0"/>
        <w:tabs>
          <w:tab w:val="left" w:pos="1560" w:leader="none"/>
        </w:tabs>
        <w:rPr>
          <w:bCs/>
        </w:rPr>
      </w:pPr>
      <w:r/>
      <w:bookmarkStart w:id="122" w:name="_Ref86827631"/>
      <w:r/>
      <w:bookmarkStart w:id="123" w:name="_Ref303669441"/>
      <w:r>
        <w:rPr>
          <w:bCs/>
        </w:rPr>
        <w:t xml:space="preserve">1. Требования к Участникам закупки</w:t>
      </w:r>
      <w:bookmarkEnd w:id="122"/>
      <w:r>
        <w:rPr>
          <w:bCs/>
        </w:rPr>
        <w:t xml:space="preserve">:</w:t>
      </w:r>
      <w:bookmarkEnd w:id="123"/>
      <w:r>
        <w:rPr>
          <w:bCs/>
        </w:rPr>
      </w:r>
      <w:r>
        <w:rPr>
          <w:bCs/>
        </w:rPr>
      </w:r>
    </w:p>
    <w:p>
      <w:pPr>
        <w:numPr>
          <w:ilvl w:val="0"/>
          <w:numId w:val="17"/>
        </w:numPr>
        <w:ind w:left="0" w:firstLine="567"/>
        <w:spacing w:after="0"/>
        <w:tabs>
          <w:tab w:val="left" w:pos="0" w:leader="none"/>
          <w:tab w:val="left" w:pos="851" w:leader="none"/>
        </w:tabs>
        <w:rPr>
          <w:bCs/>
        </w:rPr>
      </w:pPr>
      <w:r/>
      <w:bookmarkStart w:id="124" w:name="_Ref306032455"/>
      <w:r>
        <w:rPr>
          <w:bCs/>
          <w:color w:val="000000"/>
        </w:rPr>
        <w:t xml:space="preserve">должен </w:t>
      </w:r>
      <w:bookmarkStart w:id="125" w:name="_Ref303669099"/>
      <w:r>
        <w:rPr>
          <w:bCs/>
        </w:rPr>
        <w:t xml:space="preserve">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bookmarkEnd w:id="124"/>
      <w:r/>
      <w:bookmarkEnd w:id="125"/>
      <w:r>
        <w:rPr>
          <w:bCs/>
        </w:rPr>
      </w:r>
      <w:r>
        <w:rPr>
          <w:bCs/>
        </w:rPr>
      </w:r>
    </w:p>
    <w:p>
      <w:pPr>
        <w:numPr>
          <w:ilvl w:val="0"/>
          <w:numId w:val="17"/>
        </w:numPr>
        <w:ind w:left="0" w:firstLine="567"/>
        <w:spacing w:after="0"/>
        <w:tabs>
          <w:tab w:val="left" w:pos="0" w:leader="none"/>
          <w:tab w:val="left" w:pos="851" w:leader="none"/>
        </w:tabs>
        <w:rPr>
          <w:bCs/>
          <w:color w:val="000000"/>
        </w:rPr>
      </w:pPr>
      <w:r>
        <w:rPr>
          <w:bCs/>
        </w:rPr>
        <w:t xml:space="preserve">не должен находиться в процессе ликвидации, должно </w:t>
      </w:r>
      <w:r>
        <w:rPr>
          <w:bCs/>
        </w:rPr>
        <w:t xml:space="preserve">отсутствовать решение арбитражного суда о признании Участника закупки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w:t>
      </w:r>
      <w:r>
        <w:rPr>
          <w:bCs/>
          <w:color w:val="000000"/>
        </w:rPr>
        <w:t xml:space="preserve"> не должна быть приостановлена (для юридического лица, индивидуального предпринимателя);</w:t>
      </w:r>
      <w:r>
        <w:rPr>
          <w:bCs/>
          <w:color w:val="000000"/>
        </w:rPr>
      </w:r>
      <w:r>
        <w:rPr>
          <w:bCs/>
          <w:color w:val="000000"/>
        </w:rPr>
      </w:r>
    </w:p>
    <w:p>
      <w:pPr>
        <w:numPr>
          <w:ilvl w:val="0"/>
          <w:numId w:val="17"/>
        </w:numPr>
        <w:ind w:left="0" w:firstLine="567"/>
        <w:spacing w:after="0"/>
        <w:tabs>
          <w:tab w:val="left" w:pos="0" w:leader="none"/>
          <w:tab w:val="left" w:pos="851" w:leader="none"/>
        </w:tabs>
        <w:rPr>
          <w:bCs/>
        </w:rPr>
      </w:pPr>
      <w:r/>
      <w:bookmarkStart w:id="126" w:name="_Ref306032457"/>
      <w:r>
        <w:rPr>
          <w:bCs/>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w:t>
      </w:r>
      <w:r>
        <w:t xml:space="preserve">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Pr>
          <w:bCs/>
        </w:rPr>
        <w:t xml:space="preserve">»;</w:t>
      </w:r>
      <w:bookmarkEnd w:id="126"/>
      <w:r>
        <w:rPr>
          <w:bCs/>
        </w:rPr>
      </w:r>
      <w:r>
        <w:rPr>
          <w:bCs/>
        </w:rPr>
      </w:r>
    </w:p>
    <w:p>
      <w:pPr>
        <w:numPr>
          <w:ilvl w:val="0"/>
          <w:numId w:val="17"/>
        </w:numPr>
        <w:ind w:left="0" w:firstLine="567"/>
        <w:spacing w:after="0"/>
        <w:tabs>
          <w:tab w:val="left" w:pos="0" w:leader="none"/>
          <w:tab w:val="left" w:pos="851" w:leader="none"/>
        </w:tabs>
      </w:pPr>
      <w:r>
        <w:t xml:space="preserve">участник не должен иметь просроченную задолженность по налогам, сбора</w:t>
      </w:r>
      <w:r>
        <w:t xml:space="preserve">м и иным обязательным платежам в бюджеты любого уровня и государственные внебюджетные фонды за прошедший календарный год, размер которой превышает 25% балансовой стоимости активов по данным бухгалтерской отчетности за последний завершенный отчетный период;</w:t>
      </w:r>
      <w:r/>
    </w:p>
    <w:p>
      <w:pPr>
        <w:numPr>
          <w:ilvl w:val="0"/>
          <w:numId w:val="17"/>
        </w:numPr>
        <w:ind w:left="0" w:firstLine="567"/>
        <w:spacing w:after="0"/>
        <w:tabs>
          <w:tab w:val="left" w:pos="0" w:leader="none"/>
          <w:tab w:val="left" w:pos="851" w:leader="none"/>
        </w:tabs>
        <w:rPr>
          <w:lang w:eastAsia="ar-SA"/>
        </w:rPr>
      </w:pPr>
      <w:r>
        <w:t xml:space="preserve">должен иметь опыт выполнения</w:t>
      </w:r>
      <w:r>
        <w:rPr>
          <w:bCs/>
        </w:rPr>
        <w:t xml:space="preserve"> </w:t>
      </w:r>
      <w:r>
        <w:t xml:space="preserve">аналогичных работ в соответствии с требованиями </w:t>
      </w:r>
      <w:r>
        <w:rPr>
          <w:rFonts w:eastAsia="Arial Unicode MS"/>
          <w:iCs/>
          <w:color w:val="000000"/>
        </w:rPr>
        <w:t xml:space="preserve">раздела </w:t>
      </w:r>
      <w:r>
        <w:rPr>
          <w:rFonts w:eastAsia="Arial Unicode MS"/>
          <w:iCs/>
          <w:color w:val="000000"/>
          <w:lang w:val="en-US"/>
        </w:rPr>
        <w:t xml:space="preserve">IV</w:t>
      </w:r>
      <w:r>
        <w:rPr>
          <w:rFonts w:eastAsia="Arial Unicode MS"/>
          <w:iCs/>
          <w:color w:val="000000"/>
        </w:rPr>
        <w:t xml:space="preserve"> «ТЕХНИЧЕСКИЕ ТРЕБОВАНИЯ НА </w:t>
      </w:r>
      <w:r>
        <w:rPr>
          <w:rFonts w:ascii="Times New Roman" w:hAnsi="Times New Roman" w:cs="Times New Roman"/>
          <w:b w:val="0"/>
        </w:rPr>
        <w:t xml:space="preserve">ВЫПОЛНЕНИЕ РАБОТ</w:t>
      </w:r>
      <w:r>
        <w:rPr>
          <w:rFonts w:eastAsia="Arial Unicode MS"/>
          <w:iCs/>
          <w:color w:val="000000"/>
        </w:rPr>
        <w:t xml:space="preserve">». </w:t>
      </w:r>
      <w:r>
        <w:rPr>
          <w:lang w:eastAsia="ar-SA"/>
        </w:rPr>
        <w:t xml:space="preserve">Подтверждением указанного опыта исполнения договора, </w:t>
      </w:r>
      <w:r>
        <w:t xml:space="preserve">а также за выполненные работы по договору, находящемуся на исполнении,</w:t>
      </w:r>
      <w:r>
        <w:rPr>
          <w:lang w:eastAsia="ar-SA"/>
        </w:rPr>
        <w:t xml:space="preserve"> являются копии договоров (включая приложения), копии актов приёмки выполненных работ</w:t>
      </w:r>
      <w:r>
        <w:rPr>
          <w:lang w:eastAsia="ar-SA"/>
        </w:rPr>
        <w:t xml:space="preserve">, при этом дата подписания последнего акта приёмки выполненных работ</w:t>
      </w:r>
      <w:r>
        <w:rPr>
          <w:color w:val="000000" w:themeColor="text1"/>
        </w:rPr>
        <w:t xml:space="preserve"> (</w:t>
      </w:r>
      <w:r>
        <w:t xml:space="preserve">а также за выполненные работы по договору, находящемуся на исполнении)</w:t>
      </w:r>
      <w:r>
        <w:rPr>
          <w:lang w:eastAsia="ar-SA"/>
        </w:rPr>
        <w:t xml:space="preserve"> не должна быть ранее 3 лет до даты подачи заявки на участие в НАСТОЯЩЕЙ закупке. </w:t>
      </w:r>
      <w:r>
        <w:rPr>
          <w:rFonts w:eastAsia="Arial Unicode MS"/>
          <w:color w:val="000000"/>
        </w:rPr>
        <w:t xml:space="preserve">Исполнение договора должно быть подтверждено копиями актов приёмки выполненных работ по контракту (договору).</w:t>
      </w:r>
      <w:r>
        <w:rPr>
          <w:lang w:eastAsia="ar-SA"/>
        </w:rPr>
      </w:r>
      <w:r>
        <w:rPr>
          <w:lang w:eastAsia="ar-SA"/>
        </w:rPr>
      </w:r>
    </w:p>
    <w:p>
      <w:pPr>
        <w:ind w:firstLine="567"/>
        <w:spacing w:after="0"/>
        <w:tabs>
          <w:tab w:val="left" w:pos="1560" w:leader="none"/>
        </w:tabs>
      </w:pPr>
      <w:r/>
      <w:bookmarkStart w:id="127" w:name="_Ref306005578"/>
      <w:r>
        <w:rPr>
          <w:bCs/>
        </w:rPr>
        <w:t xml:space="preserve">2. В связи с вышеизложенным Участник должен включить в состав заявки следующие документы, подт</w:t>
      </w:r>
      <w:bookmarkStart w:id="128" w:name="_Ref303587815"/>
      <w:r>
        <w:rPr>
          <w:bCs/>
        </w:rPr>
        <w:t xml:space="preserve">верждающие его правоспособность</w:t>
      </w:r>
      <w:r>
        <w:t xml:space="preserve">:</w:t>
      </w:r>
      <w:bookmarkEnd w:id="127"/>
      <w:r/>
      <w:bookmarkEnd w:id="128"/>
      <w:r/>
      <w:r/>
    </w:p>
    <w:p>
      <w:pPr>
        <w:numPr>
          <w:ilvl w:val="0"/>
          <w:numId w:val="18"/>
        </w:numPr>
        <w:ind w:left="0" w:firstLine="567"/>
        <w:spacing w:after="0"/>
        <w:tabs>
          <w:tab w:val="left" w:pos="851" w:leader="none"/>
        </w:tabs>
        <w:rPr>
          <w:bCs/>
        </w:rPr>
      </w:pPr>
      <w:r>
        <w:rPr>
          <w:bCs/>
        </w:rPr>
        <w:t xml:space="preserve">Устав ЮЛ в действующей редакции (все листы);</w:t>
      </w:r>
      <w:r>
        <w:rPr>
          <w:bCs/>
        </w:rPr>
      </w:r>
      <w:r>
        <w:rPr>
          <w:bCs/>
        </w:rPr>
      </w:r>
    </w:p>
    <w:p>
      <w:pPr>
        <w:numPr>
          <w:ilvl w:val="0"/>
          <w:numId w:val="18"/>
        </w:numPr>
        <w:ind w:left="0" w:firstLine="567"/>
        <w:spacing w:after="0"/>
        <w:tabs>
          <w:tab w:val="left" w:pos="851" w:leader="none"/>
        </w:tabs>
        <w:rPr>
          <w:bCs/>
        </w:rPr>
      </w:pPr>
      <w:r>
        <w:rPr>
          <w:bCs/>
        </w:rPr>
        <w:t xml:space="preserve">если участник - физическое лицо: </w:t>
      </w:r>
      <w:r>
        <w:rPr>
          <w:bCs/>
        </w:rPr>
      </w:r>
      <w:r>
        <w:rPr>
          <w:bCs/>
        </w:rPr>
      </w:r>
    </w:p>
    <w:p>
      <w:pPr>
        <w:pStyle w:val="1365"/>
        <w:numPr>
          <w:ilvl w:val="0"/>
          <w:numId w:val="21"/>
        </w:numPr>
        <w:ind w:left="0" w:firstLine="567"/>
        <w:widowControl/>
        <w:tabs>
          <w:tab w:val="clear" w:pos="709" w:leader="none"/>
          <w:tab w:val="left" w:pos="993" w:leader="none"/>
        </w:tabs>
        <w:rPr>
          <w:bCs/>
          <w:sz w:val="24"/>
        </w:rPr>
      </w:pPr>
      <w:r>
        <w:rPr>
          <w:sz w:val="24"/>
        </w:rPr>
        <w:t xml:space="preserve">паспорт гражданина Российской Федерации или </w:t>
      </w:r>
      <w:r>
        <w:rPr>
          <w:bCs/>
          <w:sz w:val="24"/>
        </w:rPr>
        <w:t xml:space="preserve">паспорт иного государства, или иной документ, его заменяющий в соответствии с требованиями действующего законодательства Российской Федерации;</w:t>
      </w:r>
      <w:r>
        <w:rPr>
          <w:bCs/>
          <w:sz w:val="24"/>
        </w:rPr>
      </w:r>
      <w:r>
        <w:rPr>
          <w:bCs/>
          <w:sz w:val="24"/>
        </w:rPr>
      </w:r>
    </w:p>
    <w:p>
      <w:pPr>
        <w:numPr>
          <w:ilvl w:val="0"/>
          <w:numId w:val="18"/>
        </w:numPr>
        <w:ind w:left="0" w:firstLine="567"/>
        <w:spacing w:after="0"/>
        <w:tabs>
          <w:tab w:val="left" w:pos="851" w:leader="none"/>
        </w:tabs>
        <w:rPr>
          <w:bCs/>
        </w:rPr>
      </w:pPr>
      <w:r>
        <w:rPr>
          <w:bCs/>
        </w:rPr>
        <w:t xml:space="preserve">Список аффилированных </w:t>
      </w:r>
      <w:r>
        <w:t xml:space="preserve">лиц для акционерных обществ, сформированный за последний отчетный период (полугодие) до даты окончания приема заявок</w:t>
      </w:r>
      <w:r>
        <w:rPr>
          <w:bCs/>
        </w:rPr>
        <w:t xml:space="preserve">;</w:t>
      </w:r>
      <w:r>
        <w:rPr>
          <w:bCs/>
        </w:rPr>
      </w:r>
      <w:r>
        <w:rPr>
          <w:bCs/>
        </w:rPr>
      </w:r>
    </w:p>
    <w:p>
      <w:pPr>
        <w:numPr>
          <w:ilvl w:val="0"/>
          <w:numId w:val="18"/>
        </w:numPr>
        <w:ind w:left="0" w:firstLine="567"/>
        <w:spacing w:after="0"/>
        <w:tabs>
          <w:tab w:val="left" w:pos="851" w:leader="none"/>
        </w:tabs>
        <w:rPr>
          <w:bCs/>
        </w:rPr>
      </w:pPr>
      <w:r>
        <w:rPr>
          <w:bCs/>
        </w:rPr>
        <w:t xml:space="preserve">Приказы, протоколы собрания учредителей о назначении руководителя;</w:t>
      </w:r>
      <w:r>
        <w:rPr>
          <w:bCs/>
        </w:rPr>
      </w:r>
      <w:r>
        <w:rPr>
          <w:bCs/>
        </w:rPr>
      </w:r>
    </w:p>
    <w:p>
      <w:pPr>
        <w:numPr>
          <w:ilvl w:val="0"/>
          <w:numId w:val="18"/>
        </w:numPr>
        <w:ind w:left="0" w:firstLine="567"/>
        <w:spacing w:after="0"/>
        <w:tabs>
          <w:tab w:val="left" w:pos="851" w:leader="none"/>
        </w:tabs>
        <w:rPr>
          <w:bCs/>
        </w:rPr>
      </w:pPr>
      <w:r>
        <w:rPr>
          <w:bCs/>
        </w:rPr>
        <w:t xml:space="preserve">Копию решения</w:t>
      </w:r>
      <w:r>
        <w:t xml:space="preserve">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w:t>
      </w:r>
      <w:r>
        <w:t xml:space="preserve">купки договора либо предоставление обеспечения заявки на участие в такой закупке (если установлено требование об обеспечении заявок), обеспечения исполнения договора (если установлено требование об обеспечении исполнения договора) является крупной сделкой </w:t>
      </w:r>
      <w:r>
        <w:rPr>
          <w:i/>
          <w:iCs/>
        </w:rPr>
        <w:t xml:space="preserve">(если участником закупки является коллективный участник, копия решения о согласии на совершение крупной сделки или о последующем одобрении этой сделки предоставляется каждым членом коллективного участника).</w:t>
      </w:r>
      <w:r>
        <w:rPr>
          <w:bCs/>
        </w:rPr>
      </w:r>
      <w:r>
        <w:rPr>
          <w:bCs/>
        </w:rPr>
      </w:r>
    </w:p>
    <w:p>
      <w:pPr>
        <w:ind w:firstLine="567"/>
        <w:spacing w:after="0"/>
        <w:tabs>
          <w:tab w:val="left" w:pos="1560" w:leader="none"/>
        </w:tabs>
        <w:rPr>
          <w:bCs/>
        </w:rPr>
      </w:pPr>
      <w:r>
        <w:rPr>
          <w:bCs/>
        </w:rPr>
        <w:t xml:space="preserve">3. Документы, подтверждающие квалификацию Участника закупки:</w:t>
      </w:r>
      <w:r>
        <w:rPr>
          <w:bCs/>
        </w:rPr>
      </w:r>
      <w:r>
        <w:rPr>
          <w:bCs/>
        </w:rPr>
      </w:r>
    </w:p>
    <w:p>
      <w:pPr>
        <w:numPr>
          <w:ilvl w:val="0"/>
          <w:numId w:val="19"/>
        </w:numPr>
        <w:ind w:left="0" w:firstLine="567"/>
        <w:spacing w:after="0"/>
        <w:tabs>
          <w:tab w:val="left" w:pos="851" w:leader="none"/>
        </w:tabs>
      </w:pPr>
      <w:r>
        <w:rPr>
          <w:rFonts w:eastAsia="Arial Unicode MS"/>
          <w:iCs/>
          <w:color w:val="000000"/>
        </w:rPr>
        <w:t xml:space="preserve">соответствующие разрешающие документы на выполнение видов деятельности в рамках Договора в соответствии с </w:t>
      </w:r>
      <w:r>
        <w:t xml:space="preserve">разделом </w:t>
      </w:r>
      <w:r>
        <w:rPr>
          <w:lang w:val="en-US"/>
        </w:rPr>
        <w:t xml:space="preserve">IV</w:t>
      </w:r>
      <w:r>
        <w:t xml:space="preserve"> «</w:t>
      </w:r>
      <w:r>
        <w:rPr>
          <w:bCs/>
        </w:rPr>
        <w:t xml:space="preserve">ТЕХНИЧЕСКИЕ ТРЕБОВАНИЯ </w:t>
      </w:r>
      <w:r>
        <w:t xml:space="preserve">НА </w:t>
      </w:r>
      <w:r>
        <w:rPr>
          <w:rFonts w:ascii="Times New Roman" w:hAnsi="Times New Roman" w:cs="Times New Roman"/>
          <w:b w:val="0"/>
        </w:rPr>
        <w:t xml:space="preserve">ВЫПОЛНЕНИЕ РАБОТ</w:t>
      </w:r>
      <w:r>
        <w:t xml:space="preserve">»</w:t>
      </w:r>
      <w:r>
        <w:rPr>
          <w:rFonts w:eastAsia="Arial Unicode MS"/>
          <w:iCs/>
          <w:color w:val="000000"/>
        </w:rPr>
        <w:t xml:space="preserve">, в том числе при привлечении субподрядчиков/соисполнителей - наличие у таких лиц необходимых документов.</w:t>
      </w:r>
      <w:r/>
    </w:p>
    <w:p>
      <w:pPr>
        <w:ind w:firstLine="567"/>
        <w:spacing w:after="0"/>
        <w:tabs>
          <w:tab w:val="left" w:pos="1418" w:leader="none"/>
        </w:tabs>
      </w:pPr>
      <w:r>
        <w:rPr>
          <w:bCs/>
        </w:rPr>
        <w:t xml:space="preserve">4. Все </w:t>
      </w:r>
      <w:r>
        <w:t xml:space="preserve">указанные документы прилагаются Участником к заявке.</w:t>
      </w:r>
      <w:r/>
    </w:p>
    <w:p>
      <w:pPr>
        <w:ind w:firstLine="567"/>
        <w:spacing w:after="0"/>
        <w:tabs>
          <w:tab w:val="left" w:pos="1418" w:leader="none"/>
        </w:tabs>
      </w:pPr>
      <w:r>
        <w:t xml:space="preserve">5. При этом Участник должен принять во внимание, что в </w:t>
      </w:r>
      <w:r>
        <w:t xml:space="preserve">случае, если для подтверждения соответствия Участника требованиям Документации о закупке не указано обязательное предоставление сведений и документов, подача заявки (акцепт оферты) является декларированием полного соответствия Участника данным требованиям.</w:t>
      </w:r>
      <w:r/>
    </w:p>
    <w:p>
      <w:pPr>
        <w:ind w:firstLine="567"/>
        <w:spacing w:after="0"/>
        <w:tabs>
          <w:tab w:val="left" w:pos="1418" w:leader="none"/>
        </w:tabs>
      </w:pPr>
      <w:r>
        <w:t xml:space="preserve">6. В случае участия в закупке иностранной организации, такой подрядчик предоставляет аналогичные документы. Такие документы должны быть переведены на русский язык и апостилированы, в противном случае ПДЗК вправе не рассматривать документы Участника.</w:t>
      </w:r>
      <w:r/>
    </w:p>
    <w:p>
      <w:pPr>
        <w:ind w:firstLine="567"/>
        <w:spacing w:after="0"/>
        <w:widowControl w:val="off"/>
        <w:tabs>
          <w:tab w:val="left" w:pos="1560" w:leader="none"/>
        </w:tabs>
        <w:rPr>
          <w:bCs/>
        </w:rPr>
      </w:pPr>
      <w:r>
        <w:t xml:space="preserve">7. </w:t>
      </w:r>
      <w:r>
        <w:rPr>
          <w:bCs/>
        </w:rPr>
        <w:t xml:space="preserve">Участник должен подготовить заявку, включающую в себя следующие документы </w:t>
      </w:r>
      <w:bookmarkStart w:id="129" w:name="_Ref303683384"/>
      <w:r>
        <w:rPr>
          <w:bCs/>
        </w:rPr>
        <w:t xml:space="preserve">со следующим порядком размещения их в составе заявки:</w:t>
      </w:r>
      <w:bookmarkEnd w:id="129"/>
      <w:r>
        <w:rPr>
          <w:bCs/>
        </w:rPr>
      </w:r>
      <w:r>
        <w:rPr>
          <w:bCs/>
        </w:rPr>
      </w:r>
    </w:p>
    <w:p>
      <w:pPr>
        <w:numPr>
          <w:ilvl w:val="0"/>
          <w:numId w:val="22"/>
        </w:numPr>
        <w:ind w:left="0" w:firstLine="567"/>
        <w:spacing w:after="0"/>
        <w:widowControl w:val="off"/>
        <w:tabs>
          <w:tab w:val="left" w:pos="540" w:leader="none"/>
          <w:tab w:val="left" w:pos="993" w:leader="none"/>
        </w:tabs>
        <w:rPr>
          <w:bCs/>
        </w:rPr>
      </w:pPr>
      <w:r>
        <w:rPr>
          <w:bCs/>
        </w:rPr>
        <w:t xml:space="preserve">Опись документов (форма 1);</w:t>
      </w:r>
      <w:r>
        <w:rPr>
          <w:bCs/>
        </w:rPr>
      </w:r>
      <w:r>
        <w:rPr>
          <w:bCs/>
        </w:rPr>
      </w:r>
    </w:p>
    <w:p>
      <w:pPr>
        <w:numPr>
          <w:ilvl w:val="0"/>
          <w:numId w:val="22"/>
        </w:numPr>
        <w:ind w:left="0" w:firstLine="567"/>
        <w:spacing w:after="0"/>
        <w:widowControl w:val="off"/>
        <w:tabs>
          <w:tab w:val="left" w:pos="540" w:leader="none"/>
          <w:tab w:val="left" w:pos="993" w:leader="none"/>
        </w:tabs>
        <w:rPr>
          <w:bCs/>
        </w:rPr>
      </w:pPr>
      <w:r>
        <w:rPr>
          <w:bCs/>
        </w:rPr>
        <w:t xml:space="preserve">Письмо о подаче оферты (форма 2), Антикоррупционные обязательства (форма 2.1);</w:t>
      </w:r>
      <w:r>
        <w:rPr>
          <w:bCs/>
        </w:rPr>
      </w:r>
      <w:r>
        <w:rPr>
          <w:bCs/>
        </w:rPr>
      </w:r>
    </w:p>
    <w:p>
      <w:pPr>
        <w:numPr>
          <w:ilvl w:val="0"/>
          <w:numId w:val="22"/>
        </w:numPr>
        <w:ind w:left="0" w:firstLine="567"/>
        <w:spacing w:after="0"/>
        <w:widowControl w:val="off"/>
        <w:tabs>
          <w:tab w:val="left" w:pos="540" w:leader="none"/>
          <w:tab w:val="left" w:pos="993" w:leader="none"/>
        </w:tabs>
        <w:rPr>
          <w:bCs/>
        </w:rPr>
      </w:pPr>
      <w:r>
        <w:rPr>
          <w:bCs/>
        </w:rPr>
        <w:t xml:space="preserve">Техническое предложение (форма 3);</w:t>
      </w:r>
      <w:r>
        <w:rPr>
          <w:bCs/>
        </w:rPr>
      </w:r>
      <w:r>
        <w:rPr>
          <w:bCs/>
        </w:rPr>
      </w:r>
    </w:p>
    <w:p>
      <w:pPr>
        <w:numPr>
          <w:ilvl w:val="0"/>
          <w:numId w:val="22"/>
        </w:numPr>
        <w:ind w:left="0" w:firstLine="567"/>
        <w:spacing w:after="0"/>
        <w:tabs>
          <w:tab w:val="left" w:pos="0" w:leader="none"/>
          <w:tab w:val="left" w:pos="993" w:leader="none"/>
        </w:tabs>
      </w:pPr>
      <w:r>
        <w:rPr>
          <w:bCs/>
        </w:rPr>
        <w:t xml:space="preserve">Анкета Участника (форма 4), Справка о цепочке собственников участника закупочной процедуры, включая бенефициаров (в то</w:t>
      </w:r>
      <w:r>
        <w:t xml:space="preserve">м числе конечных) (форма 4.2), Согласие на обработку персональных данных (форма 4.3);</w:t>
      </w:r>
      <w:r/>
    </w:p>
    <w:p>
      <w:pPr>
        <w:numPr>
          <w:ilvl w:val="0"/>
          <w:numId w:val="22"/>
        </w:numPr>
        <w:ind w:left="0" w:firstLine="567"/>
        <w:spacing w:after="0"/>
        <w:tabs>
          <w:tab w:val="left" w:pos="0" w:leader="none"/>
          <w:tab w:val="left" w:pos="993" w:leader="none"/>
        </w:tabs>
        <w:rPr>
          <w:highlight w:val="white"/>
        </w:rPr>
      </w:pPr>
      <w:r>
        <w:rPr>
          <w:highlight w:val="white"/>
        </w:rPr>
        <w:t xml:space="preserve">Справка о текущей загруженности (форма 5);</w:t>
      </w:r>
      <w:r>
        <w:rPr>
          <w:highlight w:val="white"/>
        </w:rPr>
      </w:r>
      <w:r>
        <w:rPr>
          <w:highlight w:val="white"/>
        </w:rPr>
      </w:r>
    </w:p>
    <w:p>
      <w:pPr>
        <w:numPr>
          <w:ilvl w:val="0"/>
          <w:numId w:val="22"/>
        </w:numPr>
        <w:ind w:left="0" w:firstLine="567"/>
        <w:spacing w:after="0"/>
        <w:tabs>
          <w:tab w:val="left" w:pos="0" w:leader="none"/>
          <w:tab w:val="left" w:pos="993" w:leader="none"/>
        </w:tabs>
      </w:pPr>
      <w:r>
        <w:t xml:space="preserve">Справка о наличии у участника связей, носящих характер аффилированности (форма 6);</w:t>
      </w:r>
      <w:r/>
    </w:p>
    <w:p>
      <w:pPr>
        <w:numPr>
          <w:ilvl w:val="0"/>
          <w:numId w:val="22"/>
        </w:numPr>
        <w:ind w:left="0" w:firstLine="567"/>
        <w:spacing w:after="0"/>
        <w:widowControl w:val="off"/>
        <w:tabs>
          <w:tab w:val="left" w:pos="993" w:leader="none"/>
        </w:tabs>
        <w:rPr>
          <w:bCs/>
        </w:rPr>
      </w:pPr>
      <w:r>
        <w:rPr>
          <w:bCs/>
        </w:rPr>
        <w:t xml:space="preserve">Согласие Участника закупочной процедуры налоговым органам на разглашение сведений, составляющих налоговую тайну (форма 7);</w:t>
      </w:r>
      <w:r>
        <w:rPr>
          <w:bCs/>
        </w:rPr>
      </w:r>
      <w:r>
        <w:rPr>
          <w:bCs/>
        </w:rPr>
      </w:r>
    </w:p>
    <w:p>
      <w:pPr>
        <w:numPr>
          <w:ilvl w:val="0"/>
          <w:numId w:val="22"/>
        </w:numPr>
        <w:ind w:left="0" w:firstLine="567"/>
        <w:spacing w:after="0"/>
        <w:widowControl w:val="off"/>
        <w:tabs>
          <w:tab w:val="left" w:pos="993" w:leader="none"/>
        </w:tabs>
        <w:rPr>
          <w:bCs/>
        </w:rPr>
      </w:pPr>
      <w:r>
        <w:t xml:space="preserve">Независимая гарантия, предоставляемая в качестве обеспечения заявки на участие в закупке (форма 8);</w:t>
      </w:r>
      <w:r>
        <w:rPr>
          <w:bCs/>
        </w:rPr>
      </w:r>
      <w:r>
        <w:rPr>
          <w:bCs/>
        </w:rPr>
      </w:r>
    </w:p>
    <w:p>
      <w:pPr>
        <w:numPr>
          <w:ilvl w:val="0"/>
          <w:numId w:val="22"/>
        </w:numPr>
        <w:ind w:left="0" w:firstLine="567"/>
        <w:spacing w:after="0"/>
        <w:widowControl w:val="off"/>
        <w:tabs>
          <w:tab w:val="left" w:pos="993" w:leader="none"/>
        </w:tabs>
        <w:rPr>
          <w:bCs/>
        </w:rPr>
      </w:pPr>
      <w:r>
        <w:rPr>
          <w:bCs/>
        </w:rPr>
        <w:t xml:space="preserve">Документы, подтверждающие правоспособность и квалификацию Участника в соответствии с пунктами 2 и 3 приложения 2 к части II «ИНФОРМАЦИОННАЯ КАРТА ЗАКУПКИ» настоящей Документации;</w:t>
      </w:r>
      <w:r>
        <w:rPr>
          <w:bCs/>
        </w:rPr>
      </w:r>
      <w:r>
        <w:rPr>
          <w:bCs/>
        </w:rPr>
      </w:r>
    </w:p>
    <w:p>
      <w:pPr>
        <w:numPr>
          <w:ilvl w:val="0"/>
          <w:numId w:val="22"/>
        </w:numPr>
        <w:ind w:left="0" w:firstLine="567"/>
        <w:spacing w:after="0"/>
        <w:widowControl w:val="off"/>
        <w:tabs>
          <w:tab w:val="left" w:pos="540" w:leader="none"/>
          <w:tab w:val="left" w:pos="993" w:leader="none"/>
        </w:tabs>
        <w:rPr>
          <w:bCs/>
        </w:rPr>
      </w:pPr>
      <w:r>
        <w:rPr>
          <w:bCs/>
        </w:rPr>
        <w:t xml:space="preserve">Иные документы,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r>
        <w:rPr>
          <w:bCs/>
        </w:rPr>
      </w:r>
      <w:r>
        <w:rPr>
          <w:bCs/>
        </w:rPr>
      </w:r>
    </w:p>
    <w:p>
      <w:pPr>
        <w:spacing w:after="0"/>
        <w:widowControl w:val="off"/>
        <w:tabs>
          <w:tab w:val="left" w:pos="540" w:leader="none"/>
          <w:tab w:val="left" w:pos="993" w:leader="none"/>
        </w:tabs>
      </w:pPr>
      <w:r/>
      <w:r/>
    </w:p>
    <w:p>
      <w:pPr>
        <w:spacing w:after="0"/>
        <w:widowControl w:val="off"/>
        <w:tabs>
          <w:tab w:val="left" w:pos="540" w:leader="none"/>
          <w:tab w:val="left" w:pos="993" w:leader="none"/>
        </w:tabs>
      </w:pPr>
      <w:r/>
      <w:r/>
    </w:p>
    <w:p>
      <w:pPr>
        <w:pStyle w:val="1013"/>
        <w:numPr>
          <w:ilvl w:val="0"/>
          <w:numId w:val="6"/>
        </w:numPr>
        <w:ind w:left="0" w:firstLine="567"/>
        <w:pageBreakBefore/>
        <w:spacing w:before="0" w:after="0"/>
        <w:rPr>
          <w:rStyle w:val="1316"/>
          <w:b/>
          <w:bCs/>
          <w:i/>
          <w:sz w:val="24"/>
          <w:szCs w:val="24"/>
        </w:rPr>
      </w:pPr>
      <w:r/>
      <w:bookmarkStart w:id="130" w:name="_Toc92"/>
      <w:r>
        <w:rPr>
          <w:rStyle w:val="1316"/>
          <w:b/>
          <w:bCs/>
          <w:i/>
          <w:sz w:val="24"/>
          <w:szCs w:val="24"/>
        </w:rPr>
        <w:t xml:space="preserve">ОБРАЗЦЫ ФОРМ ДЛЯ ЗАПОЛНЕНИЯ УЧАСТНИКАМИ ЗАКУПКИ</w:t>
      </w:r>
      <w:bookmarkEnd w:id="113"/>
      <w:r/>
      <w:bookmarkEnd w:id="114"/>
      <w:r/>
      <w:bookmarkEnd w:id="115"/>
      <w:r/>
      <w:bookmarkEnd w:id="116"/>
      <w:r/>
      <w:bookmarkEnd w:id="117"/>
      <w:r/>
      <w:bookmarkEnd w:id="118"/>
      <w:r/>
      <w:bookmarkEnd w:id="119"/>
      <w:r/>
      <w:bookmarkEnd w:id="120"/>
      <w:r/>
      <w:bookmarkEnd w:id="130"/>
      <w:r>
        <w:rPr>
          <w:rStyle w:val="1316"/>
          <w:b/>
          <w:bCs/>
          <w:i/>
          <w:sz w:val="24"/>
          <w:szCs w:val="24"/>
        </w:rPr>
      </w:r>
      <w:r>
        <w:rPr>
          <w:rStyle w:val="1316"/>
          <w:b/>
          <w:bCs/>
          <w:i/>
          <w:sz w:val="24"/>
          <w:szCs w:val="24"/>
        </w:rPr>
      </w:r>
    </w:p>
    <w:p>
      <w:r/>
      <w:r/>
    </w:p>
    <w:p>
      <w:pPr>
        <w:pStyle w:val="1014"/>
        <w:rPr>
          <w:sz w:val="24"/>
          <w:szCs w:val="24"/>
        </w:rPr>
      </w:pPr>
      <w:r/>
      <w:bookmarkStart w:id="131" w:name="_Ref166329160"/>
      <w:r/>
      <w:bookmarkStart w:id="132" w:name="_Ref166329169"/>
      <w:r/>
      <w:bookmarkStart w:id="133" w:name="_Ref166487238"/>
      <w:r/>
      <w:bookmarkStart w:id="134" w:name="_Ref166487244"/>
      <w:r/>
      <w:bookmarkStart w:id="135" w:name="_Ref166487316"/>
      <w:r/>
      <w:bookmarkStart w:id="136" w:name="_Toc93"/>
      <w:r>
        <w:rPr>
          <w:sz w:val="24"/>
          <w:szCs w:val="24"/>
        </w:rPr>
        <w:t xml:space="preserve">ФОРМА 1. ОПИСЬ ДОКУМЕНТОВ</w:t>
      </w:r>
      <w:bookmarkEnd w:id="131"/>
      <w:r/>
      <w:bookmarkEnd w:id="132"/>
      <w:r/>
      <w:bookmarkEnd w:id="133"/>
      <w:r/>
      <w:bookmarkEnd w:id="134"/>
      <w:r/>
      <w:bookmarkEnd w:id="135"/>
      <w:r/>
      <w:bookmarkEnd w:id="136"/>
      <w:r>
        <w:rPr>
          <w:sz w:val="24"/>
          <w:szCs w:val="24"/>
        </w:rPr>
      </w:r>
      <w:r>
        <w:rPr>
          <w:sz w:val="24"/>
          <w:szCs w:val="24"/>
        </w:rPr>
      </w:r>
    </w:p>
    <w:p>
      <w:pPr>
        <w:ind w:firstLine="567"/>
        <w:jc w:val="center"/>
        <w:spacing w:after="0"/>
        <w:rPr>
          <w:b/>
          <w:bCs/>
        </w:rPr>
      </w:pPr>
      <w:r>
        <w:rPr>
          <w:b/>
          <w:bCs/>
        </w:rPr>
      </w:r>
      <w:r>
        <w:rPr>
          <w:b/>
          <w:bCs/>
        </w:rPr>
      </w:r>
      <w:r>
        <w:rPr>
          <w:b/>
          <w:bCs/>
        </w:rPr>
      </w:r>
    </w:p>
    <w:p>
      <w:pPr>
        <w:ind w:firstLine="567"/>
        <w:jc w:val="center"/>
        <w:spacing w:after="0"/>
        <w:rPr>
          <w:b/>
          <w:bCs/>
        </w:rPr>
      </w:pPr>
      <w:r>
        <w:rPr>
          <w:b/>
          <w:bCs/>
        </w:rPr>
        <w:t xml:space="preserve">ОПИСЬ ДОКУМЕНТОВ,</w:t>
      </w:r>
      <w:r>
        <w:rPr>
          <w:b/>
          <w:bCs/>
        </w:rPr>
      </w:r>
      <w:r>
        <w:rPr>
          <w:b/>
          <w:bCs/>
        </w:rPr>
      </w:r>
    </w:p>
    <w:p>
      <w:pPr>
        <w:ind w:firstLine="567"/>
        <w:jc w:val="center"/>
        <w:spacing w:after="0"/>
        <w:rPr>
          <w:i/>
          <w:iCs/>
          <w:sz w:val="20"/>
          <w:szCs w:val="20"/>
        </w:rPr>
      </w:pPr>
      <w:r>
        <w:t xml:space="preserve">представляемых для участия в закупке на право заключения договора на ______________________________________________________________________________ </w:t>
      </w:r>
      <w:r>
        <w:rPr>
          <w:i/>
          <w:iCs/>
        </w:rPr>
        <w:t xml:space="preserve">(</w:t>
      </w:r>
      <w:r>
        <w:rPr>
          <w:i/>
          <w:iCs/>
          <w:sz w:val="20"/>
          <w:szCs w:val="20"/>
        </w:rPr>
        <w:t xml:space="preserve">указать наименование предмета закупки)</w:t>
      </w:r>
      <w:r>
        <w:rPr>
          <w:i/>
          <w:iCs/>
          <w:sz w:val="20"/>
          <w:szCs w:val="20"/>
        </w:rPr>
      </w:r>
      <w:r>
        <w:rPr>
          <w:i/>
          <w:iCs/>
          <w:sz w:val="20"/>
          <w:szCs w:val="20"/>
        </w:rPr>
      </w:r>
    </w:p>
    <w:p>
      <w:pPr>
        <w:ind w:firstLine="567"/>
        <w:spacing w:after="0"/>
        <w:rPr>
          <w:b/>
          <w:bCs/>
        </w:rPr>
      </w:pPr>
      <w:r>
        <w:rPr>
          <w:b/>
          <w:bCs/>
        </w:rPr>
      </w:r>
      <w:r>
        <w:rPr>
          <w:b/>
          <w:bCs/>
        </w:rPr>
      </w:r>
      <w:r>
        <w:rPr>
          <w:b/>
          <w:bCs/>
        </w:rPr>
      </w:r>
    </w:p>
    <w:p>
      <w:pPr>
        <w:spacing w:after="0"/>
      </w:pPr>
      <w:r>
        <w:t xml:space="preserve">Настоящим ____________________________________________ подтверждает, что для участия </w:t>
      </w:r>
      <w:r/>
    </w:p>
    <w:p>
      <w:pPr>
        <w:ind w:firstLine="567"/>
        <w:spacing w:after="0"/>
        <w:rPr>
          <w:i/>
          <w:iCs/>
          <w:sz w:val="20"/>
          <w:szCs w:val="20"/>
        </w:rPr>
      </w:pPr>
      <w:r>
        <w:rPr>
          <w:i/>
          <w:iCs/>
          <w:sz w:val="20"/>
          <w:szCs w:val="20"/>
        </w:rPr>
        <w:t xml:space="preserve">                          (наименование участника закупки)</w:t>
      </w:r>
      <w:r>
        <w:rPr>
          <w:i/>
          <w:iCs/>
          <w:sz w:val="20"/>
          <w:szCs w:val="20"/>
        </w:rPr>
      </w:r>
      <w:r>
        <w:rPr>
          <w:i/>
          <w:iCs/>
          <w:sz w:val="20"/>
          <w:szCs w:val="20"/>
        </w:rPr>
      </w:r>
    </w:p>
    <w:p>
      <w:pPr>
        <w:jc w:val="center"/>
        <w:spacing w:after="0"/>
      </w:pPr>
      <w:r>
        <w:t xml:space="preserve">в закупке ___________________________________________________________________ </w:t>
      </w:r>
      <w:r>
        <w:rPr>
          <w:i/>
          <w:iCs/>
          <w:sz w:val="20"/>
          <w:szCs w:val="20"/>
        </w:rPr>
        <w:t xml:space="preserve">(указать наименование предмета договора)</w:t>
      </w:r>
      <w:r/>
    </w:p>
    <w:p>
      <w:pPr>
        <w:spacing w:after="0"/>
      </w:pPr>
      <w:r>
        <w:t xml:space="preserve">направляются нижеперечисленные документы:</w:t>
      </w:r>
      <w:r/>
    </w:p>
    <w:p>
      <w:pPr>
        <w:spacing w:after="0"/>
      </w:pPr>
      <w:r/>
      <w:r/>
    </w:p>
    <w:tbl>
      <w:tblPr>
        <w:tblW w:w="9995" w:type="dxa"/>
        <w:tblInd w:w="-106" w:type="dxa"/>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00"/>
        <w:gridCol w:w="7536"/>
        <w:gridCol w:w="1559"/>
      </w:tblGrid>
      <w:tr>
        <w:tblPrEx/>
        <w:trPr>
          <w:tblHeader/>
        </w:trPr>
        <w:tc>
          <w:tcPr>
            <w:shd w:val="clear" w:color="000000" w:fill="auto"/>
            <w:tcW w:w="900" w:type="dxa"/>
            <w:vAlign w:val="center"/>
            <w:textDirection w:val="lrTb"/>
            <w:noWrap w:val="false"/>
          </w:tcPr>
          <w:p>
            <w:pPr>
              <w:jc w:val="center"/>
              <w:spacing w:after="0"/>
              <w:rPr>
                <w:b/>
                <w:bCs/>
              </w:rPr>
            </w:pPr>
            <w:r>
              <w:rPr>
                <w:b/>
                <w:bCs/>
              </w:rPr>
              <w:t xml:space="preserve">№№ п\п</w:t>
            </w:r>
            <w:r>
              <w:rPr>
                <w:b/>
                <w:bCs/>
              </w:rPr>
            </w:r>
            <w:r>
              <w:rPr>
                <w:b/>
                <w:bCs/>
              </w:rPr>
            </w:r>
          </w:p>
        </w:tc>
        <w:tc>
          <w:tcPr>
            <w:shd w:val="clear" w:color="000000" w:fill="auto"/>
            <w:tcW w:w="7536" w:type="dxa"/>
            <w:vAlign w:val="center"/>
            <w:textDirection w:val="lrTb"/>
            <w:noWrap w:val="false"/>
          </w:tcPr>
          <w:p>
            <w:pPr>
              <w:jc w:val="center"/>
              <w:spacing w:after="0"/>
              <w:rPr>
                <w:b/>
                <w:bCs/>
              </w:rPr>
            </w:pPr>
            <w:r>
              <w:rPr>
                <w:b/>
                <w:bCs/>
              </w:rPr>
              <w:t xml:space="preserve">Наименование документов</w:t>
            </w:r>
            <w:r>
              <w:rPr>
                <w:b/>
                <w:bCs/>
              </w:rPr>
            </w:r>
            <w:r>
              <w:rPr>
                <w:b/>
                <w:bCs/>
              </w:rPr>
            </w:r>
          </w:p>
        </w:tc>
        <w:tc>
          <w:tcPr>
            <w:shd w:val="clear" w:color="000000" w:fill="auto"/>
            <w:tcW w:w="1559" w:type="dxa"/>
            <w:vAlign w:val="center"/>
            <w:textDirection w:val="lrTb"/>
            <w:noWrap w:val="false"/>
          </w:tcPr>
          <w:p>
            <w:pPr>
              <w:spacing w:after="0"/>
              <w:rPr>
                <w:b/>
                <w:bCs/>
              </w:rPr>
            </w:pPr>
            <w:r>
              <w:rPr>
                <w:b/>
                <w:bCs/>
              </w:rPr>
              <w:t xml:space="preserve">Количество страниц</w:t>
            </w:r>
            <w:r>
              <w:rPr>
                <w:b/>
                <w:bCs/>
              </w:rPr>
            </w:r>
            <w:r>
              <w:rPr>
                <w:b/>
                <w:bCs/>
              </w:rPr>
            </w:r>
          </w:p>
        </w:tc>
      </w:tr>
      <w:tr>
        <w:tblPrEx/>
        <w:trPr/>
        <w:tc>
          <w:tcPr>
            <w:tcW w:w="900" w:type="dxa"/>
            <w:textDirection w:val="lrTb"/>
            <w:noWrap w:val="false"/>
          </w:tcPr>
          <w:p>
            <w:pPr>
              <w:numPr>
                <w:ilvl w:val="0"/>
                <w:numId w:val="7"/>
              </w:numPr>
              <w:ind w:left="0" w:firstLine="0"/>
              <w:jc w:val="center"/>
              <w:spacing w:after="0"/>
              <w:tabs>
                <w:tab w:val="clear" w:pos="426" w:leader="none"/>
              </w:tabs>
            </w:pPr>
            <w:r/>
            <w:r/>
          </w:p>
        </w:tc>
        <w:tc>
          <w:tcPr>
            <w:tcW w:w="7536"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1"/>
                <w:numId w:val="7"/>
              </w:numPr>
              <w:ind w:left="0" w:firstLine="0"/>
              <w:jc w:val="center"/>
              <w:spacing w:after="0"/>
              <w:tabs>
                <w:tab w:val="clear" w:pos="1954" w:leader="none"/>
              </w:tabs>
            </w:pPr>
            <w:r/>
            <w:r/>
          </w:p>
        </w:tc>
        <w:tc>
          <w:tcPr>
            <w:tcW w:w="7536"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1"/>
                <w:numId w:val="7"/>
              </w:numPr>
              <w:ind w:left="0" w:firstLine="0"/>
              <w:jc w:val="center"/>
              <w:spacing w:after="0"/>
              <w:tabs>
                <w:tab w:val="clear" w:pos="1954" w:leader="none"/>
              </w:tabs>
            </w:pPr>
            <w:r/>
            <w:r/>
          </w:p>
        </w:tc>
        <w:tc>
          <w:tcPr>
            <w:tcW w:w="7536" w:type="dxa"/>
            <w:textDirection w:val="lrTb"/>
            <w:noWrap w:val="false"/>
          </w:tcPr>
          <w:p>
            <w:pPr>
              <w:spacing w:after="0"/>
            </w:pPr>
            <w:r/>
            <w:r/>
          </w:p>
        </w:tc>
        <w:tc>
          <w:tcPr>
            <w:tcW w:w="1559" w:type="dxa"/>
            <w:textDirection w:val="lrTb"/>
            <w:noWrap w:val="false"/>
          </w:tcPr>
          <w:p>
            <w:pPr>
              <w:ind w:firstLine="567"/>
              <w:spacing w:after="0"/>
            </w:pPr>
            <w:r/>
            <w:r/>
          </w:p>
        </w:tc>
      </w:tr>
      <w:tr>
        <w:tblPrEx/>
        <w:trPr>
          <w:trHeight w:val="389"/>
        </w:trPr>
        <w:tc>
          <w:tcPr>
            <w:tcW w:w="900" w:type="dxa"/>
            <w:textDirection w:val="lrTb"/>
            <w:noWrap w:val="false"/>
          </w:tcPr>
          <w:p>
            <w:pPr>
              <w:numPr>
                <w:ilvl w:val="0"/>
                <w:numId w:val="7"/>
              </w:numPr>
              <w:ind w:left="0" w:firstLine="0"/>
              <w:jc w:val="center"/>
              <w:spacing w:after="0"/>
              <w:tabs>
                <w:tab w:val="clear" w:pos="426" w:leader="none"/>
              </w:tabs>
            </w:pPr>
            <w:r/>
            <w:r/>
          </w:p>
        </w:tc>
        <w:tc>
          <w:tcPr>
            <w:tcW w:w="7536"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0"/>
                <w:numId w:val="7"/>
              </w:numPr>
              <w:ind w:left="0" w:firstLine="0"/>
              <w:jc w:val="center"/>
              <w:spacing w:after="0"/>
              <w:tabs>
                <w:tab w:val="clear" w:pos="426" w:leader="none"/>
              </w:tabs>
            </w:pPr>
            <w:r/>
            <w:r/>
          </w:p>
        </w:tc>
        <w:tc>
          <w:tcPr>
            <w:tcW w:w="7536"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0"/>
                <w:numId w:val="7"/>
              </w:numPr>
              <w:ind w:left="0" w:firstLine="0"/>
              <w:jc w:val="center"/>
              <w:spacing w:after="0"/>
              <w:tabs>
                <w:tab w:val="clear" w:pos="426" w:leader="none"/>
              </w:tabs>
            </w:pPr>
            <w:r/>
            <w:r/>
          </w:p>
        </w:tc>
        <w:tc>
          <w:tcPr>
            <w:tcW w:w="7536"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0"/>
                <w:numId w:val="7"/>
              </w:numPr>
              <w:ind w:left="0" w:firstLine="0"/>
              <w:jc w:val="center"/>
              <w:spacing w:after="0"/>
              <w:tabs>
                <w:tab w:val="clear" w:pos="426" w:leader="none"/>
              </w:tabs>
            </w:pPr>
            <w:r/>
            <w:r/>
          </w:p>
        </w:tc>
        <w:tc>
          <w:tcPr>
            <w:tcW w:w="7536"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0"/>
                <w:numId w:val="7"/>
              </w:numPr>
              <w:ind w:left="0" w:firstLine="0"/>
              <w:jc w:val="center"/>
              <w:spacing w:after="0"/>
              <w:tabs>
                <w:tab w:val="clear" w:pos="426" w:leader="none"/>
              </w:tabs>
            </w:pPr>
            <w:r/>
            <w:r/>
          </w:p>
        </w:tc>
        <w:tc>
          <w:tcPr>
            <w:tcW w:w="7536"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0"/>
                <w:numId w:val="7"/>
              </w:numPr>
              <w:ind w:left="0" w:firstLine="0"/>
              <w:jc w:val="center"/>
              <w:spacing w:after="0"/>
              <w:tabs>
                <w:tab w:val="clear" w:pos="426" w:leader="none"/>
              </w:tabs>
            </w:pPr>
            <w:r/>
            <w:r/>
          </w:p>
        </w:tc>
        <w:tc>
          <w:tcPr>
            <w:tcW w:w="7536"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0"/>
                <w:numId w:val="7"/>
              </w:numPr>
              <w:ind w:left="0" w:firstLine="0"/>
              <w:jc w:val="center"/>
              <w:spacing w:after="0"/>
              <w:tabs>
                <w:tab w:val="clear" w:pos="426" w:leader="none"/>
              </w:tabs>
            </w:pPr>
            <w:r/>
            <w:r/>
          </w:p>
        </w:tc>
        <w:tc>
          <w:tcPr>
            <w:tcW w:w="7536"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0"/>
                <w:numId w:val="7"/>
              </w:numPr>
              <w:ind w:left="0" w:firstLine="0"/>
              <w:jc w:val="center"/>
              <w:spacing w:after="0"/>
              <w:tabs>
                <w:tab w:val="clear" w:pos="426" w:leader="none"/>
              </w:tabs>
            </w:pPr>
            <w:r/>
            <w:r/>
          </w:p>
        </w:tc>
        <w:tc>
          <w:tcPr>
            <w:tcW w:w="7536"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0"/>
                <w:numId w:val="7"/>
              </w:numPr>
              <w:ind w:left="0" w:firstLine="0"/>
              <w:jc w:val="center"/>
              <w:spacing w:after="0"/>
              <w:tabs>
                <w:tab w:val="clear" w:pos="426" w:leader="none"/>
              </w:tabs>
            </w:pPr>
            <w:r/>
            <w:r/>
          </w:p>
        </w:tc>
        <w:tc>
          <w:tcPr>
            <w:tcW w:w="7536" w:type="dxa"/>
            <w:textDirection w:val="lrTb"/>
            <w:noWrap w:val="false"/>
          </w:tcPr>
          <w:p>
            <w:pPr>
              <w:spacing w:after="0"/>
            </w:pPr>
            <w:r/>
            <w:r/>
          </w:p>
        </w:tc>
        <w:tc>
          <w:tcPr>
            <w:tcW w:w="1559" w:type="dxa"/>
            <w:textDirection w:val="lrTb"/>
            <w:noWrap w:val="false"/>
          </w:tcPr>
          <w:p>
            <w:pPr>
              <w:ind w:firstLine="567"/>
              <w:spacing w:after="0"/>
            </w:pPr>
            <w:r/>
            <w:r/>
          </w:p>
        </w:tc>
      </w:tr>
      <w:tr>
        <w:tblPrEx/>
        <w:trPr/>
        <w:tc>
          <w:tcPr>
            <w:tcW w:w="900" w:type="dxa"/>
            <w:textDirection w:val="lrTb"/>
            <w:noWrap w:val="false"/>
          </w:tcPr>
          <w:p>
            <w:pPr>
              <w:numPr>
                <w:ilvl w:val="0"/>
                <w:numId w:val="7"/>
              </w:numPr>
              <w:ind w:left="0" w:firstLine="0"/>
              <w:jc w:val="center"/>
              <w:spacing w:after="0"/>
              <w:tabs>
                <w:tab w:val="clear" w:pos="426" w:leader="none"/>
              </w:tabs>
            </w:pPr>
            <w:r/>
            <w:r/>
          </w:p>
        </w:tc>
        <w:tc>
          <w:tcPr>
            <w:tcW w:w="7536" w:type="dxa"/>
            <w:textDirection w:val="lrTb"/>
            <w:noWrap w:val="false"/>
          </w:tcPr>
          <w:p>
            <w:pPr>
              <w:spacing w:after="0"/>
            </w:pPr>
            <w:r/>
            <w:r/>
          </w:p>
        </w:tc>
        <w:tc>
          <w:tcPr>
            <w:tcW w:w="1559" w:type="dxa"/>
            <w:textDirection w:val="lrTb"/>
            <w:noWrap w:val="false"/>
          </w:tcPr>
          <w:p>
            <w:pPr>
              <w:ind w:firstLine="567"/>
              <w:spacing w:after="0"/>
            </w:pPr>
            <w:r/>
            <w:r/>
          </w:p>
        </w:tc>
      </w:tr>
    </w:tbl>
    <w:p>
      <w:pPr>
        <w:ind w:firstLine="567"/>
        <w:spacing w:after="0"/>
        <w:rPr>
          <w:vertAlign w:val="superscript"/>
        </w:rPr>
      </w:pPr>
      <w:r>
        <w:rPr>
          <w:vertAlign w:val="superscript"/>
        </w:rPr>
      </w:r>
      <w:r>
        <w:rPr>
          <w:vertAlign w:val="superscript"/>
        </w:rPr>
      </w:r>
      <w:r>
        <w:rPr>
          <w:vertAlign w:val="superscript"/>
        </w:rPr>
      </w:r>
    </w:p>
    <w:p>
      <w:pPr>
        <w:ind w:firstLine="567"/>
        <w:spacing w:after="0"/>
        <w:rPr>
          <w:vertAlign w:val="superscript"/>
        </w:rPr>
      </w:pPr>
      <w:r>
        <w:rPr>
          <w:vertAlign w:val="superscript"/>
        </w:rPr>
      </w:r>
      <w:r>
        <w:rPr>
          <w:vertAlign w:val="superscript"/>
        </w:rPr>
      </w:r>
      <w:r>
        <w:rPr>
          <w:vertAlign w:val="superscript"/>
        </w:rPr>
      </w:r>
    </w:p>
    <w:tbl>
      <w:tblPr>
        <w:tblW w:w="0" w:type="auto"/>
        <w:jc w:val="center"/>
        <w:tblLook w:val="01E0" w:firstRow="1" w:lastRow="1" w:firstColumn="1" w:lastColumn="1" w:noHBand="0" w:noVBand="0"/>
      </w:tblPr>
      <w:tblGrid>
        <w:gridCol w:w="3860"/>
        <w:gridCol w:w="826"/>
        <w:gridCol w:w="5061"/>
      </w:tblGrid>
      <w:tr>
        <w:tblPrEx/>
        <w:trPr>
          <w:jc w:val="center"/>
        </w:trPr>
        <w:tc>
          <w:tcPr>
            <w:tcBorders>
              <w:top w:val="single" w:color="auto" w:sz="4" w:space="0"/>
            </w:tcBorders>
            <w:tcW w:w="3860" w:type="dxa"/>
            <w:textDirection w:val="lrTb"/>
            <w:noWrap w:val="false"/>
          </w:tcPr>
          <w:p>
            <w:pPr>
              <w:jc w:val="center"/>
              <w:rPr>
                <w:i/>
                <w:sz w:val="20"/>
                <w:szCs w:val="20"/>
              </w:rPr>
            </w:pPr>
            <w:r>
              <w:rPr>
                <w:i/>
                <w:sz w:val="20"/>
                <w:szCs w:val="20"/>
              </w:rPr>
              <w:t xml:space="preserve">(подпись уполномоченного представителя)</w:t>
            </w:r>
            <w:r>
              <w:rPr>
                <w:i/>
                <w:sz w:val="20"/>
                <w:szCs w:val="20"/>
              </w:rPr>
            </w:r>
            <w:r>
              <w:rPr>
                <w:i/>
                <w:sz w:val="20"/>
                <w:szCs w:val="20"/>
              </w:rPr>
            </w:r>
          </w:p>
        </w:tc>
        <w:tc>
          <w:tcPr>
            <w:tcW w:w="826" w:type="dxa"/>
            <w:textDirection w:val="lrTb"/>
            <w:noWrap w:val="false"/>
          </w:tcPr>
          <w:p>
            <w:pPr>
              <w:rPr>
                <w:i/>
                <w:sz w:val="20"/>
                <w:szCs w:val="20"/>
              </w:rPr>
            </w:pPr>
            <w:r>
              <w:rPr>
                <w:i/>
                <w:sz w:val="20"/>
                <w:szCs w:val="20"/>
              </w:rPr>
            </w:r>
            <w:r>
              <w:rPr>
                <w:i/>
                <w:sz w:val="20"/>
                <w:szCs w:val="20"/>
              </w:rPr>
            </w:r>
            <w:r>
              <w:rPr>
                <w:i/>
                <w:sz w:val="20"/>
                <w:szCs w:val="20"/>
              </w:rPr>
            </w:r>
          </w:p>
        </w:tc>
        <w:tc>
          <w:tcPr>
            <w:tcBorders>
              <w:top w:val="single" w:color="auto" w:sz="4" w:space="0"/>
            </w:tcBorders>
            <w:tcW w:w="5061" w:type="dxa"/>
            <w:textDirection w:val="lrTb"/>
            <w:noWrap w:val="false"/>
          </w:tcPr>
          <w:p>
            <w:pPr>
              <w:rPr>
                <w:i/>
                <w:sz w:val="20"/>
                <w:szCs w:val="20"/>
              </w:rPr>
            </w:pPr>
            <w:r>
              <w:rPr>
                <w:i/>
                <w:sz w:val="20"/>
                <w:szCs w:val="20"/>
              </w:rPr>
              <w:t xml:space="preserve">(фамилия, имя, отчество подписавшего, должность)</w:t>
            </w:r>
            <w:r>
              <w:rPr>
                <w:i/>
                <w:sz w:val="20"/>
                <w:szCs w:val="20"/>
              </w:rPr>
            </w:r>
            <w:r>
              <w:rPr>
                <w:i/>
                <w:sz w:val="20"/>
                <w:szCs w:val="20"/>
              </w:rPr>
            </w:r>
          </w:p>
        </w:tc>
      </w:tr>
    </w:tbl>
    <w:p>
      <w:pPr>
        <w:rPr>
          <w:b/>
          <w:i/>
          <w:sz w:val="22"/>
          <w:szCs w:val="22"/>
        </w:rPr>
      </w:pPr>
      <w:r>
        <w:rPr>
          <w:b/>
          <w:i/>
          <w:sz w:val="22"/>
          <w:szCs w:val="22"/>
        </w:rPr>
        <w:t xml:space="preserve">М.П.</w:t>
      </w:r>
      <w:r>
        <w:rPr>
          <w:b/>
          <w:i/>
          <w:sz w:val="22"/>
          <w:szCs w:val="22"/>
        </w:rPr>
      </w:r>
      <w:r>
        <w:rPr>
          <w:b/>
          <w:i/>
          <w:sz w:val="22"/>
          <w:szCs w:val="22"/>
        </w:rPr>
      </w:r>
    </w:p>
    <w:p>
      <w:pPr>
        <w:ind w:firstLine="567"/>
        <w:spacing w:after="0"/>
        <w:rPr>
          <w:vertAlign w:val="superscript"/>
        </w:rPr>
      </w:pPr>
      <w:r>
        <w:rPr>
          <w:vertAlign w:val="superscript"/>
        </w:rPr>
        <w:br w:type="page" w:clear="all"/>
      </w:r>
      <w:r>
        <w:rPr>
          <w:vertAlign w:val="superscript"/>
        </w:rPr>
      </w:r>
      <w:r>
        <w:rPr>
          <w:vertAlign w:val="superscript"/>
        </w:rPr>
      </w:r>
    </w:p>
    <w:p>
      <w:pPr>
        <w:pStyle w:val="1014"/>
        <w:rPr>
          <w:sz w:val="24"/>
          <w:szCs w:val="24"/>
        </w:rPr>
      </w:pPr>
      <w:r/>
      <w:bookmarkStart w:id="137" w:name="_Toc94"/>
      <w:r>
        <w:rPr>
          <w:sz w:val="24"/>
          <w:szCs w:val="24"/>
        </w:rPr>
        <w:t xml:space="preserve">ФОРМА 2. ПИСЬМО О ПОДАЧЕ ОФЕРТЫ</w:t>
      </w:r>
      <w:bookmarkEnd w:id="137"/>
      <w:r>
        <w:rPr>
          <w:sz w:val="24"/>
          <w:szCs w:val="24"/>
        </w:rPr>
      </w:r>
      <w:r>
        <w:rPr>
          <w:sz w:val="24"/>
          <w:szCs w:val="24"/>
        </w:rPr>
      </w:r>
    </w:p>
    <w:p>
      <w:pPr>
        <w:jc w:val="center"/>
      </w:pPr>
      <w:r/>
      <w:r/>
    </w:p>
    <w:tbl>
      <w:tblPr>
        <w:tblW w:w="51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737"/>
        <w:gridCol w:w="5610"/>
      </w:tblGrid>
      <w:tr>
        <w:tblPrEx/>
        <w:trPr>
          <w:jc w:val="center"/>
          <w:trHeight w:val="729"/>
        </w:trPr>
        <w:tc>
          <w:tcPr>
            <w:tcW w:w="2289" w:type="pct"/>
            <w:textDirection w:val="lrTb"/>
            <w:noWrap w:val="false"/>
          </w:tcPr>
          <w:p>
            <w:pPr>
              <w:spacing w:after="0"/>
              <w:rPr>
                <w:b/>
                <w:i/>
              </w:rPr>
            </w:pPr>
            <w:r>
              <w:rPr>
                <w:b/>
                <w:i/>
                <w:color w:val="ff0000"/>
              </w:rPr>
              <w:t xml:space="preserve">Фирменный бланк Участника закупки</w:t>
            </w:r>
            <w:r>
              <w:rPr>
                <w:b/>
                <w:i/>
              </w:rPr>
            </w:r>
            <w:r>
              <w:rPr>
                <w:b/>
                <w:i/>
              </w:rPr>
            </w:r>
          </w:p>
          <w:p>
            <w:pPr>
              <w:spacing w:after="0"/>
            </w:pPr>
            <w:r>
              <w:t xml:space="preserve">«____»__________года № _____</w:t>
            </w:r>
            <w:r/>
          </w:p>
        </w:tc>
        <w:tc>
          <w:tcPr>
            <w:tcW w:w="2711" w:type="pct"/>
            <w:textDirection w:val="lrTb"/>
            <w:noWrap w:val="false"/>
          </w:tcPr>
          <w:p>
            <w:pPr>
              <w:jc w:val="right"/>
              <w:spacing w:after="0"/>
              <w:rPr>
                <w:b/>
                <w:bCs/>
                <w:i/>
              </w:rPr>
            </w:pPr>
            <w:r>
              <w:rPr>
                <w:b/>
                <w:i/>
              </w:rPr>
              <w:t xml:space="preserve">Председателю Постоянно </w:t>
            </w:r>
            <w:r>
              <w:rPr>
                <w:b/>
                <w:bCs/>
                <w:i/>
              </w:rPr>
            </w:r>
            <w:r>
              <w:rPr>
                <w:b/>
                <w:bCs/>
                <w:i/>
              </w:rPr>
            </w:r>
          </w:p>
          <w:p>
            <w:pPr>
              <w:jc w:val="right"/>
              <w:spacing w:after="0"/>
              <w:rPr>
                <w:b/>
                <w:bCs/>
                <w:i/>
              </w:rPr>
            </w:pPr>
            <w:r>
              <w:rPr>
                <w:b/>
                <w:i/>
              </w:rPr>
              <w:t xml:space="preserve">действующей закупочной комиссии </w:t>
            </w:r>
            <w:r>
              <w:rPr>
                <w:b/>
                <w:bCs/>
                <w:i/>
              </w:rPr>
            </w:r>
            <w:r>
              <w:rPr>
                <w:b/>
                <w:bCs/>
                <w:i/>
              </w:rPr>
            </w:r>
          </w:p>
          <w:p>
            <w:pPr>
              <w:jc w:val="right"/>
              <w:spacing w:after="0"/>
              <w:rPr>
                <w:b/>
                <w:i/>
              </w:rPr>
            </w:pPr>
            <w:r>
              <w:rPr>
                <w:b/>
                <w:i/>
              </w:rPr>
              <w:t xml:space="preserve">Филиала ПАО «Россети Юг» - «Кубаньэнерго»</w:t>
            </w:r>
            <w:r>
              <w:rPr>
                <w:b/>
                <w:i/>
              </w:rPr>
            </w:r>
            <w:r>
              <w:rPr>
                <w:b/>
                <w:i/>
              </w:rPr>
            </w:r>
          </w:p>
          <w:p>
            <w:pPr>
              <w:jc w:val="right"/>
              <w:spacing w:after="0"/>
              <w:rPr>
                <w:b/>
                <w:i/>
              </w:rPr>
            </w:pPr>
            <w:r>
              <w:rPr>
                <w:b/>
                <w:i/>
              </w:rPr>
              <w:t xml:space="preserve">В.А. Коржаневскому</w:t>
            </w:r>
            <w:r>
              <w:rPr>
                <w:b/>
                <w:i/>
              </w:rPr>
            </w:r>
            <w:r>
              <w:rPr>
                <w:b/>
                <w:i/>
              </w:rPr>
            </w:r>
          </w:p>
        </w:tc>
      </w:tr>
    </w:tbl>
    <w:p>
      <w:pPr>
        <w:spacing w:after="0"/>
      </w:pPr>
      <w:r/>
      <w:r/>
    </w:p>
    <w:p>
      <w:pPr>
        <w:spacing w:after="0"/>
      </w:pPr>
      <w:r/>
      <w:r/>
    </w:p>
    <w:p>
      <w:pPr>
        <w:ind w:firstLine="567"/>
        <w:spacing w:after="0"/>
      </w:pPr>
      <w:r>
        <w:t xml:space="preserve">Изучив Извещение о [ук</w:t>
      </w:r>
      <w:r>
        <w:t xml:space="preserve">азывается способ и вид проведения закупки] на право заключения Договора _____________________________ [указывается предмет закупки], опубликованное на официальном сайте и документацию о закупке, и принимая установленные в них требования и условия закупки, </w:t>
      </w:r>
      <w:r/>
    </w:p>
    <w:p>
      <w:pPr>
        <w:ind w:firstLine="567"/>
        <w:spacing w:after="0"/>
      </w:pPr>
      <w:r/>
      <w:r/>
    </w:p>
    <w:p>
      <w:pPr>
        <w:ind w:firstLine="567"/>
        <w:jc w:val="center"/>
        <w:spacing w:after="0"/>
        <w:rPr>
          <w:i/>
          <w:sz w:val="20"/>
          <w:szCs w:val="20"/>
        </w:rPr>
      </w:pPr>
      <w:r>
        <w:rPr>
          <w:sz w:val="22"/>
          <w:szCs w:val="22"/>
        </w:rPr>
        <w:t xml:space="preserve">________________________________________________________________________________ </w:t>
      </w:r>
      <w:r>
        <w:rPr>
          <w:i/>
          <w:sz w:val="20"/>
          <w:szCs w:val="20"/>
        </w:rPr>
        <w:t xml:space="preserve">(полное наименование Участника закупки с указанием организационно-правовой формы),</w:t>
      </w:r>
      <w:r>
        <w:rPr>
          <w:i/>
          <w:sz w:val="20"/>
          <w:szCs w:val="20"/>
        </w:rPr>
      </w:r>
      <w:r>
        <w:rPr>
          <w:i/>
          <w:sz w:val="20"/>
          <w:szCs w:val="20"/>
        </w:rPr>
      </w:r>
    </w:p>
    <w:p>
      <w:pPr>
        <w:ind w:firstLine="567"/>
        <w:jc w:val="center"/>
        <w:spacing w:after="0"/>
        <w:rPr>
          <w:i/>
          <w:sz w:val="20"/>
          <w:szCs w:val="20"/>
        </w:rPr>
      </w:pPr>
      <w:r>
        <w:rPr>
          <w:i/>
          <w:sz w:val="20"/>
          <w:szCs w:val="20"/>
        </w:rPr>
        <w:t xml:space="preserve">зарегистрированное по адресу</w:t>
      </w:r>
      <w:r>
        <w:rPr>
          <w:i/>
          <w:sz w:val="20"/>
          <w:szCs w:val="20"/>
        </w:rPr>
      </w:r>
      <w:r>
        <w:rPr>
          <w:i/>
          <w:sz w:val="20"/>
          <w:szCs w:val="20"/>
        </w:rPr>
      </w:r>
    </w:p>
    <w:p>
      <w:pPr>
        <w:ind w:firstLine="567"/>
        <w:spacing w:after="0"/>
        <w:rPr>
          <w:sz w:val="22"/>
          <w:szCs w:val="22"/>
        </w:rPr>
      </w:pPr>
      <w:r>
        <w:rPr>
          <w:sz w:val="22"/>
          <w:szCs w:val="22"/>
        </w:rPr>
        <w:t xml:space="preserve">________________________________________________________________________,</w:t>
      </w:r>
      <w:r>
        <w:rPr>
          <w:sz w:val="22"/>
          <w:szCs w:val="22"/>
        </w:rPr>
      </w:r>
      <w:r>
        <w:rPr>
          <w:sz w:val="22"/>
          <w:szCs w:val="22"/>
        </w:rPr>
      </w:r>
    </w:p>
    <w:p>
      <w:pPr>
        <w:ind w:firstLine="567"/>
        <w:jc w:val="center"/>
        <w:spacing w:after="0"/>
        <w:rPr>
          <w:i/>
          <w:sz w:val="20"/>
          <w:szCs w:val="20"/>
        </w:rPr>
      </w:pPr>
      <w:r>
        <w:rPr>
          <w:i/>
          <w:sz w:val="20"/>
          <w:szCs w:val="20"/>
        </w:rPr>
        <w:t xml:space="preserve">(место нахождения Участника закупки)</w:t>
      </w:r>
      <w:r>
        <w:rPr>
          <w:i/>
          <w:sz w:val="20"/>
          <w:szCs w:val="20"/>
        </w:rPr>
      </w:r>
      <w:r>
        <w:rPr>
          <w:i/>
          <w:sz w:val="20"/>
          <w:szCs w:val="20"/>
        </w:rPr>
      </w:r>
    </w:p>
    <w:p>
      <w:pPr>
        <w:ind w:firstLine="567"/>
        <w:spacing w:after="0"/>
        <w:rPr>
          <w:sz w:val="22"/>
          <w:szCs w:val="22"/>
        </w:rPr>
      </w:pPr>
      <w:r>
        <w:rPr>
          <w:sz w:val="22"/>
          <w:szCs w:val="22"/>
        </w:rPr>
      </w:r>
      <w:r>
        <w:rPr>
          <w:sz w:val="22"/>
          <w:szCs w:val="22"/>
        </w:rPr>
      </w:r>
      <w:r>
        <w:rPr>
          <w:sz w:val="22"/>
          <w:szCs w:val="22"/>
        </w:rPr>
      </w:r>
    </w:p>
    <w:p>
      <w:pPr>
        <w:ind w:firstLine="567"/>
        <w:spacing w:after="0"/>
      </w:pPr>
      <w:r>
        <w:t xml:space="preserve">предлагает заключить Договор на:</w:t>
      </w:r>
      <w:r/>
    </w:p>
    <w:p>
      <w:pPr>
        <w:ind w:firstLine="567"/>
        <w:spacing w:after="0"/>
        <w:rPr>
          <w:sz w:val="22"/>
          <w:szCs w:val="22"/>
        </w:rPr>
      </w:pPr>
      <w:r>
        <w:rPr>
          <w:sz w:val="22"/>
          <w:szCs w:val="22"/>
        </w:rPr>
        <w:t xml:space="preserve">__________________________________________________________________________________</w:t>
      </w:r>
      <w:r>
        <w:rPr>
          <w:sz w:val="22"/>
          <w:szCs w:val="22"/>
        </w:rPr>
      </w:r>
      <w:r>
        <w:rPr>
          <w:sz w:val="22"/>
          <w:szCs w:val="22"/>
        </w:rPr>
      </w:r>
    </w:p>
    <w:p>
      <w:pPr>
        <w:ind w:firstLine="567"/>
        <w:jc w:val="center"/>
        <w:spacing w:after="0"/>
        <w:rPr>
          <w:i/>
          <w:sz w:val="20"/>
          <w:szCs w:val="20"/>
        </w:rPr>
      </w:pPr>
      <w:r>
        <w:rPr>
          <w:i/>
          <w:sz w:val="20"/>
          <w:szCs w:val="20"/>
        </w:rPr>
        <w:t xml:space="preserve">(наименование закупки, предмет закупки)</w:t>
      </w:r>
      <w:r>
        <w:rPr>
          <w:i/>
          <w:sz w:val="20"/>
          <w:szCs w:val="20"/>
        </w:rPr>
      </w:r>
      <w:r>
        <w:rPr>
          <w:i/>
          <w:sz w:val="20"/>
          <w:szCs w:val="20"/>
        </w:rPr>
      </w:r>
    </w:p>
    <w:p>
      <w:pPr>
        <w:ind w:firstLine="567"/>
        <w:spacing w:after="0"/>
        <w:rPr>
          <w:sz w:val="22"/>
          <w:szCs w:val="22"/>
        </w:rPr>
      </w:pPr>
      <w:r>
        <w:rPr>
          <w:sz w:val="22"/>
          <w:szCs w:val="22"/>
        </w:rPr>
      </w:r>
      <w:r>
        <w:rPr>
          <w:sz w:val="22"/>
          <w:szCs w:val="22"/>
        </w:rPr>
      </w:r>
      <w:r>
        <w:rPr>
          <w:sz w:val="22"/>
          <w:szCs w:val="22"/>
        </w:rPr>
      </w:r>
    </w:p>
    <w:p>
      <w:pPr>
        <w:ind w:firstLine="567"/>
        <w:spacing w:after="0"/>
      </w:pPr>
      <w:r>
        <w:t xml:space="preserve">на условиях и в соответствии с Техническим предложением и другими документами, являющимися неотъемлемыми приложениями к настоящему письму и составляющими вместе с настоящим письмом заявку.</w:t>
      </w:r>
      <w:r/>
    </w:p>
    <w:p>
      <w:pPr>
        <w:ind w:firstLine="567"/>
        <w:spacing w:after="0"/>
        <w:rPr>
          <w:sz w:val="22"/>
          <w:szCs w:val="22"/>
        </w:rPr>
      </w:pPr>
      <w:r>
        <w:rPr>
          <w:sz w:val="22"/>
          <w:szCs w:val="22"/>
        </w:rPr>
      </w:r>
      <w:r>
        <w:rPr>
          <w:sz w:val="22"/>
          <w:szCs w:val="22"/>
        </w:rPr>
      </w:r>
      <w:r>
        <w:rPr>
          <w:sz w:val="22"/>
          <w:szCs w:val="22"/>
        </w:rPr>
      </w:r>
    </w:p>
    <w:p>
      <w:pPr>
        <w:ind w:firstLine="567"/>
        <w:spacing w:after="0"/>
      </w:pPr>
      <w:r>
        <w:t xml:space="preserve">Настоящая заявка имеет правовой статус оферты и действует до «___» ___________ года.</w:t>
      </w:r>
      <w:r/>
    </w:p>
    <w:p>
      <w:pPr>
        <w:ind w:firstLine="567"/>
        <w:spacing w:after="0"/>
      </w:pPr>
      <w:r/>
      <w:r/>
    </w:p>
    <w:p>
      <w:pPr>
        <w:ind w:firstLine="567"/>
        <w:spacing w:after="0"/>
      </w:pPr>
      <w:r>
        <w:t xml:space="preserve">Данная заявка подается с пониманием того, что:</w:t>
      </w:r>
      <w:r/>
    </w:p>
    <w:p>
      <w:pPr>
        <w:ind w:firstLine="567"/>
        <w:spacing w:after="0"/>
      </w:pPr>
      <w:r>
        <w:t xml:space="preserve">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r/>
    </w:p>
    <w:p>
      <w:pPr>
        <w:ind w:firstLine="567"/>
        <w:spacing w:after="0"/>
      </w:pPr>
      <w:r>
        <w:t xml:space="preserve">вы оставляете за собой право:</w:t>
      </w:r>
      <w:r/>
    </w:p>
    <w:p>
      <w:pPr>
        <w:ind w:firstLine="567"/>
        <w:spacing w:after="0"/>
      </w:pPr>
      <w:r>
        <w:t xml:space="preserve">1) отклонить заявки с ценами, превышающими начальную (максимальную) цену договора/стоимость единичных расценок;</w:t>
      </w:r>
      <w:r/>
    </w:p>
    <w:p>
      <w:pPr>
        <w:ind w:firstLine="567"/>
        <w:spacing w:after="0"/>
      </w:pPr>
      <w:r>
        <w:t xml:space="preserve">2) принять или отклонить любую заявку в соответствии с условиями документации о закупке;</w:t>
      </w:r>
      <w:r/>
    </w:p>
    <w:p>
      <w:pPr>
        <w:ind w:firstLine="567"/>
        <w:spacing w:after="0"/>
      </w:pPr>
      <w:r>
        <w:t xml:space="preserve">3) отклонить все заявки.</w:t>
      </w:r>
      <w:r/>
    </w:p>
    <w:p>
      <w:pPr>
        <w:ind w:firstLine="567"/>
        <w:spacing w:after="0"/>
      </w:pPr>
      <w:r>
        <w:t xml:space="preserve">______________ </w:t>
      </w:r>
      <w:r>
        <w:rPr>
          <w:i/>
          <w:sz w:val="22"/>
          <w:szCs w:val="22"/>
        </w:rPr>
        <w:t xml:space="preserve">(Наименование Участника)</w:t>
      </w:r>
      <w:r>
        <w:t xml:space="preserve"> при подаче настоящей оферты принимает на себя следующие обязательства, связанные с подачей заявки на участие в закупке: </w:t>
      </w:r>
      <w:r/>
    </w:p>
    <w:p>
      <w:pPr>
        <w:ind w:firstLine="567"/>
        <w:spacing w:after="0"/>
      </w:pPr>
      <w:r>
        <w:t xml:space="preserve">1) не изменять (не вносить изменения) и/или не отзывать свою заявку в течение срока его действия после истечения срока окончания подачи заявки;</w:t>
      </w:r>
      <w:r/>
    </w:p>
    <w:p>
      <w:pPr>
        <w:ind w:firstLine="567"/>
        <w:spacing w:after="0"/>
      </w:pPr>
      <w:r>
        <w:t xml:space="preserve">2) предоставлять достоверные и неискаженные документы, сведения и/или информацию, приведенные в составе заявки; </w:t>
      </w:r>
      <w:r/>
    </w:p>
    <w:p>
      <w:pPr>
        <w:ind w:firstLine="567"/>
        <w:spacing w:after="0"/>
      </w:pPr>
      <w:r>
        <w:t xml:space="preserve">3) заключить договор в установленном в документации о закупке порядке, в случае признания ____________________ </w:t>
      </w:r>
      <w:r>
        <w:rPr>
          <w:i/>
          <w:sz w:val="22"/>
          <w:szCs w:val="22"/>
        </w:rPr>
        <w:t xml:space="preserve">(Наименование Участника)</w:t>
      </w:r>
      <w:r>
        <w:t xml:space="preserve"> Победителем/участником, предложившим наилучшую заявку, либо единственным Участником, соответствующим требованиям документации о закупке;</w:t>
      </w:r>
      <w:r/>
    </w:p>
    <w:p>
      <w:pPr>
        <w:ind w:firstLine="567"/>
        <w:spacing w:after="0"/>
      </w:pPr>
      <w:r/>
      <w:r/>
    </w:p>
    <w:p>
      <w:pPr>
        <w:ind w:firstLine="567"/>
        <w:spacing w:after="0"/>
      </w:pPr>
      <w:r>
        <w:t xml:space="preserve">Я, нижеподписавшийся, настоящим удостоверяю, что на момент подписания настоящей заявки ______________ </w:t>
      </w:r>
      <w:r>
        <w:rPr>
          <w:i/>
          <w:sz w:val="22"/>
          <w:szCs w:val="22"/>
        </w:rPr>
        <w:t xml:space="preserve">(Наименование Участника)</w:t>
      </w:r>
      <w:r>
        <w:t xml:space="preserve"> полностью удовлетворяет требованиям к Участникам закупки и в частности:</w:t>
      </w:r>
      <w:r/>
    </w:p>
    <w:p>
      <w:pPr>
        <w:ind w:firstLine="567"/>
        <w:spacing w:after="0"/>
      </w:pPr>
      <w:r>
        <w:t xml:space="preserve">- является полностью правоспособным;</w:t>
      </w:r>
      <w:r/>
    </w:p>
    <w:p>
      <w:pPr>
        <w:ind w:firstLine="567"/>
        <w:spacing w:after="0"/>
      </w:pPr>
      <w:r>
        <w:t xml:space="preserve">- является полностью дееспособным [</w:t>
      </w:r>
      <w:r>
        <w:rPr>
          <w:b/>
          <w:i/>
        </w:rPr>
        <w:t xml:space="preserve">заполняется физическим лицом, подающим заявку на участие в закупочной процедуре. При подготовке заявки юридическим лицом - данная формулировка подлежит удалению</w:t>
      </w:r>
      <w:r>
        <w:t xml:space="preserve">];</w:t>
      </w:r>
      <w:r/>
    </w:p>
    <w:p>
      <w:pPr>
        <w:ind w:firstLine="567"/>
        <w:spacing w:after="0"/>
      </w:pPr>
      <w:r>
        <w:t xml:space="preserve">- 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r/>
    </w:p>
    <w:p>
      <w:pPr>
        <w:ind w:firstLine="567"/>
        <w:spacing w:after="0"/>
      </w:pPr>
      <w:r>
        <w:t xml:space="preserve">- 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r/>
    </w:p>
    <w:p>
      <w:pPr>
        <w:ind w:firstLine="567"/>
        <w:spacing w:after="0"/>
      </w:pPr>
      <w:r>
        <w:t xml:space="preserve">- не находится в процессе ликвидации, не имеет вступившего в силу решения арбитражного суда о признании ________________________ </w:t>
      </w:r>
      <w:r>
        <w:rPr>
          <w:sz w:val="22"/>
          <w:szCs w:val="22"/>
        </w:rPr>
        <w:t xml:space="preserve">(</w:t>
      </w:r>
      <w:r>
        <w:rPr>
          <w:i/>
          <w:sz w:val="22"/>
          <w:szCs w:val="22"/>
        </w:rPr>
        <w:t xml:space="preserve">Наименование Участника</w:t>
      </w:r>
      <w:r>
        <w:rPr>
          <w:sz w:val="22"/>
          <w:szCs w:val="22"/>
        </w:rPr>
        <w:t xml:space="preserve">)</w:t>
      </w:r>
      <w:r>
        <w:t xml:space="preserve"> банкротом и об открытии конкурсного производства, на имущество ________________________ </w:t>
      </w:r>
      <w:r>
        <w:rPr>
          <w:sz w:val="22"/>
          <w:szCs w:val="22"/>
        </w:rPr>
        <w:t xml:space="preserve">(</w:t>
      </w:r>
      <w:r>
        <w:rPr>
          <w:i/>
          <w:sz w:val="22"/>
          <w:szCs w:val="22"/>
        </w:rPr>
        <w:t xml:space="preserve">Наименование Участника</w:t>
      </w:r>
      <w:r>
        <w:rPr>
          <w:sz w:val="22"/>
          <w:szCs w:val="22"/>
        </w:rPr>
        <w:t xml:space="preserve">),</w:t>
      </w:r>
      <w:r>
        <w:t xml:space="preserve"> в части существенной для исполнения договора, не наложен арест, экономическая деятельность ________________________ </w:t>
      </w:r>
      <w:r>
        <w:rPr>
          <w:sz w:val="22"/>
          <w:szCs w:val="22"/>
        </w:rPr>
        <w:t xml:space="preserve">(</w:t>
      </w:r>
      <w:r>
        <w:rPr>
          <w:i/>
          <w:sz w:val="22"/>
          <w:szCs w:val="22"/>
        </w:rPr>
        <w:t xml:space="preserve">Наименование Участника</w:t>
      </w:r>
      <w:r>
        <w:rPr>
          <w:sz w:val="22"/>
          <w:szCs w:val="22"/>
        </w:rPr>
        <w:t xml:space="preserve">)</w:t>
      </w:r>
      <w:r>
        <w:t xml:space="preserve"> не приостановлена.</w:t>
      </w:r>
      <w:r/>
    </w:p>
    <w:tbl>
      <w:tblPr>
        <w:tblW w:w="0" w:type="auto"/>
        <w:tblInd w:w="108" w:type="dxa"/>
        <w:tblLook w:val="01E0" w:firstRow="1" w:lastRow="1" w:firstColumn="1" w:lastColumn="1" w:noHBand="0" w:noVBand="0"/>
      </w:tblPr>
      <w:tblGrid>
        <w:gridCol w:w="3860"/>
        <w:gridCol w:w="826"/>
        <w:gridCol w:w="5061"/>
      </w:tblGrid>
      <w:tr>
        <w:tblPrEx/>
        <w:trPr/>
        <w:tc>
          <w:tcPr>
            <w:tcBorders>
              <w:bottom w:val="single" w:color="auto" w:sz="4" w:space="0"/>
            </w:tcBorders>
            <w:tcW w:w="3860" w:type="dxa"/>
            <w:textDirection w:val="lrTb"/>
            <w:noWrap w:val="false"/>
          </w:tcPr>
          <w:p>
            <w:pPr>
              <w:spacing w:after="0"/>
            </w:pPr>
            <w:r/>
            <w:r/>
          </w:p>
          <w:p>
            <w:pPr>
              <w:spacing w:after="0"/>
            </w:pPr>
            <w:r/>
            <w:r/>
          </w:p>
          <w:p>
            <w:pPr>
              <w:spacing w:after="0"/>
            </w:pPr>
            <w:r/>
            <w:r/>
          </w:p>
        </w:tc>
        <w:tc>
          <w:tcPr>
            <w:tcW w:w="826" w:type="dxa"/>
            <w:textDirection w:val="lrTb"/>
            <w:noWrap w:val="false"/>
          </w:tcPr>
          <w:p>
            <w:pPr>
              <w:spacing w:after="0"/>
            </w:pPr>
            <w:r/>
            <w:r/>
          </w:p>
        </w:tc>
        <w:tc>
          <w:tcPr>
            <w:tcBorders>
              <w:bottom w:val="single" w:color="auto" w:sz="4" w:space="0"/>
            </w:tcBorders>
            <w:tcW w:w="5061" w:type="dxa"/>
            <w:textDirection w:val="lrTb"/>
            <w:noWrap w:val="false"/>
          </w:tcPr>
          <w:p>
            <w:pPr>
              <w:spacing w:after="0"/>
            </w:pPr>
            <w:r/>
            <w:r/>
          </w:p>
        </w:tc>
      </w:tr>
      <w:tr>
        <w:tblPrEx/>
        <w:trPr/>
        <w:tc>
          <w:tcPr>
            <w:tcBorders>
              <w:top w:val="single" w:color="auto" w:sz="4" w:space="0"/>
            </w:tcBorders>
            <w:tcW w:w="3860" w:type="dxa"/>
            <w:textDirection w:val="lrTb"/>
            <w:noWrap w:val="false"/>
          </w:tcPr>
          <w:p>
            <w:pPr>
              <w:jc w:val="center"/>
              <w:spacing w:after="0"/>
              <w:rPr>
                <w:i/>
                <w:sz w:val="20"/>
                <w:szCs w:val="20"/>
              </w:rPr>
            </w:pPr>
            <w:r>
              <w:rPr>
                <w:i/>
                <w:sz w:val="20"/>
                <w:szCs w:val="20"/>
              </w:rPr>
              <w:t xml:space="preserve">(подпись уполномоченного представителя)</w:t>
            </w:r>
            <w:r>
              <w:rPr>
                <w:i/>
                <w:sz w:val="20"/>
                <w:szCs w:val="20"/>
              </w:rPr>
            </w:r>
            <w:r>
              <w:rPr>
                <w:i/>
                <w:sz w:val="20"/>
                <w:szCs w:val="20"/>
              </w:rPr>
            </w:r>
          </w:p>
        </w:tc>
        <w:tc>
          <w:tcPr>
            <w:tcW w:w="826" w:type="dxa"/>
            <w:textDirection w:val="lrTb"/>
            <w:noWrap w:val="false"/>
          </w:tcPr>
          <w:p>
            <w:pPr>
              <w:jc w:val="center"/>
              <w:spacing w:after="0"/>
              <w:rPr>
                <w:i/>
                <w:sz w:val="20"/>
                <w:szCs w:val="20"/>
              </w:rPr>
            </w:pPr>
            <w:r>
              <w:rPr>
                <w:i/>
                <w:sz w:val="20"/>
                <w:szCs w:val="20"/>
              </w:rPr>
            </w:r>
            <w:r>
              <w:rPr>
                <w:i/>
                <w:sz w:val="20"/>
                <w:szCs w:val="20"/>
              </w:rPr>
            </w:r>
            <w:r>
              <w:rPr>
                <w:i/>
                <w:sz w:val="20"/>
                <w:szCs w:val="20"/>
              </w:rPr>
            </w:r>
          </w:p>
        </w:tc>
        <w:tc>
          <w:tcPr>
            <w:tcBorders>
              <w:top w:val="single" w:color="auto" w:sz="4" w:space="0"/>
            </w:tcBorders>
            <w:tcW w:w="5061" w:type="dxa"/>
            <w:textDirection w:val="lrTb"/>
            <w:noWrap w:val="false"/>
          </w:tcPr>
          <w:p>
            <w:pPr>
              <w:jc w:val="center"/>
              <w:spacing w:after="0"/>
              <w:rPr>
                <w:i/>
                <w:sz w:val="20"/>
                <w:szCs w:val="20"/>
              </w:rPr>
            </w:pPr>
            <w:r>
              <w:rPr>
                <w:i/>
                <w:sz w:val="20"/>
                <w:szCs w:val="20"/>
              </w:rPr>
              <w:t xml:space="preserve">(фамилия, имя, отчество подписавшего, должность)</w:t>
            </w:r>
            <w:r>
              <w:rPr>
                <w:i/>
                <w:sz w:val="20"/>
                <w:szCs w:val="20"/>
              </w:rPr>
            </w:r>
            <w:r>
              <w:rPr>
                <w:i/>
                <w:sz w:val="20"/>
                <w:szCs w:val="20"/>
              </w:rPr>
            </w:r>
          </w:p>
        </w:tc>
      </w:tr>
    </w:tbl>
    <w:p>
      <w:pPr>
        <w:spacing w:after="0"/>
        <w:rPr>
          <w:b/>
          <w:i/>
          <w:sz w:val="22"/>
          <w:szCs w:val="22"/>
        </w:rPr>
      </w:pPr>
      <w:r>
        <w:rPr>
          <w:b/>
          <w:i/>
          <w:sz w:val="22"/>
          <w:szCs w:val="22"/>
        </w:rPr>
        <w:t xml:space="preserve">М.П.</w:t>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r>
      <w:r>
        <w:rPr>
          <w:b/>
          <w:i/>
          <w:sz w:val="22"/>
          <w:szCs w:val="22"/>
        </w:rPr>
      </w:r>
      <w:r>
        <w:rPr>
          <w:b/>
          <w:i/>
          <w:sz w:val="22"/>
          <w:szCs w:val="22"/>
        </w:rPr>
      </w:r>
    </w:p>
    <w:p>
      <w:pPr>
        <w:ind w:firstLine="567"/>
        <w:pageBreakBefore/>
        <w:spacing w:after="0"/>
        <w:rPr>
          <w:b/>
          <w:i/>
          <w:sz w:val="20"/>
          <w:szCs w:val="20"/>
        </w:rPr>
      </w:pPr>
      <w:r>
        <w:rPr>
          <w:b/>
          <w:i/>
          <w:sz w:val="20"/>
          <w:szCs w:val="20"/>
        </w:rPr>
        <w:t xml:space="preserve">Инструкции по заполнению</w:t>
      </w:r>
      <w:r>
        <w:rPr>
          <w:b/>
          <w:i/>
          <w:sz w:val="20"/>
          <w:szCs w:val="20"/>
        </w:rPr>
      </w:r>
      <w:r>
        <w:rPr>
          <w:b/>
          <w:i/>
          <w:sz w:val="20"/>
          <w:szCs w:val="20"/>
        </w:rPr>
      </w:r>
    </w:p>
    <w:p>
      <w:pPr>
        <w:ind w:firstLine="567"/>
        <w:spacing w:after="0"/>
        <w:rPr>
          <w:sz w:val="20"/>
          <w:szCs w:val="20"/>
        </w:rPr>
      </w:pPr>
      <w:r>
        <w:rPr>
          <w:sz w:val="20"/>
          <w:szCs w:val="20"/>
        </w:rPr>
        <w:t xml:space="preserve">1. Данные инструкции не следует воспроизводить в документах, подготовленных Участником.</w:t>
      </w:r>
      <w:r>
        <w:rPr>
          <w:sz w:val="20"/>
          <w:szCs w:val="20"/>
        </w:rPr>
      </w:r>
      <w:r>
        <w:rPr>
          <w:sz w:val="20"/>
          <w:szCs w:val="20"/>
        </w:rPr>
      </w:r>
    </w:p>
    <w:p>
      <w:pPr>
        <w:ind w:firstLine="567"/>
        <w:spacing w:after="0"/>
        <w:rPr>
          <w:sz w:val="20"/>
          <w:szCs w:val="20"/>
        </w:rPr>
      </w:pPr>
      <w:r>
        <w:rPr>
          <w:sz w:val="20"/>
          <w:szCs w:val="20"/>
        </w:rPr>
        <w:t xml:space="preserve">2. Письмо следует оформить на официальном бланке Участника закупки, если он является юридическим лицом. В случае если участник заку</w:t>
      </w:r>
      <w:r>
        <w:rPr>
          <w:sz w:val="20"/>
          <w:szCs w:val="20"/>
        </w:rPr>
        <w:t xml:space="preserve">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r>
        <w:rPr>
          <w:sz w:val="20"/>
          <w:szCs w:val="20"/>
        </w:rPr>
      </w:r>
      <w:r>
        <w:rPr>
          <w:sz w:val="20"/>
          <w:szCs w:val="20"/>
        </w:rPr>
      </w:r>
    </w:p>
    <w:p>
      <w:pPr>
        <w:ind w:firstLine="567"/>
        <w:spacing w:after="0"/>
        <w:rPr>
          <w:sz w:val="20"/>
          <w:szCs w:val="20"/>
        </w:rPr>
      </w:pPr>
      <w:r>
        <w:rPr>
          <w:sz w:val="20"/>
          <w:szCs w:val="20"/>
        </w:rPr>
        <w:t xml:space="preserve">3. Участник закупки, являющийся юридическим лицом, должен указать свое полное наименование (с указанием организационно-правовой ф</w:t>
      </w:r>
      <w:r>
        <w:rPr>
          <w:sz w:val="20"/>
          <w:szCs w:val="20"/>
        </w:rPr>
        <w:t xml:space="preserve">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r>
        <w:rPr>
          <w:sz w:val="20"/>
          <w:szCs w:val="20"/>
        </w:rPr>
      </w:r>
      <w:r>
        <w:rPr>
          <w:sz w:val="20"/>
          <w:szCs w:val="20"/>
        </w:rPr>
      </w:r>
    </w:p>
    <w:p>
      <w:pPr>
        <w:ind w:firstLine="567"/>
        <w:spacing w:after="0"/>
        <w:rPr>
          <w:sz w:val="20"/>
          <w:szCs w:val="20"/>
        </w:rPr>
      </w:pPr>
      <w:r>
        <w:rPr>
          <w:sz w:val="20"/>
          <w:szCs w:val="20"/>
        </w:rPr>
        <w:t xml:space="preserve">4. Участник закупки должен указать срок действия заявки согласно требованиям документации о закупке.</w:t>
      </w:r>
      <w:r>
        <w:rPr>
          <w:sz w:val="20"/>
          <w:szCs w:val="20"/>
        </w:rPr>
      </w:r>
      <w:r>
        <w:rPr>
          <w:sz w:val="20"/>
          <w:szCs w:val="20"/>
        </w:rPr>
      </w:r>
    </w:p>
    <w:p>
      <w:pPr>
        <w:ind w:firstLine="567"/>
        <w:spacing w:after="0"/>
        <w:rPr>
          <w:sz w:val="20"/>
          <w:szCs w:val="20"/>
        </w:rPr>
      </w:pPr>
      <w:r>
        <w:rPr>
          <w:sz w:val="20"/>
          <w:szCs w:val="20"/>
        </w:rPr>
        <w:t xml:space="preserve">5. Письмо должно быть подписано и скреплено печатью (при наличии) в соответствии с требованиями документации о закупке, если Участником закупки является юридическое лицо, индивидуальный предприниматель. Е</w:t>
      </w:r>
      <w:r>
        <w:rPr>
          <w:sz w:val="20"/>
          <w:szCs w:val="20"/>
        </w:rPr>
        <w:t xml:space="preserve">сли Участником закупки является физическое лицо - он подписывается собственноручно таким Участником. Такое требование по подписанию всех приложений к Письму о подаче оферты распространяется на все приложения, оформляемые и подписываемые Участником закупки.</w:t>
      </w:r>
      <w:r>
        <w:rPr>
          <w:sz w:val="20"/>
          <w:szCs w:val="20"/>
        </w:rPr>
      </w:r>
      <w:r>
        <w:rPr>
          <w:sz w:val="20"/>
          <w:szCs w:val="20"/>
        </w:rPr>
      </w:r>
    </w:p>
    <w:p>
      <w:pPr>
        <w:rPr>
          <w:sz w:val="20"/>
          <w:szCs w:val="20"/>
        </w:rPr>
      </w:pPr>
      <w:r>
        <w:rPr>
          <w:sz w:val="20"/>
          <w:szCs w:val="20"/>
        </w:rPr>
      </w:r>
      <w:r>
        <w:rPr>
          <w:sz w:val="20"/>
          <w:szCs w:val="20"/>
        </w:rPr>
      </w:r>
      <w:r>
        <w:rPr>
          <w:sz w:val="20"/>
          <w:szCs w:val="20"/>
        </w:rPr>
      </w:r>
    </w:p>
    <w:p>
      <w:r/>
      <w:r/>
    </w:p>
    <w:p>
      <w:pPr>
        <w:pStyle w:val="1014"/>
        <w:ind w:left="578" w:hanging="578"/>
        <w:pageBreakBefore/>
        <w:rPr>
          <w:sz w:val="24"/>
          <w:szCs w:val="24"/>
        </w:rPr>
      </w:pPr>
      <w:r/>
      <w:bookmarkStart w:id="138" w:name="_Toc95"/>
      <w:r>
        <w:rPr>
          <w:sz w:val="24"/>
          <w:szCs w:val="24"/>
        </w:rPr>
        <w:t xml:space="preserve">ФОРМА 2.1. АНТИКОРРУПЦИОННЫЕ ОБЯЗАТЕЛЬСТВА</w:t>
      </w:r>
      <w:bookmarkEnd w:id="138"/>
      <w:r>
        <w:rPr>
          <w:sz w:val="24"/>
          <w:szCs w:val="24"/>
        </w:rPr>
      </w:r>
      <w:r>
        <w:rPr>
          <w:sz w:val="24"/>
          <w:szCs w:val="24"/>
        </w:rPr>
      </w:r>
    </w:p>
    <w:p>
      <w:r/>
      <w:r/>
    </w:p>
    <w:p>
      <w:pPr>
        <w:jc w:val="right"/>
        <w:spacing w:after="0"/>
      </w:pPr>
      <w:r>
        <w:t xml:space="preserve">Приложение № ___ к Заявке на участие</w:t>
      </w:r>
      <w:r/>
    </w:p>
    <w:p>
      <w:pPr>
        <w:jc w:val="right"/>
        <w:spacing w:after="0"/>
      </w:pPr>
      <w:r>
        <w:t xml:space="preserve">от «____» ______________ г. № ______</w:t>
      </w:r>
      <w:r/>
    </w:p>
    <w:p>
      <w:r/>
      <w:r/>
    </w:p>
    <w:p>
      <w:pPr>
        <w:jc w:val="center"/>
        <w:rPr>
          <w:b/>
          <w:i/>
        </w:rPr>
      </w:pPr>
      <w:r>
        <w:rPr>
          <w:b/>
          <w:i/>
        </w:rPr>
        <w:t xml:space="preserve">Антикоррупционные обязательства</w:t>
      </w:r>
      <w:r>
        <w:rPr>
          <w:b/>
          <w:i/>
        </w:rPr>
      </w:r>
      <w:r>
        <w:rPr>
          <w:b/>
          <w:i/>
        </w:rPr>
      </w:r>
    </w:p>
    <w:p>
      <w:r/>
      <w:r/>
    </w:p>
    <w:p>
      <w:pPr>
        <w:ind w:firstLine="567"/>
        <w:spacing w:after="0"/>
      </w:pPr>
      <w:r>
        <w:t xml:space="preserve">Антикоррупционные обязательства р</w:t>
      </w:r>
      <w:r>
        <w:t xml:space="preserve">азработаны во исполнение требований ст. 13.3 Федерального закона от 25.12.2008 № 273-ФЗ «О противодействии коррупции», предусматривающих обязанность ПАО «Россети»/ДЗО ПАО «Россети» по разработке и принятию мер по предупреждению и противодействию коррупции.</w:t>
      </w:r>
      <w:r/>
    </w:p>
    <w:p>
      <w:pPr>
        <w:pStyle w:val="1334"/>
        <w:numPr>
          <w:ilvl w:val="1"/>
          <w:numId w:val="20"/>
        </w:numPr>
        <w:ind w:left="0" w:firstLine="567"/>
        <w:jc w:val="both"/>
        <w:tabs>
          <w:tab w:val="left" w:pos="993" w:leader="none"/>
        </w:tabs>
      </w:pPr>
      <w:r>
        <w:t xml:space="preserve">Потенциальный участник (юридическое/физическое лицо, индивидуальный предприниматель) ______, именуемый в дальнейшем «Участник», в лице______, действующего на основании ________, привлече</w:t>
      </w:r>
      <w:r>
        <w:t xml:space="preserve">нный в качестве участника ________________ (наименование закупочных процедур) для нужд ПАО «Россети»/ДЗО ПАО «Россети», именуемое в дальнейшем «Организатор», после ознакомления с закупочной документацией гарантирует и заверяет Организатора закупки, что он:</w:t>
      </w:r>
      <w:r/>
    </w:p>
    <w:p>
      <w:pPr>
        <w:pStyle w:val="1334"/>
        <w:numPr>
          <w:ilvl w:val="1"/>
          <w:numId w:val="31"/>
        </w:numPr>
        <w:ind w:left="0" w:firstLine="567"/>
        <w:jc w:val="both"/>
        <w:tabs>
          <w:tab w:val="left" w:pos="1134" w:leader="none"/>
        </w:tabs>
      </w:pPr>
      <w:r>
        <w:t xml:space="preserve">Ознакомлен с Антикоррупционной политикой ПАО «Россети» и его ДЗО, утвержденной решением Совета директоров ПАО «Россети»/ ДЗО ПАО «Россети» (протокол от 20.04.2020 № 405) (далее - Антикоррупционная политика).</w:t>
      </w:r>
      <w:r/>
    </w:p>
    <w:p>
      <w:pPr>
        <w:pStyle w:val="1334"/>
        <w:numPr>
          <w:ilvl w:val="1"/>
          <w:numId w:val="31"/>
        </w:numPr>
        <w:ind w:left="0" w:firstLine="567"/>
        <w:jc w:val="both"/>
        <w:tabs>
          <w:tab w:val="left" w:pos="1134" w:leader="none"/>
        </w:tabs>
      </w:pPr>
      <w:r>
        <w:t xml:space="preserve">Согласен с принимаемыми в ПАО «Россети»/ДЗО ПАО «Россети» мерами, направленными на предупреждение и противодействие коррупции, включая Антикоррупционную п</w:t>
      </w:r>
      <w:r>
        <w:t xml:space="preserve">олитику, и готов представить справку о цепочке собственников, содержащую полную и достоверную информацию о структуре собственников Участника, включая бенефициаров, в том числе, конечных (то есть, до данных о физических лицах), а также информацию об исполни</w:t>
      </w:r>
      <w:r>
        <w:t xml:space="preserve">тельных органах с приложением подтверждающих документов. В их числе: выписка из реестра акционеров (список лиц, зарегистрированных в реестре владельцев ценных бумаг), заверенная подписью уполномоченного лица и печатью (срок действия выписки не должен превы</w:t>
      </w:r>
      <w:r>
        <w:t xml:space="preserve">шать 60 дней), копия решения о назначении руководителя, заверенная подписью уполномоченного лица и печатью. Надлежащим образом заверенный перевод на русский язык документов о государственной регистрации юридического лица или физического лица в качестве инд</w:t>
      </w:r>
      <w:r>
        <w:t xml:space="preserve">ивидуального предпринимателя, документов, подтверждающих владельцев юридического лица, в соответствии с законодательством соответствующего государства (для иностранных лиц), полученных не ранее чем за 90 дней до срока окончания приема предложений, информац</w:t>
      </w:r>
      <w:r>
        <w:t xml:space="preserve">ию о наличии аффилированных и иных связей, пред/конфликта интересов с работниками Организатора закупки (либо их родственниками), а так же с иными участниками закупочной процедуры и/или их бенефициарами, согласие на обработку и передачу персональных данных.</w:t>
      </w:r>
      <w:r/>
    </w:p>
    <w:p>
      <w:pPr>
        <w:pStyle w:val="1334"/>
        <w:numPr>
          <w:ilvl w:val="1"/>
          <w:numId w:val="20"/>
        </w:numPr>
        <w:ind w:left="0" w:firstLine="567"/>
        <w:jc w:val="both"/>
        <w:tabs>
          <w:tab w:val="left" w:pos="993" w:leader="none"/>
        </w:tabs>
      </w:pPr>
      <w:r>
        <w:t xml:space="preserve">Участник, а также его аффилированные лица, бенефициар</w:t>
      </w:r>
      <w:r>
        <w:t xml:space="preserve">ы, работники, посредники и/или иные лица, действующие в интересах работников Организатора закупки (либо их родственников), его аффилированных лиц или бенефициаров, не совершали, и не будут совершать противоправных действий (далее - «Запрещённые действия»).</w:t>
      </w:r>
      <w:r/>
    </w:p>
    <w:p>
      <w:pPr>
        <w:pStyle w:val="1334"/>
        <w:numPr>
          <w:ilvl w:val="1"/>
          <w:numId w:val="32"/>
        </w:numPr>
        <w:ind w:left="0" w:firstLine="567"/>
        <w:jc w:val="both"/>
        <w:tabs>
          <w:tab w:val="left" w:pos="1134" w:leader="none"/>
        </w:tabs>
      </w:pPr>
      <w:r>
        <w:t xml:space="preserve">К Запрещённым действиям, способным вызвать коррупционные риски при осуществлении закупочной деятельности, относятся:</w:t>
      </w:r>
      <w:r/>
    </w:p>
    <w:p>
      <w:pPr>
        <w:pStyle w:val="1334"/>
        <w:numPr>
          <w:ilvl w:val="0"/>
          <w:numId w:val="33"/>
        </w:numPr>
        <w:ind w:left="0" w:firstLine="567"/>
        <w:jc w:val="both"/>
        <w:tabs>
          <w:tab w:val="left" w:pos="993" w:leader="none"/>
        </w:tabs>
      </w:pPr>
      <w:r>
        <w:t xml:space="preserve">предоставление неполных, заведомо ложных, недостоверных сведений о структуре собственников;</w:t>
      </w:r>
      <w:r/>
    </w:p>
    <w:p>
      <w:pPr>
        <w:pStyle w:val="1334"/>
        <w:numPr>
          <w:ilvl w:val="0"/>
          <w:numId w:val="33"/>
        </w:numPr>
        <w:ind w:left="0" w:firstLine="567"/>
        <w:jc w:val="both"/>
        <w:tabs>
          <w:tab w:val="left" w:pos="993" w:leader="none"/>
        </w:tabs>
      </w:pPr>
      <w:r>
        <w:t xml:space="preserve">непредставление информации о наличии аффилированных и иных связей, пред/конфликта интересов с работниками Организатора закупки (либо их родственниками), а также с иными участниками закупочной процедуры/их бенефициарами;</w:t>
      </w:r>
      <w:r/>
    </w:p>
    <w:p>
      <w:pPr>
        <w:pStyle w:val="1334"/>
        <w:numPr>
          <w:ilvl w:val="0"/>
          <w:numId w:val="33"/>
        </w:numPr>
        <w:ind w:left="0" w:firstLine="567"/>
        <w:jc w:val="both"/>
        <w:tabs>
          <w:tab w:val="left" w:pos="993" w:leader="none"/>
        </w:tabs>
      </w:pPr>
      <w:r>
        <w:t xml:space="preserve">освобождение, предложение или обещание освободить от исполнения обязательства или обязанности;</w:t>
      </w:r>
      <w:r/>
    </w:p>
    <w:p>
      <w:pPr>
        <w:pStyle w:val="1334"/>
        <w:numPr>
          <w:ilvl w:val="0"/>
          <w:numId w:val="33"/>
        </w:numPr>
        <w:ind w:left="0" w:firstLine="567"/>
        <w:jc w:val="both"/>
        <w:tabs>
          <w:tab w:val="left" w:pos="993" w:leader="none"/>
        </w:tabs>
      </w:pPr>
      <w:r>
        <w:t xml:space="preserve">оказание, предложение или обещание оказать услуги;</w:t>
      </w:r>
      <w:r/>
    </w:p>
    <w:p>
      <w:pPr>
        <w:pStyle w:val="1334"/>
        <w:numPr>
          <w:ilvl w:val="0"/>
          <w:numId w:val="33"/>
        </w:numPr>
        <w:ind w:left="0" w:firstLine="567"/>
        <w:jc w:val="both"/>
        <w:tabs>
          <w:tab w:val="left" w:pos="993" w:leader="none"/>
        </w:tabs>
      </w:pPr>
      <w:r>
        <w:t xml:space="preserve">передача, предложение или обещание передать денежные средства, материальные ценности, ценные бумаги, иное имущество или имущественные права;</w:t>
      </w:r>
      <w:r/>
    </w:p>
    <w:p>
      <w:pPr>
        <w:pStyle w:val="1334"/>
        <w:numPr>
          <w:ilvl w:val="0"/>
          <w:numId w:val="33"/>
        </w:numPr>
        <w:ind w:left="0" w:firstLine="567"/>
        <w:jc w:val="both"/>
        <w:tabs>
          <w:tab w:val="left" w:pos="993" w:leader="none"/>
        </w:tabs>
      </w:pPr>
      <w:r>
        <w:t xml:space="preserve">предоставление, предложение или обещание предоставить иные выгоды; </w:t>
      </w:r>
      <w:r/>
    </w:p>
    <w:p>
      <w:pPr>
        <w:pStyle w:val="1334"/>
        <w:numPr>
          <w:ilvl w:val="0"/>
          <w:numId w:val="33"/>
        </w:numPr>
        <w:ind w:left="0" w:firstLine="567"/>
        <w:jc w:val="both"/>
        <w:tabs>
          <w:tab w:val="left" w:pos="993" w:leader="none"/>
        </w:tabs>
      </w:pPr>
      <w:r>
        <w:t xml:space="preserve">действия, квалифицируемые российским законодательством как дача или получение взятки, коммерческий подкуп, незаконное</w:t>
      </w:r>
      <w:r>
        <w:t xml:space="preserve"> вознаграждение от имени юридического лица, злоупотребление полномочиями, а также иные действия в нарушение требований применимого законодательства, а также международных актов о противодействии легализации (отмыванию) доходов, полученных преступным путем.</w:t>
      </w:r>
      <w:r/>
    </w:p>
    <w:p>
      <w:pPr>
        <w:pStyle w:val="1334"/>
        <w:numPr>
          <w:ilvl w:val="1"/>
          <w:numId w:val="32"/>
        </w:numPr>
        <w:ind w:left="0" w:firstLine="567"/>
        <w:jc w:val="both"/>
        <w:tabs>
          <w:tab w:val="left" w:pos="1134" w:leader="none"/>
        </w:tabs>
      </w:pPr>
      <w:r>
        <w:t xml:space="preserve">Cтимулирование каким-либо образом работников Организатора закупки, в том числе путем предоставления денежных сумм, подарков, </w:t>
      </w:r>
      <w:r>
        <w:t xml:space="preserve">безвозмездного выполнения в их интересах работ (услуг, поставок)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Участника. </w:t>
      </w:r>
      <w:r/>
    </w:p>
    <w:p>
      <w:pPr>
        <w:pStyle w:val="1334"/>
        <w:numPr>
          <w:ilvl w:val="1"/>
          <w:numId w:val="32"/>
        </w:numPr>
        <w:ind w:left="0" w:firstLine="567"/>
        <w:jc w:val="both"/>
        <w:tabs>
          <w:tab w:val="left" w:pos="1134" w:leader="none"/>
        </w:tabs>
      </w:pPr>
      <w:r>
        <w:t xml:space="preserve">Под действиями работника Организатора закупки, осуществляемыми в пользу Участника, понимаются:</w:t>
      </w:r>
      <w:r/>
    </w:p>
    <w:p>
      <w:pPr>
        <w:pStyle w:val="1334"/>
        <w:numPr>
          <w:ilvl w:val="0"/>
          <w:numId w:val="33"/>
        </w:numPr>
        <w:ind w:left="0" w:firstLine="567"/>
        <w:jc w:val="both"/>
        <w:tabs>
          <w:tab w:val="left" w:pos="993" w:leader="none"/>
        </w:tabs>
      </w:pPr>
      <w:r>
        <w:t xml:space="preserve">предоставление неоправданных преимуществ по сравнению с другими участниками закупочных процедур;</w:t>
      </w:r>
      <w:r/>
    </w:p>
    <w:p>
      <w:pPr>
        <w:pStyle w:val="1334"/>
        <w:numPr>
          <w:ilvl w:val="0"/>
          <w:numId w:val="33"/>
        </w:numPr>
        <w:ind w:left="0" w:firstLine="567"/>
        <w:jc w:val="both"/>
        <w:tabs>
          <w:tab w:val="left" w:pos="993" w:leader="none"/>
        </w:tabs>
      </w:pPr>
      <w:r>
        <w:t xml:space="preserve">предоставление каких-либо гарантий;</w:t>
      </w:r>
      <w:r/>
    </w:p>
    <w:p>
      <w:pPr>
        <w:pStyle w:val="1334"/>
        <w:numPr>
          <w:ilvl w:val="0"/>
          <w:numId w:val="33"/>
        </w:numPr>
        <w:ind w:left="0" w:firstLine="567"/>
        <w:jc w:val="both"/>
        <w:tabs>
          <w:tab w:val="left" w:pos="993" w:leader="none"/>
        </w:tabs>
      </w:pPr>
      <w:r>
        <w:t xml:space="preserve">ускорение существующих процедур;</w:t>
      </w:r>
      <w:r/>
    </w:p>
    <w:p>
      <w:pPr>
        <w:pStyle w:val="1334"/>
        <w:numPr>
          <w:ilvl w:val="0"/>
          <w:numId w:val="33"/>
        </w:numPr>
        <w:ind w:left="0" w:firstLine="567"/>
        <w:jc w:val="both"/>
        <w:tabs>
          <w:tab w:val="left" w:pos="993" w:leader="none"/>
        </w:tabs>
      </w:pPr>
      <w:r>
        <w:t xml:space="preserve">иные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Участником и Организатором закупки.</w:t>
      </w:r>
      <w:r/>
    </w:p>
    <w:p>
      <w:pPr>
        <w:pStyle w:val="1334"/>
        <w:numPr>
          <w:ilvl w:val="1"/>
          <w:numId w:val="20"/>
        </w:numPr>
        <w:ind w:left="0" w:firstLine="567"/>
        <w:jc w:val="both"/>
        <w:tabs>
          <w:tab w:val="left" w:pos="993" w:leader="none"/>
        </w:tabs>
      </w:pPr>
      <w:r>
        <w:t xml:space="preserve">В случае возникновения у Участника оснований полагать, что произошли или могут произойти Запрещенные действия, указанные в п. 2 Антикоррупционных обязательств, Участник обязуется незамедл</w:t>
      </w:r>
      <w:r>
        <w:t xml:space="preserve">ительно уведомить об этом Организатора в письменной форме. В таком уведомлении Участник обязан сослаться на факты и/или предоставить материалы, достоверно подтверждающие или дающие основание полагать, что произошли или могут произойти Запрещенные действия.</w:t>
      </w:r>
      <w:r/>
    </w:p>
    <w:p>
      <w:pPr>
        <w:pStyle w:val="1334"/>
        <w:numPr>
          <w:ilvl w:val="1"/>
          <w:numId w:val="20"/>
        </w:numPr>
        <w:ind w:left="0" w:firstLine="567"/>
        <w:jc w:val="both"/>
        <w:tabs>
          <w:tab w:val="left" w:pos="993" w:leader="none"/>
        </w:tabs>
      </w:pPr>
      <w:r>
        <w:t xml:space="preserve">После получения такого письменного уведомления Организатор осуществляет соответствующую проверку и направляет уведомление о результатах в адрес Участника.</w:t>
      </w:r>
      <w:r/>
    </w:p>
    <w:p>
      <w:pPr>
        <w:pStyle w:val="1334"/>
        <w:numPr>
          <w:ilvl w:val="1"/>
          <w:numId w:val="20"/>
        </w:numPr>
        <w:ind w:left="0" w:firstLine="567"/>
        <w:jc w:val="both"/>
        <w:tabs>
          <w:tab w:val="left" w:pos="993" w:leader="none"/>
        </w:tabs>
      </w:pPr>
      <w:r>
        <w:t xml:space="preserve">Участник обязуется соблюдать и исполнять требования настоящих Антикоррупционных обязательств на всех этапах закупочных процедур, а Организатор имеет право требовать соблюдения таких обязанностей. </w:t>
      </w:r>
      <w:r/>
    </w:p>
    <w:p>
      <w:pPr>
        <w:ind w:firstLine="567"/>
        <w:spacing w:after="0"/>
      </w:pPr>
      <w:r/>
      <w:r/>
    </w:p>
    <w:p>
      <w:pPr>
        <w:ind w:firstLine="567"/>
        <w:spacing w:after="0"/>
      </w:pPr>
      <w:r>
        <w:t xml:space="preserve">Участник: _______________/</w:t>
      </w:r>
      <w:r/>
    </w:p>
    <w:p>
      <w:r/>
      <w:r/>
    </w:p>
    <w:p>
      <w:r/>
      <w:r/>
    </w:p>
    <w:p>
      <w:r/>
      <w:r/>
    </w:p>
    <w:p>
      <w:r/>
      <w:r/>
    </w:p>
    <w:p>
      <w:r/>
      <w:r/>
    </w:p>
    <w:p>
      <w:r/>
      <w:r/>
    </w:p>
    <w:p>
      <w:r/>
      <w:r/>
    </w:p>
    <w:p>
      <w:r/>
      <w:r/>
    </w:p>
    <w:p>
      <w:r/>
      <w:r/>
    </w:p>
    <w:p>
      <w:r/>
      <w:r/>
    </w:p>
    <w:p>
      <w:r/>
      <w:r/>
    </w:p>
    <w:p>
      <w:r/>
      <w:r/>
    </w:p>
    <w:p>
      <w:r/>
      <w:r/>
    </w:p>
    <w:p>
      <w:r/>
      <w:r/>
    </w:p>
    <w:p>
      <w:r/>
      <w:r/>
    </w:p>
    <w:p>
      <w:r/>
      <w:r/>
    </w:p>
    <w:p>
      <w:pPr>
        <w:jc w:val="center"/>
        <w:rPr>
          <w:b/>
          <w:i/>
        </w:rPr>
      </w:pPr>
      <w:r>
        <w:rPr>
          <w:b/>
          <w:i/>
        </w:rPr>
      </w:r>
      <w:r>
        <w:rPr>
          <w:b/>
          <w:i/>
        </w:rPr>
      </w:r>
      <w:r>
        <w:rPr>
          <w:b/>
          <w:i/>
        </w:rPr>
      </w:r>
    </w:p>
    <w:p>
      <w:pPr>
        <w:pStyle w:val="1014"/>
        <w:ind w:left="578" w:hanging="578"/>
        <w:pageBreakBefore/>
        <w:rPr>
          <w:sz w:val="24"/>
          <w:szCs w:val="24"/>
        </w:rPr>
      </w:pPr>
      <w:r/>
      <w:bookmarkStart w:id="139" w:name="_Toc96"/>
      <w:r>
        <w:rPr>
          <w:sz w:val="24"/>
          <w:szCs w:val="24"/>
        </w:rPr>
        <w:t xml:space="preserve">ФОРМА 3. ТЕХНИЧЕСКОЕ ПРЕДЛОЖЕНИЕ</w:t>
      </w:r>
      <w:bookmarkEnd w:id="139"/>
      <w:r>
        <w:rPr>
          <w:sz w:val="24"/>
          <w:szCs w:val="24"/>
        </w:rPr>
      </w:r>
      <w:r>
        <w:rPr>
          <w:sz w:val="24"/>
          <w:szCs w:val="24"/>
        </w:rPr>
      </w:r>
    </w:p>
    <w:p>
      <w:pPr>
        <w:spacing w:after="0"/>
      </w:pPr>
      <w:r/>
      <w:r/>
    </w:p>
    <w:p>
      <w:pPr>
        <w:jc w:val="right"/>
        <w:spacing w:after="0"/>
      </w:pPr>
      <w:r>
        <w:t xml:space="preserve">Приложение № ___ к Заявке на участие</w:t>
      </w:r>
      <w:r/>
    </w:p>
    <w:p>
      <w:pPr>
        <w:jc w:val="right"/>
        <w:spacing w:after="0"/>
      </w:pPr>
      <w:r>
        <w:t xml:space="preserve">от «____» _______________ г. № _____</w:t>
      </w:r>
      <w:r/>
    </w:p>
    <w:p>
      <w:pPr>
        <w:rPr>
          <w:b/>
        </w:rPr>
      </w:pPr>
      <w:r>
        <w:rPr>
          <w:b/>
        </w:rPr>
      </w:r>
      <w:r>
        <w:rPr>
          <w:b/>
        </w:rPr>
      </w:r>
      <w:r>
        <w:rPr>
          <w:b/>
        </w:rPr>
      </w:r>
    </w:p>
    <w:p>
      <w:pPr>
        <w:rPr>
          <w:b/>
        </w:rPr>
      </w:pPr>
      <w:r>
        <w:rPr>
          <w:b/>
        </w:rPr>
      </w:r>
      <w:r>
        <w:rPr>
          <w:b/>
        </w:rPr>
      </w:r>
      <w:r>
        <w:rPr>
          <w:b/>
        </w:rPr>
      </w:r>
    </w:p>
    <w:p>
      <w:pPr>
        <w:spacing w:after="0"/>
        <w:rPr>
          <w:b/>
        </w:rPr>
      </w:pPr>
      <w:r>
        <w:rPr>
          <w:b/>
        </w:rPr>
        <w:t xml:space="preserve">Способ и наименование закупки _________________________________</w:t>
      </w:r>
      <w:r>
        <w:rPr>
          <w:b/>
        </w:rPr>
      </w:r>
      <w:r>
        <w:rPr>
          <w:b/>
        </w:rPr>
      </w:r>
    </w:p>
    <w:p>
      <w:pPr>
        <w:spacing w:after="0"/>
        <w:rPr>
          <w:b/>
        </w:rPr>
      </w:pPr>
      <w:r>
        <w:rPr>
          <w:b/>
        </w:rPr>
        <w:t xml:space="preserve">Лот ___</w:t>
      </w:r>
      <w:r>
        <w:rPr>
          <w:b/>
        </w:rPr>
      </w:r>
      <w:r>
        <w:rPr>
          <w:b/>
        </w:rPr>
      </w:r>
    </w:p>
    <w:p>
      <w:pPr>
        <w:spacing w:after="0"/>
        <w:rPr>
          <w:b/>
        </w:rPr>
      </w:pPr>
      <w:r>
        <w:rPr>
          <w:b/>
        </w:rPr>
        <w:t xml:space="preserve">Участник закупки: ________________________________</w:t>
      </w:r>
      <w:r>
        <w:rPr>
          <w:b/>
        </w:rPr>
      </w:r>
      <w:r>
        <w:rPr>
          <w:b/>
        </w:rPr>
      </w:r>
    </w:p>
    <w:p>
      <w:pPr>
        <w:spacing w:after="0"/>
      </w:pPr>
      <w:r/>
      <w:r/>
    </w:p>
    <w:p>
      <w:r/>
      <w:r/>
    </w:p>
    <w:p>
      <w:pPr>
        <w:jc w:val="center"/>
        <w:rPr>
          <w:b/>
          <w:i/>
        </w:rPr>
      </w:pPr>
      <w:r>
        <w:rPr>
          <w:b/>
          <w:i/>
        </w:rPr>
      </w:r>
      <w:r>
        <w:rPr>
          <w:b/>
          <w:i/>
        </w:rPr>
      </w:r>
      <w:r>
        <w:rPr>
          <w:b/>
          <w:i/>
        </w:rPr>
      </w:r>
    </w:p>
    <w:p>
      <w:pPr>
        <w:jc w:val="center"/>
        <w:spacing w:after="0"/>
        <w:rPr>
          <w:b/>
          <w:i/>
        </w:rPr>
      </w:pPr>
      <w:r>
        <w:rPr>
          <w:b/>
          <w:i/>
        </w:rPr>
        <w:t xml:space="preserve">Суть технического предложения</w:t>
      </w:r>
      <w:r>
        <w:rPr>
          <w:b/>
          <w:i/>
        </w:rPr>
      </w:r>
      <w:r>
        <w:rPr>
          <w:b/>
          <w:i/>
        </w:rPr>
      </w:r>
    </w:p>
    <w:p>
      <w:pPr>
        <w:jc w:val="center"/>
        <w:spacing w:after="0"/>
      </w:pPr>
      <w:r/>
      <w:r/>
    </w:p>
    <w:p>
      <w:pPr>
        <w:spacing w:after="0"/>
      </w:pPr>
      <w:r/>
      <w:r/>
    </w:p>
    <w:tbl>
      <w:tblPr>
        <w:tblW w:w="0" w:type="auto"/>
        <w:tblInd w:w="108" w:type="dxa"/>
        <w:tblLook w:val="01E0" w:firstRow="1" w:lastRow="1" w:firstColumn="1" w:lastColumn="1" w:noHBand="0" w:noVBand="0"/>
      </w:tblPr>
      <w:tblGrid>
        <w:gridCol w:w="3960"/>
        <w:gridCol w:w="1143"/>
        <w:gridCol w:w="4820"/>
      </w:tblGrid>
      <w:tr>
        <w:tblPrEx/>
        <w:trPr/>
        <w:tc>
          <w:tcPr>
            <w:tcBorders>
              <w:bottom w:val="single" w:color="000000" w:sz="4" w:space="0"/>
            </w:tcBorders>
            <w:tcW w:w="3960" w:type="dxa"/>
            <w:textDirection w:val="lrTb"/>
            <w:noWrap w:val="false"/>
          </w:tcPr>
          <w:p>
            <w:pPr>
              <w:spacing w:after="0"/>
            </w:pPr>
            <w:r/>
            <w:r/>
          </w:p>
        </w:tc>
        <w:tc>
          <w:tcPr>
            <w:tcW w:w="1143" w:type="dxa"/>
            <w:textDirection w:val="lrTb"/>
            <w:noWrap w:val="false"/>
          </w:tcPr>
          <w:p>
            <w:pPr>
              <w:spacing w:after="0"/>
            </w:pPr>
            <w:r/>
            <w:r/>
          </w:p>
        </w:tc>
        <w:tc>
          <w:tcPr>
            <w:tcBorders>
              <w:bottom w:val="single" w:color="000000" w:sz="4" w:space="0"/>
            </w:tcBorders>
            <w:tcW w:w="4820" w:type="dxa"/>
            <w:textDirection w:val="lrTb"/>
            <w:noWrap w:val="false"/>
          </w:tcPr>
          <w:p>
            <w:pPr>
              <w:spacing w:after="0"/>
            </w:pPr>
            <w:r/>
            <w:r/>
          </w:p>
        </w:tc>
      </w:tr>
      <w:tr>
        <w:tblPrEx/>
        <w:trPr/>
        <w:tc>
          <w:tcPr>
            <w:tcBorders>
              <w:top w:val="single" w:color="000000" w:sz="4" w:space="0"/>
            </w:tcBorders>
            <w:tcW w:w="3960" w:type="dxa"/>
            <w:textDirection w:val="lrTb"/>
            <w:noWrap w:val="false"/>
          </w:tcPr>
          <w:p>
            <w:pPr>
              <w:jc w:val="center"/>
              <w:spacing w:after="0"/>
              <w:rPr>
                <w:i/>
                <w:sz w:val="20"/>
                <w:szCs w:val="20"/>
              </w:rPr>
            </w:pPr>
            <w:r>
              <w:rPr>
                <w:i/>
                <w:sz w:val="20"/>
                <w:szCs w:val="20"/>
              </w:rPr>
              <w:t xml:space="preserve">(подпись уполномоченного представителя)</w:t>
            </w:r>
            <w:r>
              <w:rPr>
                <w:i/>
                <w:sz w:val="20"/>
                <w:szCs w:val="20"/>
              </w:rPr>
            </w:r>
            <w:r>
              <w:rPr>
                <w:i/>
                <w:sz w:val="20"/>
                <w:szCs w:val="20"/>
              </w:rPr>
            </w:r>
          </w:p>
        </w:tc>
        <w:tc>
          <w:tcPr>
            <w:tcW w:w="1143" w:type="dxa"/>
            <w:textDirection w:val="lrTb"/>
            <w:noWrap w:val="false"/>
          </w:tcPr>
          <w:p>
            <w:pPr>
              <w:jc w:val="center"/>
              <w:spacing w:after="0"/>
              <w:rPr>
                <w:i/>
                <w:sz w:val="20"/>
                <w:szCs w:val="20"/>
              </w:rPr>
            </w:pPr>
            <w:r>
              <w:rPr>
                <w:i/>
                <w:sz w:val="20"/>
                <w:szCs w:val="20"/>
              </w:rPr>
            </w:r>
            <w:r>
              <w:rPr>
                <w:i/>
                <w:sz w:val="20"/>
                <w:szCs w:val="20"/>
              </w:rPr>
            </w:r>
            <w:r>
              <w:rPr>
                <w:i/>
                <w:sz w:val="20"/>
                <w:szCs w:val="20"/>
              </w:rPr>
            </w:r>
          </w:p>
        </w:tc>
        <w:tc>
          <w:tcPr>
            <w:tcBorders>
              <w:top w:val="single" w:color="000000" w:sz="4" w:space="0"/>
            </w:tcBorders>
            <w:tcW w:w="4820" w:type="dxa"/>
            <w:textDirection w:val="lrTb"/>
            <w:noWrap w:val="false"/>
          </w:tcPr>
          <w:p>
            <w:pPr>
              <w:jc w:val="center"/>
              <w:spacing w:after="0"/>
              <w:rPr>
                <w:i/>
                <w:sz w:val="20"/>
                <w:szCs w:val="20"/>
              </w:rPr>
            </w:pPr>
            <w:r>
              <w:rPr>
                <w:i/>
                <w:sz w:val="20"/>
                <w:szCs w:val="20"/>
              </w:rPr>
              <w:t xml:space="preserve">(фамилия, имя, отчество подписавшего, должность)</w:t>
            </w:r>
            <w:r>
              <w:rPr>
                <w:i/>
                <w:sz w:val="20"/>
                <w:szCs w:val="20"/>
              </w:rPr>
            </w:r>
            <w:r>
              <w:rPr>
                <w:i/>
                <w:sz w:val="20"/>
                <w:szCs w:val="20"/>
              </w:rPr>
            </w:r>
          </w:p>
        </w:tc>
      </w:tr>
    </w:tbl>
    <w:p>
      <w:pPr>
        <w:spacing w:after="0"/>
      </w:pPr>
      <w:r/>
      <w:r/>
    </w:p>
    <w:p>
      <w:pPr>
        <w:spacing w:after="0"/>
        <w:rPr>
          <w:b/>
          <w:i/>
          <w:sz w:val="22"/>
          <w:szCs w:val="22"/>
        </w:rPr>
      </w:pPr>
      <w:r>
        <w:rPr>
          <w:b/>
          <w:i/>
          <w:sz w:val="22"/>
          <w:szCs w:val="22"/>
        </w:rPr>
        <w:t xml:space="preserve">М.П.</w:t>
      </w:r>
      <w:r>
        <w:rPr>
          <w:b/>
          <w:i/>
          <w:sz w:val="22"/>
          <w:szCs w:val="22"/>
        </w:rPr>
      </w:r>
      <w:r>
        <w:rPr>
          <w:b/>
          <w:i/>
          <w:sz w:val="22"/>
          <w:szCs w:val="22"/>
        </w:rPr>
      </w:r>
    </w:p>
    <w:p>
      <w:pPr>
        <w:spacing w:after="0"/>
      </w:pPr>
      <w:r/>
      <w:r/>
    </w:p>
    <w:p>
      <w:pPr>
        <w:spacing w:after="0"/>
      </w:pPr>
      <w:r/>
      <w:r/>
    </w:p>
    <w:p>
      <w:r/>
      <w:r/>
    </w:p>
    <w:p>
      <w:r/>
      <w:r/>
    </w:p>
    <w:p>
      <w:r/>
      <w:r/>
    </w:p>
    <w:p>
      <w:r/>
      <w:r/>
    </w:p>
    <w:p>
      <w:r/>
      <w:r/>
    </w:p>
    <w:p>
      <w:r/>
      <w:r/>
    </w:p>
    <w:p>
      <w:pPr>
        <w:ind w:firstLine="567"/>
        <w:pageBreakBefore/>
        <w:spacing w:after="0"/>
        <w:rPr>
          <w:b/>
          <w:i/>
          <w:sz w:val="20"/>
          <w:szCs w:val="20"/>
        </w:rPr>
      </w:pPr>
      <w:r>
        <w:rPr>
          <w:b/>
          <w:i/>
          <w:sz w:val="20"/>
          <w:szCs w:val="20"/>
        </w:rPr>
        <w:t xml:space="preserve">Инструкции по заполнению</w:t>
      </w:r>
      <w:r>
        <w:rPr>
          <w:b/>
          <w:i/>
          <w:sz w:val="20"/>
          <w:szCs w:val="20"/>
        </w:rPr>
      </w:r>
      <w:r>
        <w:rPr>
          <w:b/>
          <w:i/>
          <w:sz w:val="20"/>
          <w:szCs w:val="20"/>
        </w:rPr>
      </w:r>
    </w:p>
    <w:p>
      <w:pPr>
        <w:pStyle w:val="1334"/>
        <w:numPr>
          <w:ilvl w:val="0"/>
          <w:numId w:val="43"/>
        </w:numPr>
        <w:ind w:left="0" w:firstLine="567"/>
        <w:jc w:val="both"/>
        <w:tabs>
          <w:tab w:val="left" w:pos="850" w:leader="none"/>
        </w:tabs>
        <w:rPr>
          <w:sz w:val="20"/>
          <w:szCs w:val="20"/>
        </w:rPr>
      </w:pPr>
      <w:r>
        <w:rPr>
          <w:sz w:val="20"/>
          <w:szCs w:val="20"/>
        </w:rPr>
        <w:t xml:space="preserve">Данные инструкции не следует воспроизводить в документах, подготовленных Участником.</w:t>
      </w:r>
      <w:r>
        <w:rPr>
          <w:sz w:val="20"/>
          <w:szCs w:val="20"/>
        </w:rPr>
      </w:r>
      <w:r>
        <w:rPr>
          <w:sz w:val="20"/>
          <w:szCs w:val="20"/>
        </w:rPr>
      </w:r>
    </w:p>
    <w:p>
      <w:pPr>
        <w:pStyle w:val="1334"/>
        <w:numPr>
          <w:ilvl w:val="0"/>
          <w:numId w:val="43"/>
        </w:numPr>
        <w:ind w:left="0" w:firstLine="567"/>
        <w:jc w:val="both"/>
        <w:tabs>
          <w:tab w:val="left" w:pos="850" w:leader="none"/>
        </w:tabs>
        <w:rPr>
          <w:sz w:val="20"/>
          <w:szCs w:val="20"/>
        </w:rPr>
      </w:pPr>
      <w:r>
        <w:rPr>
          <w:sz w:val="20"/>
          <w:szCs w:val="20"/>
        </w:rPr>
        <w:t xml:space="preserve">Участник закупки приводит номер и дату письма о подаче оферты, приложением к которому является данное техническое предложение.</w:t>
      </w:r>
      <w:r>
        <w:rPr>
          <w:sz w:val="20"/>
          <w:szCs w:val="20"/>
        </w:rPr>
      </w:r>
      <w:r>
        <w:rPr>
          <w:sz w:val="20"/>
          <w:szCs w:val="20"/>
        </w:rPr>
      </w:r>
    </w:p>
    <w:p>
      <w:pPr>
        <w:pStyle w:val="1334"/>
        <w:numPr>
          <w:ilvl w:val="0"/>
          <w:numId w:val="43"/>
        </w:numPr>
        <w:ind w:left="0" w:firstLine="567"/>
        <w:jc w:val="both"/>
        <w:tabs>
          <w:tab w:val="left" w:pos="850" w:leader="none"/>
        </w:tabs>
        <w:rPr>
          <w:sz w:val="20"/>
          <w:szCs w:val="20"/>
        </w:rPr>
      </w:pPr>
      <w:r>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w:t>
      </w:r>
      <w:r>
        <w:rPr>
          <w:sz w:val="20"/>
          <w:szCs w:val="20"/>
        </w:rPr>
        <w:t xml:space="preserve">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r>
        <w:rPr>
          <w:sz w:val="20"/>
          <w:szCs w:val="20"/>
        </w:rPr>
      </w:r>
      <w:r>
        <w:rPr>
          <w:sz w:val="20"/>
          <w:szCs w:val="20"/>
        </w:rPr>
      </w:r>
    </w:p>
    <w:p>
      <w:pPr>
        <w:pStyle w:val="1334"/>
        <w:numPr>
          <w:ilvl w:val="0"/>
          <w:numId w:val="43"/>
        </w:numPr>
        <w:ind w:left="0" w:firstLine="567"/>
        <w:jc w:val="both"/>
        <w:tabs>
          <w:tab w:val="left" w:pos="850" w:leader="none"/>
        </w:tabs>
        <w:rPr>
          <w:sz w:val="20"/>
          <w:szCs w:val="20"/>
        </w:rPr>
      </w:pPr>
      <w:r>
        <w:rPr>
          <w:sz w:val="20"/>
          <w:szCs w:val="20"/>
        </w:rPr>
        <w:t xml:space="preserve">Выше приведена форма титульного листа Технического предложения.</w:t>
      </w:r>
      <w:r>
        <w:rPr>
          <w:sz w:val="20"/>
          <w:szCs w:val="20"/>
        </w:rPr>
      </w:r>
      <w:r>
        <w:rPr>
          <w:sz w:val="20"/>
          <w:szCs w:val="20"/>
        </w:rPr>
      </w:r>
    </w:p>
    <w:p>
      <w:pPr>
        <w:pStyle w:val="1334"/>
        <w:numPr>
          <w:ilvl w:val="0"/>
          <w:numId w:val="43"/>
        </w:numPr>
        <w:ind w:left="0" w:firstLine="567"/>
        <w:jc w:val="both"/>
        <w:tabs>
          <w:tab w:val="left" w:pos="850" w:leader="none"/>
        </w:tabs>
        <w:rPr>
          <w:sz w:val="20"/>
          <w:szCs w:val="20"/>
        </w:rPr>
      </w:pPr>
      <w:r>
        <w:rPr>
          <w:sz w:val="20"/>
          <w:szCs w:val="20"/>
        </w:rPr>
        <w:t xml:space="preserve">В тексте Технического предложения приводится информация в объеме, достаточном для анализа выполнения всех требований Технического задания и проекта Договора.</w:t>
      </w:r>
      <w:r>
        <w:rPr>
          <w:sz w:val="20"/>
          <w:szCs w:val="20"/>
        </w:rPr>
      </w:r>
      <w:r>
        <w:rPr>
          <w:sz w:val="20"/>
          <w:szCs w:val="20"/>
        </w:rPr>
      </w:r>
    </w:p>
    <w:p>
      <w:pPr>
        <w:pStyle w:val="1334"/>
        <w:numPr>
          <w:ilvl w:val="0"/>
          <w:numId w:val="43"/>
        </w:numPr>
        <w:ind w:left="0" w:firstLine="567"/>
        <w:jc w:val="both"/>
        <w:tabs>
          <w:tab w:val="left" w:pos="850" w:leader="none"/>
        </w:tabs>
        <w:rPr>
          <w:sz w:val="20"/>
          <w:szCs w:val="20"/>
        </w:rPr>
      </w:pPr>
      <w:r>
        <w:rPr>
          <w:sz w:val="20"/>
          <w:szCs w:val="20"/>
        </w:rPr>
        <w:t xml:space="preserve">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участником в его заявке выполняемых работ/оказываемых услуг (в том чис</w:t>
      </w:r>
      <w:r>
        <w:rPr>
          <w:sz w:val="20"/>
          <w:szCs w:val="20"/>
        </w:rPr>
        <w:t xml:space="preserve">ле состав работ/услуг и последовательность их выполнения, технология выполнения работ/оказания услуг, сроки выполнения работ/оказания услуг); указание объема работ/услуг, или порядка его определения; срок начала и окончания выполнения работ/оказания услуг.</w:t>
      </w:r>
      <w:r>
        <w:rPr>
          <w:sz w:val="20"/>
          <w:szCs w:val="20"/>
        </w:rPr>
      </w:r>
      <w:r>
        <w:rPr>
          <w:sz w:val="20"/>
          <w:szCs w:val="20"/>
        </w:rPr>
      </w:r>
    </w:p>
    <w:p>
      <w:pPr>
        <w:pStyle w:val="1334"/>
        <w:numPr>
          <w:ilvl w:val="0"/>
          <w:numId w:val="43"/>
        </w:numPr>
        <w:ind w:left="0" w:firstLine="567"/>
        <w:jc w:val="both"/>
        <w:tabs>
          <w:tab w:val="left" w:pos="850" w:leader="none"/>
        </w:tabs>
        <w:rPr>
          <w:sz w:val="20"/>
          <w:szCs w:val="20"/>
        </w:rPr>
      </w:pPr>
      <w:r>
        <w:rPr>
          <w:sz w:val="20"/>
          <w:szCs w:val="20"/>
        </w:rPr>
        <w:t xml:space="preserve">Участник в Техническом предложении должен представить Таблицу соответствия своего предложения требованиям Технического задания в соответствии с приведенной формой (Таблица 1). Данная таблица является примерной и может быть соответствующим образом изменена</w:t>
      </w:r>
      <w:r>
        <w:rPr>
          <w:sz w:val="20"/>
          <w:szCs w:val="20"/>
        </w:rPr>
        <w:t xml:space="preserve"> Участником. Для Организатора принципиально, чтобы в данной таблице были отражены следующие сведения: объем, сроки и согласие с условиями проекта Договора. Сведения о ценовом предложении (в т.ч. единичные расценки) в Техническом предложении не указываются.</w:t>
      </w:r>
      <w:r>
        <w:rPr>
          <w:sz w:val="20"/>
          <w:szCs w:val="20"/>
        </w:rPr>
      </w:r>
      <w:r>
        <w:rPr>
          <w:sz w:val="20"/>
          <w:szCs w:val="20"/>
        </w:rPr>
      </w:r>
    </w:p>
    <w:tbl>
      <w:tblPr>
        <w:tblW w:w="5000" w:type="pct"/>
        <w:jc w:val="center"/>
        <w:tblLook w:val="0000" w:firstRow="0" w:lastRow="0" w:firstColumn="0" w:lastColumn="0" w:noHBand="0" w:noVBand="0"/>
      </w:tblPr>
      <w:tblGrid>
        <w:gridCol w:w="991"/>
        <w:gridCol w:w="1331"/>
        <w:gridCol w:w="561"/>
        <w:gridCol w:w="1058"/>
        <w:gridCol w:w="3800"/>
        <w:gridCol w:w="2312"/>
      </w:tblGrid>
      <w:tr>
        <w:tblPrEx/>
        <w:trPr>
          <w:jc w:val="center"/>
          <w:trHeight w:val="392"/>
          <w:tblHeader/>
        </w:trPr>
        <w:tc>
          <w:tcPr>
            <w:tcBorders>
              <w:top w:val="single" w:color="000000" w:sz="4" w:space="0"/>
              <w:left w:val="single" w:color="000000" w:sz="4" w:space="0"/>
              <w:bottom w:val="single" w:color="000000" w:sz="4" w:space="0"/>
            </w:tcBorders>
            <w:tcW w:w="493" w:type="pct"/>
            <w:vAlign w:val="center"/>
            <w:textDirection w:val="lrTb"/>
            <w:noWrap w:val="false"/>
          </w:tcPr>
          <w:p>
            <w:pPr>
              <w:ind w:firstLine="540"/>
              <w:tabs>
                <w:tab w:val="left" w:pos="1080" w:leader="none"/>
              </w:tabs>
              <w:rPr>
                <w:sz w:val="20"/>
                <w:szCs w:val="20"/>
              </w:rPr>
            </w:pPr>
            <w:r>
              <w:rPr>
                <w:sz w:val="20"/>
                <w:szCs w:val="20"/>
              </w:rPr>
              <w:t xml:space="preserve">№</w:t>
            </w:r>
            <w:r>
              <w:rPr>
                <w:sz w:val="20"/>
                <w:szCs w:val="20"/>
              </w:rPr>
            </w:r>
            <w:r>
              <w:rPr>
                <w:sz w:val="20"/>
                <w:szCs w:val="20"/>
              </w:rPr>
            </w:r>
          </w:p>
        </w:tc>
        <w:tc>
          <w:tcPr>
            <w:tcBorders>
              <w:top w:val="single" w:color="000000" w:sz="4" w:space="0"/>
              <w:left w:val="single" w:color="000000" w:sz="4" w:space="0"/>
              <w:bottom w:val="single" w:color="000000" w:sz="4" w:space="0"/>
            </w:tcBorders>
            <w:tcW w:w="662" w:type="pct"/>
            <w:vAlign w:val="center"/>
            <w:textDirection w:val="lrTb"/>
            <w:noWrap w:val="false"/>
          </w:tcPr>
          <w:p>
            <w:pPr>
              <w:tabs>
                <w:tab w:val="left" w:pos="1080" w:leader="none"/>
              </w:tabs>
              <w:rPr>
                <w:sz w:val="20"/>
                <w:szCs w:val="20"/>
              </w:rPr>
            </w:pPr>
            <w:r>
              <w:rPr>
                <w:sz w:val="20"/>
                <w:szCs w:val="20"/>
              </w:rPr>
              <w:t xml:space="preserve">№ п.п. ТЗ</w:t>
            </w:r>
            <w:r>
              <w:rPr>
                <w:sz w:val="20"/>
                <w:szCs w:val="20"/>
              </w:rPr>
            </w:r>
            <w:r>
              <w:rPr>
                <w:sz w:val="20"/>
                <w:szCs w:val="20"/>
              </w:rPr>
            </w:r>
          </w:p>
        </w:tc>
        <w:tc>
          <w:tcPr>
            <w:gridSpan w:val="2"/>
            <w:tcBorders>
              <w:top w:val="single" w:color="000000" w:sz="4" w:space="0"/>
              <w:left w:val="single" w:color="000000" w:sz="4" w:space="0"/>
              <w:bottom w:val="single" w:color="000000" w:sz="4" w:space="0"/>
            </w:tcBorders>
            <w:tcW w:w="805" w:type="pct"/>
            <w:vAlign w:val="center"/>
            <w:textDirection w:val="lrTb"/>
            <w:noWrap w:val="false"/>
          </w:tcPr>
          <w:p>
            <w:pPr>
              <w:ind w:firstLine="133"/>
              <w:tabs>
                <w:tab w:val="left" w:pos="1080" w:leader="none"/>
              </w:tabs>
              <w:rPr>
                <w:sz w:val="20"/>
                <w:szCs w:val="20"/>
              </w:rPr>
            </w:pPr>
            <w:r>
              <w:rPr>
                <w:sz w:val="20"/>
                <w:szCs w:val="20"/>
              </w:rPr>
              <w:t xml:space="preserve">Выполнение</w:t>
            </w:r>
            <w:r>
              <w:rPr>
                <w:sz w:val="20"/>
                <w:szCs w:val="20"/>
              </w:rPr>
            </w:r>
            <w:r>
              <w:rPr>
                <w:sz w:val="20"/>
                <w:szCs w:val="20"/>
              </w:rPr>
            </w:r>
          </w:p>
        </w:tc>
        <w:tc>
          <w:tcPr>
            <w:tcBorders>
              <w:top w:val="single" w:color="000000" w:sz="4" w:space="0"/>
              <w:left w:val="single" w:color="000000" w:sz="4" w:space="0"/>
              <w:bottom w:val="single" w:color="000000" w:sz="4" w:space="0"/>
            </w:tcBorders>
            <w:tcW w:w="1890" w:type="pct"/>
            <w:vAlign w:val="center"/>
            <w:textDirection w:val="lrTb"/>
            <w:noWrap w:val="false"/>
          </w:tcPr>
          <w:p>
            <w:pPr>
              <w:ind w:firstLine="540"/>
              <w:tabs>
                <w:tab w:val="left" w:pos="1080" w:leader="none"/>
              </w:tabs>
              <w:rPr>
                <w:sz w:val="20"/>
                <w:szCs w:val="20"/>
              </w:rPr>
            </w:pPr>
            <w:r>
              <w:rPr>
                <w:sz w:val="20"/>
                <w:szCs w:val="20"/>
              </w:rPr>
              <w:t xml:space="preserve">Пояснения</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150" w:type="pct"/>
            <w:vAlign w:val="center"/>
            <w:textDirection w:val="lrTb"/>
            <w:noWrap w:val="false"/>
          </w:tcPr>
          <w:p>
            <w:pPr>
              <w:ind w:firstLine="540"/>
              <w:tabs>
                <w:tab w:val="left" w:pos="1080" w:leader="none"/>
              </w:tabs>
              <w:rPr>
                <w:sz w:val="20"/>
                <w:szCs w:val="20"/>
              </w:rPr>
            </w:pPr>
            <w:r>
              <w:rPr>
                <w:sz w:val="20"/>
                <w:szCs w:val="20"/>
              </w:rPr>
              <w:t xml:space="preserve">Ссылки на ТП</w:t>
            </w:r>
            <w:r>
              <w:rPr>
                <w:sz w:val="20"/>
                <w:szCs w:val="20"/>
              </w:rPr>
            </w:r>
            <w:r>
              <w:rPr>
                <w:sz w:val="20"/>
                <w:szCs w:val="20"/>
              </w:rPr>
            </w:r>
          </w:p>
        </w:tc>
      </w:tr>
      <w:tr>
        <w:tblPrEx/>
        <w:trPr>
          <w:jc w:val="center"/>
          <w:trHeight w:val="245"/>
        </w:trPr>
        <w:tc>
          <w:tcPr>
            <w:tcBorders>
              <w:left w:val="single" w:color="000000" w:sz="4" w:space="0"/>
              <w:bottom w:val="single" w:color="000000" w:sz="4" w:space="0"/>
            </w:tcBorders>
            <w:tcW w:w="493" w:type="pct"/>
            <w:vAlign w:val="center"/>
            <w:textDirection w:val="lrTb"/>
            <w:noWrap w:val="false"/>
          </w:tcPr>
          <w:p>
            <w:pPr>
              <w:ind w:firstLine="540"/>
              <w:tabs>
                <w:tab w:val="left" w:pos="1080" w:leader="none"/>
              </w:tabs>
              <w:rPr>
                <w:sz w:val="20"/>
                <w:szCs w:val="20"/>
              </w:rPr>
            </w:pPr>
            <w:r>
              <w:rPr>
                <w:sz w:val="20"/>
                <w:szCs w:val="20"/>
              </w:rPr>
            </w:r>
            <w:r>
              <w:rPr>
                <w:sz w:val="20"/>
                <w:szCs w:val="20"/>
              </w:rPr>
            </w:r>
            <w:r>
              <w:rPr>
                <w:sz w:val="20"/>
                <w:szCs w:val="20"/>
              </w:rPr>
            </w:r>
          </w:p>
        </w:tc>
        <w:tc>
          <w:tcPr>
            <w:tcBorders>
              <w:left w:val="single" w:color="000000" w:sz="4" w:space="0"/>
              <w:bottom w:val="single" w:color="000000" w:sz="4" w:space="0"/>
            </w:tcBorders>
            <w:tcW w:w="662" w:type="pct"/>
            <w:vAlign w:val="center"/>
            <w:textDirection w:val="lrTb"/>
            <w:noWrap w:val="false"/>
          </w:tcPr>
          <w:p>
            <w:pPr>
              <w:ind w:firstLine="540"/>
              <w:tabs>
                <w:tab w:val="left" w:pos="1080" w:leader="none"/>
              </w:tabs>
              <w:rPr>
                <w:sz w:val="20"/>
                <w:szCs w:val="20"/>
              </w:rPr>
            </w:pPr>
            <w:r>
              <w:rPr>
                <w:sz w:val="20"/>
                <w:szCs w:val="20"/>
              </w:rPr>
            </w:r>
            <w:r>
              <w:rPr>
                <w:sz w:val="20"/>
                <w:szCs w:val="20"/>
              </w:rPr>
            </w:r>
            <w:r>
              <w:rPr>
                <w:sz w:val="20"/>
                <w:szCs w:val="20"/>
              </w:rPr>
            </w:r>
          </w:p>
        </w:tc>
        <w:tc>
          <w:tcPr>
            <w:gridSpan w:val="2"/>
            <w:tcBorders>
              <w:left w:val="single" w:color="000000" w:sz="4" w:space="0"/>
              <w:bottom w:val="single" w:color="000000" w:sz="4" w:space="0"/>
            </w:tcBorders>
            <w:tcW w:w="805" w:type="pct"/>
            <w:vAlign w:val="center"/>
            <w:textDirection w:val="lrTb"/>
            <w:noWrap w:val="false"/>
          </w:tcPr>
          <w:p>
            <w:pPr>
              <w:ind w:firstLine="540"/>
              <w:tabs>
                <w:tab w:val="left" w:pos="1080" w:leader="none"/>
              </w:tabs>
              <w:rPr>
                <w:sz w:val="20"/>
                <w:szCs w:val="20"/>
              </w:rPr>
            </w:pPr>
            <w:r>
              <w:rPr>
                <w:sz w:val="20"/>
                <w:szCs w:val="20"/>
              </w:rPr>
            </w:r>
            <w:r>
              <w:rPr>
                <w:sz w:val="20"/>
                <w:szCs w:val="20"/>
              </w:rPr>
            </w:r>
            <w:r>
              <w:rPr>
                <w:sz w:val="20"/>
                <w:szCs w:val="20"/>
              </w:rPr>
            </w:r>
          </w:p>
        </w:tc>
        <w:tc>
          <w:tcPr>
            <w:tcBorders>
              <w:left w:val="single" w:color="000000" w:sz="4" w:space="0"/>
              <w:bottom w:val="single" w:color="000000" w:sz="4" w:space="0"/>
            </w:tcBorders>
            <w:tcW w:w="1890" w:type="pct"/>
            <w:vAlign w:val="center"/>
            <w:textDirection w:val="lrTb"/>
            <w:noWrap w:val="false"/>
          </w:tcPr>
          <w:p>
            <w:pPr>
              <w:ind w:firstLine="540"/>
              <w:tabs>
                <w:tab w:val="left" w:pos="1080" w:leader="none"/>
              </w:tabs>
              <w:rPr>
                <w:sz w:val="20"/>
                <w:szCs w:val="20"/>
              </w:rPr>
            </w:pPr>
            <w:r>
              <w:rPr>
                <w:sz w:val="20"/>
                <w:szCs w:val="20"/>
              </w:rPr>
            </w:r>
            <w:r>
              <w:rPr>
                <w:sz w:val="20"/>
                <w:szCs w:val="20"/>
              </w:rPr>
            </w:r>
            <w:r>
              <w:rPr>
                <w:sz w:val="20"/>
                <w:szCs w:val="20"/>
              </w:rPr>
            </w:r>
          </w:p>
        </w:tc>
        <w:tc>
          <w:tcPr>
            <w:tcBorders>
              <w:left w:val="single" w:color="000000" w:sz="4" w:space="0"/>
              <w:bottom w:val="single" w:color="000000" w:sz="4" w:space="0"/>
              <w:right w:val="single" w:color="000000" w:sz="4" w:space="0"/>
            </w:tcBorders>
            <w:tcW w:w="1150" w:type="pct"/>
            <w:vAlign w:val="center"/>
            <w:textDirection w:val="lrTb"/>
            <w:noWrap w:val="false"/>
          </w:tcPr>
          <w:p>
            <w:pPr>
              <w:ind w:firstLine="540"/>
              <w:tabs>
                <w:tab w:val="left" w:pos="1080" w:leader="none"/>
              </w:tabs>
              <w:rPr>
                <w:sz w:val="20"/>
                <w:szCs w:val="20"/>
              </w:rPr>
            </w:pPr>
            <w:r>
              <w:rPr>
                <w:sz w:val="20"/>
                <w:szCs w:val="20"/>
              </w:rPr>
            </w:r>
            <w:r>
              <w:rPr>
                <w:sz w:val="20"/>
                <w:szCs w:val="20"/>
              </w:rPr>
            </w:r>
            <w:r>
              <w:rPr>
                <w:sz w:val="20"/>
                <w:szCs w:val="20"/>
              </w:rPr>
            </w:r>
          </w:p>
        </w:tc>
      </w:tr>
      <w:tr>
        <w:tblPrEx/>
        <w:trPr>
          <w:gridBefore w:val="1"/>
          <w:jc w:val="center"/>
        </w:trPr>
        <w:tc>
          <w:tcPr>
            <w:gridSpan w:val="2"/>
            <w:tcW w:w="941" w:type="pct"/>
            <w:textDirection w:val="lrTb"/>
            <w:noWrap w:val="false"/>
          </w:tcPr>
          <w:p>
            <w:pPr>
              <w:tabs>
                <w:tab w:val="left" w:pos="1080" w:leader="none"/>
              </w:tabs>
              <w:rPr>
                <w:sz w:val="20"/>
                <w:szCs w:val="20"/>
              </w:rPr>
            </w:pPr>
            <w:r>
              <w:rPr>
                <w:sz w:val="20"/>
                <w:szCs w:val="20"/>
              </w:rPr>
              <w:t xml:space="preserve">№:</w:t>
            </w:r>
            <w:r>
              <w:rPr>
                <w:sz w:val="20"/>
                <w:szCs w:val="20"/>
              </w:rPr>
            </w:r>
            <w:r>
              <w:rPr>
                <w:sz w:val="20"/>
                <w:szCs w:val="20"/>
              </w:rPr>
            </w:r>
          </w:p>
        </w:tc>
        <w:tc>
          <w:tcPr>
            <w:gridSpan w:val="3"/>
            <w:tcW w:w="3707" w:type="pct"/>
            <w:textDirection w:val="lrTb"/>
            <w:noWrap w:val="false"/>
          </w:tcPr>
          <w:p>
            <w:pPr>
              <w:tabs>
                <w:tab w:val="left" w:pos="1080" w:leader="none"/>
              </w:tabs>
              <w:rPr>
                <w:sz w:val="20"/>
                <w:szCs w:val="20"/>
              </w:rPr>
            </w:pPr>
            <w:r>
              <w:rPr>
                <w:sz w:val="20"/>
                <w:szCs w:val="20"/>
              </w:rPr>
              <w:t xml:space="preserve">порядковый номер</w:t>
            </w:r>
            <w:r>
              <w:rPr>
                <w:sz w:val="20"/>
                <w:szCs w:val="20"/>
              </w:rPr>
            </w:r>
            <w:r>
              <w:rPr>
                <w:sz w:val="20"/>
                <w:szCs w:val="20"/>
              </w:rPr>
            </w:r>
          </w:p>
        </w:tc>
      </w:tr>
      <w:tr>
        <w:tblPrEx/>
        <w:trPr>
          <w:gridBefore w:val="1"/>
          <w:jc w:val="center"/>
        </w:trPr>
        <w:tc>
          <w:tcPr>
            <w:gridSpan w:val="2"/>
            <w:tcW w:w="941" w:type="pct"/>
            <w:textDirection w:val="lrTb"/>
            <w:noWrap w:val="false"/>
          </w:tcPr>
          <w:p>
            <w:pPr>
              <w:tabs>
                <w:tab w:val="left" w:pos="1080" w:leader="none"/>
              </w:tabs>
              <w:rPr>
                <w:sz w:val="20"/>
                <w:szCs w:val="20"/>
              </w:rPr>
            </w:pPr>
            <w:r>
              <w:rPr>
                <w:sz w:val="20"/>
                <w:szCs w:val="20"/>
              </w:rPr>
              <w:t xml:space="preserve">№ п.п. ТЗ:</w:t>
            </w:r>
            <w:r>
              <w:rPr>
                <w:sz w:val="20"/>
                <w:szCs w:val="20"/>
              </w:rPr>
            </w:r>
            <w:r>
              <w:rPr>
                <w:sz w:val="20"/>
                <w:szCs w:val="20"/>
              </w:rPr>
            </w:r>
          </w:p>
        </w:tc>
        <w:tc>
          <w:tcPr>
            <w:gridSpan w:val="3"/>
            <w:tcW w:w="3707" w:type="pct"/>
            <w:textDirection w:val="lrTb"/>
            <w:noWrap w:val="false"/>
          </w:tcPr>
          <w:p>
            <w:pPr>
              <w:tabs>
                <w:tab w:val="left" w:pos="1080" w:leader="none"/>
              </w:tabs>
              <w:rPr>
                <w:sz w:val="20"/>
                <w:szCs w:val="20"/>
              </w:rPr>
            </w:pPr>
            <w:r>
              <w:rPr>
                <w:sz w:val="20"/>
                <w:szCs w:val="20"/>
              </w:rPr>
              <w:t xml:space="preserve">номер пункта Технического задания </w:t>
            </w:r>
            <w:r>
              <w:rPr>
                <w:sz w:val="20"/>
                <w:szCs w:val="20"/>
              </w:rPr>
            </w:r>
            <w:r>
              <w:rPr>
                <w:sz w:val="20"/>
                <w:szCs w:val="20"/>
              </w:rPr>
            </w:r>
          </w:p>
        </w:tc>
      </w:tr>
      <w:tr>
        <w:tblPrEx/>
        <w:trPr>
          <w:gridBefore w:val="1"/>
          <w:jc w:val="center"/>
        </w:trPr>
        <w:tc>
          <w:tcPr>
            <w:gridSpan w:val="2"/>
            <w:tcW w:w="941" w:type="pct"/>
            <w:textDirection w:val="lrTb"/>
            <w:noWrap w:val="false"/>
          </w:tcPr>
          <w:p>
            <w:pPr>
              <w:tabs>
                <w:tab w:val="left" w:pos="1080" w:leader="none"/>
              </w:tabs>
              <w:rPr>
                <w:sz w:val="20"/>
                <w:szCs w:val="20"/>
              </w:rPr>
            </w:pPr>
            <w:r>
              <w:rPr>
                <w:sz w:val="20"/>
                <w:szCs w:val="20"/>
              </w:rPr>
              <w:t xml:space="preserve">Выполнение:</w:t>
            </w:r>
            <w:r>
              <w:rPr>
                <w:sz w:val="20"/>
                <w:szCs w:val="20"/>
              </w:rPr>
            </w:r>
            <w:r>
              <w:rPr>
                <w:sz w:val="20"/>
                <w:szCs w:val="20"/>
              </w:rPr>
            </w:r>
          </w:p>
        </w:tc>
        <w:tc>
          <w:tcPr>
            <w:gridSpan w:val="3"/>
            <w:tcW w:w="3707" w:type="pct"/>
            <w:textDirection w:val="lrTb"/>
            <w:noWrap w:val="false"/>
          </w:tcPr>
          <w:p>
            <w:pPr>
              <w:tabs>
                <w:tab w:val="left" w:pos="1080" w:leader="none"/>
              </w:tabs>
              <w:rPr>
                <w:sz w:val="20"/>
                <w:szCs w:val="20"/>
              </w:rPr>
            </w:pPr>
            <w:r>
              <w:rPr>
                <w:sz w:val="20"/>
                <w:szCs w:val="20"/>
              </w:rPr>
            </w:r>
            <w:r>
              <w:rPr>
                <w:sz w:val="20"/>
                <w:szCs w:val="20"/>
              </w:rPr>
            </w:r>
            <w:r>
              <w:rPr>
                <w:sz w:val="20"/>
                <w:szCs w:val="20"/>
              </w:rPr>
            </w:r>
          </w:p>
        </w:tc>
      </w:tr>
      <w:tr>
        <w:tblPrEx/>
        <w:trPr>
          <w:gridBefore w:val="1"/>
          <w:jc w:val="center"/>
        </w:trPr>
        <w:tc>
          <w:tcPr>
            <w:gridSpan w:val="2"/>
            <w:tcW w:w="941" w:type="pct"/>
            <w:textDirection w:val="lrTb"/>
            <w:noWrap w:val="false"/>
          </w:tcPr>
          <w:p>
            <w:pPr>
              <w:tabs>
                <w:tab w:val="left" w:pos="1080" w:leader="none"/>
              </w:tabs>
              <w:rPr>
                <w:sz w:val="20"/>
                <w:szCs w:val="20"/>
              </w:rPr>
            </w:pPr>
            <w:r>
              <w:rPr>
                <w:sz w:val="20"/>
                <w:szCs w:val="20"/>
              </w:rPr>
            </w:r>
            <w:r>
              <w:rPr>
                <w:sz w:val="20"/>
                <w:szCs w:val="20"/>
              </w:rPr>
            </w:r>
            <w:r>
              <w:rPr>
                <w:sz w:val="20"/>
                <w:szCs w:val="20"/>
              </w:rPr>
            </w:r>
          </w:p>
        </w:tc>
        <w:tc>
          <w:tcPr>
            <w:gridSpan w:val="3"/>
            <w:tcW w:w="3707" w:type="pct"/>
            <w:textDirection w:val="lrTb"/>
            <w:noWrap w:val="false"/>
          </w:tcPr>
          <w:p>
            <w:pPr>
              <w:tabs>
                <w:tab w:val="left" w:pos="1080" w:leader="none"/>
              </w:tabs>
              <w:rPr>
                <w:sz w:val="20"/>
                <w:szCs w:val="20"/>
              </w:rPr>
            </w:pPr>
            <w:r>
              <w:rPr>
                <w:sz w:val="20"/>
                <w:szCs w:val="20"/>
              </w:rPr>
              <w:t xml:space="preserve">«да» - будет выполнен полностью</w:t>
            </w:r>
            <w:r>
              <w:rPr>
                <w:sz w:val="20"/>
                <w:szCs w:val="20"/>
              </w:rPr>
            </w:r>
            <w:r>
              <w:rPr>
                <w:sz w:val="20"/>
                <w:szCs w:val="20"/>
              </w:rPr>
            </w:r>
          </w:p>
        </w:tc>
      </w:tr>
      <w:tr>
        <w:tblPrEx/>
        <w:trPr>
          <w:gridBefore w:val="1"/>
          <w:jc w:val="center"/>
        </w:trPr>
        <w:tc>
          <w:tcPr>
            <w:gridSpan w:val="2"/>
            <w:tcW w:w="941" w:type="pct"/>
            <w:textDirection w:val="lrTb"/>
            <w:noWrap w:val="false"/>
          </w:tcPr>
          <w:p>
            <w:pPr>
              <w:tabs>
                <w:tab w:val="left" w:pos="1080" w:leader="none"/>
              </w:tabs>
              <w:rPr>
                <w:sz w:val="20"/>
                <w:szCs w:val="20"/>
              </w:rPr>
            </w:pPr>
            <w:r>
              <w:rPr>
                <w:sz w:val="20"/>
                <w:szCs w:val="20"/>
              </w:rPr>
            </w:r>
            <w:r>
              <w:rPr>
                <w:sz w:val="20"/>
                <w:szCs w:val="20"/>
              </w:rPr>
            </w:r>
            <w:r>
              <w:rPr>
                <w:sz w:val="20"/>
                <w:szCs w:val="20"/>
              </w:rPr>
            </w:r>
          </w:p>
        </w:tc>
        <w:tc>
          <w:tcPr>
            <w:gridSpan w:val="3"/>
            <w:tcW w:w="3707" w:type="pct"/>
            <w:textDirection w:val="lrTb"/>
            <w:noWrap w:val="false"/>
          </w:tcPr>
          <w:p>
            <w:pPr>
              <w:tabs>
                <w:tab w:val="left" w:pos="1080" w:leader="none"/>
              </w:tabs>
              <w:rPr>
                <w:sz w:val="20"/>
                <w:szCs w:val="20"/>
              </w:rPr>
            </w:pPr>
            <w:r>
              <w:rPr>
                <w:sz w:val="20"/>
                <w:szCs w:val="20"/>
              </w:rPr>
              <w:t xml:space="preserve">«нет» - не будет выполнен</w:t>
            </w:r>
            <w:r>
              <w:rPr>
                <w:sz w:val="20"/>
                <w:szCs w:val="20"/>
              </w:rPr>
            </w:r>
            <w:r>
              <w:rPr>
                <w:sz w:val="20"/>
                <w:szCs w:val="20"/>
              </w:rPr>
            </w:r>
          </w:p>
        </w:tc>
      </w:tr>
      <w:tr>
        <w:tblPrEx/>
        <w:trPr>
          <w:gridBefore w:val="1"/>
          <w:jc w:val="center"/>
        </w:trPr>
        <w:tc>
          <w:tcPr>
            <w:gridSpan w:val="2"/>
            <w:tcW w:w="941" w:type="pct"/>
            <w:textDirection w:val="lrTb"/>
            <w:noWrap w:val="false"/>
          </w:tcPr>
          <w:p>
            <w:pPr>
              <w:tabs>
                <w:tab w:val="left" w:pos="1080" w:leader="none"/>
              </w:tabs>
              <w:rPr>
                <w:sz w:val="20"/>
                <w:szCs w:val="20"/>
              </w:rPr>
            </w:pPr>
            <w:r>
              <w:rPr>
                <w:sz w:val="20"/>
                <w:szCs w:val="20"/>
              </w:rPr>
            </w:r>
            <w:r>
              <w:rPr>
                <w:sz w:val="20"/>
                <w:szCs w:val="20"/>
              </w:rPr>
            </w:r>
            <w:r>
              <w:rPr>
                <w:sz w:val="20"/>
                <w:szCs w:val="20"/>
              </w:rPr>
            </w:r>
          </w:p>
        </w:tc>
        <w:tc>
          <w:tcPr>
            <w:gridSpan w:val="3"/>
            <w:tcW w:w="3707" w:type="pct"/>
            <w:textDirection w:val="lrTb"/>
            <w:noWrap w:val="false"/>
          </w:tcPr>
          <w:p>
            <w:pPr>
              <w:tabs>
                <w:tab w:val="left" w:pos="1080" w:leader="none"/>
              </w:tabs>
              <w:rPr>
                <w:sz w:val="20"/>
                <w:szCs w:val="20"/>
              </w:rPr>
            </w:pPr>
            <w:r>
              <w:rPr>
                <w:sz w:val="20"/>
                <w:szCs w:val="20"/>
              </w:rPr>
              <w:t xml:space="preserve">«частично» - выполняется с «такими-то» ограничениями</w:t>
            </w:r>
            <w:r>
              <w:rPr>
                <w:sz w:val="20"/>
                <w:szCs w:val="20"/>
              </w:rPr>
            </w:r>
            <w:r>
              <w:rPr>
                <w:sz w:val="20"/>
                <w:szCs w:val="20"/>
              </w:rPr>
            </w:r>
          </w:p>
        </w:tc>
      </w:tr>
      <w:tr>
        <w:tblPrEx/>
        <w:trPr>
          <w:gridBefore w:val="1"/>
          <w:jc w:val="center"/>
        </w:trPr>
        <w:tc>
          <w:tcPr>
            <w:gridSpan w:val="2"/>
            <w:tcW w:w="941" w:type="pct"/>
            <w:textDirection w:val="lrTb"/>
            <w:noWrap w:val="false"/>
          </w:tcPr>
          <w:p>
            <w:pPr>
              <w:tabs>
                <w:tab w:val="left" w:pos="1080" w:leader="none"/>
              </w:tabs>
              <w:rPr>
                <w:sz w:val="20"/>
                <w:szCs w:val="20"/>
              </w:rPr>
            </w:pPr>
            <w:r>
              <w:rPr>
                <w:sz w:val="20"/>
                <w:szCs w:val="20"/>
              </w:rPr>
              <w:t xml:space="preserve">Пояснения:</w:t>
            </w:r>
            <w:r>
              <w:rPr>
                <w:sz w:val="20"/>
                <w:szCs w:val="20"/>
              </w:rPr>
            </w:r>
            <w:r>
              <w:rPr>
                <w:sz w:val="20"/>
                <w:szCs w:val="20"/>
              </w:rPr>
            </w:r>
          </w:p>
        </w:tc>
        <w:tc>
          <w:tcPr>
            <w:gridSpan w:val="3"/>
            <w:tcW w:w="3707" w:type="pct"/>
            <w:textDirection w:val="lrTb"/>
            <w:noWrap w:val="false"/>
          </w:tcPr>
          <w:p>
            <w:pPr>
              <w:tabs>
                <w:tab w:val="left" w:pos="1080" w:leader="none"/>
              </w:tabs>
              <w:rPr>
                <w:sz w:val="20"/>
                <w:szCs w:val="20"/>
              </w:rPr>
            </w:pPr>
            <w:r>
              <w:rPr>
                <w:sz w:val="20"/>
                <w:szCs w:val="20"/>
              </w:rPr>
              <w:t xml:space="preserve">необходимые пояснения</w:t>
            </w:r>
            <w:r>
              <w:rPr>
                <w:sz w:val="20"/>
                <w:szCs w:val="20"/>
              </w:rPr>
            </w:r>
            <w:r>
              <w:rPr>
                <w:sz w:val="20"/>
                <w:szCs w:val="20"/>
              </w:rPr>
            </w:r>
          </w:p>
        </w:tc>
      </w:tr>
      <w:tr>
        <w:tblPrEx/>
        <w:trPr>
          <w:gridBefore w:val="1"/>
          <w:jc w:val="center"/>
        </w:trPr>
        <w:tc>
          <w:tcPr>
            <w:gridSpan w:val="2"/>
            <w:tcW w:w="941" w:type="pct"/>
            <w:textDirection w:val="lrTb"/>
            <w:noWrap w:val="false"/>
          </w:tcPr>
          <w:p>
            <w:pPr>
              <w:tabs>
                <w:tab w:val="left" w:pos="1080" w:leader="none"/>
              </w:tabs>
              <w:rPr>
                <w:sz w:val="20"/>
                <w:szCs w:val="20"/>
              </w:rPr>
            </w:pPr>
            <w:r>
              <w:rPr>
                <w:sz w:val="20"/>
                <w:szCs w:val="20"/>
              </w:rPr>
              <w:t xml:space="preserve">Ссылки на ТП:</w:t>
            </w:r>
            <w:r>
              <w:rPr>
                <w:sz w:val="20"/>
                <w:szCs w:val="20"/>
              </w:rPr>
            </w:r>
            <w:r>
              <w:rPr>
                <w:sz w:val="20"/>
                <w:szCs w:val="20"/>
              </w:rPr>
            </w:r>
          </w:p>
        </w:tc>
        <w:tc>
          <w:tcPr>
            <w:gridSpan w:val="3"/>
            <w:tcW w:w="3707" w:type="pct"/>
            <w:textDirection w:val="lrTb"/>
            <w:noWrap w:val="false"/>
          </w:tcPr>
          <w:p>
            <w:pPr>
              <w:tabs>
                <w:tab w:val="left" w:pos="1080" w:leader="none"/>
              </w:tabs>
              <w:rPr>
                <w:sz w:val="20"/>
                <w:szCs w:val="20"/>
              </w:rPr>
            </w:pPr>
            <w:r>
              <w:rPr>
                <w:sz w:val="20"/>
                <w:szCs w:val="20"/>
              </w:rPr>
              <w:t xml:space="preserve">номер пункта Технического предложения Участника (ТП), где приведены подробные объяснения</w:t>
            </w:r>
            <w:r>
              <w:rPr>
                <w:sz w:val="20"/>
                <w:szCs w:val="20"/>
              </w:rPr>
            </w:r>
            <w:r>
              <w:rPr>
                <w:sz w:val="20"/>
                <w:szCs w:val="20"/>
              </w:rPr>
            </w:r>
          </w:p>
        </w:tc>
      </w:tr>
    </w:tbl>
    <w:p>
      <w:pPr>
        <w:ind w:firstLine="567"/>
        <w:spacing w:after="0"/>
        <w:tabs>
          <w:tab w:val="num" w:pos="1080" w:leader="none"/>
        </w:tabs>
        <w:rPr>
          <w:sz w:val="20"/>
          <w:szCs w:val="20"/>
        </w:rPr>
      </w:pPr>
      <w:r>
        <w:rPr>
          <w:sz w:val="20"/>
          <w:szCs w:val="20"/>
        </w:rPr>
      </w:r>
      <w:r>
        <w:rPr>
          <w:sz w:val="20"/>
          <w:szCs w:val="20"/>
        </w:rPr>
      </w:r>
      <w:r>
        <w:rPr>
          <w:sz w:val="20"/>
          <w:szCs w:val="20"/>
        </w:rPr>
      </w:r>
    </w:p>
    <w:p>
      <w:pPr>
        <w:ind w:firstLine="426"/>
        <w:rPr>
          <w:sz w:val="20"/>
          <w:szCs w:val="20"/>
        </w:rPr>
      </w:pPr>
      <w:r>
        <w:rPr>
          <w:sz w:val="20"/>
          <w:szCs w:val="20"/>
        </w:rPr>
      </w:r>
      <w:r>
        <w:rPr>
          <w:sz w:val="20"/>
          <w:szCs w:val="20"/>
        </w:rPr>
      </w:r>
      <w:r>
        <w:rPr>
          <w:sz w:val="20"/>
          <w:szCs w:val="20"/>
        </w:rPr>
      </w:r>
    </w:p>
    <w:p>
      <w:pPr>
        <w:ind w:firstLine="426"/>
      </w:pPr>
      <w:r/>
      <w:r/>
    </w:p>
    <w:p>
      <w:pPr>
        <w:ind w:firstLine="426"/>
      </w:pPr>
      <w:r/>
      <w:r/>
    </w:p>
    <w:p>
      <w:r/>
      <w:r/>
    </w:p>
    <w:p>
      <w:pPr>
        <w:pStyle w:val="1014"/>
        <w:ind w:left="578" w:hanging="578"/>
        <w:pageBreakBefore/>
        <w:rPr>
          <w:sz w:val="24"/>
          <w:szCs w:val="24"/>
        </w:rPr>
      </w:pPr>
      <w:r/>
      <w:bookmarkStart w:id="140" w:name="_Toc97"/>
      <w:r>
        <w:rPr>
          <w:sz w:val="24"/>
          <w:szCs w:val="24"/>
        </w:rPr>
        <w:t xml:space="preserve">ФОРМА 4. АНКЕТА УЧАСТНИКА ЗАКУПКИ</w:t>
      </w:r>
      <w:bookmarkEnd w:id="140"/>
      <w:r>
        <w:rPr>
          <w:sz w:val="24"/>
          <w:szCs w:val="24"/>
        </w:rPr>
      </w:r>
      <w:r>
        <w:rPr>
          <w:sz w:val="24"/>
          <w:szCs w:val="24"/>
        </w:rPr>
      </w:r>
    </w:p>
    <w:p>
      <w:r/>
      <w:r/>
    </w:p>
    <w:p>
      <w:pPr>
        <w:jc w:val="right"/>
        <w:spacing w:after="0"/>
      </w:pPr>
      <w:r>
        <w:t xml:space="preserve">Приложение № ___ к Заявке на участие</w:t>
      </w:r>
      <w:r/>
    </w:p>
    <w:p>
      <w:pPr>
        <w:jc w:val="right"/>
        <w:spacing w:after="0"/>
      </w:pPr>
      <w:r>
        <w:t xml:space="preserve">от «____» ______________ г. № ______</w:t>
      </w:r>
      <w:r/>
    </w:p>
    <w:p>
      <w:pPr>
        <w:spacing w:after="0"/>
      </w:pPr>
      <w:r/>
      <w:r/>
    </w:p>
    <w:p>
      <w:pPr>
        <w:jc w:val="center"/>
        <w:spacing w:after="0"/>
        <w:rPr>
          <w:b/>
          <w:i/>
        </w:rPr>
      </w:pPr>
      <w:r/>
      <w:bookmarkStart w:id="141" w:name="_Анкета_Участника_конкурса"/>
      <w:r/>
      <w:bookmarkEnd w:id="141"/>
      <w:r>
        <w:rPr>
          <w:b/>
          <w:i/>
        </w:rPr>
        <w:t xml:space="preserve">Анкета Участника закупки</w:t>
      </w:r>
      <w:r>
        <w:rPr>
          <w:b/>
          <w:i/>
        </w:rPr>
      </w:r>
      <w:r>
        <w:rPr>
          <w:b/>
          <w:i/>
        </w:rPr>
      </w:r>
    </w:p>
    <w:p>
      <w:pPr>
        <w:jc w:val="center"/>
        <w:spacing w:after="0"/>
        <w:rPr>
          <w:b/>
        </w:rPr>
      </w:pPr>
      <w:r>
        <w:rPr>
          <w:b/>
        </w:rPr>
      </w:r>
      <w:r>
        <w:rPr>
          <w:b/>
        </w:rPr>
      </w:r>
      <w:r>
        <w:rPr>
          <w:b/>
        </w:rPr>
      </w:r>
    </w:p>
    <w:p>
      <w:pPr>
        <w:ind w:firstLine="284"/>
        <w:spacing w:after="0"/>
        <w:rPr>
          <w:b/>
        </w:rPr>
      </w:pPr>
      <w:r>
        <w:rPr>
          <w:b/>
        </w:rPr>
        <w:t xml:space="preserve">Способ и наименование закупки _______________________________________ </w:t>
      </w:r>
      <w:r>
        <w:rPr>
          <w:b/>
        </w:rPr>
      </w:r>
      <w:r>
        <w:rPr>
          <w:b/>
        </w:rPr>
      </w:r>
    </w:p>
    <w:p>
      <w:pPr>
        <w:ind w:firstLine="284"/>
        <w:spacing w:after="0"/>
        <w:rPr>
          <w:b/>
        </w:rPr>
      </w:pPr>
      <w:r>
        <w:rPr>
          <w:b/>
        </w:rPr>
        <w:t xml:space="preserve">Лот ___</w:t>
      </w:r>
      <w:r>
        <w:rPr>
          <w:b/>
        </w:rPr>
      </w:r>
      <w:r>
        <w:rPr>
          <w:b/>
        </w:rPr>
      </w:r>
    </w:p>
    <w:p>
      <w:pPr>
        <w:ind w:firstLine="284"/>
        <w:spacing w:after="0"/>
        <w:rPr>
          <w:b/>
        </w:rPr>
      </w:pPr>
      <w:r>
        <w:rPr>
          <w:b/>
        </w:rPr>
        <w:t xml:space="preserve">Участник закупки: ________________________________ </w:t>
      </w:r>
      <w:r>
        <w:rPr>
          <w:b/>
        </w:rPr>
      </w:r>
      <w:r>
        <w:rPr>
          <w:b/>
        </w:rPr>
      </w:r>
    </w:p>
    <w:p>
      <w:pPr>
        <w:spacing w:after="0"/>
      </w:pPr>
      <w:r/>
      <w:r/>
    </w:p>
    <w:tbl>
      <w:tblPr>
        <w:tblW w:w="4578" w:type="pct"/>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808"/>
        <w:gridCol w:w="4895"/>
        <w:gridCol w:w="3502"/>
      </w:tblGrid>
      <w:tr>
        <w:tblPrEx/>
        <w:trPr>
          <w:cantSplit/>
          <w:trHeight w:val="240"/>
        </w:trPr>
        <w:tc>
          <w:tcPr>
            <w:tcW w:w="439" w:type="pct"/>
            <w:vAlign w:val="center"/>
            <w:textDirection w:val="lrTb"/>
            <w:noWrap w:val="false"/>
          </w:tcPr>
          <w:p>
            <w:pPr>
              <w:spacing w:after="0"/>
              <w:rPr>
                <w:sz w:val="20"/>
                <w:szCs w:val="20"/>
              </w:rPr>
            </w:pPr>
            <w:r>
              <w:rPr>
                <w:sz w:val="20"/>
                <w:szCs w:val="20"/>
              </w:rPr>
              <w:t xml:space="preserve">№</w:t>
            </w:r>
            <w:r>
              <w:rPr>
                <w:sz w:val="20"/>
                <w:szCs w:val="20"/>
              </w:rPr>
            </w:r>
            <w:r>
              <w:rPr>
                <w:sz w:val="20"/>
                <w:szCs w:val="20"/>
              </w:rPr>
            </w:r>
          </w:p>
        </w:tc>
        <w:tc>
          <w:tcPr>
            <w:tcW w:w="2659" w:type="pct"/>
            <w:vAlign w:val="center"/>
            <w:textDirection w:val="lrTb"/>
            <w:noWrap w:val="false"/>
          </w:tcPr>
          <w:p>
            <w:pPr>
              <w:spacing w:after="0"/>
              <w:rPr>
                <w:sz w:val="20"/>
                <w:szCs w:val="20"/>
              </w:rPr>
            </w:pPr>
            <w:r>
              <w:rPr>
                <w:sz w:val="20"/>
                <w:szCs w:val="20"/>
              </w:rPr>
              <w:t xml:space="preserve">Наименование</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t xml:space="preserve">Сведения об Участнике закупки</w:t>
            </w:r>
            <w:r>
              <w:rPr>
                <w:sz w:val="20"/>
                <w:szCs w:val="20"/>
              </w:rPr>
            </w:r>
            <w:r>
              <w:rPr>
                <w:sz w:val="20"/>
                <w:szCs w:val="20"/>
              </w:rPr>
            </w:r>
          </w:p>
        </w:tc>
      </w:tr>
      <w:tr>
        <w:tblPrEx/>
        <w:trPr>
          <w:cantSplit/>
          <w:trHeight w:val="471"/>
        </w:trPr>
        <w:tc>
          <w:tcPr>
            <w:tcW w:w="439" w:type="pct"/>
            <w:vAlign w:val="center"/>
            <w:textDirection w:val="lrTb"/>
            <w:noWrap w:val="false"/>
          </w:tcPr>
          <w:p>
            <w:pPr>
              <w:spacing w:after="0"/>
              <w:rPr>
                <w:sz w:val="20"/>
                <w:szCs w:val="20"/>
              </w:rPr>
            </w:pPr>
            <w:r>
              <w:rPr>
                <w:sz w:val="20"/>
                <w:szCs w:val="20"/>
              </w:rPr>
              <w:t xml:space="preserve">1.</w:t>
            </w:r>
            <w:r>
              <w:rPr>
                <w:sz w:val="20"/>
                <w:szCs w:val="20"/>
              </w:rPr>
            </w:r>
            <w:r>
              <w:rPr>
                <w:sz w:val="20"/>
                <w:szCs w:val="20"/>
              </w:rPr>
            </w:r>
          </w:p>
        </w:tc>
        <w:tc>
          <w:tcPr>
            <w:tcW w:w="2659" w:type="pct"/>
            <w:vAlign w:val="center"/>
            <w:textDirection w:val="lrTb"/>
            <w:noWrap w:val="false"/>
          </w:tcPr>
          <w:p>
            <w:pPr>
              <w:spacing w:after="0"/>
              <w:rPr>
                <w:sz w:val="20"/>
                <w:szCs w:val="20"/>
              </w:rPr>
            </w:pPr>
            <w:r>
              <w:rPr>
                <w:sz w:val="20"/>
                <w:szCs w:val="20"/>
              </w:rPr>
              <w:t xml:space="preserve">Фирменное наименование</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spacing w:after="0"/>
              <w:rPr>
                <w:sz w:val="20"/>
                <w:szCs w:val="20"/>
              </w:rPr>
            </w:pPr>
            <w:r>
              <w:rPr>
                <w:sz w:val="20"/>
                <w:szCs w:val="20"/>
              </w:rPr>
              <w:t xml:space="preserve">2.</w:t>
            </w:r>
            <w:r>
              <w:rPr>
                <w:sz w:val="20"/>
                <w:szCs w:val="20"/>
              </w:rPr>
            </w:r>
            <w:r>
              <w:rPr>
                <w:sz w:val="20"/>
                <w:szCs w:val="20"/>
              </w:rPr>
            </w:r>
          </w:p>
        </w:tc>
        <w:tc>
          <w:tcPr>
            <w:tcW w:w="2659" w:type="pct"/>
            <w:vAlign w:val="center"/>
            <w:textDirection w:val="lrTb"/>
            <w:noWrap w:val="false"/>
          </w:tcPr>
          <w:p>
            <w:pPr>
              <w:spacing w:after="0"/>
              <w:rPr>
                <w:sz w:val="20"/>
                <w:szCs w:val="20"/>
              </w:rPr>
            </w:pPr>
            <w:r>
              <w:rPr>
                <w:sz w:val="20"/>
                <w:szCs w:val="20"/>
              </w:rPr>
              <w:t xml:space="preserve">Организационно - правовая форма</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spacing w:after="0"/>
              <w:rPr>
                <w:sz w:val="20"/>
                <w:szCs w:val="20"/>
              </w:rPr>
            </w:pPr>
            <w:r>
              <w:rPr>
                <w:sz w:val="20"/>
                <w:szCs w:val="20"/>
              </w:rPr>
              <w:t xml:space="preserve">3.</w:t>
            </w:r>
            <w:r>
              <w:rPr>
                <w:sz w:val="20"/>
                <w:szCs w:val="20"/>
              </w:rPr>
            </w:r>
            <w:r>
              <w:rPr>
                <w:sz w:val="20"/>
                <w:szCs w:val="20"/>
              </w:rPr>
            </w:r>
          </w:p>
        </w:tc>
        <w:tc>
          <w:tcPr>
            <w:tcW w:w="2659" w:type="pct"/>
            <w:vAlign w:val="center"/>
            <w:textDirection w:val="lrTb"/>
            <w:noWrap w:val="false"/>
          </w:tcPr>
          <w:p>
            <w:pPr>
              <w:spacing w:after="0"/>
              <w:rPr>
                <w:sz w:val="20"/>
                <w:szCs w:val="20"/>
              </w:rPr>
            </w:pPr>
            <w:r>
              <w:rPr>
                <w:sz w:val="20"/>
                <w:szCs w:val="20"/>
              </w:rPr>
              <w:t xml:space="preserve">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spacing w:after="0"/>
              <w:rPr>
                <w:sz w:val="20"/>
                <w:szCs w:val="20"/>
              </w:rPr>
            </w:pPr>
            <w:r>
              <w:rPr>
                <w:sz w:val="20"/>
                <w:szCs w:val="20"/>
              </w:rPr>
              <w:t xml:space="preserve">4.</w:t>
            </w:r>
            <w:r>
              <w:rPr>
                <w:sz w:val="20"/>
                <w:szCs w:val="20"/>
              </w:rPr>
            </w:r>
            <w:r>
              <w:rPr>
                <w:sz w:val="20"/>
                <w:szCs w:val="20"/>
              </w:rPr>
            </w:r>
          </w:p>
        </w:tc>
        <w:tc>
          <w:tcPr>
            <w:tcW w:w="2659" w:type="pct"/>
            <w:vAlign w:val="center"/>
            <w:textDirection w:val="lrTb"/>
            <w:noWrap w:val="false"/>
          </w:tcPr>
          <w:p>
            <w:pPr>
              <w:spacing w:after="0"/>
              <w:rPr>
                <w:sz w:val="20"/>
                <w:szCs w:val="20"/>
              </w:rPr>
            </w:pPr>
            <w:r>
              <w:rPr>
                <w:sz w:val="20"/>
                <w:szCs w:val="20"/>
              </w:rPr>
              <w:t xml:space="preserve">Стоимость основных фондов (по балансу последнего завершенного периода)</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spacing w:after="0"/>
              <w:rPr>
                <w:sz w:val="20"/>
                <w:szCs w:val="20"/>
              </w:rPr>
            </w:pPr>
            <w:r>
              <w:rPr>
                <w:sz w:val="20"/>
                <w:szCs w:val="20"/>
              </w:rPr>
              <w:t xml:space="preserve">5.</w:t>
            </w:r>
            <w:r>
              <w:rPr>
                <w:sz w:val="20"/>
                <w:szCs w:val="20"/>
              </w:rPr>
            </w:r>
            <w:r>
              <w:rPr>
                <w:sz w:val="20"/>
                <w:szCs w:val="20"/>
              </w:rPr>
            </w:r>
          </w:p>
        </w:tc>
        <w:tc>
          <w:tcPr>
            <w:tcW w:w="2659" w:type="pct"/>
            <w:vAlign w:val="center"/>
            <w:textDirection w:val="lrTb"/>
            <w:noWrap w:val="false"/>
          </w:tcPr>
          <w:p>
            <w:pPr>
              <w:spacing w:after="0"/>
              <w:rPr>
                <w:sz w:val="20"/>
                <w:szCs w:val="20"/>
              </w:rPr>
            </w:pPr>
            <w:r>
              <w:rPr>
                <w:sz w:val="20"/>
                <w:szCs w:val="20"/>
              </w:rPr>
              <w:t xml:space="preserve">Свидетельство о внесении в Единый государственный реестр юридических лиц/Единый государственный реестр индивидуальных предпринимателей (дата и номер, кем выдано)</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spacing w:after="0"/>
              <w:rPr>
                <w:sz w:val="20"/>
                <w:szCs w:val="20"/>
              </w:rPr>
            </w:pPr>
            <w:r>
              <w:rPr>
                <w:sz w:val="20"/>
                <w:szCs w:val="20"/>
              </w:rPr>
              <w:t xml:space="preserve">6</w:t>
            </w:r>
            <w:r>
              <w:rPr>
                <w:sz w:val="20"/>
                <w:szCs w:val="20"/>
              </w:rPr>
            </w:r>
            <w:r>
              <w:rPr>
                <w:sz w:val="20"/>
                <w:szCs w:val="20"/>
              </w:rPr>
            </w:r>
          </w:p>
        </w:tc>
        <w:tc>
          <w:tcPr>
            <w:tcW w:w="2659" w:type="pct"/>
            <w:vAlign w:val="center"/>
            <w:textDirection w:val="lrTb"/>
            <w:noWrap w:val="false"/>
          </w:tcPr>
          <w:p>
            <w:pPr>
              <w:spacing w:after="0"/>
              <w:rPr>
                <w:sz w:val="20"/>
                <w:szCs w:val="20"/>
              </w:rPr>
            </w:pPr>
            <w:r>
              <w:rPr>
                <w:sz w:val="20"/>
                <w:szCs w:val="20"/>
              </w:rPr>
              <w:t xml:space="preserve">Виды деятельности</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spacing w:after="0"/>
              <w:rPr>
                <w:sz w:val="20"/>
                <w:szCs w:val="20"/>
              </w:rPr>
            </w:pPr>
            <w:r>
              <w:rPr>
                <w:sz w:val="20"/>
                <w:szCs w:val="20"/>
              </w:rPr>
              <w:t xml:space="preserve">7.</w:t>
            </w:r>
            <w:r>
              <w:rPr>
                <w:sz w:val="20"/>
                <w:szCs w:val="20"/>
              </w:rPr>
            </w:r>
            <w:r>
              <w:rPr>
                <w:sz w:val="20"/>
                <w:szCs w:val="20"/>
              </w:rPr>
            </w:r>
          </w:p>
        </w:tc>
        <w:tc>
          <w:tcPr>
            <w:tcW w:w="2659" w:type="pct"/>
            <w:vAlign w:val="center"/>
            <w:textDirection w:val="lrTb"/>
            <w:noWrap w:val="false"/>
          </w:tcPr>
          <w:p>
            <w:pPr>
              <w:spacing w:after="0"/>
              <w:rPr>
                <w:sz w:val="20"/>
                <w:szCs w:val="20"/>
              </w:rPr>
            </w:pPr>
            <w:r>
              <w:rPr>
                <w:sz w:val="20"/>
                <w:szCs w:val="20"/>
              </w:rPr>
              <w:t xml:space="preserve">ИНН</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spacing w:after="0"/>
              <w:rPr>
                <w:sz w:val="20"/>
                <w:szCs w:val="20"/>
              </w:rPr>
            </w:pPr>
            <w:r>
              <w:rPr>
                <w:sz w:val="20"/>
                <w:szCs w:val="20"/>
              </w:rPr>
              <w:t xml:space="preserve">8.</w:t>
            </w:r>
            <w:r>
              <w:rPr>
                <w:sz w:val="20"/>
                <w:szCs w:val="20"/>
              </w:rPr>
            </w:r>
            <w:r>
              <w:rPr>
                <w:sz w:val="20"/>
                <w:szCs w:val="20"/>
              </w:rPr>
            </w:r>
          </w:p>
        </w:tc>
        <w:tc>
          <w:tcPr>
            <w:tcW w:w="2659" w:type="pct"/>
            <w:vAlign w:val="center"/>
            <w:textDirection w:val="lrTb"/>
            <w:noWrap w:val="false"/>
          </w:tcPr>
          <w:p>
            <w:pPr>
              <w:spacing w:after="0"/>
              <w:rPr>
                <w:sz w:val="20"/>
                <w:szCs w:val="20"/>
              </w:rPr>
            </w:pPr>
            <w:r>
              <w:rPr>
                <w:sz w:val="20"/>
                <w:szCs w:val="20"/>
              </w:rPr>
              <w:t xml:space="preserve">КПП</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spacing w:after="0"/>
              <w:rPr>
                <w:sz w:val="20"/>
                <w:szCs w:val="20"/>
              </w:rPr>
            </w:pPr>
            <w:r>
              <w:rPr>
                <w:sz w:val="20"/>
                <w:szCs w:val="20"/>
              </w:rPr>
              <w:t xml:space="preserve">9.</w:t>
            </w:r>
            <w:r>
              <w:rPr>
                <w:sz w:val="20"/>
                <w:szCs w:val="20"/>
              </w:rPr>
            </w:r>
            <w:r>
              <w:rPr>
                <w:sz w:val="20"/>
                <w:szCs w:val="20"/>
              </w:rPr>
            </w:r>
          </w:p>
        </w:tc>
        <w:tc>
          <w:tcPr>
            <w:tcW w:w="2659" w:type="pct"/>
            <w:vAlign w:val="center"/>
            <w:textDirection w:val="lrTb"/>
            <w:noWrap w:val="false"/>
          </w:tcPr>
          <w:p>
            <w:pPr>
              <w:spacing w:after="0"/>
              <w:rPr>
                <w:sz w:val="20"/>
                <w:szCs w:val="20"/>
              </w:rPr>
            </w:pPr>
            <w:r>
              <w:rPr>
                <w:sz w:val="20"/>
                <w:szCs w:val="20"/>
              </w:rPr>
              <w:t xml:space="preserve">Сведения о среднесписочной численности (на последнюю отчетную дату)</w:t>
            </w:r>
            <w:r>
              <w:rPr>
                <w:sz w:val="20"/>
                <w:szCs w:val="20"/>
                <w:vertAlign w:val="superscript"/>
              </w:rPr>
              <w:footnoteReference w:id="5"/>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spacing w:after="0"/>
              <w:rPr>
                <w:sz w:val="20"/>
                <w:szCs w:val="20"/>
              </w:rPr>
            </w:pPr>
            <w:r>
              <w:rPr>
                <w:sz w:val="20"/>
                <w:szCs w:val="20"/>
              </w:rPr>
              <w:t xml:space="preserve">10.</w:t>
            </w:r>
            <w:r>
              <w:rPr>
                <w:sz w:val="20"/>
                <w:szCs w:val="20"/>
              </w:rPr>
            </w:r>
            <w:r>
              <w:rPr>
                <w:sz w:val="20"/>
                <w:szCs w:val="20"/>
              </w:rPr>
            </w:r>
          </w:p>
        </w:tc>
        <w:tc>
          <w:tcPr>
            <w:tcW w:w="2659" w:type="pct"/>
            <w:vAlign w:val="center"/>
            <w:textDirection w:val="lrTb"/>
            <w:noWrap w:val="false"/>
          </w:tcPr>
          <w:p>
            <w:pPr>
              <w:spacing w:after="0"/>
              <w:rPr>
                <w:sz w:val="20"/>
                <w:szCs w:val="20"/>
              </w:rPr>
            </w:pPr>
            <w:r>
              <w:rPr>
                <w:sz w:val="20"/>
                <w:szCs w:val="20"/>
              </w:rPr>
              <w:t xml:space="preserve">Сведения о наличии (отсутствии) нарушений требований Налогового кодекса РФ (в текущем году и двум предшествующим годам)</w:t>
            </w:r>
            <w:r>
              <w:rPr>
                <w:sz w:val="20"/>
                <w:szCs w:val="20"/>
                <w:vertAlign w:val="superscript"/>
              </w:rPr>
              <w:footnoteReference w:id="6"/>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spacing w:after="0"/>
              <w:rPr>
                <w:sz w:val="20"/>
                <w:szCs w:val="20"/>
              </w:rPr>
            </w:pPr>
            <w:r>
              <w:rPr>
                <w:sz w:val="20"/>
                <w:szCs w:val="20"/>
              </w:rPr>
              <w:t xml:space="preserve">11.</w:t>
            </w:r>
            <w:r>
              <w:rPr>
                <w:sz w:val="20"/>
                <w:szCs w:val="20"/>
              </w:rPr>
            </w:r>
            <w:r>
              <w:rPr>
                <w:sz w:val="20"/>
                <w:szCs w:val="20"/>
              </w:rPr>
            </w:r>
          </w:p>
        </w:tc>
        <w:tc>
          <w:tcPr>
            <w:tcW w:w="2659" w:type="pct"/>
            <w:vAlign w:val="center"/>
            <w:textDirection w:val="lrTb"/>
            <w:noWrap w:val="false"/>
          </w:tcPr>
          <w:p>
            <w:pPr>
              <w:spacing w:after="0"/>
              <w:rPr>
                <w:sz w:val="20"/>
                <w:szCs w:val="20"/>
              </w:rPr>
            </w:pPr>
            <w:r>
              <w:rPr>
                <w:sz w:val="20"/>
                <w:szCs w:val="20"/>
              </w:rPr>
              <w:t xml:space="preserve">Сведения о наличии (отсутствии) просроченных невыполненных обязательств   перед ГК «Россети» (при наличии, указать сумму и наименование компании)</w:t>
            </w:r>
            <w:r>
              <w:rPr>
                <w:sz w:val="20"/>
                <w:szCs w:val="20"/>
                <w:vertAlign w:val="superscript"/>
              </w:rPr>
              <w:footnoteReference w:id="7"/>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jc w:val="left"/>
              <w:spacing w:after="0"/>
              <w:rPr>
                <w:sz w:val="20"/>
                <w:szCs w:val="20"/>
              </w:rPr>
            </w:pPr>
            <w:r>
              <w:rPr>
                <w:sz w:val="20"/>
                <w:szCs w:val="20"/>
              </w:rPr>
              <w:t xml:space="preserve">12.</w:t>
            </w:r>
            <w:r>
              <w:rPr>
                <w:sz w:val="20"/>
                <w:szCs w:val="20"/>
              </w:rPr>
            </w:r>
            <w:r>
              <w:rPr>
                <w:sz w:val="20"/>
                <w:szCs w:val="20"/>
              </w:rPr>
            </w:r>
          </w:p>
        </w:tc>
        <w:tc>
          <w:tcPr>
            <w:tcW w:w="2659" w:type="pct"/>
            <w:vAlign w:val="center"/>
            <w:textDirection w:val="lrTb"/>
            <w:noWrap w:val="false"/>
          </w:tcPr>
          <w:p>
            <w:pPr>
              <w:jc w:val="left"/>
              <w:spacing w:after="0"/>
              <w:rPr>
                <w:sz w:val="20"/>
                <w:szCs w:val="20"/>
              </w:rPr>
            </w:pPr>
            <w:r>
              <w:rPr>
                <w:sz w:val="20"/>
                <w:szCs w:val="20"/>
              </w:rPr>
              <w:t xml:space="preserve">Сведения о наличии в штате сотрудников (родственников сотрудников) иностранных публичных должностных лиц, должностных лиц публичных международных организаций, а также лиц, занимающих (занимавших) государственные должности Российской Федерации</w:t>
            </w:r>
            <w:r>
              <w:rPr>
                <w:sz w:val="20"/>
                <w:szCs w:val="20"/>
                <w:vertAlign w:val="superscript"/>
              </w:rPr>
              <w:footnoteReference w:id="8"/>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jc w:val="left"/>
              <w:spacing w:after="0"/>
              <w:rPr>
                <w:sz w:val="22"/>
                <w:szCs w:val="22"/>
              </w:rPr>
            </w:pPr>
            <w:r>
              <w:rPr>
                <w:sz w:val="22"/>
                <w:szCs w:val="22"/>
              </w:rPr>
              <w:t xml:space="preserve">13.</w:t>
            </w:r>
            <w:r>
              <w:rPr>
                <w:sz w:val="22"/>
                <w:szCs w:val="22"/>
              </w:rPr>
            </w:r>
            <w:r>
              <w:rPr>
                <w:sz w:val="22"/>
                <w:szCs w:val="22"/>
              </w:rPr>
            </w:r>
          </w:p>
        </w:tc>
        <w:tc>
          <w:tcPr>
            <w:tcW w:w="2659" w:type="pct"/>
            <w:vAlign w:val="center"/>
            <w:textDirection w:val="lrTb"/>
            <w:noWrap w:val="false"/>
          </w:tcPr>
          <w:p>
            <w:pPr>
              <w:jc w:val="left"/>
              <w:spacing w:after="0"/>
              <w:rPr>
                <w:sz w:val="22"/>
                <w:szCs w:val="22"/>
              </w:rPr>
            </w:pPr>
            <w:r>
              <w:rPr>
                <w:sz w:val="22"/>
                <w:szCs w:val="22"/>
              </w:rPr>
              <w:t xml:space="preserve">Юридический адрес</w:t>
            </w:r>
            <w:r>
              <w:rPr>
                <w:sz w:val="22"/>
                <w:szCs w:val="22"/>
              </w:rPr>
            </w:r>
            <w:r>
              <w:rPr>
                <w:sz w:val="22"/>
                <w:szCs w:val="22"/>
              </w:rPr>
            </w:r>
          </w:p>
        </w:tc>
        <w:tc>
          <w:tcPr>
            <w:tcW w:w="1903" w:type="pct"/>
            <w:vAlign w:val="center"/>
            <w:textDirection w:val="lrTb"/>
            <w:noWrap w:val="false"/>
          </w:tcPr>
          <w:p>
            <w:pPr>
              <w:spacing w:after="0"/>
            </w:pPr>
            <w:r/>
            <w:r/>
          </w:p>
        </w:tc>
      </w:tr>
      <w:tr>
        <w:tblPrEx/>
        <w:trPr>
          <w:cantSplit/>
        </w:trPr>
        <w:tc>
          <w:tcPr>
            <w:tcW w:w="439" w:type="pct"/>
            <w:vAlign w:val="center"/>
            <w:textDirection w:val="lrTb"/>
            <w:noWrap w:val="false"/>
          </w:tcPr>
          <w:p>
            <w:pPr>
              <w:jc w:val="left"/>
              <w:spacing w:after="0"/>
              <w:rPr>
                <w:sz w:val="22"/>
                <w:szCs w:val="22"/>
              </w:rPr>
            </w:pPr>
            <w:r>
              <w:rPr>
                <w:sz w:val="22"/>
                <w:szCs w:val="22"/>
              </w:rPr>
              <w:t xml:space="preserve">14.</w:t>
            </w:r>
            <w:r>
              <w:rPr>
                <w:sz w:val="22"/>
                <w:szCs w:val="22"/>
              </w:rPr>
            </w:r>
            <w:r>
              <w:rPr>
                <w:sz w:val="22"/>
                <w:szCs w:val="22"/>
              </w:rPr>
            </w:r>
          </w:p>
        </w:tc>
        <w:tc>
          <w:tcPr>
            <w:tcW w:w="2659" w:type="pct"/>
            <w:vAlign w:val="center"/>
            <w:textDirection w:val="lrTb"/>
            <w:noWrap w:val="false"/>
          </w:tcPr>
          <w:p>
            <w:pPr>
              <w:jc w:val="left"/>
              <w:spacing w:after="0"/>
              <w:rPr>
                <w:sz w:val="22"/>
                <w:szCs w:val="22"/>
              </w:rPr>
            </w:pPr>
            <w:r>
              <w:rPr>
                <w:sz w:val="22"/>
                <w:szCs w:val="22"/>
              </w:rPr>
              <w:t xml:space="preserve">Почтовый адрес</w:t>
            </w:r>
            <w:r>
              <w:rPr>
                <w:sz w:val="22"/>
                <w:szCs w:val="22"/>
              </w:rPr>
            </w:r>
            <w:r>
              <w:rPr>
                <w:sz w:val="22"/>
                <w:szCs w:val="22"/>
              </w:rPr>
            </w:r>
          </w:p>
        </w:tc>
        <w:tc>
          <w:tcPr>
            <w:tcW w:w="1903" w:type="pct"/>
            <w:vAlign w:val="center"/>
            <w:textDirection w:val="lrTb"/>
            <w:noWrap w:val="false"/>
          </w:tcPr>
          <w:p>
            <w:pPr>
              <w:spacing w:after="0"/>
            </w:pPr>
            <w:r/>
            <w:r/>
          </w:p>
        </w:tc>
      </w:tr>
      <w:tr>
        <w:tblPrEx/>
        <w:trPr>
          <w:cantSplit/>
        </w:trPr>
        <w:tc>
          <w:tcPr>
            <w:tcW w:w="439" w:type="pct"/>
            <w:vAlign w:val="center"/>
            <w:textDirection w:val="lrTb"/>
            <w:noWrap w:val="false"/>
          </w:tcPr>
          <w:p>
            <w:pPr>
              <w:jc w:val="left"/>
              <w:spacing w:after="0"/>
              <w:rPr>
                <w:sz w:val="22"/>
                <w:szCs w:val="22"/>
              </w:rPr>
            </w:pPr>
            <w:r>
              <w:rPr>
                <w:sz w:val="22"/>
                <w:szCs w:val="22"/>
              </w:rPr>
              <w:t xml:space="preserve">15.</w:t>
            </w:r>
            <w:r>
              <w:rPr>
                <w:sz w:val="22"/>
                <w:szCs w:val="22"/>
              </w:rPr>
            </w:r>
            <w:r>
              <w:rPr>
                <w:sz w:val="22"/>
                <w:szCs w:val="22"/>
              </w:rPr>
            </w:r>
          </w:p>
        </w:tc>
        <w:tc>
          <w:tcPr>
            <w:tcW w:w="2659" w:type="pct"/>
            <w:vAlign w:val="center"/>
            <w:textDirection w:val="lrTb"/>
            <w:noWrap w:val="false"/>
          </w:tcPr>
          <w:p>
            <w:pPr>
              <w:jc w:val="left"/>
              <w:spacing w:after="0"/>
              <w:rPr>
                <w:sz w:val="22"/>
                <w:szCs w:val="22"/>
              </w:rPr>
            </w:pPr>
            <w:r>
              <w:rPr>
                <w:sz w:val="22"/>
                <w:szCs w:val="22"/>
              </w:rPr>
              <w:t xml:space="preserve">Фактическое местоположение</w:t>
            </w:r>
            <w:r>
              <w:rPr>
                <w:sz w:val="22"/>
                <w:szCs w:val="22"/>
              </w:rPr>
            </w:r>
            <w:r>
              <w:rPr>
                <w:sz w:val="22"/>
                <w:szCs w:val="22"/>
              </w:rPr>
            </w:r>
          </w:p>
        </w:tc>
        <w:tc>
          <w:tcPr>
            <w:tcW w:w="1903" w:type="pct"/>
            <w:vAlign w:val="center"/>
            <w:textDirection w:val="lrTb"/>
            <w:noWrap w:val="false"/>
          </w:tcPr>
          <w:p>
            <w:pPr>
              <w:spacing w:after="0"/>
            </w:pPr>
            <w:r/>
            <w:r/>
          </w:p>
        </w:tc>
      </w:tr>
      <w:tr>
        <w:tblPrEx/>
        <w:trPr>
          <w:cantSplit/>
        </w:trPr>
        <w:tc>
          <w:tcPr>
            <w:tcW w:w="439" w:type="pct"/>
            <w:vAlign w:val="center"/>
            <w:textDirection w:val="lrTb"/>
            <w:noWrap w:val="false"/>
          </w:tcPr>
          <w:p>
            <w:pPr>
              <w:jc w:val="left"/>
              <w:spacing w:after="0"/>
              <w:rPr>
                <w:sz w:val="22"/>
                <w:szCs w:val="22"/>
              </w:rPr>
            </w:pPr>
            <w:r>
              <w:rPr>
                <w:sz w:val="22"/>
                <w:szCs w:val="22"/>
              </w:rPr>
              <w:t xml:space="preserve">16.</w:t>
            </w:r>
            <w:r>
              <w:rPr>
                <w:sz w:val="22"/>
                <w:szCs w:val="22"/>
              </w:rPr>
            </w:r>
            <w:r>
              <w:rPr>
                <w:sz w:val="22"/>
                <w:szCs w:val="22"/>
              </w:rPr>
            </w:r>
          </w:p>
        </w:tc>
        <w:tc>
          <w:tcPr>
            <w:tcW w:w="2659" w:type="pct"/>
            <w:vAlign w:val="center"/>
            <w:textDirection w:val="lrTb"/>
            <w:noWrap w:val="false"/>
          </w:tcPr>
          <w:p>
            <w:pPr>
              <w:jc w:val="left"/>
              <w:spacing w:after="0"/>
              <w:rPr>
                <w:sz w:val="22"/>
                <w:szCs w:val="22"/>
              </w:rPr>
            </w:pPr>
            <w:r>
              <w:rPr>
                <w:sz w:val="22"/>
                <w:szCs w:val="22"/>
              </w:rPr>
              <w:t xml:space="preserve">Филиалы: перечислить наименования и почтовые адреса</w:t>
            </w:r>
            <w:r>
              <w:rPr>
                <w:sz w:val="22"/>
                <w:szCs w:val="22"/>
              </w:rPr>
            </w:r>
            <w:r>
              <w:rPr>
                <w:sz w:val="22"/>
                <w:szCs w:val="22"/>
              </w:rPr>
            </w:r>
          </w:p>
        </w:tc>
        <w:tc>
          <w:tcPr>
            <w:tcW w:w="1903" w:type="pct"/>
            <w:vAlign w:val="center"/>
            <w:textDirection w:val="lrTb"/>
            <w:noWrap w:val="false"/>
          </w:tcPr>
          <w:p>
            <w:pPr>
              <w:spacing w:after="0"/>
            </w:pPr>
            <w:r/>
            <w:r/>
          </w:p>
        </w:tc>
      </w:tr>
      <w:tr>
        <w:tblPrEx/>
        <w:trPr>
          <w:cantSplit/>
        </w:trPr>
        <w:tc>
          <w:tcPr>
            <w:tcW w:w="439" w:type="pct"/>
            <w:vAlign w:val="center"/>
            <w:textDirection w:val="lrTb"/>
            <w:noWrap w:val="false"/>
          </w:tcPr>
          <w:p>
            <w:pPr>
              <w:jc w:val="left"/>
              <w:spacing w:after="0"/>
              <w:rPr>
                <w:sz w:val="20"/>
                <w:szCs w:val="20"/>
              </w:rPr>
            </w:pPr>
            <w:r>
              <w:rPr>
                <w:sz w:val="20"/>
                <w:szCs w:val="20"/>
              </w:rPr>
              <w:t xml:space="preserve">17.</w:t>
            </w:r>
            <w:r>
              <w:rPr>
                <w:sz w:val="20"/>
                <w:szCs w:val="20"/>
              </w:rPr>
            </w:r>
            <w:r>
              <w:rPr>
                <w:sz w:val="20"/>
                <w:szCs w:val="20"/>
              </w:rPr>
            </w:r>
          </w:p>
        </w:tc>
        <w:tc>
          <w:tcPr>
            <w:tcW w:w="2659" w:type="pct"/>
            <w:vAlign w:val="center"/>
            <w:textDirection w:val="lrTb"/>
            <w:noWrap w:val="false"/>
          </w:tcPr>
          <w:p>
            <w:pPr>
              <w:jc w:val="left"/>
              <w:spacing w:after="0"/>
              <w:rPr>
                <w:sz w:val="20"/>
                <w:szCs w:val="20"/>
              </w:rPr>
            </w:pPr>
            <w:r>
              <w:rPr>
                <w:sz w:val="20"/>
                <w:szCs w:val="20"/>
              </w:rPr>
              <w:t xml:space="preserve">Банковские реквизиты (наименование и адрес банка, номер расчетного счета Участника закупки в банке, телефоны банка, прочие банковские реквизиты)</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jc w:val="left"/>
              <w:spacing w:after="0"/>
              <w:rPr>
                <w:sz w:val="20"/>
                <w:szCs w:val="20"/>
              </w:rPr>
            </w:pPr>
            <w:r>
              <w:rPr>
                <w:sz w:val="20"/>
                <w:szCs w:val="20"/>
              </w:rPr>
              <w:t xml:space="preserve">18.</w:t>
            </w:r>
            <w:r>
              <w:rPr>
                <w:sz w:val="20"/>
                <w:szCs w:val="20"/>
              </w:rPr>
            </w:r>
            <w:r>
              <w:rPr>
                <w:sz w:val="20"/>
                <w:szCs w:val="20"/>
              </w:rPr>
            </w:r>
          </w:p>
        </w:tc>
        <w:tc>
          <w:tcPr>
            <w:tcW w:w="2659" w:type="pct"/>
            <w:vAlign w:val="center"/>
            <w:textDirection w:val="lrTb"/>
            <w:noWrap w:val="false"/>
          </w:tcPr>
          <w:p>
            <w:pPr>
              <w:jc w:val="left"/>
              <w:spacing w:after="0"/>
              <w:rPr>
                <w:sz w:val="20"/>
                <w:szCs w:val="20"/>
              </w:rPr>
            </w:pPr>
            <w:r>
              <w:rPr>
                <w:sz w:val="20"/>
                <w:szCs w:val="20"/>
              </w:rPr>
              <w:t xml:space="preserve">Телефоны Участника закупки</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Height w:val="116"/>
        </w:trPr>
        <w:tc>
          <w:tcPr>
            <w:tcW w:w="439" w:type="pct"/>
            <w:vAlign w:val="center"/>
            <w:textDirection w:val="lrTb"/>
            <w:noWrap w:val="false"/>
          </w:tcPr>
          <w:p>
            <w:pPr>
              <w:jc w:val="left"/>
              <w:spacing w:after="0"/>
              <w:rPr>
                <w:sz w:val="20"/>
                <w:szCs w:val="20"/>
              </w:rPr>
            </w:pPr>
            <w:r>
              <w:rPr>
                <w:sz w:val="20"/>
                <w:szCs w:val="20"/>
              </w:rPr>
              <w:t xml:space="preserve">19.</w:t>
            </w:r>
            <w:r>
              <w:rPr>
                <w:sz w:val="20"/>
                <w:szCs w:val="20"/>
              </w:rPr>
            </w:r>
            <w:r>
              <w:rPr>
                <w:sz w:val="20"/>
                <w:szCs w:val="20"/>
              </w:rPr>
            </w:r>
          </w:p>
        </w:tc>
        <w:tc>
          <w:tcPr>
            <w:tcW w:w="2659" w:type="pct"/>
            <w:vAlign w:val="center"/>
            <w:textDirection w:val="lrTb"/>
            <w:noWrap w:val="false"/>
          </w:tcPr>
          <w:p>
            <w:pPr>
              <w:jc w:val="left"/>
              <w:spacing w:after="0"/>
              <w:rPr>
                <w:sz w:val="20"/>
                <w:szCs w:val="20"/>
              </w:rPr>
            </w:pPr>
            <w:r>
              <w:rPr>
                <w:sz w:val="20"/>
                <w:szCs w:val="20"/>
              </w:rPr>
              <w:t xml:space="preserve">Факс Участника закупки (с указанием кода города)</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jc w:val="left"/>
              <w:spacing w:after="0"/>
              <w:rPr>
                <w:sz w:val="20"/>
                <w:szCs w:val="20"/>
              </w:rPr>
            </w:pPr>
            <w:r>
              <w:rPr>
                <w:sz w:val="20"/>
                <w:szCs w:val="20"/>
              </w:rPr>
              <w:t xml:space="preserve">20.</w:t>
            </w:r>
            <w:r>
              <w:rPr>
                <w:sz w:val="20"/>
                <w:szCs w:val="20"/>
              </w:rPr>
            </w:r>
            <w:r>
              <w:rPr>
                <w:sz w:val="20"/>
                <w:szCs w:val="20"/>
              </w:rPr>
            </w:r>
          </w:p>
        </w:tc>
        <w:tc>
          <w:tcPr>
            <w:tcW w:w="2659" w:type="pct"/>
            <w:vAlign w:val="center"/>
            <w:textDirection w:val="lrTb"/>
            <w:noWrap w:val="false"/>
          </w:tcPr>
          <w:p>
            <w:pPr>
              <w:jc w:val="left"/>
              <w:spacing w:after="0"/>
              <w:rPr>
                <w:sz w:val="20"/>
                <w:szCs w:val="20"/>
              </w:rPr>
            </w:pPr>
            <w:r>
              <w:rPr>
                <w:sz w:val="20"/>
                <w:szCs w:val="20"/>
              </w:rPr>
              <w:t xml:space="preserve">Адрес электронной почты Участника закупки</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jc w:val="left"/>
              <w:spacing w:after="0"/>
              <w:rPr>
                <w:sz w:val="20"/>
                <w:szCs w:val="20"/>
              </w:rPr>
            </w:pPr>
            <w:r>
              <w:rPr>
                <w:sz w:val="20"/>
                <w:szCs w:val="20"/>
              </w:rPr>
              <w:t xml:space="preserve">21.</w:t>
            </w:r>
            <w:r>
              <w:rPr>
                <w:sz w:val="20"/>
                <w:szCs w:val="20"/>
              </w:rPr>
            </w:r>
            <w:r>
              <w:rPr>
                <w:sz w:val="20"/>
                <w:szCs w:val="20"/>
              </w:rPr>
            </w:r>
          </w:p>
        </w:tc>
        <w:tc>
          <w:tcPr>
            <w:tcW w:w="2659" w:type="pct"/>
            <w:vAlign w:val="center"/>
            <w:textDirection w:val="lrTb"/>
            <w:noWrap w:val="false"/>
          </w:tcPr>
          <w:p>
            <w:pPr>
              <w:jc w:val="left"/>
              <w:spacing w:after="0"/>
              <w:rPr>
                <w:sz w:val="20"/>
                <w:szCs w:val="20"/>
              </w:rPr>
            </w:pPr>
            <w:r>
              <w:rPr>
                <w:sz w:val="20"/>
                <w:szCs w:val="20"/>
              </w:rPr>
              <w:t xml:space="preserve">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jc w:val="left"/>
              <w:spacing w:after="0"/>
              <w:rPr>
                <w:sz w:val="20"/>
                <w:szCs w:val="20"/>
              </w:rPr>
            </w:pPr>
            <w:r>
              <w:rPr>
                <w:sz w:val="20"/>
                <w:szCs w:val="20"/>
              </w:rPr>
              <w:t xml:space="preserve">22.</w:t>
            </w:r>
            <w:r>
              <w:rPr>
                <w:sz w:val="20"/>
                <w:szCs w:val="20"/>
              </w:rPr>
            </w:r>
            <w:r>
              <w:rPr>
                <w:sz w:val="20"/>
                <w:szCs w:val="20"/>
              </w:rPr>
            </w:r>
          </w:p>
        </w:tc>
        <w:tc>
          <w:tcPr>
            <w:tcW w:w="2659" w:type="pct"/>
            <w:vAlign w:val="center"/>
            <w:textDirection w:val="lrTb"/>
            <w:noWrap w:val="false"/>
          </w:tcPr>
          <w:p>
            <w:pPr>
              <w:jc w:val="left"/>
              <w:spacing w:after="0"/>
              <w:rPr>
                <w:sz w:val="20"/>
                <w:szCs w:val="20"/>
              </w:rPr>
            </w:pPr>
            <w:r>
              <w:rPr>
                <w:sz w:val="20"/>
                <w:szCs w:val="20"/>
              </w:rPr>
              <w:t xml:space="preserve">Фамилия, Имя и Отчество ответственного лица Участника закупки с указанием должности и контактного телефона</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jc w:val="left"/>
              <w:spacing w:after="0"/>
              <w:rPr>
                <w:sz w:val="20"/>
                <w:szCs w:val="20"/>
              </w:rPr>
            </w:pPr>
            <w:r>
              <w:rPr>
                <w:sz w:val="20"/>
                <w:szCs w:val="20"/>
              </w:rPr>
              <w:t xml:space="preserve">23.</w:t>
            </w:r>
            <w:r>
              <w:rPr>
                <w:sz w:val="20"/>
                <w:szCs w:val="20"/>
              </w:rPr>
            </w:r>
            <w:r>
              <w:rPr>
                <w:sz w:val="20"/>
                <w:szCs w:val="20"/>
              </w:rPr>
            </w:r>
          </w:p>
        </w:tc>
        <w:tc>
          <w:tcPr>
            <w:tcW w:w="2659" w:type="pct"/>
            <w:vAlign w:val="center"/>
            <w:textDirection w:val="lrTb"/>
            <w:noWrap w:val="false"/>
          </w:tcPr>
          <w:p>
            <w:pPr>
              <w:jc w:val="left"/>
              <w:spacing w:after="0"/>
              <w:rPr>
                <w:sz w:val="20"/>
                <w:szCs w:val="20"/>
              </w:rPr>
            </w:pPr>
            <w:r>
              <w:rPr>
                <w:sz w:val="20"/>
                <w:szCs w:val="20"/>
              </w:rPr>
              <w:t xml:space="preserve">Отн</w:t>
            </w:r>
            <w:r>
              <w:rPr>
                <w:sz w:val="20"/>
                <w:szCs w:val="20"/>
              </w:rPr>
              <w:t xml:space="preserve">есение Участника закупки к категории субъектов малого и среднего предпринимательства (в случае наличия у Участника закупки статуса субъекта МСП указать категорию МСП: индивидуальный предприниматель, микропредприятие, малое предприятие, среднее предприятие)</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r>
        <w:tblPrEx/>
        <w:trPr>
          <w:cantSplit/>
        </w:trPr>
        <w:tc>
          <w:tcPr>
            <w:tcW w:w="439" w:type="pct"/>
            <w:vAlign w:val="center"/>
            <w:textDirection w:val="lrTb"/>
            <w:noWrap w:val="false"/>
          </w:tcPr>
          <w:p>
            <w:pPr>
              <w:jc w:val="left"/>
              <w:spacing w:after="0"/>
              <w:rPr>
                <w:sz w:val="20"/>
                <w:szCs w:val="20"/>
              </w:rPr>
            </w:pPr>
            <w:r>
              <w:rPr>
                <w:sz w:val="20"/>
                <w:szCs w:val="20"/>
              </w:rPr>
              <w:t xml:space="preserve">24.</w:t>
            </w:r>
            <w:r>
              <w:rPr>
                <w:sz w:val="20"/>
                <w:szCs w:val="20"/>
              </w:rPr>
            </w:r>
            <w:r>
              <w:rPr>
                <w:sz w:val="20"/>
                <w:szCs w:val="20"/>
              </w:rPr>
            </w:r>
          </w:p>
        </w:tc>
        <w:tc>
          <w:tcPr>
            <w:tcW w:w="2659" w:type="pct"/>
            <w:vAlign w:val="center"/>
            <w:textDirection w:val="lrTb"/>
            <w:noWrap w:val="false"/>
          </w:tcPr>
          <w:p>
            <w:pPr>
              <w:jc w:val="left"/>
              <w:spacing w:after="0"/>
              <w:rPr>
                <w:sz w:val="20"/>
                <w:szCs w:val="20"/>
              </w:rPr>
            </w:pPr>
            <w:r>
              <w:rPr>
                <w:sz w:val="20"/>
                <w:szCs w:val="20"/>
              </w:rPr>
              <w:t xml:space="preserve">Адрес электронной почты Участника закупки для направления проекта Договора в случае выбора участника победителем закупки (либо единственным участником, признанным соответствующим требованиям документации о закупке)</w:t>
            </w:r>
            <w:r>
              <w:rPr>
                <w:sz w:val="20"/>
                <w:szCs w:val="20"/>
              </w:rPr>
            </w:r>
            <w:r>
              <w:rPr>
                <w:sz w:val="20"/>
                <w:szCs w:val="20"/>
              </w:rPr>
            </w:r>
          </w:p>
        </w:tc>
        <w:tc>
          <w:tcPr>
            <w:tcW w:w="1903" w:type="pct"/>
            <w:vAlign w:val="center"/>
            <w:textDirection w:val="lrTb"/>
            <w:noWrap w:val="false"/>
          </w:tcPr>
          <w:p>
            <w:pPr>
              <w:spacing w:after="0"/>
              <w:rPr>
                <w:sz w:val="20"/>
                <w:szCs w:val="20"/>
              </w:rPr>
            </w:pPr>
            <w:r>
              <w:rPr>
                <w:sz w:val="20"/>
                <w:szCs w:val="20"/>
              </w:rPr>
            </w:r>
            <w:r>
              <w:rPr>
                <w:sz w:val="20"/>
                <w:szCs w:val="20"/>
              </w:rPr>
            </w:r>
            <w:r>
              <w:rPr>
                <w:sz w:val="20"/>
                <w:szCs w:val="20"/>
              </w:rPr>
            </w:r>
          </w:p>
        </w:tc>
      </w:tr>
    </w:tbl>
    <w:p>
      <w:pPr>
        <w:spacing w:after="0"/>
      </w:pPr>
      <w:r/>
      <w:r/>
    </w:p>
    <w:tbl>
      <w:tblPr>
        <w:tblW w:w="0" w:type="auto"/>
        <w:tblInd w:w="108" w:type="dxa"/>
        <w:tblLook w:val="01E0" w:firstRow="1" w:lastRow="1" w:firstColumn="1" w:lastColumn="1" w:noHBand="0" w:noVBand="0"/>
      </w:tblPr>
      <w:tblGrid>
        <w:gridCol w:w="3960"/>
        <w:gridCol w:w="1002"/>
        <w:gridCol w:w="4677"/>
      </w:tblGrid>
      <w:tr>
        <w:tblPrEx/>
        <w:trPr/>
        <w:tc>
          <w:tcPr>
            <w:tcBorders>
              <w:bottom w:val="single" w:color="auto" w:sz="4" w:space="0"/>
            </w:tcBorders>
            <w:tcW w:w="3960" w:type="dxa"/>
            <w:textDirection w:val="lrTb"/>
            <w:noWrap w:val="false"/>
          </w:tcPr>
          <w:p>
            <w:pPr>
              <w:spacing w:after="0"/>
            </w:pPr>
            <w:r/>
            <w:r/>
          </w:p>
        </w:tc>
        <w:tc>
          <w:tcPr>
            <w:tcW w:w="1002" w:type="dxa"/>
            <w:textDirection w:val="lrTb"/>
            <w:noWrap w:val="false"/>
          </w:tcPr>
          <w:p>
            <w:pPr>
              <w:spacing w:after="0"/>
            </w:pPr>
            <w:r/>
            <w:r/>
          </w:p>
        </w:tc>
        <w:tc>
          <w:tcPr>
            <w:tcBorders>
              <w:bottom w:val="single" w:color="auto" w:sz="4" w:space="0"/>
            </w:tcBorders>
            <w:tcW w:w="4677" w:type="dxa"/>
            <w:textDirection w:val="lrTb"/>
            <w:noWrap w:val="false"/>
          </w:tcPr>
          <w:p>
            <w:pPr>
              <w:spacing w:after="0"/>
            </w:pPr>
            <w:r/>
            <w:r/>
          </w:p>
        </w:tc>
      </w:tr>
      <w:tr>
        <w:tblPrEx/>
        <w:trPr/>
        <w:tc>
          <w:tcPr>
            <w:tcBorders>
              <w:top w:val="single" w:color="auto" w:sz="4" w:space="0"/>
            </w:tcBorders>
            <w:tcW w:w="3960" w:type="dxa"/>
            <w:textDirection w:val="lrTb"/>
            <w:noWrap w:val="false"/>
          </w:tcPr>
          <w:p>
            <w:pPr>
              <w:jc w:val="center"/>
              <w:spacing w:after="0"/>
              <w:rPr>
                <w:i/>
                <w:sz w:val="20"/>
                <w:szCs w:val="20"/>
              </w:rPr>
            </w:pPr>
            <w:r>
              <w:rPr>
                <w:i/>
                <w:sz w:val="20"/>
                <w:szCs w:val="20"/>
              </w:rPr>
              <w:t xml:space="preserve">(подпись уполномоченного представителя)</w:t>
            </w:r>
            <w:r>
              <w:rPr>
                <w:i/>
                <w:sz w:val="20"/>
                <w:szCs w:val="20"/>
              </w:rPr>
            </w:r>
            <w:r>
              <w:rPr>
                <w:i/>
                <w:sz w:val="20"/>
                <w:szCs w:val="20"/>
              </w:rPr>
            </w:r>
          </w:p>
        </w:tc>
        <w:tc>
          <w:tcPr>
            <w:tcW w:w="1002" w:type="dxa"/>
            <w:textDirection w:val="lrTb"/>
            <w:noWrap w:val="false"/>
          </w:tcPr>
          <w:p>
            <w:pPr>
              <w:jc w:val="center"/>
              <w:spacing w:after="0"/>
              <w:rPr>
                <w:i/>
                <w:sz w:val="20"/>
                <w:szCs w:val="20"/>
              </w:rPr>
            </w:pPr>
            <w:r>
              <w:rPr>
                <w:i/>
                <w:sz w:val="20"/>
                <w:szCs w:val="20"/>
              </w:rPr>
            </w:r>
            <w:r>
              <w:rPr>
                <w:i/>
                <w:sz w:val="20"/>
                <w:szCs w:val="20"/>
              </w:rPr>
            </w:r>
            <w:r>
              <w:rPr>
                <w:i/>
                <w:sz w:val="20"/>
                <w:szCs w:val="20"/>
              </w:rPr>
            </w:r>
          </w:p>
        </w:tc>
        <w:tc>
          <w:tcPr>
            <w:tcBorders>
              <w:top w:val="single" w:color="auto" w:sz="4" w:space="0"/>
            </w:tcBorders>
            <w:tcW w:w="4677" w:type="dxa"/>
            <w:textDirection w:val="lrTb"/>
            <w:noWrap w:val="false"/>
          </w:tcPr>
          <w:p>
            <w:pPr>
              <w:jc w:val="center"/>
              <w:spacing w:after="0"/>
              <w:rPr>
                <w:i/>
                <w:sz w:val="20"/>
                <w:szCs w:val="20"/>
              </w:rPr>
            </w:pPr>
            <w:r>
              <w:rPr>
                <w:i/>
                <w:sz w:val="20"/>
                <w:szCs w:val="20"/>
              </w:rPr>
              <w:t xml:space="preserve">(фамилия, имя, отчество подписавшего, должность)</w:t>
            </w:r>
            <w:r>
              <w:rPr>
                <w:i/>
                <w:sz w:val="20"/>
                <w:szCs w:val="20"/>
              </w:rPr>
            </w:r>
            <w:r>
              <w:rPr>
                <w:i/>
                <w:sz w:val="20"/>
                <w:szCs w:val="20"/>
              </w:rPr>
            </w:r>
          </w:p>
        </w:tc>
      </w:tr>
    </w:tbl>
    <w:p>
      <w:pPr>
        <w:spacing w:after="0"/>
        <w:rPr>
          <w:b/>
          <w:i/>
          <w:sz w:val="22"/>
          <w:szCs w:val="22"/>
        </w:rPr>
      </w:pPr>
      <w:r>
        <w:rPr>
          <w:b/>
          <w:i/>
          <w:sz w:val="22"/>
          <w:szCs w:val="22"/>
        </w:rPr>
        <w:t xml:space="preserve">М.П.</w:t>
      </w:r>
      <w:r>
        <w:rPr>
          <w:b/>
          <w:i/>
          <w:sz w:val="22"/>
          <w:szCs w:val="22"/>
        </w:rPr>
      </w:r>
      <w:r>
        <w:rPr>
          <w:b/>
          <w:i/>
          <w:sz w:val="22"/>
          <w:szCs w:val="22"/>
        </w:rP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ind w:firstLine="567"/>
        <w:jc w:val="right"/>
        <w:pageBreakBefore/>
        <w:rPr>
          <w:b/>
          <w:i/>
        </w:rPr>
      </w:pPr>
      <w:r>
        <w:rPr>
          <w:b/>
          <w:i/>
        </w:rPr>
        <w:t xml:space="preserve">Приложение к Анкете</w:t>
      </w:r>
      <w:r>
        <w:rPr>
          <w:b/>
          <w:i/>
        </w:rPr>
      </w:r>
      <w:r>
        <w:rPr>
          <w:b/>
          <w:i/>
        </w:rPr>
      </w:r>
    </w:p>
    <w:p>
      <w:pPr>
        <w:ind w:firstLine="567"/>
        <w:spacing w:after="0"/>
      </w:pPr>
      <w:r/>
      <w:r/>
    </w:p>
    <w:p>
      <w:pPr>
        <w:jc w:val="center"/>
        <w:spacing w:after="0"/>
        <w:rPr>
          <w:b/>
        </w:rPr>
      </w:pPr>
      <w:r>
        <w:rPr>
          <w:b/>
        </w:rPr>
        <w:t xml:space="preserve">ПЕРЕЧЕНЬ ПУБЛИЧНЫХ ДОЛЖНОСТНЫХ ЛИЦ</w:t>
      </w:r>
      <w:r>
        <w:rPr>
          <w:b/>
        </w:rPr>
      </w:r>
      <w:r>
        <w:rPr>
          <w:b/>
        </w:rPr>
      </w:r>
    </w:p>
    <w:p>
      <w:pPr>
        <w:jc w:val="center"/>
        <w:spacing w:after="0"/>
        <w:rPr>
          <w:b/>
        </w:rPr>
      </w:pPr>
      <w:r>
        <w:rPr>
          <w:b/>
        </w:rPr>
      </w:r>
      <w:r>
        <w:rPr>
          <w:b/>
        </w:rPr>
      </w:r>
      <w:r>
        <w:rPr>
          <w:b/>
        </w:rPr>
      </w:r>
    </w:p>
    <w:p>
      <w:pPr>
        <w:ind w:firstLine="567"/>
        <w:spacing w:after="0"/>
      </w:pPr>
      <w:r>
        <w:t xml:space="preserve">Организациям и их работникам следует принимать во внимание, что к ним могут применяться нормы и санкции, установленные не только российским, но и зарубежным антикоррупционным законодательством, в соответствии с </w:t>
      </w:r>
      <w:hyperlink r:id="rId21" w:tooltip="consultantplus://offline/ref=B7E04B8F5BC345C22463EADCAE81D93CF0C11310A0643D58FEE589F49Ff2C9L" w:history="1">
        <w:r>
          <w:t xml:space="preserve">Конвенцией</w:t>
        </w:r>
      </w:hyperlink>
      <w:r>
        <w:t xml:space="preserve"> против коррупции Организации Объединенных Наций, принятой резолюцией 58/4 Генеральной Ассамблеи ООН от 31 октября 2003 года. </w:t>
      </w:r>
      <w:r/>
    </w:p>
    <w:p>
      <w:pPr>
        <w:ind w:firstLine="567"/>
        <w:spacing w:after="0"/>
      </w:pPr>
      <w:r>
        <w:t xml:space="preserve">Российская Федерация ратифицировала </w:t>
      </w:r>
      <w:hyperlink r:id="rId22" w:tooltip="consultantplus://offline/ref=B7E04B8F5BC345C22463EADCAE81D93CF0C11310A0643D58FEE589F49Ff2C9L" w:history="1">
        <w:r>
          <w:t xml:space="preserve">Конвенцию</w:t>
        </w:r>
      </w:hyperlink>
      <w:r>
        <w:t xml:space="preserve"> ООН против коррупции в 2006 году (8 марта 2006 года принят Федеральный </w:t>
      </w:r>
      <w:hyperlink r:id="rId23" w:tooltip="consultantplus://offline/ref=B7E04B8F5BC345C22463EADCAE81D93CF4CA1215A36F6052F6BC85F6f9C8L" w:history="1">
        <w:r>
          <w:t xml:space="preserve">закон</w:t>
        </w:r>
      </w:hyperlink>
      <w:r>
        <w:t xml:space="preserve"> № 40-ФЗ «О ратификации Конвенции Организации Объединенных Наций против коррупции).</w:t>
      </w:r>
      <w:r/>
    </w:p>
    <w:p>
      <w:pPr>
        <w:ind w:firstLine="567"/>
        <w:spacing w:after="0"/>
        <w:rPr>
          <w:rFonts w:eastAsia="Calibri"/>
        </w:rPr>
      </w:pPr>
      <w:r>
        <w:rPr>
          <w:rFonts w:eastAsia="Calibri"/>
        </w:rPr>
        <w:t xml:space="preserve">В соответствии со ст.12 Конвенции одной из мер по предупреждению коррупции является в т.ч. предупреждение возникновения конфликта интересов посредством установления ограничений на трудоустройство для бывших публичных должностных лиц.</w:t>
      </w:r>
      <w:r>
        <w:rPr>
          <w:rFonts w:eastAsia="Calibri"/>
        </w:rPr>
      </w:r>
      <w:r>
        <w:rPr>
          <w:rFonts w:eastAsia="Calibri"/>
        </w:rPr>
      </w:r>
    </w:p>
    <w:p>
      <w:pPr>
        <w:ind w:firstLine="567"/>
        <w:spacing w:after="0"/>
        <w:rPr>
          <w:rFonts w:eastAsia="Calibri"/>
        </w:rPr>
      </w:pPr>
      <w:r>
        <w:rPr>
          <w:rFonts w:eastAsia="Calibri"/>
        </w:rPr>
      </w:r>
      <w:r>
        <w:rPr>
          <w:rFonts w:eastAsia="Calibri"/>
        </w:rPr>
      </w:r>
      <w:r>
        <w:rPr>
          <w:rFonts w:eastAsia="Calibri"/>
        </w:rPr>
      </w:r>
    </w:p>
    <w:p>
      <w:pPr>
        <w:ind w:firstLine="567"/>
        <w:spacing w:after="0"/>
      </w:pPr>
      <w:r>
        <w:rPr>
          <w:b/>
        </w:rPr>
        <w:t xml:space="preserve">1. ПУБЛИЧНОЕ ДОЛЖНОСТНОЕ ЛИЦО (ПДЛ)</w:t>
      </w:r>
      <w:r>
        <w:t xml:space="preserve"> - физическое лицо, вне зависимости от его гражданства, отн</w:t>
      </w:r>
      <w:r>
        <w:t xml:space="preserve">осящееся к одной из следующих категорий:  иностранное публичное должностное лицо (далее - ИПДЛ),  должностное лицо публичной международной организации (далее - МПДЛ),  российское публичное должностное лицо (далее - РПДЛ):  -  лицо, замещающее (занимающее) </w:t>
      </w:r>
      <w:r>
        <w:t xml:space="preserve">государственную должность РФ; -  лицо, замещающее (занимающее) должность члена Совета директоров ЦБ РФ; -  лицо, замещающее (занимающее) должность федеральной государственной службы, назначение на которую и освобождение от которой осуществляется Президенто</w:t>
      </w:r>
      <w:r>
        <w:t xml:space="preserve">м РФ или Правительством РФ;  - лицо, замещающее (занимающее) должность в ЦБ РФ, государственных корпорациях и иных организациях, созданных РФ на основании федеральных законов, включенные в перечни должностей, определяемые Президентом Российской Федерации. </w:t>
      </w:r>
      <w:r/>
    </w:p>
    <w:p>
      <w:pPr>
        <w:ind w:firstLine="567"/>
        <w:spacing w:after="0"/>
      </w:pPr>
      <w:r>
        <w:rPr>
          <w:b/>
        </w:rPr>
        <w:t xml:space="preserve">2. ИНОСТРАННОЕ ПУБЛИЧНОЕ ДОЛЖНОСТНОЕ ЛИЦО (ИПДЛ)</w:t>
      </w:r>
      <w:r>
        <w:t xml:space="preserve"> - физическое лицо, вне зависимос</w:t>
      </w:r>
      <w:r>
        <w:t xml:space="preserve">ти от его гражданства, на которого возложено или было возложено ранее (с момента сложения полномочий прошло менее 1 года) исполнение важных государственных функций, либо он является (являлся не более 1 года назад) лицом, облеченным общественным доверием.  </w:t>
      </w:r>
      <w:r/>
    </w:p>
    <w:p>
      <w:pPr>
        <w:ind w:firstLine="567"/>
        <w:spacing w:after="0"/>
      </w:pPr>
      <w:r>
        <w:t xml:space="preserve">В соответствии с рекомендациями международных организаций и зарубежных компетентных органов - Группы разработки финансовых мер борьбы с отмыванием денег (ФАТФ), Парламента Европы, Вольфсбергской группы, Сети</w:t>
      </w:r>
      <w:r>
        <w:t xml:space="preserve"> по борьбе с финансовыми преступлениями США (ФИНСЕН), Объединенной группы по борьбе с отмыванием денег Великобритании и Федеральной Банковской комиссией Швейцарии к данной категории могут быть отнесены следующие граждане иностранных государств: I. Лица, на</w:t>
      </w:r>
      <w:r>
        <w:t xml:space="preserve"> которых возложено или было возложено ранее (с момента сложения полномочий прошло менее 1 года) исполнение важных государственных функций, а именно: 1. Главы государств (в том числе правящие королевские династии) или правительств; 2. Министры, их заместите</w:t>
      </w:r>
      <w:r>
        <w:t xml:space="preserve">ли и помощники; 3. Высшие правительственные чиновники; 4. Должностные лица судебных органов власти «последней инстанции» (Верховный, Конституционный суд), на решение которых не подается апелляция; 5. Государственный прокурор и его заместители; 6. Высшие во</w:t>
      </w:r>
      <w:r>
        <w:t xml:space="preserve">енные чиновники; 7. Руководители и члены Советов директоров Национальных Банков; 8. Послы; 9. Руководители государственных корпораций; 10. Члены Парламента или иного законодательного органа. II. Лица, облеченные общественным доверием, в частности: 1. Руков</w:t>
      </w:r>
      <w:r>
        <w:t xml:space="preserve">одители, заместители руководителей международных организаций (ООН, ОЭСР, ОПЕК, Олимпийский комитет, Всемирный Банк и т.д.), Члены Европарламента; 2. Руководители и члены международных судебных организаций (Суд по правам человека, Гаагский трибунал и др.)  </w:t>
      </w:r>
      <w:r/>
    </w:p>
    <w:p>
      <w:pPr>
        <w:ind w:firstLine="567"/>
        <w:spacing w:after="0"/>
      </w:pPr>
      <w:r>
        <w:rPr>
          <w:b/>
        </w:rPr>
        <w:t xml:space="preserve">3. РОССИЙСКИЕ ПУБЛИЧНЫЕ ДОЛЖНОСТНЫЕ ЛИЦА (РПДЛ)</w:t>
      </w:r>
      <w:r>
        <w:t xml:space="preserve"> - физические лица, находящиеся или принимаемые на обслуживание и замещающие (занимающие) государственн</w:t>
      </w:r>
      <w:r>
        <w:t xml:space="preserve">ые должности РФ, должности членов Совета директоров Центрального банка РФ, должности федеральной государственной службы, назначение на которые и освобождение от которых осуществляются Президентом РФ или Правительством РФ, должности в Центральном банке РФ, </w:t>
      </w:r>
      <w:r>
        <w:t xml:space="preserve">государственных корпорациях и иных организациях, созданных РФ на основании федеральных законов, включенные в перечни должностей, определяемые Президентом РФ.   </w:t>
      </w:r>
      <w:r/>
    </w:p>
    <w:p>
      <w:pPr>
        <w:ind w:firstLine="567"/>
        <w:spacing w:after="0"/>
      </w:pPr>
      <w:r>
        <w:t xml:space="preserve">В соответствии с Указом Президента Российской Федерации о государственных должностях Российской Федерации № 32 от 11 января 1995 года, утвержден сводный перечень государственных должностей, к ним относятся:  </w:t>
      </w:r>
      <w:r/>
    </w:p>
    <w:p>
      <w:pPr>
        <w:ind w:firstLine="567"/>
        <w:spacing w:after="0"/>
      </w:pPr>
      <w:r>
        <w:t xml:space="preserve">Президент Российской Федерации; Председатель Правительства Российской Федерации; Первый заместитель Председателя Правительства Российской Федераци</w:t>
      </w:r>
      <w:r>
        <w:t xml:space="preserve">и; Заместитель Председателя Правительства Российской Федерации - полномочный представитель Президента Российской Федерации в федеральном округе; Заместитель Председателя Правительства Российской Федерации; Заместитель Председателя Правительства Российской </w:t>
      </w:r>
      <w:r>
        <w:t xml:space="preserve">Федерации - Руководитель Аппарата Правительства Российской Федерации; Министр Российской Федерации - полномочный представитель Президента Российской Федерации в федеральном округе; Министр Российской Федерации - Руководитель Аппарата Правительства Российск</w:t>
      </w:r>
      <w:r>
        <w:t xml:space="preserve">ой Федерации; Федеральный министр; Чрезвычайный и Полномочный Посол Российской Федерации; Постоянный представитель (представитель, постоянный наблюдатель) Российской Федерации при международной организации (в иностранном государстве); Председатель Совета Ф</w:t>
      </w:r>
      <w:r>
        <w:t xml:space="preserve">едерации Федерального Собрания; Первый заместитель, заместитель Председателя Совета Федерации Федерального Собрания; Председатель, заместитель председателя комитета (комиссии) Совета Федерации Федерального Собрания; Член комитета (комиссии) Совета Федераци</w:t>
      </w:r>
      <w:r>
        <w:t xml:space="preserve">и Федерального Собрания; Председатель Государственной Думы Федерального Собрания; Первый заместитель, заместитель Председателя Государственной Думы Федерального Собрания; Руководитель фракции в Государственной Думе Федерального Собрания; Председатель, заме</w:t>
      </w:r>
      <w:r>
        <w:t xml:space="preserve">ститель председателя комитета (комиссии) Государственной Думы Федерального Собрания; Член комитета (комиссии) Государственной Думы Федерального Собрания; Председатель Конституционного Суда Российской Федерации; Заместитель Председателя Конституционного Суд</w:t>
      </w:r>
      <w:r>
        <w:t xml:space="preserve">а Российской Федерации; Судья Конституционного Суда Российской Федерации; Председатель Верховного Суда Российской Федерации; Первый заместитель, заместитель Председателя Верховного Суда Российской Федерации; Судья Верховного Суда Российской Федерации; Гене</w:t>
      </w:r>
      <w:r>
        <w:t xml:space="preserve">ральный прокурор Российской Федерации; Председатель Следственного комитета Российской Федерации; Секретарь Совета Безопасности Российской Федерации; Уполномоченный по правам человека; Уполномоченный при Президенте Российской Федерации по защите прав предпр</w:t>
      </w:r>
      <w:r>
        <w:t xml:space="preserve">инимателей; Руководитель высшего государственного органа исполнительной власти субъекта Российской Федерации; Председатель Счетной палаты; Заместитель Председателя Счетной палаты; Аудитор Счетной палаты; Председатель Центрального банка Российской Федерации</w:t>
      </w:r>
      <w:r>
        <w:t xml:space="preserve">; Председатель Центральной избирательной комиссии Российской Федерации; Заместитель Председателя Центральной избирательной комиссии Российской Федерации; Секретарь Центральной избирательной комиссии Российской Федерации; Член Центральной избирательной коми</w:t>
      </w:r>
      <w:r>
        <w:t xml:space="preserve">ссии Российской Федерации (замещающий должность на постоянной основе); Председатель федерального суда; Заместитель Председателя федерального суда; Судья федерального суда; Генеральный директор Судебного департамента при Верховном Суде Российской Федерации.</w:t>
      </w:r>
      <w:r/>
    </w:p>
    <w:p>
      <w:pPr>
        <w:ind w:firstLine="567"/>
        <w:spacing w:after="0"/>
      </w:pPr>
      <w:r/>
      <w:bookmarkStart w:id="142" w:name="Par54"/>
      <w:r/>
      <w:bookmarkEnd w:id="142"/>
      <w:r>
        <w:rPr>
          <w:b/>
        </w:rPr>
        <w:t xml:space="preserve">4. МЕЖДУНАРОДНОЕ ПУБЛИЧНОЕ ДОЛЖНОСТНОЕ ЛИЦО (МПДЛ)</w:t>
      </w:r>
      <w:r>
        <w:t xml:space="preserve"> - международный гражданский служащий или любое лицо, которое уполномочено международной организацией 1 действовать от ее имени (за исключением руководителей среднего звена или лиц, занимающих более низкие позиции).</w:t>
      </w:r>
      <w:r/>
    </w:p>
    <w:p>
      <w:pPr>
        <w:ind w:firstLine="567"/>
        <w:spacing w:after="0"/>
      </w:pPr>
      <w:r>
        <w:rPr>
          <w:b/>
        </w:rPr>
        <w:t xml:space="preserve">5. ЛИЦО, СВЯЗАННОЕ С ПДЛ</w:t>
      </w:r>
      <w:r>
        <w:t xml:space="preserve"> - супруг или супруга ПДЛ, его близкий родственник (родственник по прямой восходящей и нисходящей линии (родители и дети, дедушки, ба</w:t>
      </w:r>
      <w:r>
        <w:t xml:space="preserve">бушки и внуки), полнородный и неполнородный (имеющий общего отца или мать) брат и сестра, усыновитель и усыновленный), партнер по бизнесу и личный советник/консультант, а также лицо, которое получает значительную материальную выгоду ввиду отношений с ПДЛ. </w:t>
      </w:r>
      <w:r/>
    </w:p>
    <w:p>
      <w:pPr>
        <w:ind w:firstLine="567"/>
        <w:spacing w:after="0"/>
      </w:pPr>
      <w:r>
        <w:rPr>
          <w:b/>
        </w:rPr>
        <w:t xml:space="preserve">6. Международные организации</w:t>
      </w:r>
      <w:r>
        <w:t xml:space="preserve"> - организации, созданные официальными политическими соглашениями между их странами-членами, которые имеют статус международных договоров; их существование признается законодательством их стран-членов, и они не рассматриваются</w:t>
      </w:r>
      <w:r>
        <w:t xml:space="preserve"> как резидентские организационные подразделения стран, в которых они размещены. Примеры международных организаций включают ООН и аффилированные международные организации, такие как Международная морская организация; региональные международные организации, </w:t>
      </w:r>
      <w:r>
        <w:t xml:space="preserve">такие как Совет Европы, инсти</w:t>
      </w:r>
      <w:r>
        <w:t xml:space="preserve">туты Европейского Союза, Организацию по безопасности и сотрудничеству в Европе и Организацию американских государств; военные международные организации, такие как НАТО, и экономические организации, такие как Всемирная торговая организация или АСЕАН, и т.д.</w:t>
      </w:r>
      <w:r/>
    </w:p>
    <w:p>
      <w:pPr>
        <w:ind w:firstLine="567"/>
        <w:spacing w:after="0"/>
      </w:pPr>
      <w:r/>
      <w:r/>
    </w:p>
    <w:p>
      <w:pPr>
        <w:ind w:firstLine="567"/>
        <w:spacing w:after="0"/>
        <w:sectPr>
          <w:footnotePr>
            <w:numRestart w:val="eachPage"/>
          </w:footnotePr>
          <w:endnotePr/>
          <w:type w:val="nextPage"/>
          <w:pgSz w:w="11907" w:h="16839" w:orient="portrait"/>
          <w:pgMar w:top="673" w:right="710" w:bottom="568" w:left="1134" w:header="142" w:footer="379" w:gutter="0"/>
          <w:cols w:num="1" w:sep="0" w:space="60" w:equalWidth="1"/>
          <w:docGrid w:linePitch="360"/>
        </w:sectPr>
      </w:pPr>
      <w:r/>
      <w:r/>
    </w:p>
    <w:p>
      <w:pPr>
        <w:pStyle w:val="1014"/>
        <w:ind w:left="578" w:hanging="578"/>
        <w:pageBreakBefore/>
        <w:rPr>
          <w:sz w:val="24"/>
          <w:szCs w:val="24"/>
        </w:rPr>
      </w:pPr>
      <w:r/>
      <w:bookmarkStart w:id="143" w:name="_Toc98"/>
      <w:r>
        <w:rPr>
          <w:sz w:val="24"/>
          <w:szCs w:val="24"/>
        </w:rPr>
        <w:t xml:space="preserve">ФОРМА 4.2 СПРАВКА О ЦЕПОЧКЕ СОБСТВЕННИКОВ УЧАСТНИКА ЗАКУПОЧНОЙ ПРОЦЕДУРЫ, ВКЛЮЧАЯ БЕНЕФИЦИАРОВ (В ТОМ ЧИСЛЕ КОНЕЧНЫХ)*</w:t>
      </w:r>
      <w:bookmarkEnd w:id="143"/>
      <w:r>
        <w:rPr>
          <w:sz w:val="24"/>
          <w:szCs w:val="24"/>
        </w:rPr>
      </w:r>
      <w:r>
        <w:rPr>
          <w:sz w:val="24"/>
          <w:szCs w:val="24"/>
        </w:rPr>
      </w:r>
    </w:p>
    <w:p>
      <w:pPr>
        <w:jc w:val="center"/>
        <w:rPr>
          <w:b/>
          <w:i/>
        </w:rPr>
      </w:pPr>
      <w:r>
        <w:rPr>
          <w:b/>
          <w:i/>
        </w:rPr>
        <w:t xml:space="preserve">Справка о цепочке собственников участника закупочной процедуры, включая бенефициаров (в том числе конечных)*</w:t>
      </w:r>
      <w:r>
        <w:rPr>
          <w:b/>
          <w:i/>
        </w:rPr>
      </w:r>
      <w:r>
        <w:rPr>
          <w:b/>
          <w:i/>
        </w:rPr>
      </w:r>
    </w:p>
    <w:tbl>
      <w:tblPr>
        <w:tblW w:w="15876" w:type="dxa"/>
        <w:tblInd w:w="-601" w:type="dxa"/>
        <w:tblLayout w:type="fixed"/>
        <w:tblLook w:val="04A0" w:firstRow="1" w:lastRow="0" w:firstColumn="1" w:lastColumn="0" w:noHBand="0" w:noVBand="1"/>
      </w:tblPr>
      <w:tblGrid>
        <w:gridCol w:w="453"/>
        <w:gridCol w:w="682"/>
        <w:gridCol w:w="708"/>
        <w:gridCol w:w="1134"/>
        <w:gridCol w:w="879"/>
        <w:gridCol w:w="1247"/>
        <w:gridCol w:w="1556"/>
        <w:gridCol w:w="599"/>
        <w:gridCol w:w="680"/>
        <w:gridCol w:w="693"/>
        <w:gridCol w:w="1292"/>
        <w:gridCol w:w="992"/>
        <w:gridCol w:w="1276"/>
        <w:gridCol w:w="1134"/>
        <w:gridCol w:w="1220"/>
        <w:gridCol w:w="1331"/>
      </w:tblGrid>
      <w:tr>
        <w:tblPrEx/>
        <w:trPr>
          <w:trHeight w:val="300"/>
        </w:trPr>
        <w:tc>
          <w:tcPr>
            <w:shd w:val="clear" w:color="auto" w:fill="auto"/>
            <w:tcBorders>
              <w:top w:val="single" w:color="FFFFFF" w:sz="4" w:space="0"/>
              <w:left w:val="single" w:color="FFFFFF" w:sz="4" w:space="0"/>
              <w:bottom w:val="single" w:color="auto" w:sz="4" w:space="0"/>
              <w:right w:val="single" w:color="FFFFFF" w:sz="4" w:space="0"/>
            </w:tcBorders>
            <w:tcW w:w="453" w:type="dxa"/>
            <w:vAlign w:val="bottom"/>
            <w:textDirection w:val="lrTb"/>
            <w:noWrap/>
          </w:tcPr>
          <w:p>
            <w:pPr>
              <w:spacing w:after="0"/>
              <w:rPr>
                <w:sz w:val="16"/>
                <w:szCs w:val="16"/>
              </w:rPr>
            </w:pPr>
            <w:r>
              <w:rPr>
                <w:sz w:val="16"/>
                <w:szCs w:val="16"/>
              </w:rPr>
            </w:r>
            <w:r>
              <w:rPr>
                <w:sz w:val="16"/>
                <w:szCs w:val="16"/>
              </w:rPr>
            </w:r>
            <w:r>
              <w:rPr>
                <w:sz w:val="16"/>
                <w:szCs w:val="16"/>
              </w:rPr>
            </w:r>
          </w:p>
        </w:tc>
        <w:tc>
          <w:tcPr>
            <w:gridSpan w:val="14"/>
            <w:shd w:val="clear" w:color="auto" w:fill="auto"/>
            <w:tcBorders>
              <w:top w:val="single" w:color="FFFFFF" w:sz="4" w:space="0"/>
              <w:left w:val="single" w:color="FFFFFF" w:sz="4" w:space="0"/>
              <w:bottom w:val="single" w:color="auto" w:sz="4" w:space="0"/>
              <w:right w:val="single" w:color="FFFFFF" w:sz="4" w:space="0"/>
            </w:tcBorders>
            <w:tcW w:w="14092" w:type="dxa"/>
            <w:vAlign w:val="bottom"/>
            <w:textDirection w:val="lrTb"/>
            <w:noWrap/>
          </w:tcPr>
          <w:p>
            <w:pPr>
              <w:spacing w:after="0"/>
              <w:rPr>
                <w:sz w:val="16"/>
                <w:szCs w:val="16"/>
              </w:rPr>
            </w:pPr>
            <w:r>
              <w:rPr>
                <w:sz w:val="16"/>
                <w:szCs w:val="16"/>
              </w:rPr>
            </w:r>
            <w:r>
              <w:rPr>
                <w:sz w:val="16"/>
                <w:szCs w:val="16"/>
              </w:rPr>
            </w:r>
            <w:r>
              <w:rPr>
                <w:sz w:val="16"/>
                <w:szCs w:val="16"/>
              </w:rPr>
            </w:r>
          </w:p>
        </w:tc>
        <w:tc>
          <w:tcPr>
            <w:tcBorders>
              <w:top w:val="single" w:color="FFFFFF" w:sz="4" w:space="0"/>
              <w:left w:val="single" w:color="FFFFFF" w:sz="4" w:space="0"/>
              <w:bottom w:val="single" w:color="auto" w:sz="4" w:space="0"/>
              <w:right w:val="single" w:color="FFFFFF" w:sz="4" w:space="0"/>
            </w:tcBorders>
            <w:tcW w:w="1331" w:type="dxa"/>
            <w:textDirection w:val="lrTb"/>
            <w:noWrap w:val="false"/>
          </w:tcPr>
          <w:p>
            <w:pPr>
              <w:spacing w:after="0"/>
              <w:rPr>
                <w:sz w:val="16"/>
                <w:szCs w:val="16"/>
              </w:rPr>
            </w:pPr>
            <w:r>
              <w:rPr>
                <w:sz w:val="16"/>
                <w:szCs w:val="16"/>
              </w:rPr>
            </w:r>
            <w:r>
              <w:rPr>
                <w:sz w:val="16"/>
                <w:szCs w:val="16"/>
              </w:rPr>
            </w:r>
            <w:r>
              <w:rPr>
                <w:sz w:val="16"/>
                <w:szCs w:val="16"/>
              </w:rPr>
            </w:r>
          </w:p>
        </w:tc>
      </w:tr>
      <w:tr>
        <w:tblPrEx/>
        <w:trPr>
          <w:trHeight w:val="331"/>
        </w:trPr>
        <w:tc>
          <w:tcPr>
            <w:shd w:val="clear" w:color="000000" w:fill="ffffff"/>
            <w:tcBorders>
              <w:top w:val="none" w:color="000000" w:sz="4" w:space="0"/>
              <w:left w:val="single" w:color="auto" w:sz="4" w:space="0"/>
              <w:right w:val="single" w:color="auto" w:sz="4" w:space="0"/>
            </w:tcBorders>
            <w:tcW w:w="453" w:type="dxa"/>
            <w:vAlign w:val="center"/>
            <w:vMerge w:val="restart"/>
            <w:textDirection w:val="lrTb"/>
            <w:noWrap w:val="false"/>
          </w:tcPr>
          <w:p>
            <w:pPr>
              <w:spacing w:after="0"/>
              <w:rPr>
                <w:b/>
                <w:sz w:val="16"/>
                <w:szCs w:val="16"/>
              </w:rPr>
            </w:pPr>
            <w:r>
              <w:rPr>
                <w:b/>
                <w:sz w:val="16"/>
                <w:szCs w:val="16"/>
              </w:rPr>
              <w:t xml:space="preserve">№п./п.</w:t>
            </w:r>
            <w:r>
              <w:rPr>
                <w:b/>
                <w:sz w:val="16"/>
                <w:szCs w:val="16"/>
              </w:rPr>
            </w:r>
            <w:r>
              <w:rPr>
                <w:b/>
                <w:sz w:val="16"/>
                <w:szCs w:val="16"/>
              </w:rPr>
            </w:r>
          </w:p>
        </w:tc>
        <w:tc>
          <w:tcPr>
            <w:gridSpan w:val="6"/>
            <w:shd w:val="clear" w:color="000000" w:fill="ffffff"/>
            <w:tcBorders>
              <w:top w:val="none" w:color="000000" w:sz="4" w:space="0"/>
              <w:left w:val="single" w:color="auto" w:sz="4" w:space="0"/>
              <w:bottom w:val="single" w:color="000000" w:sz="4" w:space="0"/>
              <w:right w:val="single" w:color="auto" w:sz="4" w:space="0"/>
            </w:tcBorders>
            <w:tcW w:w="6206" w:type="dxa"/>
            <w:vAlign w:val="center"/>
            <w:textDirection w:val="lrTb"/>
            <w:noWrap w:val="false"/>
          </w:tcPr>
          <w:p>
            <w:pPr>
              <w:spacing w:after="0"/>
              <w:rPr>
                <w:b/>
                <w:sz w:val="16"/>
                <w:szCs w:val="16"/>
              </w:rPr>
            </w:pPr>
            <w:r>
              <w:rPr>
                <w:b/>
                <w:sz w:val="16"/>
                <w:szCs w:val="16"/>
              </w:rPr>
              <w:t xml:space="preserve">Информация об организации</w:t>
            </w:r>
            <w:r>
              <w:rPr>
                <w:b/>
                <w:sz w:val="16"/>
                <w:szCs w:val="16"/>
              </w:rPr>
            </w:r>
            <w:r>
              <w:rPr>
                <w:b/>
                <w:sz w:val="16"/>
                <w:szCs w:val="16"/>
              </w:rPr>
            </w:r>
          </w:p>
        </w:tc>
        <w:tc>
          <w:tcPr>
            <w:shd w:val="clear" w:color="auto" w:fill="auto"/>
            <w:tcBorders>
              <w:top w:val="none" w:color="000000" w:sz="4" w:space="0"/>
              <w:left w:val="single" w:color="auto" w:sz="4" w:space="0"/>
              <w:right w:val="single" w:color="auto" w:sz="4" w:space="0"/>
            </w:tcBorders>
            <w:tcW w:w="599" w:type="dxa"/>
            <w:vAlign w:val="center"/>
            <w:vMerge w:val="restart"/>
            <w:textDirection w:val="lrTb"/>
            <w:noWrap w:val="false"/>
          </w:tcPr>
          <w:p>
            <w:pPr>
              <w:spacing w:after="0"/>
              <w:rPr>
                <w:b/>
                <w:sz w:val="16"/>
                <w:szCs w:val="16"/>
              </w:rPr>
            </w:pPr>
            <w:r>
              <w:rPr>
                <w:b/>
                <w:sz w:val="16"/>
                <w:szCs w:val="16"/>
              </w:rPr>
              <w:t xml:space="preserve">**№</w:t>
            </w:r>
            <w:r>
              <w:rPr>
                <w:b/>
                <w:sz w:val="16"/>
                <w:szCs w:val="16"/>
              </w:rPr>
            </w:r>
            <w:r>
              <w:rPr>
                <w:b/>
                <w:sz w:val="16"/>
                <w:szCs w:val="16"/>
              </w:rPr>
            </w:r>
          </w:p>
        </w:tc>
        <w:tc>
          <w:tcPr>
            <w:gridSpan w:val="8"/>
            <w:shd w:val="clear" w:color="auto" w:fill="auto"/>
            <w:tcBorders>
              <w:top w:val="none" w:color="000000" w:sz="4" w:space="0"/>
              <w:left w:val="single" w:color="auto" w:sz="4" w:space="0"/>
              <w:bottom w:val="single" w:color="auto" w:sz="4" w:space="0"/>
              <w:right w:val="single" w:color="auto" w:sz="4" w:space="0"/>
            </w:tcBorders>
            <w:tcW w:w="8618" w:type="dxa"/>
            <w:vAlign w:val="center"/>
            <w:textDirection w:val="lrTb"/>
            <w:noWrap w:val="false"/>
          </w:tcPr>
          <w:p>
            <w:pPr>
              <w:spacing w:after="0"/>
              <w:rPr>
                <w:b/>
                <w:sz w:val="16"/>
                <w:szCs w:val="16"/>
              </w:rPr>
            </w:pPr>
            <w:r>
              <w:rPr>
                <w:b/>
                <w:sz w:val="16"/>
                <w:szCs w:val="16"/>
              </w:rPr>
              <w:t xml:space="preserve">Информация о цепочке собственников организации (включая конечных бенефициаров)</w:t>
            </w:r>
            <w:r>
              <w:rPr>
                <w:b/>
                <w:sz w:val="16"/>
                <w:szCs w:val="16"/>
              </w:rPr>
            </w:r>
            <w:r>
              <w:rPr>
                <w:b/>
                <w:sz w:val="16"/>
                <w:szCs w:val="16"/>
              </w:rPr>
            </w:r>
          </w:p>
        </w:tc>
      </w:tr>
      <w:tr>
        <w:tblPrEx/>
        <w:trPr>
          <w:trHeight w:val="847"/>
        </w:trPr>
        <w:tc>
          <w:tcPr>
            <w:shd w:val="clear" w:color="000000" w:fill="ffffff"/>
            <w:tcBorders>
              <w:left w:val="single" w:color="auto" w:sz="4" w:space="0"/>
              <w:bottom w:val="single" w:color="auto" w:sz="4" w:space="0"/>
              <w:right w:val="single" w:color="auto" w:sz="4" w:space="0"/>
            </w:tcBorders>
            <w:tcW w:w="453" w:type="dxa"/>
            <w:vAlign w:val="center"/>
            <w:vMerge w:val="continue"/>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single" w:color="auto" w:sz="4" w:space="0"/>
              <w:bottom w:val="single" w:color="auto" w:sz="4" w:space="0"/>
              <w:right w:val="single" w:color="auto" w:sz="4" w:space="0"/>
            </w:tcBorders>
            <w:tcW w:w="682" w:type="dxa"/>
            <w:vAlign w:val="center"/>
            <w:textDirection w:val="lrTb"/>
            <w:noWrap w:val="false"/>
          </w:tcPr>
          <w:p>
            <w:pPr>
              <w:jc w:val="center"/>
              <w:spacing w:after="0"/>
              <w:rPr>
                <w:b/>
                <w:sz w:val="16"/>
                <w:szCs w:val="16"/>
              </w:rPr>
            </w:pPr>
            <w:r>
              <w:rPr>
                <w:b/>
                <w:sz w:val="16"/>
                <w:szCs w:val="16"/>
              </w:rPr>
              <w:t xml:space="preserve">ИНН</w:t>
            </w:r>
            <w:r>
              <w:rPr>
                <w:b/>
                <w:sz w:val="16"/>
                <w:szCs w:val="16"/>
              </w:rPr>
            </w:r>
            <w:r>
              <w:rPr>
                <w:b/>
                <w:sz w:val="16"/>
                <w:szCs w:val="16"/>
              </w:rPr>
            </w:r>
          </w:p>
        </w:tc>
        <w:tc>
          <w:tcPr>
            <w:shd w:val="clear" w:color="000000" w:fill="ffffff"/>
            <w:tcBorders>
              <w:top w:val="single" w:color="000000" w:sz="4" w:space="0"/>
              <w:left w:val="single" w:color="auto" w:sz="4" w:space="0"/>
              <w:bottom w:val="single" w:color="auto" w:sz="4" w:space="0"/>
              <w:right w:val="single" w:color="auto" w:sz="4" w:space="0"/>
            </w:tcBorders>
            <w:tcW w:w="708" w:type="dxa"/>
            <w:vAlign w:val="center"/>
            <w:textDirection w:val="lrTb"/>
            <w:noWrap w:val="false"/>
          </w:tcPr>
          <w:p>
            <w:pPr>
              <w:jc w:val="center"/>
              <w:spacing w:after="0"/>
              <w:rPr>
                <w:b/>
                <w:sz w:val="16"/>
                <w:szCs w:val="16"/>
              </w:rPr>
            </w:pPr>
            <w:r>
              <w:rPr>
                <w:b/>
                <w:sz w:val="16"/>
                <w:szCs w:val="16"/>
              </w:rPr>
              <w:t xml:space="preserve">ОГРН</w:t>
            </w:r>
            <w:r>
              <w:rPr>
                <w:b/>
                <w:sz w:val="16"/>
                <w:szCs w:val="16"/>
              </w:rPr>
            </w:r>
            <w:r>
              <w:rPr>
                <w:b/>
                <w:sz w:val="16"/>
                <w:szCs w:val="16"/>
              </w:rPr>
            </w:r>
          </w:p>
        </w:tc>
        <w:tc>
          <w:tcPr>
            <w:shd w:val="clear" w:color="000000" w:fill="ffffff"/>
            <w:tcBorders>
              <w:top w:val="single" w:color="000000" w:sz="4" w:space="0"/>
              <w:left w:val="single" w:color="auto" w:sz="4" w:space="0"/>
              <w:bottom w:val="single" w:color="auto" w:sz="4" w:space="0"/>
              <w:right w:val="single" w:color="auto" w:sz="4" w:space="0"/>
            </w:tcBorders>
            <w:tcW w:w="1134" w:type="dxa"/>
            <w:vAlign w:val="center"/>
            <w:textDirection w:val="lrTb"/>
            <w:noWrap w:val="false"/>
          </w:tcPr>
          <w:p>
            <w:pPr>
              <w:jc w:val="center"/>
              <w:spacing w:after="0"/>
              <w:rPr>
                <w:b/>
                <w:sz w:val="16"/>
                <w:szCs w:val="16"/>
              </w:rPr>
            </w:pPr>
            <w:r>
              <w:rPr>
                <w:b/>
                <w:sz w:val="16"/>
                <w:szCs w:val="16"/>
              </w:rPr>
              <w:t xml:space="preserve">Наименование краткое</w:t>
            </w:r>
            <w:r>
              <w:rPr>
                <w:b/>
                <w:sz w:val="16"/>
                <w:szCs w:val="16"/>
              </w:rPr>
            </w:r>
            <w:r>
              <w:rPr>
                <w:b/>
                <w:sz w:val="16"/>
                <w:szCs w:val="16"/>
              </w:rPr>
            </w:r>
          </w:p>
        </w:tc>
        <w:tc>
          <w:tcPr>
            <w:shd w:val="clear" w:color="000000" w:fill="ffffff"/>
            <w:tcBorders>
              <w:top w:val="single" w:color="000000" w:sz="4" w:space="0"/>
              <w:left w:val="single" w:color="auto" w:sz="4" w:space="0"/>
              <w:bottom w:val="single" w:color="auto" w:sz="4" w:space="0"/>
              <w:right w:val="single" w:color="auto" w:sz="4" w:space="0"/>
            </w:tcBorders>
            <w:tcW w:w="879" w:type="dxa"/>
            <w:vAlign w:val="center"/>
            <w:textDirection w:val="lrTb"/>
            <w:noWrap w:val="false"/>
          </w:tcPr>
          <w:p>
            <w:pPr>
              <w:jc w:val="center"/>
              <w:spacing w:after="0"/>
              <w:rPr>
                <w:b/>
                <w:sz w:val="16"/>
                <w:szCs w:val="16"/>
              </w:rPr>
            </w:pPr>
            <w:r>
              <w:rPr>
                <w:b/>
                <w:sz w:val="16"/>
                <w:szCs w:val="16"/>
              </w:rPr>
              <w:t xml:space="preserve">Код ОКВЭД</w:t>
            </w:r>
            <w:r>
              <w:rPr>
                <w:b/>
                <w:sz w:val="16"/>
                <w:szCs w:val="16"/>
              </w:rPr>
            </w:r>
            <w:r>
              <w:rPr>
                <w:b/>
                <w:sz w:val="16"/>
                <w:szCs w:val="16"/>
              </w:rPr>
            </w:r>
          </w:p>
        </w:tc>
        <w:tc>
          <w:tcPr>
            <w:shd w:val="clear" w:color="000000" w:fill="ffffff"/>
            <w:tcBorders>
              <w:top w:val="single" w:color="000000" w:sz="4" w:space="0"/>
              <w:left w:val="single" w:color="auto" w:sz="4" w:space="0"/>
              <w:bottom w:val="single" w:color="auto" w:sz="4" w:space="0"/>
              <w:right w:val="single" w:color="auto" w:sz="4" w:space="0"/>
            </w:tcBorders>
            <w:tcW w:w="1247" w:type="dxa"/>
            <w:vAlign w:val="center"/>
            <w:textDirection w:val="lrTb"/>
            <w:noWrap w:val="false"/>
          </w:tcPr>
          <w:p>
            <w:pPr>
              <w:jc w:val="center"/>
              <w:spacing w:after="0"/>
              <w:rPr>
                <w:b/>
                <w:sz w:val="16"/>
                <w:szCs w:val="16"/>
              </w:rPr>
            </w:pPr>
            <w:r>
              <w:rPr>
                <w:b/>
                <w:sz w:val="16"/>
                <w:szCs w:val="16"/>
              </w:rPr>
              <w:t xml:space="preserve">Ф.И.О. руководителя</w:t>
            </w:r>
            <w:r>
              <w:rPr>
                <w:b/>
                <w:sz w:val="16"/>
                <w:szCs w:val="16"/>
              </w:rPr>
            </w:r>
            <w:r>
              <w:rPr>
                <w:b/>
                <w:sz w:val="16"/>
                <w:szCs w:val="16"/>
              </w:rPr>
            </w:r>
          </w:p>
        </w:tc>
        <w:tc>
          <w:tcPr>
            <w:shd w:val="clear" w:color="000000" w:fill="ffffff"/>
            <w:tcBorders>
              <w:top w:val="single" w:color="000000" w:sz="4" w:space="0"/>
              <w:left w:val="single" w:color="auto" w:sz="4" w:space="0"/>
              <w:bottom w:val="single" w:color="000000" w:sz="4" w:space="0"/>
              <w:right w:val="single" w:color="auto" w:sz="4" w:space="0"/>
            </w:tcBorders>
            <w:tcW w:w="1556" w:type="dxa"/>
            <w:vAlign w:val="center"/>
            <w:textDirection w:val="lrTb"/>
            <w:noWrap w:val="false"/>
          </w:tcPr>
          <w:p>
            <w:pPr>
              <w:jc w:val="center"/>
              <w:spacing w:after="0"/>
              <w:rPr>
                <w:b/>
                <w:sz w:val="16"/>
                <w:szCs w:val="16"/>
              </w:rPr>
            </w:pPr>
            <w:r>
              <w:rPr>
                <w:b/>
                <w:sz w:val="16"/>
                <w:szCs w:val="16"/>
              </w:rPr>
              <w:t xml:space="preserve">Серия и номер документа, удостоверяющего личность руководителя</w:t>
            </w:r>
            <w:r>
              <w:rPr>
                <w:b/>
                <w:sz w:val="16"/>
                <w:szCs w:val="16"/>
              </w:rPr>
            </w:r>
            <w:r>
              <w:rPr>
                <w:b/>
                <w:sz w:val="16"/>
                <w:szCs w:val="16"/>
              </w:rPr>
            </w:r>
          </w:p>
        </w:tc>
        <w:tc>
          <w:tcPr>
            <w:shd w:val="clear" w:color="auto" w:fill="auto"/>
            <w:tcBorders>
              <w:left w:val="single" w:color="auto" w:sz="4" w:space="0"/>
              <w:bottom w:val="single" w:color="000000" w:sz="4" w:space="0"/>
              <w:right w:val="single" w:color="auto" w:sz="4" w:space="0"/>
            </w:tcBorders>
            <w:tcW w:w="599" w:type="dxa"/>
            <w:vAlign w:val="center"/>
            <w:vMerge w:val="continue"/>
            <w:textDirection w:val="lrTb"/>
            <w:noWrap w:val="false"/>
          </w:tcPr>
          <w:p>
            <w:pPr>
              <w:jc w:val="cente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single" w:color="auto" w:sz="4" w:space="0"/>
              <w:bottom w:val="single" w:color="auto" w:sz="4" w:space="0"/>
              <w:right w:val="single" w:color="auto" w:sz="4" w:space="0"/>
            </w:tcBorders>
            <w:tcW w:w="680" w:type="dxa"/>
            <w:vAlign w:val="center"/>
            <w:textDirection w:val="lrTb"/>
            <w:noWrap w:val="false"/>
          </w:tcPr>
          <w:p>
            <w:pPr>
              <w:jc w:val="center"/>
              <w:spacing w:after="0"/>
              <w:rPr>
                <w:b/>
                <w:sz w:val="16"/>
                <w:szCs w:val="16"/>
              </w:rPr>
            </w:pPr>
            <w:r>
              <w:rPr>
                <w:b/>
                <w:sz w:val="16"/>
                <w:szCs w:val="16"/>
              </w:rPr>
              <w:t xml:space="preserve">ИНН</w:t>
            </w:r>
            <w:r>
              <w:rPr>
                <w:b/>
                <w:sz w:val="16"/>
                <w:szCs w:val="16"/>
              </w:rPr>
            </w:r>
            <w:r>
              <w:rPr>
                <w:b/>
                <w:sz w:val="16"/>
                <w:szCs w:val="16"/>
              </w:rPr>
            </w:r>
          </w:p>
        </w:tc>
        <w:tc>
          <w:tcPr>
            <w:shd w:val="clear" w:color="auto" w:fill="auto"/>
            <w:tcBorders>
              <w:top w:val="none" w:color="000000" w:sz="4" w:space="0"/>
              <w:left w:val="single" w:color="auto" w:sz="4" w:space="0"/>
              <w:bottom w:val="single" w:color="auto" w:sz="4" w:space="0"/>
              <w:right w:val="single" w:color="auto" w:sz="4" w:space="0"/>
            </w:tcBorders>
            <w:tcW w:w="693" w:type="dxa"/>
            <w:vAlign w:val="center"/>
            <w:textDirection w:val="lrTb"/>
            <w:noWrap w:val="false"/>
          </w:tcPr>
          <w:p>
            <w:pPr>
              <w:jc w:val="center"/>
              <w:spacing w:after="0"/>
              <w:rPr>
                <w:b/>
                <w:sz w:val="16"/>
                <w:szCs w:val="16"/>
              </w:rPr>
            </w:pPr>
            <w:r>
              <w:rPr>
                <w:b/>
                <w:sz w:val="16"/>
                <w:szCs w:val="16"/>
              </w:rPr>
              <w:t xml:space="preserve">ОГРН</w:t>
            </w:r>
            <w:r>
              <w:rPr>
                <w:b/>
                <w:sz w:val="16"/>
                <w:szCs w:val="16"/>
              </w:rPr>
            </w:r>
            <w:r>
              <w:rPr>
                <w:b/>
                <w:sz w:val="16"/>
                <w:szCs w:val="16"/>
              </w:rPr>
            </w:r>
          </w:p>
        </w:tc>
        <w:tc>
          <w:tcPr>
            <w:shd w:val="clear" w:color="auto" w:fill="auto"/>
            <w:tcBorders>
              <w:top w:val="none" w:color="000000" w:sz="4" w:space="0"/>
              <w:left w:val="single" w:color="auto" w:sz="4" w:space="0"/>
              <w:bottom w:val="single" w:color="auto" w:sz="4" w:space="0"/>
              <w:right w:val="single" w:color="auto" w:sz="4" w:space="0"/>
            </w:tcBorders>
            <w:tcW w:w="1292" w:type="dxa"/>
            <w:vAlign w:val="center"/>
            <w:textDirection w:val="lrTb"/>
            <w:noWrap w:val="false"/>
          </w:tcPr>
          <w:p>
            <w:pPr>
              <w:jc w:val="center"/>
              <w:spacing w:after="0"/>
              <w:rPr>
                <w:b/>
                <w:sz w:val="16"/>
                <w:szCs w:val="16"/>
              </w:rPr>
            </w:pPr>
            <w:r>
              <w:rPr>
                <w:b/>
                <w:sz w:val="16"/>
                <w:szCs w:val="16"/>
              </w:rPr>
              <w:t xml:space="preserve">Наименование</w:t>
            </w:r>
            <w:r>
              <w:rPr>
                <w:b/>
                <w:sz w:val="16"/>
                <w:szCs w:val="16"/>
              </w:rPr>
            </w:r>
            <w:r>
              <w:rPr>
                <w:b/>
                <w:sz w:val="16"/>
                <w:szCs w:val="16"/>
              </w:rPr>
            </w:r>
          </w:p>
          <w:p>
            <w:pPr>
              <w:jc w:val="center"/>
              <w:spacing w:after="0"/>
              <w:rPr>
                <w:b/>
                <w:sz w:val="16"/>
                <w:szCs w:val="16"/>
              </w:rPr>
            </w:pPr>
            <w:r>
              <w:rPr>
                <w:b/>
                <w:sz w:val="16"/>
                <w:szCs w:val="16"/>
              </w:rPr>
              <w:t xml:space="preserve">/ФИО</w:t>
            </w:r>
            <w:r>
              <w:rPr>
                <w:b/>
                <w:sz w:val="16"/>
                <w:szCs w:val="16"/>
              </w:rPr>
            </w:r>
            <w:r>
              <w:rPr>
                <w:b/>
                <w:sz w:val="16"/>
                <w:szCs w:val="16"/>
              </w:rPr>
            </w:r>
          </w:p>
        </w:tc>
        <w:tc>
          <w:tcPr>
            <w:shd w:val="clear" w:color="auto" w:fill="auto"/>
            <w:tcBorders>
              <w:top w:val="none" w:color="000000" w:sz="4" w:space="0"/>
              <w:left w:val="single" w:color="auto" w:sz="4" w:space="0"/>
              <w:bottom w:val="single" w:color="auto" w:sz="4" w:space="0"/>
              <w:right w:val="single" w:color="auto" w:sz="4" w:space="0"/>
            </w:tcBorders>
            <w:tcW w:w="992" w:type="dxa"/>
            <w:vAlign w:val="center"/>
            <w:textDirection w:val="lrTb"/>
            <w:noWrap w:val="false"/>
          </w:tcPr>
          <w:p>
            <w:pPr>
              <w:jc w:val="center"/>
              <w:spacing w:after="0"/>
              <w:rPr>
                <w:b/>
                <w:sz w:val="16"/>
                <w:szCs w:val="16"/>
              </w:rPr>
            </w:pPr>
            <w:r>
              <w:rPr>
                <w:b/>
                <w:sz w:val="16"/>
                <w:szCs w:val="16"/>
              </w:rPr>
              <w:t xml:space="preserve">Адрес регистрации</w:t>
            </w:r>
            <w:r>
              <w:rPr>
                <w:b/>
                <w:sz w:val="16"/>
                <w:szCs w:val="16"/>
              </w:rPr>
            </w:r>
            <w:r>
              <w:rPr>
                <w:b/>
                <w:sz w:val="16"/>
                <w:szCs w:val="16"/>
              </w:rPr>
            </w:r>
          </w:p>
        </w:tc>
        <w:tc>
          <w:tcPr>
            <w:shd w:val="clear" w:color="auto" w:fill="auto"/>
            <w:tcBorders>
              <w:top w:val="none" w:color="000000" w:sz="4" w:space="0"/>
              <w:left w:val="single" w:color="auto" w:sz="4" w:space="0"/>
              <w:bottom w:val="single" w:color="auto" w:sz="4" w:space="0"/>
              <w:right w:val="single" w:color="auto" w:sz="4" w:space="0"/>
            </w:tcBorders>
            <w:tcW w:w="1276" w:type="dxa"/>
            <w:vAlign w:val="center"/>
            <w:textDirection w:val="lrTb"/>
            <w:noWrap w:val="false"/>
          </w:tcPr>
          <w:p>
            <w:pPr>
              <w:jc w:val="center"/>
              <w:spacing w:after="0"/>
              <w:rPr>
                <w:b/>
                <w:sz w:val="16"/>
                <w:szCs w:val="16"/>
              </w:rPr>
            </w:pPr>
            <w:r>
              <w:rPr>
                <w:b/>
                <w:sz w:val="16"/>
                <w:szCs w:val="16"/>
              </w:rPr>
              <w:t xml:space="preserve">Серия и номер документа, удостоверяющего личность (для физ. лиц)</w:t>
            </w:r>
            <w:r>
              <w:rPr>
                <w:b/>
                <w:sz w:val="16"/>
                <w:szCs w:val="16"/>
              </w:rPr>
            </w:r>
            <w:r>
              <w:rPr>
                <w:b/>
                <w:sz w:val="16"/>
                <w:szCs w:val="16"/>
              </w:rPr>
            </w:r>
          </w:p>
        </w:tc>
        <w:tc>
          <w:tcPr>
            <w:shd w:val="clear" w:color="auto" w:fill="auto"/>
            <w:tcBorders>
              <w:top w:val="none" w:color="000000" w:sz="4" w:space="0"/>
              <w:left w:val="single" w:color="auto" w:sz="4" w:space="0"/>
              <w:bottom w:val="single" w:color="auto" w:sz="4" w:space="0"/>
              <w:right w:val="single" w:color="auto" w:sz="4" w:space="0"/>
            </w:tcBorders>
            <w:tcW w:w="1134" w:type="dxa"/>
            <w:vAlign w:val="center"/>
            <w:textDirection w:val="lrTb"/>
            <w:noWrap w:val="false"/>
          </w:tcPr>
          <w:p>
            <w:pPr>
              <w:jc w:val="center"/>
              <w:spacing w:after="0"/>
              <w:rPr>
                <w:b/>
                <w:sz w:val="16"/>
                <w:szCs w:val="16"/>
              </w:rPr>
            </w:pPr>
            <w:r>
              <w:rPr>
                <w:b/>
                <w:sz w:val="16"/>
                <w:szCs w:val="16"/>
              </w:rPr>
              <w:t xml:space="preserve">Руководитель/ участник/ акционер/ бенефициар</w:t>
            </w:r>
            <w:r>
              <w:rPr>
                <w:b/>
                <w:sz w:val="16"/>
                <w:szCs w:val="16"/>
              </w:rPr>
            </w:r>
            <w:r>
              <w:rPr>
                <w:b/>
                <w:sz w:val="16"/>
                <w:szCs w:val="16"/>
              </w:rPr>
            </w:r>
          </w:p>
        </w:tc>
        <w:tc>
          <w:tcPr>
            <w:shd w:val="clear" w:color="auto" w:fill="auto"/>
            <w:tcBorders>
              <w:top w:val="none" w:color="000000" w:sz="4" w:space="0"/>
              <w:left w:val="single" w:color="auto" w:sz="4" w:space="0"/>
              <w:bottom w:val="single" w:color="auto" w:sz="4" w:space="0"/>
              <w:right w:val="single" w:color="auto" w:sz="4" w:space="0"/>
            </w:tcBorders>
            <w:tcW w:w="1220" w:type="dxa"/>
            <w:vAlign w:val="center"/>
            <w:textDirection w:val="lrTb"/>
            <w:noWrap w:val="false"/>
          </w:tcPr>
          <w:p>
            <w:pPr>
              <w:jc w:val="center"/>
              <w:spacing w:after="0"/>
              <w:rPr>
                <w:b/>
                <w:sz w:val="16"/>
                <w:szCs w:val="16"/>
              </w:rPr>
            </w:pPr>
            <w:r>
              <w:rPr>
                <w:b/>
                <w:sz w:val="16"/>
                <w:szCs w:val="16"/>
              </w:rPr>
              <w:t xml:space="preserve">Размер доли (для участников/ акционеров/ бенефициаров)</w:t>
            </w:r>
            <w:r>
              <w:rPr>
                <w:b/>
                <w:sz w:val="16"/>
                <w:szCs w:val="16"/>
              </w:rPr>
            </w:r>
            <w:r>
              <w:rPr>
                <w:b/>
                <w:sz w:val="16"/>
                <w:szCs w:val="16"/>
              </w:rPr>
            </w:r>
          </w:p>
        </w:tc>
        <w:tc>
          <w:tcPr>
            <w:tcBorders>
              <w:top w:val="none" w:color="000000" w:sz="4" w:space="0"/>
              <w:left w:val="single" w:color="auto" w:sz="4" w:space="0"/>
              <w:bottom w:val="single" w:color="auto" w:sz="4" w:space="0"/>
              <w:right w:val="single" w:color="auto" w:sz="4" w:space="0"/>
            </w:tcBorders>
            <w:tcW w:w="1331" w:type="dxa"/>
            <w:textDirection w:val="lrTb"/>
            <w:noWrap w:val="false"/>
          </w:tcPr>
          <w:p>
            <w:pPr>
              <w:jc w:val="center"/>
              <w:spacing w:after="0"/>
              <w:rPr>
                <w:b/>
                <w:sz w:val="16"/>
                <w:szCs w:val="16"/>
              </w:rPr>
            </w:pPr>
            <w:r>
              <w:rPr>
                <w:b/>
                <w:sz w:val="16"/>
                <w:szCs w:val="16"/>
              </w:rPr>
              <w:t xml:space="preserve">Информация о подтверждающих документах (наименование, реквизиты и т.д.)***</w:t>
            </w:r>
            <w:r>
              <w:rPr>
                <w:b/>
                <w:sz w:val="16"/>
                <w:szCs w:val="16"/>
              </w:rPr>
            </w:r>
            <w:r>
              <w:rPr>
                <w:b/>
                <w:sz w:val="16"/>
                <w:szCs w:val="16"/>
              </w:rPr>
            </w:r>
          </w:p>
        </w:tc>
      </w:tr>
      <w:tr>
        <w:tblPrEx/>
        <w:trPr>
          <w:trHeight w:val="225"/>
        </w:trPr>
        <w:tc>
          <w:tcPr>
            <w:shd w:val="clear" w:color="000000" w:fill="ffffff"/>
            <w:tcBorders>
              <w:top w:val="none" w:color="000000" w:sz="4" w:space="0"/>
              <w:left w:val="single" w:color="auto" w:sz="4" w:space="0"/>
              <w:bottom w:val="none" w:color="000000" w:sz="4" w:space="0"/>
              <w:right w:val="single" w:color="auto" w:sz="4" w:space="0"/>
            </w:tcBorders>
            <w:tcW w:w="453" w:type="dxa"/>
            <w:vAlign w:val="center"/>
            <w:textDirection w:val="lrTb"/>
            <w:noWrap w:val="false"/>
          </w:tcPr>
          <w:p>
            <w:pPr>
              <w:spacing w:after="0"/>
              <w:rPr>
                <w:b/>
                <w:sz w:val="16"/>
                <w:szCs w:val="16"/>
              </w:rPr>
            </w:pPr>
            <w:r>
              <w:rPr>
                <w:b/>
                <w:sz w:val="16"/>
                <w:szCs w:val="16"/>
              </w:rPr>
              <w:t xml:space="preserve">1</w:t>
            </w:r>
            <w:r>
              <w:rPr>
                <w:b/>
                <w:sz w:val="16"/>
                <w:szCs w:val="16"/>
              </w:rPr>
            </w:r>
            <w:r>
              <w:rPr>
                <w:b/>
                <w:sz w:val="16"/>
                <w:szCs w:val="16"/>
              </w:rPr>
            </w:r>
          </w:p>
        </w:tc>
        <w:tc>
          <w:tcPr>
            <w:shd w:val="clear" w:color="000000" w:fill="ffffff"/>
            <w:tcBorders>
              <w:top w:val="none" w:color="000000" w:sz="4" w:space="0"/>
              <w:left w:val="none" w:color="000000" w:sz="4" w:space="0"/>
              <w:bottom w:val="none" w:color="000000" w:sz="4" w:space="0"/>
              <w:right w:val="single" w:color="auto" w:sz="4" w:space="0"/>
            </w:tcBorders>
            <w:tcW w:w="682" w:type="dxa"/>
            <w:vAlign w:val="center"/>
            <w:textDirection w:val="lrTb"/>
            <w:noWrap w:val="false"/>
          </w:tcPr>
          <w:p>
            <w:pPr>
              <w:spacing w:after="0"/>
              <w:rPr>
                <w:b/>
                <w:sz w:val="16"/>
                <w:szCs w:val="16"/>
              </w:rPr>
            </w:pPr>
            <w:r>
              <w:rPr>
                <w:b/>
                <w:sz w:val="16"/>
                <w:szCs w:val="16"/>
              </w:rPr>
              <w:t xml:space="preserve">2</w:t>
            </w:r>
            <w:r>
              <w:rPr>
                <w:b/>
                <w:sz w:val="16"/>
                <w:szCs w:val="16"/>
              </w:rPr>
            </w:r>
            <w:r>
              <w:rPr>
                <w:b/>
                <w:sz w:val="16"/>
                <w:szCs w:val="16"/>
              </w:rPr>
            </w:r>
          </w:p>
        </w:tc>
        <w:tc>
          <w:tcPr>
            <w:shd w:val="clear" w:color="000000" w:fill="ffffff"/>
            <w:tcBorders>
              <w:top w:val="none" w:color="000000" w:sz="4" w:space="0"/>
              <w:left w:val="none" w:color="000000" w:sz="4" w:space="0"/>
              <w:bottom w:val="none" w:color="000000" w:sz="4" w:space="0"/>
              <w:right w:val="single" w:color="auto" w:sz="4" w:space="0"/>
            </w:tcBorders>
            <w:tcW w:w="708" w:type="dxa"/>
            <w:vAlign w:val="center"/>
            <w:textDirection w:val="lrTb"/>
            <w:noWrap w:val="false"/>
          </w:tcPr>
          <w:p>
            <w:pPr>
              <w:spacing w:after="0"/>
              <w:rPr>
                <w:b/>
                <w:sz w:val="16"/>
                <w:szCs w:val="16"/>
              </w:rPr>
            </w:pPr>
            <w:r>
              <w:rPr>
                <w:b/>
                <w:sz w:val="16"/>
                <w:szCs w:val="16"/>
              </w:rPr>
              <w:t xml:space="preserve">3</w:t>
            </w:r>
            <w:r>
              <w:rPr>
                <w:b/>
                <w:sz w:val="16"/>
                <w:szCs w:val="16"/>
              </w:rPr>
            </w:r>
            <w:r>
              <w:rPr>
                <w:b/>
                <w:sz w:val="16"/>
                <w:szCs w:val="16"/>
              </w:rPr>
            </w:r>
          </w:p>
        </w:tc>
        <w:tc>
          <w:tcPr>
            <w:shd w:val="clear" w:color="000000" w:fill="ffffff"/>
            <w:tcBorders>
              <w:top w:val="none" w:color="000000" w:sz="4" w:space="0"/>
              <w:left w:val="none" w:color="000000" w:sz="4" w:space="0"/>
              <w:bottom w:val="none" w:color="000000" w:sz="4" w:space="0"/>
              <w:right w:val="single" w:color="auto" w:sz="4" w:space="0"/>
            </w:tcBorders>
            <w:tcW w:w="1134" w:type="dxa"/>
            <w:vAlign w:val="center"/>
            <w:textDirection w:val="lrTb"/>
            <w:noWrap w:val="false"/>
          </w:tcPr>
          <w:p>
            <w:pPr>
              <w:spacing w:after="0"/>
              <w:rPr>
                <w:b/>
                <w:sz w:val="16"/>
                <w:szCs w:val="16"/>
              </w:rPr>
            </w:pPr>
            <w:r>
              <w:rPr>
                <w:b/>
                <w:sz w:val="16"/>
                <w:szCs w:val="16"/>
              </w:rPr>
              <w:t xml:space="preserve">4</w:t>
            </w:r>
            <w:r>
              <w:rPr>
                <w:b/>
                <w:sz w:val="16"/>
                <w:szCs w:val="16"/>
              </w:rPr>
            </w:r>
            <w:r>
              <w:rPr>
                <w:b/>
                <w:sz w:val="16"/>
                <w:szCs w:val="16"/>
              </w:rPr>
            </w:r>
          </w:p>
        </w:tc>
        <w:tc>
          <w:tcPr>
            <w:shd w:val="clear" w:color="000000" w:fill="ffffff"/>
            <w:tcBorders>
              <w:top w:val="none" w:color="000000" w:sz="4" w:space="0"/>
              <w:left w:val="none" w:color="000000" w:sz="4" w:space="0"/>
              <w:bottom w:val="none" w:color="000000" w:sz="4" w:space="0"/>
              <w:right w:val="single" w:color="auto" w:sz="4" w:space="0"/>
            </w:tcBorders>
            <w:tcW w:w="879" w:type="dxa"/>
            <w:vAlign w:val="center"/>
            <w:textDirection w:val="lrTb"/>
            <w:noWrap w:val="false"/>
          </w:tcPr>
          <w:p>
            <w:pPr>
              <w:spacing w:after="0"/>
              <w:rPr>
                <w:b/>
                <w:sz w:val="16"/>
                <w:szCs w:val="16"/>
              </w:rPr>
            </w:pPr>
            <w:r>
              <w:rPr>
                <w:b/>
                <w:sz w:val="16"/>
                <w:szCs w:val="16"/>
              </w:rPr>
              <w:t xml:space="preserve">5</w:t>
            </w:r>
            <w:r>
              <w:rPr>
                <w:b/>
                <w:sz w:val="16"/>
                <w:szCs w:val="16"/>
              </w:rPr>
            </w:r>
            <w:r>
              <w:rPr>
                <w:b/>
                <w:sz w:val="16"/>
                <w:szCs w:val="16"/>
              </w:rPr>
            </w:r>
          </w:p>
        </w:tc>
        <w:tc>
          <w:tcPr>
            <w:shd w:val="clear" w:color="000000" w:fill="ffffff"/>
            <w:tcBorders>
              <w:top w:val="none" w:color="000000" w:sz="4" w:space="0"/>
              <w:left w:val="none" w:color="000000" w:sz="4" w:space="0"/>
              <w:bottom w:val="none" w:color="000000" w:sz="4" w:space="0"/>
              <w:right w:val="single" w:color="auto" w:sz="4" w:space="0"/>
            </w:tcBorders>
            <w:tcW w:w="1247" w:type="dxa"/>
            <w:vAlign w:val="center"/>
            <w:textDirection w:val="lrTb"/>
            <w:noWrap w:val="false"/>
          </w:tcPr>
          <w:p>
            <w:pPr>
              <w:spacing w:after="0"/>
              <w:rPr>
                <w:b/>
                <w:sz w:val="16"/>
                <w:szCs w:val="16"/>
              </w:rPr>
            </w:pPr>
            <w:r>
              <w:rPr>
                <w:b/>
                <w:sz w:val="16"/>
                <w:szCs w:val="16"/>
              </w:rPr>
              <w:t xml:space="preserve">6</w:t>
            </w:r>
            <w:r>
              <w:rPr>
                <w:b/>
                <w:sz w:val="16"/>
                <w:szCs w:val="16"/>
              </w:rPr>
            </w:r>
            <w:r>
              <w:rPr>
                <w:b/>
                <w:sz w:val="16"/>
                <w:szCs w:val="16"/>
              </w:rPr>
            </w:r>
          </w:p>
        </w:tc>
        <w:tc>
          <w:tcPr>
            <w:shd w:val="clear" w:color="000000" w:fill="ffffff"/>
            <w:tcBorders>
              <w:top w:val="single" w:color="000000" w:sz="4" w:space="0"/>
              <w:left w:val="none" w:color="000000" w:sz="4" w:space="0"/>
              <w:bottom w:val="none" w:color="000000" w:sz="4" w:space="0"/>
              <w:right w:val="single" w:color="auto" w:sz="4" w:space="0"/>
            </w:tcBorders>
            <w:tcW w:w="1556" w:type="dxa"/>
            <w:vAlign w:val="center"/>
            <w:textDirection w:val="lrTb"/>
            <w:noWrap w:val="false"/>
          </w:tcPr>
          <w:p>
            <w:pPr>
              <w:spacing w:after="0"/>
              <w:rPr>
                <w:b/>
                <w:sz w:val="16"/>
                <w:szCs w:val="16"/>
              </w:rPr>
            </w:pPr>
            <w:r>
              <w:rPr>
                <w:b/>
                <w:sz w:val="16"/>
                <w:szCs w:val="16"/>
              </w:rPr>
              <w:t xml:space="preserve">7</w:t>
            </w:r>
            <w:r>
              <w:rPr>
                <w:b/>
                <w:sz w:val="16"/>
                <w:szCs w:val="16"/>
              </w:rPr>
            </w:r>
            <w:r>
              <w:rPr>
                <w:b/>
                <w:sz w:val="16"/>
                <w:szCs w:val="16"/>
              </w:rPr>
            </w:r>
          </w:p>
        </w:tc>
        <w:tc>
          <w:tcPr>
            <w:shd w:val="clear" w:color="auto" w:fill="auto"/>
            <w:tcBorders>
              <w:top w:val="single" w:color="000000" w:sz="4" w:space="0"/>
              <w:left w:val="none" w:color="000000" w:sz="4" w:space="0"/>
              <w:bottom w:val="none" w:color="000000" w:sz="4" w:space="0"/>
              <w:right w:val="single" w:color="auto" w:sz="4" w:space="0"/>
            </w:tcBorders>
            <w:tcW w:w="599" w:type="dxa"/>
            <w:vAlign w:val="center"/>
            <w:textDirection w:val="lrTb"/>
            <w:noWrap w:val="false"/>
          </w:tcPr>
          <w:p>
            <w:pPr>
              <w:spacing w:after="0"/>
              <w:rPr>
                <w:b/>
                <w:sz w:val="16"/>
                <w:szCs w:val="16"/>
              </w:rPr>
            </w:pPr>
            <w:r>
              <w:rPr>
                <w:b/>
                <w:sz w:val="16"/>
                <w:szCs w:val="16"/>
              </w:rPr>
              <w:t xml:space="preserve">8</w:t>
            </w:r>
            <w:r>
              <w:rPr>
                <w:b/>
                <w:sz w:val="16"/>
                <w:szCs w:val="16"/>
              </w:rPr>
            </w:r>
            <w:r>
              <w:rPr>
                <w:b/>
                <w:sz w:val="16"/>
                <w:szCs w:val="16"/>
              </w:rPr>
            </w:r>
          </w:p>
        </w:tc>
        <w:tc>
          <w:tcPr>
            <w:shd w:val="clear" w:color="auto" w:fill="auto"/>
            <w:tcBorders>
              <w:top w:val="none" w:color="000000" w:sz="4" w:space="0"/>
              <w:left w:val="none" w:color="000000" w:sz="4" w:space="0"/>
              <w:bottom w:val="none" w:color="000000" w:sz="4" w:space="0"/>
              <w:right w:val="single" w:color="auto" w:sz="4" w:space="0"/>
            </w:tcBorders>
            <w:tcW w:w="680" w:type="dxa"/>
            <w:vAlign w:val="center"/>
            <w:textDirection w:val="lrTb"/>
            <w:noWrap w:val="false"/>
          </w:tcPr>
          <w:p>
            <w:pPr>
              <w:spacing w:after="0"/>
              <w:rPr>
                <w:b/>
                <w:sz w:val="16"/>
                <w:szCs w:val="16"/>
              </w:rPr>
            </w:pPr>
            <w:r>
              <w:rPr>
                <w:b/>
                <w:sz w:val="16"/>
                <w:szCs w:val="16"/>
              </w:rPr>
              <w:t xml:space="preserve">9</w:t>
            </w:r>
            <w:r>
              <w:rPr>
                <w:b/>
                <w:sz w:val="16"/>
                <w:szCs w:val="16"/>
              </w:rPr>
            </w:r>
            <w:r>
              <w:rPr>
                <w:b/>
                <w:sz w:val="16"/>
                <w:szCs w:val="16"/>
              </w:rPr>
            </w:r>
          </w:p>
        </w:tc>
        <w:tc>
          <w:tcPr>
            <w:shd w:val="clear" w:color="auto" w:fill="auto"/>
            <w:tcBorders>
              <w:top w:val="none" w:color="000000" w:sz="4" w:space="0"/>
              <w:left w:val="none" w:color="000000" w:sz="4" w:space="0"/>
              <w:bottom w:val="none" w:color="000000" w:sz="4" w:space="0"/>
              <w:right w:val="single" w:color="auto" w:sz="4" w:space="0"/>
            </w:tcBorders>
            <w:tcW w:w="693" w:type="dxa"/>
            <w:vAlign w:val="center"/>
            <w:textDirection w:val="lrTb"/>
            <w:noWrap w:val="false"/>
          </w:tcPr>
          <w:p>
            <w:pPr>
              <w:spacing w:after="0"/>
              <w:rPr>
                <w:b/>
                <w:sz w:val="16"/>
                <w:szCs w:val="16"/>
              </w:rPr>
            </w:pPr>
            <w:r>
              <w:rPr>
                <w:b/>
                <w:sz w:val="16"/>
                <w:szCs w:val="16"/>
              </w:rPr>
              <w:t xml:space="preserve">10</w:t>
            </w:r>
            <w:r>
              <w:rPr>
                <w:b/>
                <w:sz w:val="16"/>
                <w:szCs w:val="16"/>
              </w:rPr>
            </w:r>
            <w:r>
              <w:rPr>
                <w:b/>
                <w:sz w:val="16"/>
                <w:szCs w:val="16"/>
              </w:rPr>
            </w:r>
          </w:p>
        </w:tc>
        <w:tc>
          <w:tcPr>
            <w:shd w:val="clear" w:color="auto" w:fill="auto"/>
            <w:tcBorders>
              <w:top w:val="none" w:color="000000" w:sz="4" w:space="0"/>
              <w:left w:val="none" w:color="000000" w:sz="4" w:space="0"/>
              <w:bottom w:val="none" w:color="000000" w:sz="4" w:space="0"/>
              <w:right w:val="single" w:color="auto" w:sz="4" w:space="0"/>
            </w:tcBorders>
            <w:tcW w:w="1292" w:type="dxa"/>
            <w:vAlign w:val="center"/>
            <w:textDirection w:val="lrTb"/>
            <w:noWrap w:val="false"/>
          </w:tcPr>
          <w:p>
            <w:pPr>
              <w:spacing w:after="0"/>
              <w:rPr>
                <w:b/>
                <w:sz w:val="16"/>
                <w:szCs w:val="16"/>
              </w:rPr>
            </w:pPr>
            <w:r>
              <w:rPr>
                <w:b/>
                <w:sz w:val="16"/>
                <w:szCs w:val="16"/>
              </w:rPr>
              <w:t xml:space="preserve">11</w:t>
            </w:r>
            <w:r>
              <w:rPr>
                <w:b/>
                <w:sz w:val="16"/>
                <w:szCs w:val="16"/>
              </w:rPr>
            </w:r>
            <w:r>
              <w:rPr>
                <w:b/>
                <w:sz w:val="16"/>
                <w:szCs w:val="16"/>
              </w:rPr>
            </w:r>
          </w:p>
        </w:tc>
        <w:tc>
          <w:tcPr>
            <w:shd w:val="clear" w:color="auto" w:fill="auto"/>
            <w:tcBorders>
              <w:top w:val="none" w:color="000000" w:sz="4" w:space="0"/>
              <w:left w:val="none" w:color="000000" w:sz="4" w:space="0"/>
              <w:bottom w:val="none" w:color="000000" w:sz="4" w:space="0"/>
              <w:right w:val="single" w:color="auto" w:sz="4" w:space="0"/>
            </w:tcBorders>
            <w:tcW w:w="992" w:type="dxa"/>
            <w:vAlign w:val="center"/>
            <w:textDirection w:val="lrTb"/>
            <w:noWrap w:val="false"/>
          </w:tcPr>
          <w:p>
            <w:pPr>
              <w:spacing w:after="0"/>
              <w:rPr>
                <w:b/>
                <w:sz w:val="16"/>
                <w:szCs w:val="16"/>
              </w:rPr>
            </w:pPr>
            <w:r>
              <w:rPr>
                <w:b/>
                <w:sz w:val="16"/>
                <w:szCs w:val="16"/>
              </w:rPr>
              <w:t xml:space="preserve">12</w:t>
            </w:r>
            <w:r>
              <w:rPr>
                <w:b/>
                <w:sz w:val="16"/>
                <w:szCs w:val="16"/>
              </w:rPr>
            </w:r>
            <w:r>
              <w:rPr>
                <w:b/>
                <w:sz w:val="16"/>
                <w:szCs w:val="16"/>
              </w:rPr>
            </w:r>
          </w:p>
        </w:tc>
        <w:tc>
          <w:tcPr>
            <w:shd w:val="clear" w:color="auto" w:fill="auto"/>
            <w:tcBorders>
              <w:top w:val="none" w:color="000000" w:sz="4" w:space="0"/>
              <w:left w:val="none" w:color="000000" w:sz="4" w:space="0"/>
              <w:bottom w:val="none" w:color="000000" w:sz="4" w:space="0"/>
              <w:right w:val="single" w:color="auto" w:sz="4" w:space="0"/>
            </w:tcBorders>
            <w:tcW w:w="1276" w:type="dxa"/>
            <w:vAlign w:val="center"/>
            <w:textDirection w:val="lrTb"/>
            <w:noWrap w:val="false"/>
          </w:tcPr>
          <w:p>
            <w:pPr>
              <w:spacing w:after="0"/>
              <w:rPr>
                <w:b/>
                <w:sz w:val="16"/>
                <w:szCs w:val="16"/>
              </w:rPr>
            </w:pPr>
            <w:r>
              <w:rPr>
                <w:b/>
                <w:sz w:val="16"/>
                <w:szCs w:val="16"/>
              </w:rPr>
              <w:t xml:space="preserve">13</w:t>
            </w:r>
            <w:r>
              <w:rPr>
                <w:b/>
                <w:sz w:val="16"/>
                <w:szCs w:val="16"/>
              </w:rPr>
            </w:r>
            <w:r>
              <w:rPr>
                <w:b/>
                <w:sz w:val="16"/>
                <w:szCs w:val="16"/>
              </w:rPr>
            </w:r>
          </w:p>
        </w:tc>
        <w:tc>
          <w:tcPr>
            <w:shd w:val="clear" w:color="auto" w:fill="auto"/>
            <w:tcBorders>
              <w:top w:val="none" w:color="000000" w:sz="4" w:space="0"/>
              <w:left w:val="none" w:color="000000" w:sz="4" w:space="0"/>
              <w:bottom w:val="none" w:color="000000" w:sz="4" w:space="0"/>
              <w:right w:val="single" w:color="auto" w:sz="4" w:space="0"/>
            </w:tcBorders>
            <w:tcW w:w="1134" w:type="dxa"/>
            <w:vAlign w:val="center"/>
            <w:textDirection w:val="lrTb"/>
            <w:noWrap w:val="false"/>
          </w:tcPr>
          <w:p>
            <w:pPr>
              <w:spacing w:after="0"/>
              <w:rPr>
                <w:b/>
                <w:sz w:val="16"/>
                <w:szCs w:val="16"/>
              </w:rPr>
            </w:pPr>
            <w:r>
              <w:rPr>
                <w:b/>
                <w:sz w:val="16"/>
                <w:szCs w:val="16"/>
              </w:rPr>
              <w:t xml:space="preserve">14</w:t>
            </w:r>
            <w:r>
              <w:rPr>
                <w:b/>
                <w:sz w:val="16"/>
                <w:szCs w:val="16"/>
              </w:rPr>
            </w:r>
            <w:r>
              <w:rPr>
                <w:b/>
                <w:sz w:val="16"/>
                <w:szCs w:val="16"/>
              </w:rPr>
            </w:r>
          </w:p>
        </w:tc>
        <w:tc>
          <w:tcPr>
            <w:shd w:val="clear" w:color="auto" w:fill="auto"/>
            <w:tcBorders>
              <w:top w:val="none" w:color="000000" w:sz="4" w:space="0"/>
              <w:left w:val="none" w:color="000000" w:sz="4" w:space="0"/>
              <w:bottom w:val="none" w:color="000000" w:sz="4" w:space="0"/>
              <w:right w:val="single" w:color="auto" w:sz="4" w:space="0"/>
            </w:tcBorders>
            <w:tcW w:w="1220" w:type="dxa"/>
            <w:vAlign w:val="center"/>
            <w:textDirection w:val="lrTb"/>
            <w:noWrap w:val="false"/>
          </w:tcPr>
          <w:p>
            <w:pPr>
              <w:spacing w:after="0"/>
              <w:rPr>
                <w:b/>
                <w:sz w:val="16"/>
                <w:szCs w:val="16"/>
              </w:rPr>
            </w:pPr>
            <w:r>
              <w:rPr>
                <w:b/>
                <w:sz w:val="16"/>
                <w:szCs w:val="16"/>
              </w:rPr>
              <w:t xml:space="preserve">15</w:t>
            </w:r>
            <w:r>
              <w:rPr>
                <w:b/>
                <w:sz w:val="16"/>
                <w:szCs w:val="16"/>
              </w:rPr>
            </w:r>
            <w:r>
              <w:rPr>
                <w:b/>
                <w:sz w:val="16"/>
                <w:szCs w:val="16"/>
              </w:rPr>
            </w:r>
          </w:p>
        </w:tc>
        <w:tc>
          <w:tcPr>
            <w:tcBorders>
              <w:top w:val="none" w:color="000000" w:sz="4" w:space="0"/>
              <w:left w:val="none" w:color="000000" w:sz="4" w:space="0"/>
              <w:bottom w:val="none" w:color="000000" w:sz="4" w:space="0"/>
              <w:right w:val="single" w:color="auto" w:sz="4" w:space="0"/>
            </w:tcBorders>
            <w:tcW w:w="1331" w:type="dxa"/>
            <w:vAlign w:val="center"/>
            <w:textDirection w:val="lrTb"/>
            <w:noWrap w:val="false"/>
          </w:tcPr>
          <w:p>
            <w:pPr>
              <w:spacing w:after="0"/>
              <w:rPr>
                <w:b/>
                <w:sz w:val="16"/>
                <w:szCs w:val="16"/>
              </w:rPr>
            </w:pPr>
            <w:r>
              <w:rPr>
                <w:b/>
                <w:sz w:val="16"/>
                <w:szCs w:val="16"/>
              </w:rPr>
              <w:t xml:space="preserve">16</w:t>
            </w:r>
            <w:r>
              <w:rPr>
                <w:b/>
                <w:sz w:val="16"/>
                <w:szCs w:val="16"/>
              </w:rPr>
            </w:r>
            <w:r>
              <w:rPr>
                <w:b/>
                <w:sz w:val="16"/>
                <w:szCs w:val="16"/>
              </w:rPr>
            </w:r>
          </w:p>
        </w:tc>
      </w:tr>
      <w:tr>
        <w:tblPrEx/>
        <w:trPr>
          <w:trHeight w:val="80"/>
        </w:trPr>
        <w:tc>
          <w:tcPr>
            <w:shd w:val="clear" w:color="000000" w:fill="ffffff"/>
            <w:tcBorders>
              <w:top w:val="none" w:color="000000" w:sz="4" w:space="0"/>
              <w:left w:val="single" w:color="auto" w:sz="4" w:space="0"/>
              <w:bottom w:val="single" w:color="auto" w:sz="4" w:space="0"/>
              <w:right w:val="single" w:color="auto" w:sz="4" w:space="0"/>
            </w:tcBorders>
            <w:tcW w:w="45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68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708"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879"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247"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556"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599"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0"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9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9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20"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tcBorders>
              <w:top w:val="none" w:color="000000" w:sz="4" w:space="0"/>
              <w:left w:val="none" w:color="000000" w:sz="4" w:space="0"/>
              <w:bottom w:val="single" w:color="auto" w:sz="4" w:space="0"/>
              <w:right w:val="single" w:color="auto" w:sz="4" w:space="0"/>
            </w:tcBorders>
            <w:tcW w:w="1331" w:type="dxa"/>
            <w:textDirection w:val="lrTb"/>
            <w:noWrap w:val="false"/>
          </w:tcPr>
          <w:p>
            <w:pPr>
              <w:spacing w:after="0"/>
              <w:rPr>
                <w:b/>
                <w:sz w:val="16"/>
                <w:szCs w:val="16"/>
              </w:rPr>
            </w:pPr>
            <w:r>
              <w:rPr>
                <w:b/>
                <w:sz w:val="16"/>
                <w:szCs w:val="16"/>
              </w:rPr>
            </w:r>
            <w:r>
              <w:rPr>
                <w:b/>
                <w:sz w:val="16"/>
                <w:szCs w:val="16"/>
              </w:rPr>
            </w:r>
            <w:r>
              <w:rPr>
                <w:b/>
                <w:sz w:val="16"/>
                <w:szCs w:val="16"/>
              </w:rPr>
            </w:r>
          </w:p>
        </w:tc>
      </w:tr>
      <w:tr>
        <w:tblPrEx/>
        <w:trPr>
          <w:trHeight w:val="225"/>
        </w:trPr>
        <w:tc>
          <w:tcPr>
            <w:shd w:val="clear" w:color="000000" w:fill="ffffff"/>
            <w:tcBorders>
              <w:top w:val="none" w:color="000000" w:sz="4" w:space="0"/>
              <w:left w:val="single" w:color="auto" w:sz="4" w:space="0"/>
              <w:bottom w:val="single" w:color="auto" w:sz="4" w:space="0"/>
              <w:right w:val="single" w:color="auto" w:sz="4" w:space="0"/>
            </w:tcBorders>
            <w:tcW w:w="453" w:type="dxa"/>
            <w:vAlign w:val="center"/>
            <w:textDirection w:val="lrTb"/>
            <w:noWrap w:val="false"/>
          </w:tcPr>
          <w:p>
            <w:pPr>
              <w:spacing w:after="0"/>
              <w:rPr>
                <w:b/>
                <w:sz w:val="16"/>
                <w:szCs w:val="16"/>
              </w:rPr>
            </w:pPr>
            <w:r>
              <w:rPr>
                <w:b/>
                <w:sz w:val="16"/>
                <w:szCs w:val="16"/>
              </w:rPr>
              <w:t xml:space="preserve">1.</w:t>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68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708"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879"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247"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556"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599" w:type="dxa"/>
            <w:vAlign w:val="center"/>
            <w:textDirection w:val="lrTb"/>
            <w:noWrap w:val="false"/>
          </w:tcPr>
          <w:p>
            <w:pPr>
              <w:spacing w:after="0"/>
              <w:rPr>
                <w:b/>
                <w:sz w:val="16"/>
                <w:szCs w:val="16"/>
              </w:rPr>
            </w:pPr>
            <w:r>
              <w:rPr>
                <w:b/>
                <w:sz w:val="16"/>
                <w:szCs w:val="16"/>
              </w:rPr>
              <w:t xml:space="preserve">1.1.</w:t>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0"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9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9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20"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tcBorders>
              <w:top w:val="none" w:color="000000" w:sz="4" w:space="0"/>
              <w:left w:val="none" w:color="000000" w:sz="4" w:space="0"/>
              <w:bottom w:val="single" w:color="auto" w:sz="4" w:space="0"/>
              <w:right w:val="single" w:color="auto" w:sz="4" w:space="0"/>
            </w:tcBorders>
            <w:tcW w:w="1331" w:type="dxa"/>
            <w:textDirection w:val="lrTb"/>
            <w:noWrap w:val="false"/>
          </w:tcPr>
          <w:p>
            <w:pPr>
              <w:spacing w:after="0"/>
              <w:rPr>
                <w:b/>
                <w:sz w:val="16"/>
                <w:szCs w:val="16"/>
              </w:rPr>
            </w:pPr>
            <w:r>
              <w:rPr>
                <w:b/>
                <w:sz w:val="16"/>
                <w:szCs w:val="16"/>
              </w:rPr>
            </w:r>
            <w:r>
              <w:rPr>
                <w:b/>
                <w:sz w:val="16"/>
                <w:szCs w:val="16"/>
              </w:rPr>
            </w:r>
            <w:r>
              <w:rPr>
                <w:b/>
                <w:sz w:val="16"/>
                <w:szCs w:val="16"/>
              </w:rPr>
            </w:r>
          </w:p>
        </w:tc>
      </w:tr>
      <w:tr>
        <w:tblPrEx/>
        <w:trPr>
          <w:trHeight w:val="225"/>
        </w:trPr>
        <w:tc>
          <w:tcPr>
            <w:shd w:val="clear" w:color="000000" w:fill="ffffff"/>
            <w:tcBorders>
              <w:top w:val="none" w:color="000000" w:sz="4" w:space="0"/>
              <w:left w:val="single" w:color="auto" w:sz="4" w:space="0"/>
              <w:bottom w:val="single" w:color="auto" w:sz="4" w:space="0"/>
              <w:right w:val="single" w:color="auto" w:sz="4" w:space="0"/>
            </w:tcBorders>
            <w:tcW w:w="45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68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708"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879"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247"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556"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599" w:type="dxa"/>
            <w:vAlign w:val="center"/>
            <w:textDirection w:val="lrTb"/>
            <w:noWrap w:val="false"/>
          </w:tcPr>
          <w:p>
            <w:pPr>
              <w:spacing w:after="0"/>
              <w:rPr>
                <w:b/>
                <w:sz w:val="16"/>
                <w:szCs w:val="16"/>
              </w:rPr>
            </w:pPr>
            <w:r>
              <w:rPr>
                <w:b/>
                <w:sz w:val="16"/>
                <w:szCs w:val="16"/>
              </w:rPr>
              <w:t xml:space="preserve">1.1.1</w:t>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0"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9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9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20"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tcBorders>
              <w:top w:val="none" w:color="000000" w:sz="4" w:space="0"/>
              <w:left w:val="none" w:color="000000" w:sz="4" w:space="0"/>
              <w:bottom w:val="single" w:color="auto" w:sz="4" w:space="0"/>
              <w:right w:val="single" w:color="auto" w:sz="4" w:space="0"/>
            </w:tcBorders>
            <w:tcW w:w="1331" w:type="dxa"/>
            <w:textDirection w:val="lrTb"/>
            <w:noWrap w:val="false"/>
          </w:tcPr>
          <w:p>
            <w:pPr>
              <w:spacing w:after="0"/>
              <w:rPr>
                <w:b/>
                <w:sz w:val="16"/>
                <w:szCs w:val="16"/>
              </w:rPr>
            </w:pPr>
            <w:r>
              <w:rPr>
                <w:b/>
                <w:sz w:val="16"/>
                <w:szCs w:val="16"/>
              </w:rPr>
            </w:r>
            <w:r>
              <w:rPr>
                <w:b/>
                <w:sz w:val="16"/>
                <w:szCs w:val="16"/>
              </w:rPr>
            </w:r>
            <w:r>
              <w:rPr>
                <w:b/>
                <w:sz w:val="16"/>
                <w:szCs w:val="16"/>
              </w:rPr>
            </w:r>
          </w:p>
        </w:tc>
      </w:tr>
      <w:tr>
        <w:tblPrEx/>
        <w:trPr>
          <w:trHeight w:val="225"/>
        </w:trPr>
        <w:tc>
          <w:tcPr>
            <w:shd w:val="clear" w:color="000000" w:fill="ffffff"/>
            <w:tcBorders>
              <w:top w:val="none" w:color="000000" w:sz="4" w:space="0"/>
              <w:left w:val="single" w:color="auto" w:sz="4" w:space="0"/>
              <w:bottom w:val="single" w:color="auto" w:sz="4" w:space="0"/>
              <w:right w:val="single" w:color="auto" w:sz="4" w:space="0"/>
            </w:tcBorders>
            <w:tcW w:w="45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68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708"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879"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247"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556"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599" w:type="dxa"/>
            <w:vAlign w:val="center"/>
            <w:textDirection w:val="lrTb"/>
            <w:noWrap w:val="false"/>
          </w:tcPr>
          <w:p>
            <w:pPr>
              <w:spacing w:after="0"/>
              <w:rPr>
                <w:b/>
                <w:sz w:val="16"/>
                <w:szCs w:val="16"/>
              </w:rPr>
            </w:pPr>
            <w:r>
              <w:rPr>
                <w:b/>
                <w:sz w:val="16"/>
                <w:szCs w:val="16"/>
              </w:rPr>
              <w:t xml:space="preserve">1.1.2</w:t>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0"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9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9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20"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tcBorders>
              <w:top w:val="none" w:color="000000" w:sz="4" w:space="0"/>
              <w:left w:val="none" w:color="000000" w:sz="4" w:space="0"/>
              <w:bottom w:val="single" w:color="auto" w:sz="4" w:space="0"/>
              <w:right w:val="single" w:color="auto" w:sz="4" w:space="0"/>
            </w:tcBorders>
            <w:tcW w:w="1331" w:type="dxa"/>
            <w:textDirection w:val="lrTb"/>
            <w:noWrap w:val="false"/>
          </w:tcPr>
          <w:p>
            <w:pPr>
              <w:spacing w:after="0"/>
              <w:rPr>
                <w:b/>
                <w:sz w:val="16"/>
                <w:szCs w:val="16"/>
              </w:rPr>
            </w:pPr>
            <w:r>
              <w:rPr>
                <w:b/>
                <w:sz w:val="16"/>
                <w:szCs w:val="16"/>
              </w:rPr>
            </w:r>
            <w:r>
              <w:rPr>
                <w:b/>
                <w:sz w:val="16"/>
                <w:szCs w:val="16"/>
              </w:rPr>
            </w:r>
            <w:r>
              <w:rPr>
                <w:b/>
                <w:sz w:val="16"/>
                <w:szCs w:val="16"/>
              </w:rPr>
            </w:r>
          </w:p>
        </w:tc>
      </w:tr>
      <w:tr>
        <w:tblPrEx/>
        <w:trPr>
          <w:trHeight w:val="225"/>
        </w:trPr>
        <w:tc>
          <w:tcPr>
            <w:shd w:val="clear" w:color="000000" w:fill="ffffff"/>
            <w:tcBorders>
              <w:top w:val="none" w:color="000000" w:sz="4" w:space="0"/>
              <w:left w:val="single" w:color="auto" w:sz="4" w:space="0"/>
              <w:bottom w:val="single" w:color="auto" w:sz="4" w:space="0"/>
              <w:right w:val="single" w:color="auto" w:sz="4" w:space="0"/>
            </w:tcBorders>
            <w:tcW w:w="45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68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708"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879"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247"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556"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599" w:type="dxa"/>
            <w:vAlign w:val="center"/>
            <w:textDirection w:val="lrTb"/>
            <w:noWrap w:val="false"/>
          </w:tcPr>
          <w:p>
            <w:pPr>
              <w:spacing w:after="0"/>
              <w:rPr>
                <w:b/>
                <w:sz w:val="16"/>
                <w:szCs w:val="16"/>
              </w:rPr>
            </w:pPr>
            <w:r>
              <w:rPr>
                <w:b/>
                <w:sz w:val="16"/>
                <w:szCs w:val="16"/>
              </w:rPr>
              <w:t xml:space="preserve">1.1.3</w:t>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0"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9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9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20"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tcBorders>
              <w:top w:val="none" w:color="000000" w:sz="4" w:space="0"/>
              <w:left w:val="none" w:color="000000" w:sz="4" w:space="0"/>
              <w:bottom w:val="single" w:color="auto" w:sz="4" w:space="0"/>
              <w:right w:val="single" w:color="auto" w:sz="4" w:space="0"/>
            </w:tcBorders>
            <w:tcW w:w="1331" w:type="dxa"/>
            <w:textDirection w:val="lrTb"/>
            <w:noWrap w:val="false"/>
          </w:tcPr>
          <w:p>
            <w:pPr>
              <w:spacing w:after="0"/>
              <w:rPr>
                <w:b/>
                <w:sz w:val="16"/>
                <w:szCs w:val="16"/>
              </w:rPr>
            </w:pPr>
            <w:r>
              <w:rPr>
                <w:b/>
                <w:sz w:val="16"/>
                <w:szCs w:val="16"/>
              </w:rPr>
            </w:r>
            <w:r>
              <w:rPr>
                <w:b/>
                <w:sz w:val="16"/>
                <w:szCs w:val="16"/>
              </w:rPr>
            </w:r>
            <w:r>
              <w:rPr>
                <w:b/>
                <w:sz w:val="16"/>
                <w:szCs w:val="16"/>
              </w:rPr>
            </w:r>
          </w:p>
        </w:tc>
      </w:tr>
      <w:tr>
        <w:tblPrEx/>
        <w:trPr>
          <w:trHeight w:val="225"/>
        </w:trPr>
        <w:tc>
          <w:tcPr>
            <w:shd w:val="clear" w:color="000000" w:fill="ffffff"/>
            <w:tcBorders>
              <w:top w:val="none" w:color="000000" w:sz="4" w:space="0"/>
              <w:left w:val="single" w:color="auto" w:sz="4" w:space="0"/>
              <w:bottom w:val="single" w:color="auto" w:sz="4" w:space="0"/>
              <w:right w:val="single" w:color="auto" w:sz="4" w:space="0"/>
            </w:tcBorders>
            <w:tcW w:w="45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68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708"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879"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247"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auto" w:sz="4" w:space="0"/>
              <w:right w:val="single" w:color="auto" w:sz="4" w:space="0"/>
            </w:tcBorders>
            <w:tcW w:w="1556"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599" w:type="dxa"/>
            <w:vAlign w:val="center"/>
            <w:textDirection w:val="lrTb"/>
            <w:noWrap w:val="false"/>
          </w:tcPr>
          <w:p>
            <w:pPr>
              <w:spacing w:after="0"/>
              <w:rPr>
                <w:b/>
                <w:sz w:val="16"/>
                <w:szCs w:val="16"/>
              </w:rPr>
            </w:pPr>
            <w:r>
              <w:rPr>
                <w:b/>
                <w:sz w:val="16"/>
                <w:szCs w:val="16"/>
              </w:rPr>
              <w:t xml:space="preserve">1.1.3.1</w:t>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80"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69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9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76"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auto" w:sz="4" w:space="0"/>
              <w:right w:val="single" w:color="auto" w:sz="4" w:space="0"/>
            </w:tcBorders>
            <w:tcW w:w="1220"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tcBorders>
              <w:top w:val="none" w:color="000000" w:sz="4" w:space="0"/>
              <w:left w:val="none" w:color="000000" w:sz="4" w:space="0"/>
              <w:bottom w:val="single" w:color="auto" w:sz="4" w:space="0"/>
              <w:right w:val="single" w:color="auto" w:sz="4" w:space="0"/>
            </w:tcBorders>
            <w:tcW w:w="1331" w:type="dxa"/>
            <w:textDirection w:val="lrTb"/>
            <w:noWrap w:val="false"/>
          </w:tcPr>
          <w:p>
            <w:pPr>
              <w:spacing w:after="0"/>
              <w:rPr>
                <w:b/>
                <w:sz w:val="16"/>
                <w:szCs w:val="16"/>
              </w:rPr>
            </w:pPr>
            <w:r>
              <w:rPr>
                <w:b/>
                <w:sz w:val="16"/>
                <w:szCs w:val="16"/>
              </w:rPr>
            </w:r>
            <w:r>
              <w:rPr>
                <w:b/>
                <w:sz w:val="16"/>
                <w:szCs w:val="16"/>
              </w:rPr>
            </w:r>
            <w:r>
              <w:rPr>
                <w:b/>
                <w:sz w:val="16"/>
                <w:szCs w:val="16"/>
              </w:rPr>
            </w:r>
          </w:p>
        </w:tc>
      </w:tr>
      <w:tr>
        <w:tblPrEx/>
        <w:trPr>
          <w:trHeight w:val="225"/>
        </w:trPr>
        <w:tc>
          <w:tcPr>
            <w:shd w:val="clear" w:color="000000" w:fill="ffffff"/>
            <w:tcBorders>
              <w:top w:val="none" w:color="000000" w:sz="4" w:space="0"/>
              <w:left w:val="single" w:color="auto" w:sz="4" w:space="0"/>
              <w:bottom w:val="single" w:color="000000" w:sz="4" w:space="0"/>
              <w:right w:val="single" w:color="auto" w:sz="4" w:space="0"/>
            </w:tcBorders>
            <w:tcW w:w="45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000000" w:sz="4" w:space="0"/>
              <w:right w:val="single" w:color="auto" w:sz="4" w:space="0"/>
            </w:tcBorders>
            <w:tcW w:w="68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000000" w:sz="4" w:space="0"/>
              <w:right w:val="single" w:color="auto" w:sz="4" w:space="0"/>
            </w:tcBorders>
            <w:tcW w:w="708"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000000" w:sz="4" w:space="0"/>
              <w:right w:val="single" w:color="auto" w:sz="4" w:space="0"/>
            </w:tcBorders>
            <w:tcW w:w="879"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000000" w:sz="4" w:space="0"/>
              <w:right w:val="single" w:color="auto" w:sz="4" w:space="0"/>
            </w:tcBorders>
            <w:tcW w:w="1247"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none" w:color="000000" w:sz="4" w:space="0"/>
              <w:left w:val="none" w:color="000000" w:sz="4" w:space="0"/>
              <w:bottom w:val="single" w:color="000000" w:sz="4" w:space="0"/>
              <w:right w:val="single" w:color="auto" w:sz="4" w:space="0"/>
            </w:tcBorders>
            <w:tcW w:w="1556"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000000" w:sz="4" w:space="0"/>
              <w:right w:val="single" w:color="auto" w:sz="4" w:space="0"/>
            </w:tcBorders>
            <w:tcW w:w="599" w:type="dxa"/>
            <w:vAlign w:val="center"/>
            <w:textDirection w:val="lrTb"/>
            <w:noWrap w:val="false"/>
          </w:tcPr>
          <w:p>
            <w:pPr>
              <w:spacing w:after="0"/>
              <w:rPr>
                <w:b/>
                <w:sz w:val="16"/>
                <w:szCs w:val="16"/>
              </w:rPr>
            </w:pPr>
            <w:r>
              <w:rPr>
                <w:b/>
                <w:sz w:val="16"/>
                <w:szCs w:val="16"/>
              </w:rPr>
              <w:t xml:space="preserve">1.1.3.2</w:t>
            </w:r>
            <w:r>
              <w:rPr>
                <w:b/>
                <w:sz w:val="16"/>
                <w:szCs w:val="16"/>
              </w:rPr>
            </w:r>
            <w:r>
              <w:rPr>
                <w:b/>
                <w:sz w:val="16"/>
                <w:szCs w:val="16"/>
              </w:rPr>
            </w:r>
          </w:p>
        </w:tc>
        <w:tc>
          <w:tcPr>
            <w:shd w:val="clear" w:color="auto" w:fill="auto"/>
            <w:tcBorders>
              <w:top w:val="none" w:color="000000" w:sz="4" w:space="0"/>
              <w:left w:val="none" w:color="000000" w:sz="4" w:space="0"/>
              <w:bottom w:val="single" w:color="000000" w:sz="4" w:space="0"/>
              <w:right w:val="single" w:color="auto" w:sz="4" w:space="0"/>
            </w:tcBorders>
            <w:tcW w:w="680"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000000" w:sz="4" w:space="0"/>
              <w:right w:val="single" w:color="auto" w:sz="4" w:space="0"/>
            </w:tcBorders>
            <w:tcW w:w="69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000000" w:sz="4" w:space="0"/>
              <w:right w:val="single" w:color="auto" w:sz="4" w:space="0"/>
            </w:tcBorders>
            <w:tcW w:w="12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000000" w:sz="4" w:space="0"/>
              <w:right w:val="single" w:color="auto" w:sz="4" w:space="0"/>
            </w:tcBorders>
            <w:tcW w:w="9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000000" w:sz="4" w:space="0"/>
              <w:right w:val="single" w:color="auto" w:sz="4" w:space="0"/>
            </w:tcBorders>
            <w:tcW w:w="1276"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none" w:color="000000" w:sz="4" w:space="0"/>
              <w:left w:val="none" w:color="000000" w:sz="4" w:space="0"/>
              <w:bottom w:val="single" w:color="000000" w:sz="4" w:space="0"/>
              <w:right w:val="single" w:color="auto" w:sz="4" w:space="0"/>
            </w:tcBorders>
            <w:tcW w:w="1220"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tcBorders>
              <w:top w:val="none" w:color="000000" w:sz="4" w:space="0"/>
              <w:left w:val="none" w:color="000000" w:sz="4" w:space="0"/>
              <w:bottom w:val="single" w:color="000000" w:sz="4" w:space="0"/>
              <w:right w:val="single" w:color="auto" w:sz="4" w:space="0"/>
            </w:tcBorders>
            <w:tcW w:w="1331" w:type="dxa"/>
            <w:textDirection w:val="lrTb"/>
            <w:noWrap w:val="false"/>
          </w:tcPr>
          <w:p>
            <w:pPr>
              <w:spacing w:after="0"/>
              <w:rPr>
                <w:b/>
                <w:sz w:val="16"/>
                <w:szCs w:val="16"/>
              </w:rPr>
            </w:pPr>
            <w:r>
              <w:rPr>
                <w:b/>
                <w:sz w:val="16"/>
                <w:szCs w:val="16"/>
              </w:rPr>
            </w:r>
            <w:r>
              <w:rPr>
                <w:b/>
                <w:sz w:val="16"/>
                <w:szCs w:val="16"/>
              </w:rPr>
            </w:r>
            <w:r>
              <w:rPr>
                <w:b/>
                <w:sz w:val="16"/>
                <w:szCs w:val="16"/>
              </w:rPr>
            </w:r>
          </w:p>
        </w:tc>
      </w:tr>
      <w:tr>
        <w:tblPrEx/>
        <w:trPr>
          <w:trHeight w:val="225"/>
        </w:trPr>
        <w:tc>
          <w:tcPr>
            <w:shd w:val="clear" w:color="000000" w:fill="ffffff"/>
            <w:tcBorders>
              <w:top w:val="single" w:color="000000" w:sz="4" w:space="0"/>
              <w:left w:val="single" w:color="auto" w:sz="4" w:space="0"/>
              <w:bottom w:val="single" w:color="000000" w:sz="4" w:space="0"/>
              <w:right w:val="single" w:color="auto" w:sz="4" w:space="0"/>
            </w:tcBorders>
            <w:tcW w:w="45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68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708"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879"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247"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556"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599" w:type="dxa"/>
            <w:vAlign w:val="center"/>
            <w:textDirection w:val="lrTb"/>
            <w:noWrap w:val="false"/>
          </w:tcPr>
          <w:p>
            <w:pPr>
              <w:spacing w:after="0"/>
              <w:rPr>
                <w:b/>
                <w:sz w:val="16"/>
                <w:szCs w:val="16"/>
              </w:rPr>
            </w:pPr>
            <w:r>
              <w:rPr>
                <w:b/>
                <w:sz w:val="16"/>
                <w:szCs w:val="16"/>
              </w:rPr>
              <w:t xml:space="preserve">…</w:t>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680"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69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9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76"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20"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tcBorders>
              <w:top w:val="single" w:color="000000" w:sz="4" w:space="0"/>
              <w:left w:val="none" w:color="000000" w:sz="4" w:space="0"/>
              <w:bottom w:val="single" w:color="000000" w:sz="4" w:space="0"/>
              <w:right w:val="single" w:color="auto" w:sz="4" w:space="0"/>
            </w:tcBorders>
            <w:tcW w:w="1331" w:type="dxa"/>
            <w:textDirection w:val="lrTb"/>
            <w:noWrap w:val="false"/>
          </w:tcPr>
          <w:p>
            <w:pPr>
              <w:spacing w:after="0"/>
              <w:rPr>
                <w:b/>
                <w:sz w:val="16"/>
                <w:szCs w:val="16"/>
              </w:rPr>
            </w:pPr>
            <w:r>
              <w:rPr>
                <w:b/>
                <w:sz w:val="16"/>
                <w:szCs w:val="16"/>
              </w:rPr>
            </w:r>
            <w:r>
              <w:rPr>
                <w:b/>
                <w:sz w:val="16"/>
                <w:szCs w:val="16"/>
              </w:rPr>
            </w:r>
            <w:r>
              <w:rPr>
                <w:b/>
                <w:sz w:val="16"/>
                <w:szCs w:val="16"/>
              </w:rPr>
            </w:r>
          </w:p>
        </w:tc>
      </w:tr>
      <w:tr>
        <w:tblPrEx/>
        <w:trPr>
          <w:trHeight w:val="225"/>
        </w:trPr>
        <w:tc>
          <w:tcPr>
            <w:shd w:val="clear" w:color="000000" w:fill="ffffff"/>
            <w:tcBorders>
              <w:top w:val="single" w:color="000000" w:sz="4" w:space="0"/>
              <w:left w:val="single" w:color="auto" w:sz="4" w:space="0"/>
              <w:bottom w:val="single" w:color="000000" w:sz="4" w:space="0"/>
              <w:right w:val="single" w:color="auto" w:sz="4" w:space="0"/>
            </w:tcBorders>
            <w:tcW w:w="45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68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708"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879"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247"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556"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599" w:type="dxa"/>
            <w:vAlign w:val="center"/>
            <w:textDirection w:val="lrTb"/>
            <w:noWrap w:val="false"/>
          </w:tcPr>
          <w:p>
            <w:pPr>
              <w:spacing w:after="0"/>
              <w:rPr>
                <w:b/>
                <w:sz w:val="16"/>
                <w:szCs w:val="16"/>
              </w:rPr>
            </w:pPr>
            <w:r>
              <w:rPr>
                <w:b/>
                <w:sz w:val="16"/>
                <w:szCs w:val="16"/>
              </w:rPr>
              <w:t xml:space="preserve">1.2</w:t>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680"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69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9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76"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20"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tcBorders>
              <w:top w:val="single" w:color="000000" w:sz="4" w:space="0"/>
              <w:left w:val="none" w:color="000000" w:sz="4" w:space="0"/>
              <w:bottom w:val="single" w:color="000000" w:sz="4" w:space="0"/>
              <w:right w:val="single" w:color="auto" w:sz="4" w:space="0"/>
            </w:tcBorders>
            <w:tcW w:w="1331" w:type="dxa"/>
            <w:textDirection w:val="lrTb"/>
            <w:noWrap w:val="false"/>
          </w:tcPr>
          <w:p>
            <w:pPr>
              <w:spacing w:after="0"/>
              <w:rPr>
                <w:b/>
                <w:sz w:val="16"/>
                <w:szCs w:val="16"/>
              </w:rPr>
            </w:pPr>
            <w:r>
              <w:rPr>
                <w:b/>
                <w:sz w:val="16"/>
                <w:szCs w:val="16"/>
              </w:rPr>
            </w:r>
            <w:r>
              <w:rPr>
                <w:b/>
                <w:sz w:val="16"/>
                <w:szCs w:val="16"/>
              </w:rPr>
            </w:r>
            <w:r>
              <w:rPr>
                <w:b/>
                <w:sz w:val="16"/>
                <w:szCs w:val="16"/>
              </w:rPr>
            </w:r>
          </w:p>
        </w:tc>
      </w:tr>
      <w:tr>
        <w:tblPrEx/>
        <w:trPr>
          <w:trHeight w:val="225"/>
        </w:trPr>
        <w:tc>
          <w:tcPr>
            <w:shd w:val="clear" w:color="000000" w:fill="ffffff"/>
            <w:tcBorders>
              <w:top w:val="single" w:color="000000" w:sz="4" w:space="0"/>
              <w:left w:val="single" w:color="auto" w:sz="4" w:space="0"/>
              <w:bottom w:val="single" w:color="000000" w:sz="4" w:space="0"/>
              <w:right w:val="single" w:color="auto" w:sz="4" w:space="0"/>
            </w:tcBorders>
            <w:tcW w:w="45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68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708"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879"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247"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556"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599" w:type="dxa"/>
            <w:vAlign w:val="center"/>
            <w:textDirection w:val="lrTb"/>
            <w:noWrap w:val="false"/>
          </w:tcPr>
          <w:p>
            <w:pPr>
              <w:spacing w:after="0"/>
              <w:rPr>
                <w:b/>
                <w:sz w:val="16"/>
                <w:szCs w:val="16"/>
              </w:rPr>
            </w:pPr>
            <w:r>
              <w:rPr>
                <w:b/>
                <w:sz w:val="16"/>
                <w:szCs w:val="16"/>
              </w:rPr>
              <w:t xml:space="preserve">1.2.1</w:t>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680"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69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9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76"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20"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tcBorders>
              <w:top w:val="single" w:color="000000" w:sz="4" w:space="0"/>
              <w:left w:val="none" w:color="000000" w:sz="4" w:space="0"/>
              <w:bottom w:val="single" w:color="000000" w:sz="4" w:space="0"/>
              <w:right w:val="single" w:color="auto" w:sz="4" w:space="0"/>
            </w:tcBorders>
            <w:tcW w:w="1331" w:type="dxa"/>
            <w:textDirection w:val="lrTb"/>
            <w:noWrap w:val="false"/>
          </w:tcPr>
          <w:p>
            <w:pPr>
              <w:spacing w:after="0"/>
              <w:rPr>
                <w:b/>
                <w:sz w:val="16"/>
                <w:szCs w:val="16"/>
              </w:rPr>
            </w:pPr>
            <w:r>
              <w:rPr>
                <w:b/>
                <w:sz w:val="16"/>
                <w:szCs w:val="16"/>
              </w:rPr>
            </w:r>
            <w:r>
              <w:rPr>
                <w:b/>
                <w:sz w:val="16"/>
                <w:szCs w:val="16"/>
              </w:rPr>
            </w:r>
            <w:r>
              <w:rPr>
                <w:b/>
                <w:sz w:val="16"/>
                <w:szCs w:val="16"/>
              </w:rPr>
            </w:r>
          </w:p>
        </w:tc>
      </w:tr>
      <w:tr>
        <w:tblPrEx/>
        <w:trPr>
          <w:trHeight w:val="225"/>
        </w:trPr>
        <w:tc>
          <w:tcPr>
            <w:shd w:val="clear" w:color="000000" w:fill="ffffff"/>
            <w:tcBorders>
              <w:top w:val="single" w:color="000000" w:sz="4" w:space="0"/>
              <w:left w:val="single" w:color="auto" w:sz="4" w:space="0"/>
              <w:bottom w:val="single" w:color="000000" w:sz="4" w:space="0"/>
              <w:right w:val="single" w:color="auto" w:sz="4" w:space="0"/>
            </w:tcBorders>
            <w:tcW w:w="45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68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708"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879"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247"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556"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599" w:type="dxa"/>
            <w:vAlign w:val="center"/>
            <w:textDirection w:val="lrTb"/>
            <w:noWrap w:val="false"/>
          </w:tcPr>
          <w:p>
            <w:pPr>
              <w:spacing w:after="0"/>
              <w:rPr>
                <w:b/>
                <w:sz w:val="16"/>
                <w:szCs w:val="16"/>
              </w:rPr>
            </w:pPr>
            <w:r>
              <w:rPr>
                <w:b/>
                <w:sz w:val="16"/>
                <w:szCs w:val="16"/>
              </w:rPr>
              <w:t xml:space="preserve">1.2.2</w:t>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680"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69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9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76"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20"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tcBorders>
              <w:top w:val="single" w:color="000000" w:sz="4" w:space="0"/>
              <w:left w:val="none" w:color="000000" w:sz="4" w:space="0"/>
              <w:bottom w:val="single" w:color="000000" w:sz="4" w:space="0"/>
              <w:right w:val="single" w:color="auto" w:sz="4" w:space="0"/>
            </w:tcBorders>
            <w:tcW w:w="1331" w:type="dxa"/>
            <w:textDirection w:val="lrTb"/>
            <w:noWrap w:val="false"/>
          </w:tcPr>
          <w:p>
            <w:pPr>
              <w:spacing w:after="0"/>
              <w:rPr>
                <w:b/>
                <w:sz w:val="16"/>
                <w:szCs w:val="16"/>
              </w:rPr>
            </w:pPr>
            <w:r>
              <w:rPr>
                <w:b/>
                <w:sz w:val="16"/>
                <w:szCs w:val="16"/>
              </w:rPr>
            </w:r>
            <w:r>
              <w:rPr>
                <w:b/>
                <w:sz w:val="16"/>
                <w:szCs w:val="16"/>
              </w:rPr>
            </w:r>
            <w:r>
              <w:rPr>
                <w:b/>
                <w:sz w:val="16"/>
                <w:szCs w:val="16"/>
              </w:rPr>
            </w:r>
          </w:p>
        </w:tc>
      </w:tr>
      <w:tr>
        <w:tblPrEx/>
        <w:trPr>
          <w:trHeight w:val="225"/>
        </w:trPr>
        <w:tc>
          <w:tcPr>
            <w:shd w:val="clear" w:color="000000" w:fill="ffffff"/>
            <w:tcBorders>
              <w:top w:val="single" w:color="000000" w:sz="4" w:space="0"/>
              <w:left w:val="single" w:color="auto" w:sz="4" w:space="0"/>
              <w:bottom w:val="single" w:color="000000" w:sz="4" w:space="0"/>
              <w:right w:val="single" w:color="auto" w:sz="4" w:space="0"/>
            </w:tcBorders>
            <w:tcW w:w="45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68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708"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879"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247"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556"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599" w:type="dxa"/>
            <w:vAlign w:val="center"/>
            <w:textDirection w:val="lrTb"/>
            <w:noWrap w:val="false"/>
          </w:tcPr>
          <w:p>
            <w:pPr>
              <w:spacing w:after="0"/>
              <w:rPr>
                <w:b/>
                <w:sz w:val="16"/>
                <w:szCs w:val="16"/>
              </w:rPr>
            </w:pPr>
            <w:r>
              <w:rPr>
                <w:b/>
                <w:sz w:val="16"/>
                <w:szCs w:val="16"/>
              </w:rPr>
              <w:t xml:space="preserve">1.2.3</w:t>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680"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69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9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76"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20"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tcBorders>
              <w:top w:val="single" w:color="000000" w:sz="4" w:space="0"/>
              <w:left w:val="none" w:color="000000" w:sz="4" w:space="0"/>
              <w:bottom w:val="single" w:color="000000" w:sz="4" w:space="0"/>
              <w:right w:val="single" w:color="auto" w:sz="4" w:space="0"/>
            </w:tcBorders>
            <w:tcW w:w="1331" w:type="dxa"/>
            <w:textDirection w:val="lrTb"/>
            <w:noWrap w:val="false"/>
          </w:tcPr>
          <w:p>
            <w:pPr>
              <w:spacing w:after="0"/>
              <w:rPr>
                <w:b/>
                <w:sz w:val="16"/>
                <w:szCs w:val="16"/>
              </w:rPr>
            </w:pPr>
            <w:r>
              <w:rPr>
                <w:b/>
                <w:sz w:val="16"/>
                <w:szCs w:val="16"/>
              </w:rPr>
            </w:r>
            <w:r>
              <w:rPr>
                <w:b/>
                <w:sz w:val="16"/>
                <w:szCs w:val="16"/>
              </w:rPr>
            </w:r>
            <w:r>
              <w:rPr>
                <w:b/>
                <w:sz w:val="16"/>
                <w:szCs w:val="16"/>
              </w:rPr>
            </w:r>
          </w:p>
        </w:tc>
      </w:tr>
      <w:tr>
        <w:tblPrEx/>
        <w:trPr>
          <w:trHeight w:val="225"/>
        </w:trPr>
        <w:tc>
          <w:tcPr>
            <w:shd w:val="clear" w:color="000000" w:fill="ffffff"/>
            <w:tcBorders>
              <w:top w:val="single" w:color="000000" w:sz="4" w:space="0"/>
              <w:left w:val="single" w:color="auto" w:sz="4" w:space="0"/>
              <w:bottom w:val="single" w:color="000000" w:sz="4" w:space="0"/>
              <w:right w:val="single" w:color="auto" w:sz="4" w:space="0"/>
            </w:tcBorders>
            <w:tcW w:w="45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68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708"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879"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247"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556"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599" w:type="dxa"/>
            <w:vAlign w:val="center"/>
            <w:textDirection w:val="lrTb"/>
            <w:noWrap w:val="false"/>
          </w:tcPr>
          <w:p>
            <w:pPr>
              <w:spacing w:after="0"/>
              <w:rPr>
                <w:b/>
                <w:sz w:val="16"/>
                <w:szCs w:val="16"/>
              </w:rPr>
            </w:pPr>
            <w:r>
              <w:rPr>
                <w:b/>
                <w:sz w:val="16"/>
                <w:szCs w:val="16"/>
              </w:rPr>
              <w:t xml:space="preserve">…</w:t>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680"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69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9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76"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20"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tcBorders>
              <w:top w:val="single" w:color="000000" w:sz="4" w:space="0"/>
              <w:left w:val="none" w:color="000000" w:sz="4" w:space="0"/>
              <w:bottom w:val="single" w:color="000000" w:sz="4" w:space="0"/>
              <w:right w:val="single" w:color="auto" w:sz="4" w:space="0"/>
            </w:tcBorders>
            <w:tcW w:w="1331" w:type="dxa"/>
            <w:textDirection w:val="lrTb"/>
            <w:noWrap w:val="false"/>
          </w:tcPr>
          <w:p>
            <w:pPr>
              <w:spacing w:after="0"/>
              <w:rPr>
                <w:b/>
                <w:sz w:val="16"/>
                <w:szCs w:val="16"/>
              </w:rPr>
            </w:pPr>
            <w:r>
              <w:rPr>
                <w:b/>
                <w:sz w:val="16"/>
                <w:szCs w:val="16"/>
              </w:rPr>
            </w:r>
            <w:r>
              <w:rPr>
                <w:b/>
                <w:sz w:val="16"/>
                <w:szCs w:val="16"/>
              </w:rPr>
            </w:r>
            <w:r>
              <w:rPr>
                <w:b/>
                <w:sz w:val="16"/>
                <w:szCs w:val="16"/>
              </w:rPr>
            </w:r>
          </w:p>
        </w:tc>
      </w:tr>
      <w:tr>
        <w:tblPrEx/>
        <w:trPr>
          <w:trHeight w:val="225"/>
        </w:trPr>
        <w:tc>
          <w:tcPr>
            <w:shd w:val="clear" w:color="000000" w:fill="ffffff"/>
            <w:tcBorders>
              <w:top w:val="single" w:color="000000" w:sz="4" w:space="0"/>
              <w:left w:val="single" w:color="auto" w:sz="4" w:space="0"/>
              <w:bottom w:val="single" w:color="000000" w:sz="4" w:space="0"/>
              <w:right w:val="single" w:color="auto" w:sz="4" w:space="0"/>
            </w:tcBorders>
            <w:tcW w:w="45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68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708"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879"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247"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556"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599" w:type="dxa"/>
            <w:vAlign w:val="center"/>
            <w:textDirection w:val="lrTb"/>
            <w:noWrap w:val="false"/>
          </w:tcPr>
          <w:p>
            <w:pPr>
              <w:spacing w:after="0"/>
              <w:rPr>
                <w:b/>
                <w:sz w:val="16"/>
                <w:szCs w:val="16"/>
              </w:rPr>
            </w:pPr>
            <w:r>
              <w:rPr>
                <w:b/>
                <w:sz w:val="16"/>
                <w:szCs w:val="16"/>
              </w:rPr>
              <w:t xml:space="preserve">1.3</w:t>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680"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69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9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76"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20"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tcBorders>
              <w:top w:val="single" w:color="000000" w:sz="4" w:space="0"/>
              <w:left w:val="none" w:color="000000" w:sz="4" w:space="0"/>
              <w:bottom w:val="single" w:color="000000" w:sz="4" w:space="0"/>
              <w:right w:val="single" w:color="auto" w:sz="4" w:space="0"/>
            </w:tcBorders>
            <w:tcW w:w="1331" w:type="dxa"/>
            <w:textDirection w:val="lrTb"/>
            <w:noWrap w:val="false"/>
          </w:tcPr>
          <w:p>
            <w:pPr>
              <w:spacing w:after="0"/>
              <w:rPr>
                <w:b/>
                <w:sz w:val="16"/>
                <w:szCs w:val="16"/>
              </w:rPr>
            </w:pPr>
            <w:r>
              <w:rPr>
                <w:b/>
                <w:sz w:val="16"/>
                <w:szCs w:val="16"/>
              </w:rPr>
            </w:r>
            <w:r>
              <w:rPr>
                <w:b/>
                <w:sz w:val="16"/>
                <w:szCs w:val="16"/>
              </w:rPr>
            </w:r>
            <w:r>
              <w:rPr>
                <w:b/>
                <w:sz w:val="16"/>
                <w:szCs w:val="16"/>
              </w:rPr>
            </w:r>
          </w:p>
        </w:tc>
      </w:tr>
      <w:tr>
        <w:tblPrEx/>
        <w:trPr>
          <w:trHeight w:val="225"/>
        </w:trPr>
        <w:tc>
          <w:tcPr>
            <w:shd w:val="clear" w:color="000000" w:fill="ffffff"/>
            <w:tcBorders>
              <w:top w:val="single" w:color="000000" w:sz="4" w:space="0"/>
              <w:left w:val="single" w:color="auto" w:sz="4" w:space="0"/>
              <w:bottom w:val="single" w:color="000000" w:sz="4" w:space="0"/>
              <w:right w:val="single" w:color="auto" w:sz="4" w:space="0"/>
            </w:tcBorders>
            <w:tcW w:w="45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68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708"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879"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247"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000000" w:fill="ffffff"/>
            <w:tcBorders>
              <w:top w:val="single" w:color="000000" w:sz="4" w:space="0"/>
              <w:left w:val="none" w:color="000000" w:sz="4" w:space="0"/>
              <w:bottom w:val="single" w:color="000000" w:sz="4" w:space="0"/>
              <w:right w:val="single" w:color="auto" w:sz="4" w:space="0"/>
            </w:tcBorders>
            <w:tcW w:w="1556"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599" w:type="dxa"/>
            <w:vAlign w:val="center"/>
            <w:textDirection w:val="lrTb"/>
            <w:noWrap w:val="false"/>
          </w:tcPr>
          <w:p>
            <w:pPr>
              <w:spacing w:after="0"/>
              <w:rPr>
                <w:b/>
                <w:sz w:val="16"/>
                <w:szCs w:val="16"/>
              </w:rPr>
            </w:pPr>
            <w:r>
              <w:rPr>
                <w:b/>
                <w:sz w:val="16"/>
                <w:szCs w:val="16"/>
              </w:rPr>
              <w:t xml:space="preserve">…</w:t>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680"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693"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992"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76"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134" w:type="dxa"/>
            <w:vAlign w:val="center"/>
            <w:textDirection w:val="lrTb"/>
            <w:noWrap w:val="false"/>
          </w:tcPr>
          <w:p>
            <w:pPr>
              <w:spacing w:after="0"/>
              <w:rPr>
                <w:b/>
                <w:sz w:val="16"/>
                <w:szCs w:val="16"/>
              </w:rPr>
            </w:pPr>
            <w:r>
              <w:rPr>
                <w:b/>
                <w:sz w:val="16"/>
                <w:szCs w:val="16"/>
              </w:rPr>
            </w:r>
            <w:r>
              <w:rPr>
                <w:b/>
                <w:sz w:val="16"/>
                <w:szCs w:val="16"/>
              </w:rPr>
            </w:r>
            <w:r>
              <w:rPr>
                <w:b/>
                <w:sz w:val="16"/>
                <w:szCs w:val="16"/>
              </w:rPr>
            </w:r>
          </w:p>
        </w:tc>
        <w:tc>
          <w:tcPr>
            <w:shd w:val="clear" w:color="auto" w:fill="auto"/>
            <w:tcBorders>
              <w:top w:val="single" w:color="000000" w:sz="4" w:space="0"/>
              <w:left w:val="none" w:color="000000" w:sz="4" w:space="0"/>
              <w:bottom w:val="single" w:color="000000" w:sz="4" w:space="0"/>
              <w:right w:val="single" w:color="auto" w:sz="4" w:space="0"/>
            </w:tcBorders>
            <w:tcW w:w="1220" w:type="dxa"/>
            <w:vAlign w:val="bottom"/>
            <w:textDirection w:val="lrTb"/>
            <w:noWrap w:val="false"/>
          </w:tcPr>
          <w:p>
            <w:pPr>
              <w:spacing w:after="0"/>
              <w:rPr>
                <w:b/>
                <w:sz w:val="16"/>
                <w:szCs w:val="16"/>
              </w:rPr>
            </w:pPr>
            <w:r>
              <w:rPr>
                <w:b/>
                <w:sz w:val="16"/>
                <w:szCs w:val="16"/>
              </w:rPr>
            </w:r>
            <w:r>
              <w:rPr>
                <w:b/>
                <w:sz w:val="16"/>
                <w:szCs w:val="16"/>
              </w:rPr>
            </w:r>
            <w:r>
              <w:rPr>
                <w:b/>
                <w:sz w:val="16"/>
                <w:szCs w:val="16"/>
              </w:rPr>
            </w:r>
          </w:p>
        </w:tc>
        <w:tc>
          <w:tcPr>
            <w:tcBorders>
              <w:top w:val="single" w:color="000000" w:sz="4" w:space="0"/>
              <w:left w:val="none" w:color="000000" w:sz="4" w:space="0"/>
              <w:bottom w:val="single" w:color="000000" w:sz="4" w:space="0"/>
              <w:right w:val="single" w:color="auto" w:sz="4" w:space="0"/>
            </w:tcBorders>
            <w:tcW w:w="1331" w:type="dxa"/>
            <w:textDirection w:val="lrTb"/>
            <w:noWrap w:val="false"/>
          </w:tcPr>
          <w:p>
            <w:pPr>
              <w:spacing w:after="0"/>
              <w:rPr>
                <w:b/>
                <w:sz w:val="16"/>
                <w:szCs w:val="16"/>
              </w:rPr>
            </w:pPr>
            <w:r>
              <w:rPr>
                <w:b/>
                <w:sz w:val="16"/>
                <w:szCs w:val="16"/>
              </w:rPr>
            </w:r>
            <w:r>
              <w:rPr>
                <w:b/>
                <w:sz w:val="16"/>
                <w:szCs w:val="16"/>
              </w:rPr>
            </w:r>
            <w:r>
              <w:rPr>
                <w:b/>
                <w:sz w:val="16"/>
                <w:szCs w:val="16"/>
              </w:rPr>
            </w:r>
          </w:p>
        </w:tc>
      </w:tr>
      <w:tr>
        <w:tblPrEx/>
        <w:trPr>
          <w:trHeight w:val="225"/>
        </w:trPr>
        <w:tc>
          <w:tcPr>
            <w:shd w:val="clear" w:color="000000" w:fill="ffffff"/>
            <w:tcBorders>
              <w:top w:val="single" w:color="000000" w:sz="4" w:space="0"/>
              <w:left w:val="single" w:color="auto" w:sz="4" w:space="0"/>
              <w:bottom w:val="single" w:color="auto" w:sz="4" w:space="0"/>
              <w:right w:val="single" w:color="auto" w:sz="4" w:space="0"/>
            </w:tcBorders>
            <w:tcW w:w="453" w:type="dxa"/>
            <w:vAlign w:val="center"/>
            <w:textDirection w:val="lrTb"/>
            <w:noWrap w:val="false"/>
          </w:tcPr>
          <w:p>
            <w:pPr>
              <w:spacing w:after="0"/>
              <w:rPr>
                <w:sz w:val="16"/>
                <w:szCs w:val="16"/>
              </w:rPr>
            </w:pPr>
            <w:r>
              <w:rPr>
                <w:sz w:val="16"/>
                <w:szCs w:val="16"/>
              </w:rPr>
            </w:r>
            <w:r>
              <w:rPr>
                <w:sz w:val="16"/>
                <w:szCs w:val="16"/>
              </w:rPr>
            </w:r>
            <w:r>
              <w:rPr>
                <w:sz w:val="16"/>
                <w:szCs w:val="16"/>
              </w:rPr>
            </w:r>
          </w:p>
        </w:tc>
        <w:tc>
          <w:tcPr>
            <w:shd w:val="clear" w:color="000000" w:fill="ffffff"/>
            <w:tcBorders>
              <w:top w:val="single" w:color="000000" w:sz="4" w:space="0"/>
              <w:left w:val="none" w:color="000000" w:sz="4" w:space="0"/>
              <w:bottom w:val="single" w:color="auto" w:sz="4" w:space="0"/>
              <w:right w:val="single" w:color="auto" w:sz="4" w:space="0"/>
            </w:tcBorders>
            <w:tcW w:w="682" w:type="dxa"/>
            <w:vAlign w:val="center"/>
            <w:textDirection w:val="lrTb"/>
            <w:noWrap w:val="false"/>
          </w:tcPr>
          <w:p>
            <w:pPr>
              <w:spacing w:after="0"/>
              <w:rPr>
                <w:sz w:val="16"/>
                <w:szCs w:val="16"/>
              </w:rPr>
            </w:pPr>
            <w:r>
              <w:rPr>
                <w:sz w:val="16"/>
                <w:szCs w:val="16"/>
              </w:rPr>
            </w:r>
            <w:r>
              <w:rPr>
                <w:sz w:val="16"/>
                <w:szCs w:val="16"/>
              </w:rPr>
            </w:r>
            <w:r>
              <w:rPr>
                <w:sz w:val="16"/>
                <w:szCs w:val="16"/>
              </w:rPr>
            </w:r>
          </w:p>
        </w:tc>
        <w:tc>
          <w:tcPr>
            <w:shd w:val="clear" w:color="000000" w:fill="ffffff"/>
            <w:tcBorders>
              <w:top w:val="single" w:color="000000" w:sz="4" w:space="0"/>
              <w:left w:val="none" w:color="000000" w:sz="4" w:space="0"/>
              <w:bottom w:val="single" w:color="auto" w:sz="4" w:space="0"/>
              <w:right w:val="single" w:color="auto" w:sz="4" w:space="0"/>
            </w:tcBorders>
            <w:tcW w:w="708" w:type="dxa"/>
            <w:vAlign w:val="center"/>
            <w:textDirection w:val="lrTb"/>
            <w:noWrap w:val="false"/>
          </w:tcPr>
          <w:p>
            <w:pPr>
              <w:spacing w:after="0"/>
              <w:rPr>
                <w:sz w:val="16"/>
                <w:szCs w:val="16"/>
              </w:rPr>
            </w:pPr>
            <w:r>
              <w:rPr>
                <w:sz w:val="16"/>
                <w:szCs w:val="16"/>
              </w:rPr>
            </w:r>
            <w:r>
              <w:rPr>
                <w:sz w:val="16"/>
                <w:szCs w:val="16"/>
              </w:rPr>
            </w:r>
            <w:r>
              <w:rPr>
                <w:sz w:val="16"/>
                <w:szCs w:val="16"/>
              </w:rPr>
            </w:r>
          </w:p>
        </w:tc>
        <w:tc>
          <w:tcPr>
            <w:shd w:val="clear" w:color="000000" w:fill="ffffff"/>
            <w:tcBorders>
              <w:top w:val="single" w:color="000000" w:sz="4" w:space="0"/>
              <w:left w:val="none" w:color="000000" w:sz="4" w:space="0"/>
              <w:bottom w:val="single" w:color="auto" w:sz="4" w:space="0"/>
              <w:right w:val="single" w:color="auto" w:sz="4" w:space="0"/>
            </w:tcBorders>
            <w:tcW w:w="1134" w:type="dxa"/>
            <w:vAlign w:val="center"/>
            <w:textDirection w:val="lrTb"/>
            <w:noWrap w:val="false"/>
          </w:tcPr>
          <w:p>
            <w:pPr>
              <w:spacing w:after="0"/>
              <w:rPr>
                <w:sz w:val="16"/>
                <w:szCs w:val="16"/>
              </w:rPr>
            </w:pPr>
            <w:r>
              <w:rPr>
                <w:sz w:val="16"/>
                <w:szCs w:val="16"/>
              </w:rPr>
            </w:r>
            <w:r>
              <w:rPr>
                <w:sz w:val="16"/>
                <w:szCs w:val="16"/>
              </w:rPr>
            </w:r>
            <w:r>
              <w:rPr>
                <w:sz w:val="16"/>
                <w:szCs w:val="16"/>
              </w:rPr>
            </w:r>
          </w:p>
        </w:tc>
        <w:tc>
          <w:tcPr>
            <w:shd w:val="clear" w:color="000000" w:fill="ffffff"/>
            <w:tcBorders>
              <w:top w:val="single" w:color="000000" w:sz="4" w:space="0"/>
              <w:left w:val="none" w:color="000000" w:sz="4" w:space="0"/>
              <w:bottom w:val="single" w:color="auto" w:sz="4" w:space="0"/>
              <w:right w:val="single" w:color="auto" w:sz="4" w:space="0"/>
            </w:tcBorders>
            <w:tcW w:w="879" w:type="dxa"/>
            <w:vAlign w:val="center"/>
            <w:textDirection w:val="lrTb"/>
            <w:noWrap w:val="false"/>
          </w:tcPr>
          <w:p>
            <w:pPr>
              <w:spacing w:after="0"/>
              <w:rPr>
                <w:sz w:val="16"/>
                <w:szCs w:val="16"/>
              </w:rPr>
            </w:pPr>
            <w:r>
              <w:rPr>
                <w:sz w:val="16"/>
                <w:szCs w:val="16"/>
              </w:rPr>
            </w:r>
            <w:r>
              <w:rPr>
                <w:sz w:val="16"/>
                <w:szCs w:val="16"/>
              </w:rPr>
            </w:r>
            <w:r>
              <w:rPr>
                <w:sz w:val="16"/>
                <w:szCs w:val="16"/>
              </w:rPr>
            </w:r>
          </w:p>
        </w:tc>
        <w:tc>
          <w:tcPr>
            <w:shd w:val="clear" w:color="000000" w:fill="ffffff"/>
            <w:tcBorders>
              <w:top w:val="single" w:color="000000" w:sz="4" w:space="0"/>
              <w:left w:val="none" w:color="000000" w:sz="4" w:space="0"/>
              <w:bottom w:val="single" w:color="auto" w:sz="4" w:space="0"/>
              <w:right w:val="single" w:color="auto" w:sz="4" w:space="0"/>
            </w:tcBorders>
            <w:tcW w:w="1247" w:type="dxa"/>
            <w:vAlign w:val="center"/>
            <w:textDirection w:val="lrTb"/>
            <w:noWrap w:val="false"/>
          </w:tcPr>
          <w:p>
            <w:pPr>
              <w:spacing w:after="0"/>
              <w:rPr>
                <w:sz w:val="16"/>
                <w:szCs w:val="16"/>
              </w:rPr>
            </w:pPr>
            <w:r>
              <w:rPr>
                <w:sz w:val="16"/>
                <w:szCs w:val="16"/>
              </w:rPr>
            </w:r>
            <w:r>
              <w:rPr>
                <w:sz w:val="16"/>
                <w:szCs w:val="16"/>
              </w:rPr>
            </w:r>
            <w:r>
              <w:rPr>
                <w:sz w:val="16"/>
                <w:szCs w:val="16"/>
              </w:rPr>
            </w:r>
          </w:p>
        </w:tc>
        <w:tc>
          <w:tcPr>
            <w:shd w:val="clear" w:color="000000" w:fill="ffffff"/>
            <w:tcBorders>
              <w:top w:val="single" w:color="000000" w:sz="4" w:space="0"/>
              <w:left w:val="none" w:color="000000" w:sz="4" w:space="0"/>
              <w:bottom w:val="single" w:color="auto" w:sz="4" w:space="0"/>
              <w:right w:val="single" w:color="auto" w:sz="4" w:space="0"/>
            </w:tcBorders>
            <w:tcW w:w="1556" w:type="dxa"/>
            <w:vAlign w:val="center"/>
            <w:textDirection w:val="lrTb"/>
            <w:noWrap w:val="false"/>
          </w:tcPr>
          <w:p>
            <w:pPr>
              <w:spacing w:after="0"/>
              <w:rPr>
                <w:sz w:val="16"/>
                <w:szCs w:val="16"/>
              </w:rPr>
            </w:pPr>
            <w:r>
              <w:rPr>
                <w:sz w:val="16"/>
                <w:szCs w:val="16"/>
              </w:rPr>
            </w:r>
            <w:r>
              <w:rPr>
                <w:sz w:val="16"/>
                <w:szCs w:val="16"/>
              </w:rPr>
            </w:r>
            <w:r>
              <w:rPr>
                <w:sz w:val="16"/>
                <w:szCs w:val="16"/>
              </w:rPr>
            </w:r>
          </w:p>
        </w:tc>
        <w:tc>
          <w:tcPr>
            <w:shd w:val="clear" w:color="auto" w:fill="auto"/>
            <w:tcBorders>
              <w:top w:val="single" w:color="000000" w:sz="4" w:space="0"/>
              <w:left w:val="none" w:color="000000" w:sz="4" w:space="0"/>
              <w:bottom w:val="single" w:color="auto" w:sz="4" w:space="0"/>
              <w:right w:val="single" w:color="auto" w:sz="4" w:space="0"/>
            </w:tcBorders>
            <w:tcW w:w="599" w:type="dxa"/>
            <w:vAlign w:val="center"/>
            <w:textDirection w:val="lrTb"/>
            <w:noWrap w:val="false"/>
          </w:tcPr>
          <w:p>
            <w:pPr>
              <w:spacing w:after="0"/>
              <w:rPr>
                <w:sz w:val="16"/>
                <w:szCs w:val="16"/>
              </w:rPr>
            </w:pPr>
            <w:r>
              <w:rPr>
                <w:sz w:val="16"/>
                <w:szCs w:val="16"/>
              </w:rPr>
            </w:r>
            <w:r>
              <w:rPr>
                <w:sz w:val="16"/>
                <w:szCs w:val="16"/>
              </w:rPr>
            </w:r>
            <w:r>
              <w:rPr>
                <w:sz w:val="16"/>
                <w:szCs w:val="16"/>
              </w:rPr>
            </w:r>
          </w:p>
        </w:tc>
        <w:tc>
          <w:tcPr>
            <w:shd w:val="clear" w:color="auto" w:fill="auto"/>
            <w:tcBorders>
              <w:top w:val="single" w:color="000000" w:sz="4" w:space="0"/>
              <w:left w:val="none" w:color="000000" w:sz="4" w:space="0"/>
              <w:bottom w:val="single" w:color="auto" w:sz="4" w:space="0"/>
              <w:right w:val="single" w:color="auto" w:sz="4" w:space="0"/>
            </w:tcBorders>
            <w:tcW w:w="680" w:type="dxa"/>
            <w:vAlign w:val="center"/>
            <w:textDirection w:val="lrTb"/>
            <w:noWrap w:val="false"/>
          </w:tcPr>
          <w:p>
            <w:pPr>
              <w:spacing w:after="0"/>
              <w:rPr>
                <w:sz w:val="16"/>
                <w:szCs w:val="16"/>
              </w:rPr>
            </w:pPr>
            <w:r>
              <w:rPr>
                <w:sz w:val="16"/>
                <w:szCs w:val="16"/>
              </w:rPr>
            </w:r>
            <w:r>
              <w:rPr>
                <w:sz w:val="16"/>
                <w:szCs w:val="16"/>
              </w:rPr>
            </w:r>
            <w:r>
              <w:rPr>
                <w:sz w:val="16"/>
                <w:szCs w:val="16"/>
              </w:rPr>
            </w:r>
          </w:p>
        </w:tc>
        <w:tc>
          <w:tcPr>
            <w:shd w:val="clear" w:color="auto" w:fill="auto"/>
            <w:tcBorders>
              <w:top w:val="single" w:color="000000" w:sz="4" w:space="0"/>
              <w:left w:val="none" w:color="000000" w:sz="4" w:space="0"/>
              <w:bottom w:val="single" w:color="auto" w:sz="4" w:space="0"/>
              <w:right w:val="single" w:color="auto" w:sz="4" w:space="0"/>
            </w:tcBorders>
            <w:tcW w:w="693" w:type="dxa"/>
            <w:vAlign w:val="center"/>
            <w:textDirection w:val="lrTb"/>
            <w:noWrap w:val="false"/>
          </w:tcPr>
          <w:p>
            <w:pPr>
              <w:spacing w:after="0"/>
              <w:rPr>
                <w:sz w:val="16"/>
                <w:szCs w:val="16"/>
              </w:rPr>
            </w:pPr>
            <w:r>
              <w:rPr>
                <w:sz w:val="16"/>
                <w:szCs w:val="16"/>
              </w:rPr>
            </w:r>
            <w:r>
              <w:rPr>
                <w:sz w:val="16"/>
                <w:szCs w:val="16"/>
              </w:rPr>
            </w:r>
            <w:r>
              <w:rPr>
                <w:sz w:val="16"/>
                <w:szCs w:val="16"/>
              </w:rPr>
            </w:r>
          </w:p>
        </w:tc>
        <w:tc>
          <w:tcPr>
            <w:shd w:val="clear" w:color="auto" w:fill="auto"/>
            <w:tcBorders>
              <w:top w:val="single" w:color="000000" w:sz="4" w:space="0"/>
              <w:left w:val="none" w:color="000000" w:sz="4" w:space="0"/>
              <w:bottom w:val="single" w:color="auto" w:sz="4" w:space="0"/>
              <w:right w:val="single" w:color="auto" w:sz="4" w:space="0"/>
            </w:tcBorders>
            <w:tcW w:w="1292" w:type="dxa"/>
            <w:vAlign w:val="center"/>
            <w:textDirection w:val="lrTb"/>
            <w:noWrap w:val="false"/>
          </w:tcPr>
          <w:p>
            <w:pPr>
              <w:spacing w:after="0"/>
              <w:rPr>
                <w:sz w:val="16"/>
                <w:szCs w:val="16"/>
              </w:rPr>
            </w:pPr>
            <w:r>
              <w:rPr>
                <w:sz w:val="16"/>
                <w:szCs w:val="16"/>
              </w:rPr>
            </w:r>
            <w:r>
              <w:rPr>
                <w:sz w:val="16"/>
                <w:szCs w:val="16"/>
              </w:rPr>
            </w:r>
            <w:r>
              <w:rPr>
                <w:sz w:val="16"/>
                <w:szCs w:val="16"/>
              </w:rPr>
            </w:r>
          </w:p>
        </w:tc>
        <w:tc>
          <w:tcPr>
            <w:shd w:val="clear" w:color="auto" w:fill="auto"/>
            <w:tcBorders>
              <w:top w:val="single" w:color="000000" w:sz="4" w:space="0"/>
              <w:left w:val="none" w:color="000000" w:sz="4" w:space="0"/>
              <w:bottom w:val="single" w:color="auto" w:sz="4" w:space="0"/>
              <w:right w:val="single" w:color="auto" w:sz="4" w:space="0"/>
            </w:tcBorders>
            <w:tcW w:w="992" w:type="dxa"/>
            <w:vAlign w:val="center"/>
            <w:textDirection w:val="lrTb"/>
            <w:noWrap w:val="false"/>
          </w:tcPr>
          <w:p>
            <w:pPr>
              <w:spacing w:after="0"/>
              <w:rPr>
                <w:sz w:val="16"/>
                <w:szCs w:val="16"/>
              </w:rPr>
            </w:pPr>
            <w:r>
              <w:rPr>
                <w:sz w:val="16"/>
                <w:szCs w:val="16"/>
              </w:rPr>
            </w:r>
            <w:r>
              <w:rPr>
                <w:sz w:val="16"/>
                <w:szCs w:val="16"/>
              </w:rPr>
            </w:r>
            <w:r>
              <w:rPr>
                <w:sz w:val="16"/>
                <w:szCs w:val="16"/>
              </w:rPr>
            </w:r>
          </w:p>
        </w:tc>
        <w:tc>
          <w:tcPr>
            <w:shd w:val="clear" w:color="auto" w:fill="auto"/>
            <w:tcBorders>
              <w:top w:val="single" w:color="000000" w:sz="4" w:space="0"/>
              <w:left w:val="none" w:color="000000" w:sz="4" w:space="0"/>
              <w:bottom w:val="single" w:color="auto" w:sz="4" w:space="0"/>
              <w:right w:val="single" w:color="auto" w:sz="4" w:space="0"/>
            </w:tcBorders>
            <w:tcW w:w="1276" w:type="dxa"/>
            <w:vAlign w:val="bottom"/>
            <w:textDirection w:val="lrTb"/>
            <w:noWrap w:val="false"/>
          </w:tcPr>
          <w:p>
            <w:pPr>
              <w:spacing w:after="0"/>
              <w:rPr>
                <w:sz w:val="16"/>
                <w:szCs w:val="16"/>
              </w:rPr>
            </w:pPr>
            <w:r>
              <w:rPr>
                <w:sz w:val="16"/>
                <w:szCs w:val="16"/>
              </w:rPr>
            </w:r>
            <w:r>
              <w:rPr>
                <w:sz w:val="16"/>
                <w:szCs w:val="16"/>
              </w:rPr>
            </w:r>
            <w:r>
              <w:rPr>
                <w:sz w:val="16"/>
                <w:szCs w:val="16"/>
              </w:rPr>
            </w:r>
          </w:p>
        </w:tc>
        <w:tc>
          <w:tcPr>
            <w:shd w:val="clear" w:color="auto" w:fill="auto"/>
            <w:tcBorders>
              <w:top w:val="single" w:color="000000" w:sz="4" w:space="0"/>
              <w:left w:val="none" w:color="000000" w:sz="4" w:space="0"/>
              <w:bottom w:val="single" w:color="auto" w:sz="4" w:space="0"/>
              <w:right w:val="single" w:color="auto" w:sz="4" w:space="0"/>
            </w:tcBorders>
            <w:tcW w:w="1134" w:type="dxa"/>
            <w:vAlign w:val="center"/>
            <w:textDirection w:val="lrTb"/>
            <w:noWrap w:val="false"/>
          </w:tcPr>
          <w:p>
            <w:pPr>
              <w:spacing w:after="0"/>
              <w:rPr>
                <w:sz w:val="16"/>
                <w:szCs w:val="16"/>
              </w:rPr>
            </w:pPr>
            <w:r>
              <w:rPr>
                <w:sz w:val="16"/>
                <w:szCs w:val="16"/>
              </w:rPr>
            </w:r>
            <w:r>
              <w:rPr>
                <w:sz w:val="16"/>
                <w:szCs w:val="16"/>
              </w:rPr>
            </w:r>
            <w:r>
              <w:rPr>
                <w:sz w:val="16"/>
                <w:szCs w:val="16"/>
              </w:rPr>
            </w:r>
          </w:p>
        </w:tc>
        <w:tc>
          <w:tcPr>
            <w:shd w:val="clear" w:color="auto" w:fill="auto"/>
            <w:tcBorders>
              <w:top w:val="single" w:color="000000" w:sz="4" w:space="0"/>
              <w:left w:val="none" w:color="000000" w:sz="4" w:space="0"/>
              <w:bottom w:val="single" w:color="auto" w:sz="4" w:space="0"/>
              <w:right w:val="single" w:color="auto" w:sz="4" w:space="0"/>
            </w:tcBorders>
            <w:tcW w:w="1220" w:type="dxa"/>
            <w:vAlign w:val="bottom"/>
            <w:textDirection w:val="lrTb"/>
            <w:noWrap w:val="false"/>
          </w:tcPr>
          <w:p>
            <w:pPr>
              <w:spacing w:after="0"/>
              <w:rPr>
                <w:sz w:val="16"/>
                <w:szCs w:val="16"/>
              </w:rPr>
            </w:pPr>
            <w:r>
              <w:rPr>
                <w:sz w:val="16"/>
                <w:szCs w:val="16"/>
              </w:rPr>
            </w:r>
            <w:r>
              <w:rPr>
                <w:sz w:val="16"/>
                <w:szCs w:val="16"/>
              </w:rPr>
            </w:r>
            <w:r>
              <w:rPr>
                <w:sz w:val="16"/>
                <w:szCs w:val="16"/>
              </w:rPr>
            </w:r>
          </w:p>
        </w:tc>
        <w:tc>
          <w:tcPr>
            <w:tcBorders>
              <w:top w:val="single" w:color="000000" w:sz="4" w:space="0"/>
              <w:left w:val="none" w:color="000000" w:sz="4" w:space="0"/>
              <w:bottom w:val="single" w:color="auto" w:sz="4" w:space="0"/>
              <w:right w:val="single" w:color="auto" w:sz="4" w:space="0"/>
            </w:tcBorders>
            <w:tcW w:w="1331" w:type="dxa"/>
            <w:textDirection w:val="lrTb"/>
            <w:noWrap w:val="false"/>
          </w:tcPr>
          <w:p>
            <w:pPr>
              <w:spacing w:after="0"/>
              <w:rPr>
                <w:sz w:val="16"/>
                <w:szCs w:val="16"/>
              </w:rPr>
            </w:pPr>
            <w:r>
              <w:rPr>
                <w:sz w:val="16"/>
                <w:szCs w:val="16"/>
              </w:rPr>
            </w:r>
            <w:r>
              <w:rPr>
                <w:sz w:val="16"/>
                <w:szCs w:val="16"/>
              </w:rPr>
            </w:r>
            <w:r>
              <w:rPr>
                <w:sz w:val="16"/>
                <w:szCs w:val="16"/>
              </w:rPr>
            </w:r>
          </w:p>
        </w:tc>
      </w:tr>
    </w:tbl>
    <w:p>
      <w:pPr>
        <w:rPr>
          <w:b/>
          <w:i/>
        </w:rPr>
      </w:pPr>
      <w:r>
        <w:rPr>
          <w:b/>
          <w:i/>
        </w:rPr>
        <w:t xml:space="preserve">Примечания:</w:t>
      </w:r>
      <w:r>
        <w:rPr>
          <w:b/>
          <w:i/>
        </w:rPr>
      </w:r>
      <w:r>
        <w:rPr>
          <w:b/>
          <w:i/>
        </w:rPr>
      </w:r>
    </w:p>
    <w:p>
      <w:r>
        <w:t xml:space="preserve">__________________________________           </w:t>
      </w:r>
      <w:r>
        <w:tab/>
      </w:r>
      <w:r>
        <w:tab/>
      </w:r>
      <w:r>
        <w:tab/>
        <w:t xml:space="preserve">          ______________________________</w:t>
      </w:r>
      <w:r/>
    </w:p>
    <w:p>
      <w:pPr>
        <w:rPr>
          <w:i/>
          <w:sz w:val="20"/>
          <w:szCs w:val="20"/>
        </w:rPr>
      </w:pPr>
      <w:r>
        <w:rPr>
          <w:i/>
          <w:sz w:val="20"/>
          <w:szCs w:val="20"/>
        </w:rPr>
        <w:t xml:space="preserve">        (Подпись уполномоченного представителя)           </w:t>
      </w:r>
      <w:r>
        <w:rPr>
          <w:i/>
          <w:sz w:val="20"/>
          <w:szCs w:val="20"/>
        </w:rPr>
        <w:tab/>
      </w:r>
      <w:r>
        <w:rPr>
          <w:i/>
          <w:sz w:val="20"/>
          <w:szCs w:val="20"/>
        </w:rPr>
        <w:tab/>
      </w:r>
      <w:r>
        <w:rPr>
          <w:i/>
          <w:sz w:val="20"/>
          <w:szCs w:val="20"/>
        </w:rPr>
        <w:tab/>
      </w:r>
      <w:r>
        <w:rPr>
          <w:i/>
          <w:sz w:val="20"/>
          <w:szCs w:val="20"/>
        </w:rPr>
        <w:tab/>
      </w:r>
      <w:r>
        <w:rPr>
          <w:i/>
          <w:sz w:val="20"/>
          <w:szCs w:val="20"/>
        </w:rPr>
        <w:tab/>
        <w:t xml:space="preserve">       (ФИО и должность подписавшего)</w:t>
      </w:r>
      <w:r>
        <w:rPr>
          <w:i/>
          <w:sz w:val="20"/>
          <w:szCs w:val="20"/>
        </w:rPr>
      </w:r>
      <w:r>
        <w:rPr>
          <w:i/>
          <w:sz w:val="20"/>
          <w:szCs w:val="20"/>
        </w:rPr>
      </w:r>
    </w:p>
    <w:p>
      <w:pPr>
        <w:jc w:val="left"/>
        <w:rPr>
          <w:b/>
          <w:i/>
        </w:rPr>
      </w:pPr>
      <w:r>
        <w:tab/>
      </w:r>
      <w:r>
        <w:rPr>
          <w:b/>
          <w:i/>
        </w:rPr>
        <w:t xml:space="preserve">М.П.</w:t>
      </w:r>
      <w:r>
        <w:rPr>
          <w:b/>
          <w:i/>
        </w:rPr>
      </w:r>
      <w:r>
        <w:rPr>
          <w:b/>
          <w:i/>
        </w:rPr>
      </w:r>
    </w:p>
    <w:p>
      <w:pPr>
        <w:ind w:firstLine="567"/>
        <w:spacing w:after="0"/>
        <w:rPr>
          <w:sz w:val="20"/>
          <w:szCs w:val="20"/>
        </w:rPr>
      </w:pPr>
      <w:r>
        <w:rPr>
          <w:sz w:val="20"/>
          <w:szCs w:val="20"/>
        </w:rPr>
        <w:t xml:space="preserve">* В отношении контрагентов являющихся зарубежными публич</w:t>
      </w:r>
      <w:r>
        <w:rPr>
          <w:sz w:val="20"/>
          <w:szCs w:val="20"/>
        </w:rPr>
        <w:t xml:space="preserve">ными компаниями мирового уровня, а также публичных акционерных обществ, чьи акции котируются на биржах, либо с числом акционеров более 50 указываются данные о бенефициарах (в том числе конечных) и акционерах, владеющих более 5 % акций указанных обществ либ</w:t>
      </w:r>
      <w:r>
        <w:rPr>
          <w:sz w:val="20"/>
          <w:szCs w:val="20"/>
        </w:rPr>
        <w:t xml:space="preserve">о размещается прямая ссылка на общедоступный источник, посредством которого может быть установлена соответствующая информация. В отношении акционеров, владеющих пакетами акций менее 5 %, допускается указание общей информации о количестве таких акционеров. </w:t>
      </w:r>
      <w:r>
        <w:rPr>
          <w:sz w:val="20"/>
          <w:szCs w:val="20"/>
        </w:rPr>
      </w:r>
      <w:r>
        <w:rPr>
          <w:sz w:val="20"/>
          <w:szCs w:val="20"/>
        </w:rPr>
      </w:r>
    </w:p>
    <w:p>
      <w:pPr>
        <w:ind w:firstLine="567"/>
        <w:spacing w:after="0"/>
        <w:rPr>
          <w:sz w:val="20"/>
          <w:szCs w:val="20"/>
        </w:rPr>
      </w:pPr>
      <w:r>
        <w:rPr>
          <w:sz w:val="20"/>
          <w:szCs w:val="20"/>
        </w:rPr>
        <w:t xml:space="preserve">Изменение формы справки недопустимо.</w:t>
      </w:r>
      <w:r>
        <w:rPr>
          <w:sz w:val="20"/>
          <w:szCs w:val="20"/>
        </w:rPr>
      </w:r>
      <w:r>
        <w:rPr>
          <w:sz w:val="20"/>
          <w:szCs w:val="20"/>
        </w:rPr>
      </w:r>
    </w:p>
    <w:p>
      <w:pPr>
        <w:ind w:firstLine="567"/>
        <w:spacing w:after="0"/>
        <w:rPr>
          <w:sz w:val="20"/>
          <w:szCs w:val="20"/>
        </w:rPr>
      </w:pPr>
      <w:r>
        <w:rPr>
          <w:sz w:val="20"/>
          <w:szCs w:val="20"/>
        </w:rPr>
        <w:t xml:space="preserve">Указывается полное наименование юридического лица с расшифровкой его организационно-правовой формы.</w:t>
      </w:r>
      <w:r>
        <w:rPr>
          <w:sz w:val="20"/>
          <w:szCs w:val="20"/>
        </w:rPr>
      </w:r>
      <w:r>
        <w:rPr>
          <w:sz w:val="20"/>
          <w:szCs w:val="20"/>
        </w:rPr>
      </w:r>
    </w:p>
    <w:p>
      <w:pPr>
        <w:ind w:firstLine="567"/>
        <w:spacing w:after="0"/>
        <w:rPr>
          <w:sz w:val="20"/>
          <w:szCs w:val="20"/>
        </w:rPr>
      </w:pPr>
      <w:r>
        <w:rPr>
          <w:sz w:val="20"/>
          <w:szCs w:val="20"/>
        </w:rPr>
        <w:t xml:space="preserve">Графы (поля) таблицы должны содержать информацию, касающуюся только этой графы (поля).</w:t>
      </w:r>
      <w:r>
        <w:rPr>
          <w:sz w:val="20"/>
          <w:szCs w:val="20"/>
        </w:rPr>
      </w:r>
      <w:r>
        <w:rPr>
          <w:sz w:val="20"/>
          <w:szCs w:val="20"/>
        </w:rPr>
      </w:r>
    </w:p>
    <w:p>
      <w:pPr>
        <w:ind w:firstLine="567"/>
        <w:spacing w:after="0"/>
        <w:rPr>
          <w:sz w:val="20"/>
          <w:szCs w:val="20"/>
        </w:rPr>
      </w:pPr>
      <w:r>
        <w:rPr>
          <w:sz w:val="20"/>
          <w:szCs w:val="20"/>
        </w:rPr>
        <w:t xml:space="preserve">В случае если одним или несколькими участниками / учредителями / акционерами к</w:t>
      </w:r>
      <w:r>
        <w:rPr>
          <w:sz w:val="20"/>
          <w:szCs w:val="20"/>
        </w:rPr>
        <w:t xml:space="preserve">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копии подтверждающих документов для всей цепочки с их указанием.</w:t>
      </w:r>
      <w:r>
        <w:rPr>
          <w:sz w:val="20"/>
          <w:szCs w:val="20"/>
        </w:rPr>
      </w:r>
      <w:r>
        <w:rPr>
          <w:sz w:val="20"/>
          <w:szCs w:val="20"/>
        </w:rPr>
      </w:r>
    </w:p>
    <w:p>
      <w:pPr>
        <w:ind w:firstLine="567"/>
        <w:spacing w:after="0"/>
        <w:rPr>
          <w:sz w:val="20"/>
          <w:szCs w:val="20"/>
        </w:rPr>
      </w:pPr>
      <w:r>
        <w:rPr>
          <w:sz w:val="20"/>
          <w:szCs w:val="20"/>
        </w:rPr>
        <w:t xml:space="preserve">При заполнении паспортных данных указывается только серия и номер паспорта в формате ХХХХ ХХХХХХ.</w:t>
      </w:r>
      <w:r>
        <w:rPr>
          <w:sz w:val="20"/>
          <w:szCs w:val="20"/>
        </w:rPr>
      </w:r>
      <w:r>
        <w:rPr>
          <w:sz w:val="20"/>
          <w:szCs w:val="20"/>
        </w:rPr>
      </w:r>
    </w:p>
    <w:p>
      <w:pPr>
        <w:ind w:firstLine="567"/>
        <w:spacing w:after="0"/>
        <w:rPr>
          <w:sz w:val="20"/>
          <w:szCs w:val="20"/>
        </w:rPr>
      </w:pPr>
      <w:r>
        <w:rPr>
          <w:sz w:val="20"/>
          <w:szCs w:val="20"/>
        </w:rPr>
        <w:t xml:space="preserve">**1.1, 1.2. и т.д. - собственники участника (собственники первого уровня)</w:t>
      </w:r>
      <w:r>
        <w:rPr>
          <w:sz w:val="20"/>
          <w:szCs w:val="20"/>
        </w:rPr>
      </w:r>
      <w:r>
        <w:rPr>
          <w:sz w:val="20"/>
          <w:szCs w:val="20"/>
        </w:rPr>
      </w:r>
    </w:p>
    <w:p>
      <w:pPr>
        <w:ind w:firstLine="567"/>
        <w:spacing w:after="0"/>
        <w:rPr>
          <w:sz w:val="20"/>
          <w:szCs w:val="20"/>
        </w:rPr>
      </w:pPr>
      <w:r>
        <w:rPr>
          <w:sz w:val="20"/>
          <w:szCs w:val="20"/>
        </w:rPr>
        <w:tab/>
        <w:t xml:space="preserve"> 1.1.1, 1.1.2, 1.1.3 - собственники организации 1.1 (собственники организации второго уровня) и далее - по аналогичной схеме до конечного бенефициарного собственника (пример 1.1.3.1)</w:t>
      </w:r>
      <w:r>
        <w:rPr>
          <w:sz w:val="20"/>
          <w:szCs w:val="20"/>
        </w:rPr>
      </w:r>
      <w:r>
        <w:rPr>
          <w:sz w:val="20"/>
          <w:szCs w:val="20"/>
        </w:rPr>
      </w:r>
    </w:p>
    <w:p>
      <w:pPr>
        <w:ind w:firstLine="567"/>
        <w:spacing w:after="0"/>
        <w:rPr>
          <w:sz w:val="20"/>
          <w:szCs w:val="20"/>
        </w:rPr>
      </w:pPr>
      <w:r>
        <w:rPr>
          <w:sz w:val="20"/>
          <w:szCs w:val="20"/>
        </w:rPr>
        <w:t xml:space="preserve">***</w:t>
      </w:r>
      <w:r>
        <w:rPr>
          <w:sz w:val="20"/>
          <w:szCs w:val="20"/>
        </w:rPr>
        <w:t xml:space="preserve">в качестве подтверждающего документа могут быть представлены, например, выписка из ЕГРЮЛ, ЕГРИП, решение (протокол) о назначении исполнительного органа, выписка из реестра акционеров (список лиц, зарегистрированных в реестре владельцев ценных бумаг) и т.п.</w:t>
      </w:r>
      <w:r>
        <w:rPr>
          <w:sz w:val="20"/>
          <w:szCs w:val="20"/>
        </w:rPr>
      </w:r>
      <w:r>
        <w:rPr>
          <w:sz w:val="20"/>
          <w:szCs w:val="20"/>
        </w:rPr>
      </w:r>
    </w:p>
    <w:p>
      <w:pPr>
        <w:ind w:firstLine="567"/>
        <w:spacing w:after="0"/>
        <w:rPr>
          <w:sz w:val="22"/>
          <w:szCs w:val="22"/>
        </w:rPr>
        <w:sectPr>
          <w:headerReference w:type="default" r:id="rId9"/>
          <w:headerReference w:type="even" r:id="rId10"/>
          <w:headerReference w:type="first" r:id="rId11"/>
          <w:footerReference w:type="even" r:id="rId15"/>
          <w:footerReference w:type="first" r:id="rId16"/>
          <w:footnotePr/>
          <w:endnotePr/>
          <w:type w:val="continuous"/>
          <w:pgSz w:w="16839" w:h="11907" w:orient="landscape"/>
          <w:pgMar w:top="709" w:right="1134" w:bottom="1134" w:left="1134" w:header="720" w:footer="567" w:gutter="0"/>
          <w:cols w:num="1" w:sep="0" w:space="60" w:equalWidth="1"/>
          <w:docGrid w:linePitch="360"/>
        </w:sectPr>
      </w:pPr>
      <w:r>
        <w:rPr>
          <w:sz w:val="22"/>
          <w:szCs w:val="22"/>
        </w:rPr>
      </w:r>
      <w:r>
        <w:rPr>
          <w:sz w:val="22"/>
          <w:szCs w:val="22"/>
        </w:rPr>
      </w:r>
      <w:r>
        <w:rPr>
          <w:sz w:val="22"/>
          <w:szCs w:val="22"/>
        </w:rPr>
      </w:r>
    </w:p>
    <w:p>
      <w:pPr>
        <w:ind w:firstLine="567"/>
        <w:spacing w:after="0"/>
        <w:rPr>
          <w:b/>
          <w:i/>
          <w:sz w:val="20"/>
          <w:szCs w:val="20"/>
        </w:rPr>
      </w:pPr>
      <w:r>
        <w:rPr>
          <w:b/>
          <w:i/>
          <w:sz w:val="20"/>
          <w:szCs w:val="20"/>
        </w:rPr>
        <w:t xml:space="preserve">Инструкции по заполнению</w:t>
      </w:r>
      <w:r>
        <w:rPr>
          <w:b/>
          <w:i/>
          <w:sz w:val="20"/>
          <w:szCs w:val="20"/>
        </w:rPr>
      </w:r>
      <w:r>
        <w:rPr>
          <w:b/>
          <w:i/>
          <w:sz w:val="20"/>
          <w:szCs w:val="20"/>
        </w:rPr>
      </w:r>
    </w:p>
    <w:p>
      <w:pPr>
        <w:ind w:firstLine="567"/>
        <w:spacing w:after="0"/>
        <w:rPr>
          <w:sz w:val="20"/>
          <w:szCs w:val="20"/>
        </w:rPr>
      </w:pPr>
      <w:r>
        <w:rPr>
          <w:sz w:val="20"/>
          <w:szCs w:val="20"/>
        </w:rPr>
        <w:t xml:space="preserve">1. Данные инструкции не следует воспроизводить в документах, подготовленных Участником закупки.</w:t>
      </w:r>
      <w:r>
        <w:rPr>
          <w:sz w:val="20"/>
          <w:szCs w:val="20"/>
        </w:rPr>
      </w:r>
      <w:r>
        <w:rPr>
          <w:sz w:val="20"/>
          <w:szCs w:val="20"/>
        </w:rPr>
      </w:r>
    </w:p>
    <w:p>
      <w:pPr>
        <w:ind w:firstLine="567"/>
        <w:spacing w:after="0"/>
        <w:rPr>
          <w:sz w:val="20"/>
          <w:szCs w:val="20"/>
        </w:rPr>
      </w:pPr>
      <w:r>
        <w:rPr>
          <w:sz w:val="20"/>
          <w:szCs w:val="20"/>
        </w:rPr>
        <w:t xml:space="preserve">2. Участник закупки приводит номер и дату письма о подаче оферты, приложением к которому является данная анкета.</w:t>
      </w:r>
      <w:r>
        <w:rPr>
          <w:sz w:val="20"/>
          <w:szCs w:val="20"/>
        </w:rPr>
      </w:r>
      <w:r>
        <w:rPr>
          <w:sz w:val="20"/>
          <w:szCs w:val="20"/>
        </w:rPr>
      </w:r>
    </w:p>
    <w:p>
      <w:pPr>
        <w:ind w:firstLine="567"/>
        <w:spacing w:after="0"/>
        <w:rPr>
          <w:sz w:val="20"/>
          <w:szCs w:val="20"/>
        </w:rPr>
      </w:pPr>
      <w:r>
        <w:rPr>
          <w:sz w:val="20"/>
          <w:szCs w:val="20"/>
        </w:rPr>
        <w:t xml:space="preserve">3. Участник закупки, являющийся юридическим лицом, должен указать свое полное наименование (с указанием организационно-правовой </w:t>
      </w:r>
      <w:r>
        <w:rPr>
          <w:sz w:val="20"/>
          <w:szCs w:val="20"/>
        </w:rPr>
        <w:t xml:space="preserve">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r>
        <w:rPr>
          <w:sz w:val="20"/>
          <w:szCs w:val="20"/>
        </w:rPr>
      </w:r>
      <w:r>
        <w:rPr>
          <w:sz w:val="20"/>
          <w:szCs w:val="20"/>
        </w:rPr>
      </w:r>
    </w:p>
    <w:p>
      <w:pPr>
        <w:ind w:firstLine="567"/>
        <w:spacing w:after="0"/>
        <w:rPr>
          <w:sz w:val="20"/>
          <w:szCs w:val="20"/>
        </w:rPr>
      </w:pPr>
      <w:r>
        <w:rPr>
          <w:sz w:val="20"/>
          <w:szCs w:val="20"/>
        </w:rPr>
        <w:t xml:space="preserve">4. Участники закупки должны заполнить приведенную выше таблицу по всем позициям. В случае отсутствия каких-либо данных указать слово «нет».</w:t>
      </w:r>
      <w:r>
        <w:rPr>
          <w:sz w:val="20"/>
          <w:szCs w:val="20"/>
        </w:rPr>
      </w:r>
      <w:r>
        <w:rPr>
          <w:sz w:val="20"/>
          <w:szCs w:val="20"/>
        </w:rPr>
      </w:r>
    </w:p>
    <w:p>
      <w:pPr>
        <w:ind w:firstLine="567"/>
        <w:spacing w:after="0"/>
        <w:rPr>
          <w:sz w:val="20"/>
          <w:szCs w:val="20"/>
        </w:rPr>
      </w:pPr>
      <w:r>
        <w:rPr>
          <w:sz w:val="20"/>
          <w:szCs w:val="20"/>
        </w:rPr>
        <w:t xml:space="preserve">5. В графе 17 формы 4 «Банковские реквизиты…» указываются реквизиты, которые будут использованы при заключении Договора.</w:t>
      </w:r>
      <w:r>
        <w:rPr>
          <w:sz w:val="20"/>
          <w:szCs w:val="20"/>
        </w:rPr>
      </w:r>
      <w:r>
        <w:rPr>
          <w:sz w:val="20"/>
          <w:szCs w:val="20"/>
        </w:rPr>
      </w:r>
    </w:p>
    <w:p>
      <w:pPr>
        <w:ind w:firstLine="567"/>
        <w:spacing w:after="0"/>
        <w:rPr>
          <w:sz w:val="20"/>
          <w:szCs w:val="20"/>
        </w:rPr>
      </w:pPr>
      <w:r>
        <w:rPr>
          <w:sz w:val="20"/>
          <w:szCs w:val="20"/>
        </w:rPr>
        <w:t xml:space="preserve">6. В форме 4</w:t>
      </w:r>
      <w:r>
        <w:rPr>
          <w:sz w:val="20"/>
          <w:szCs w:val="20"/>
        </w:rPr>
        <w:t xml:space="preserve">.2 Участник должен указать сведения о структуре уставного капитала (собственниках), в том числе и о своем конечном бенефициаре. Под бенефициаром понимается физическое лицо (группа лиц). Для группы лиц информация предоставляется по каждому физическому лицу.</w:t>
      </w:r>
      <w:r>
        <w:rPr>
          <w:sz w:val="20"/>
          <w:szCs w:val="20"/>
        </w:rPr>
      </w:r>
      <w:r>
        <w:rPr>
          <w:sz w:val="20"/>
          <w:szCs w:val="20"/>
        </w:rPr>
      </w:r>
    </w:p>
    <w:p>
      <w:pPr>
        <w:ind w:firstLine="567"/>
        <w:spacing w:after="0"/>
        <w:rPr>
          <w:sz w:val="20"/>
          <w:szCs w:val="20"/>
        </w:rPr>
      </w:pPr>
      <w:r>
        <w:rPr>
          <w:sz w:val="20"/>
          <w:szCs w:val="20"/>
        </w:rPr>
        <w:t xml:space="preserve">7. Требование о полном раскрытии информации о составе собственников/бенефициаров и размерах их долей (в форме 4.2) особенно касается тех Участников, в цепочке собственников которых имеются компании, зарегистрированные в оффшорных зонах.</w:t>
      </w:r>
      <w:r>
        <w:rPr>
          <w:sz w:val="20"/>
          <w:szCs w:val="20"/>
        </w:rPr>
      </w:r>
      <w:r>
        <w:rPr>
          <w:sz w:val="20"/>
          <w:szCs w:val="20"/>
        </w:rPr>
      </w:r>
    </w:p>
    <w:p>
      <w:pPr>
        <w:ind w:firstLine="567"/>
        <w:spacing w:after="0"/>
        <w:rPr>
          <w:sz w:val="20"/>
          <w:szCs w:val="20"/>
        </w:rPr>
      </w:pPr>
      <w:r>
        <w:rPr>
          <w:sz w:val="20"/>
          <w:szCs w:val="20"/>
        </w:rPr>
        <w:t xml:space="preserve">8. В графе 16 Участник должен указать наимено</w:t>
      </w:r>
      <w:r>
        <w:rPr>
          <w:sz w:val="20"/>
          <w:szCs w:val="20"/>
        </w:rPr>
        <w:t xml:space="preserve">вание и реквизиты (№, дату или пр.) документов, подтверждающих указанные сведения. К форме 4.2 в составе своей заявке Участник должен приложить все документы, указанные им в графе 16. Данные документы должны быть подписаны и заверены печатью (при наличии).</w:t>
      </w:r>
      <w:r>
        <w:rPr>
          <w:sz w:val="20"/>
          <w:szCs w:val="20"/>
        </w:rPr>
      </w:r>
      <w:r>
        <w:rPr>
          <w:sz w:val="20"/>
          <w:szCs w:val="20"/>
        </w:rPr>
      </w:r>
    </w:p>
    <w:p>
      <w:pPr>
        <w:ind w:firstLine="567"/>
        <w:spacing w:after="0"/>
        <w:rPr>
          <w:sz w:val="20"/>
          <w:szCs w:val="20"/>
        </w:rPr>
      </w:pPr>
      <w:r>
        <w:rPr>
          <w:sz w:val="20"/>
          <w:szCs w:val="20"/>
        </w:rPr>
        <w:t xml:space="preserve">9. Не предоставление У</w:t>
      </w:r>
      <w:r>
        <w:rPr>
          <w:sz w:val="20"/>
          <w:szCs w:val="20"/>
        </w:rPr>
        <w:t xml:space="preserve">частником сведений (форма 4.2), либо частичное указание сведений, в том числе не раскрытие информации о конечных бенефициарах, а также размере их долей, является основанием для отклонения Организатором закупки заявки участника от дальнейшего рассмотрения. </w:t>
      </w:r>
      <w:r>
        <w:rPr>
          <w:sz w:val="20"/>
          <w:szCs w:val="20"/>
        </w:rPr>
      </w:r>
      <w:r>
        <w:rPr>
          <w:sz w:val="20"/>
          <w:szCs w:val="20"/>
        </w:rPr>
      </w:r>
    </w:p>
    <w:p>
      <w:pPr>
        <w:rPr>
          <w:sz w:val="20"/>
          <w:szCs w:val="20"/>
        </w:rPr>
      </w:pPr>
      <w:r>
        <w:rPr>
          <w:sz w:val="20"/>
          <w:szCs w:val="20"/>
        </w:rPr>
      </w:r>
      <w:r>
        <w:rPr>
          <w:sz w:val="20"/>
          <w:szCs w:val="20"/>
        </w:rPr>
      </w:r>
      <w:r>
        <w:rPr>
          <w:sz w:val="20"/>
          <w:szCs w:val="20"/>
        </w:rPr>
      </w:r>
    </w:p>
    <w:p>
      <w:r/>
      <w:r/>
    </w:p>
    <w:p>
      <w:r/>
      <w:r/>
    </w:p>
    <w:p>
      <w:r/>
      <w:r/>
    </w:p>
    <w:p>
      <w:r/>
      <w:r/>
    </w:p>
    <w:p>
      <w:r/>
      <w:r/>
    </w:p>
    <w:p>
      <w:r/>
      <w:r/>
    </w:p>
    <w:p>
      <w:r/>
      <w:r/>
    </w:p>
    <w:p>
      <w:r/>
      <w:r/>
    </w:p>
    <w:p>
      <w:r/>
      <w:r/>
    </w:p>
    <w:p>
      <w:r/>
      <w:r/>
    </w:p>
    <w:p>
      <w:r/>
      <w:r/>
    </w:p>
    <w:p>
      <w:r/>
      <w:r/>
    </w:p>
    <w:p>
      <w:r/>
      <w:r/>
    </w:p>
    <w:p>
      <w:r/>
      <w:r/>
    </w:p>
    <w:p>
      <w:r/>
      <w:r/>
    </w:p>
    <w:p>
      <w:r/>
      <w:r/>
    </w:p>
    <w:p>
      <w:r/>
      <w:r/>
    </w:p>
    <w:p>
      <w:r/>
      <w:r/>
    </w:p>
    <w:p>
      <w:r/>
      <w:r/>
    </w:p>
    <w:p>
      <w:r/>
      <w:r/>
    </w:p>
    <w:p>
      <w:r/>
      <w:r/>
    </w:p>
    <w:p>
      <w:r/>
      <w:r/>
    </w:p>
    <w:p>
      <w:r/>
      <w:r/>
    </w:p>
    <w:p>
      <w:r/>
      <w:r/>
    </w:p>
    <w:p>
      <w:r/>
      <w:r/>
    </w:p>
    <w:p>
      <w:pPr>
        <w:pStyle w:val="1014"/>
        <w:ind w:left="578" w:hanging="578"/>
        <w:pageBreakBefore/>
        <w:rPr>
          <w:b w:val="0"/>
        </w:rPr>
      </w:pPr>
      <w:r/>
      <w:bookmarkStart w:id="144" w:name="_Toc99"/>
      <w:r>
        <w:rPr>
          <w:sz w:val="24"/>
          <w:szCs w:val="24"/>
        </w:rPr>
        <w:t xml:space="preserve">ФОРМА 4.3. СОГЛАСИЕ НА ОБРАБОТКУ ПЕРСОНАЛЬНЫХ ДАННЫХ</w:t>
      </w:r>
      <w:bookmarkEnd w:id="144"/>
      <w:r>
        <w:rPr>
          <w:b w:val="0"/>
        </w:rPr>
      </w:r>
      <w:r>
        <w:rPr>
          <w:b w:val="0"/>
        </w:rPr>
      </w:r>
    </w:p>
    <w:p>
      <w:pPr>
        <w:jc w:val="center"/>
      </w:pPr>
      <w:r>
        <w:t xml:space="preserve">от «___» ___________ 20__ г.</w:t>
      </w:r>
      <w:r/>
    </w:p>
    <w:p>
      <w:pPr>
        <w:jc w:val="center"/>
        <w:rPr>
          <w:b/>
        </w:rPr>
      </w:pPr>
      <w:r>
        <w:rPr>
          <w:b/>
        </w:rPr>
      </w:r>
      <w:r>
        <w:rPr>
          <w:b/>
        </w:rPr>
      </w:r>
      <w:r>
        <w:rPr>
          <w:b/>
        </w:rPr>
      </w:r>
    </w:p>
    <w:p>
      <w:pPr>
        <w:ind w:firstLine="567"/>
        <w:spacing w:after="0"/>
      </w:pPr>
      <w:r>
        <w:t xml:space="preserve">Настоящим, ________________________________________________________,</w:t>
      </w:r>
      <w:r/>
    </w:p>
    <w:p>
      <w:pPr>
        <w:ind w:firstLine="567"/>
        <w:jc w:val="center"/>
        <w:spacing w:after="0"/>
        <w:rPr>
          <w:i/>
          <w:sz w:val="20"/>
          <w:szCs w:val="20"/>
        </w:rPr>
      </w:pPr>
      <w:r>
        <w:rPr>
          <w:i/>
          <w:sz w:val="20"/>
          <w:szCs w:val="20"/>
        </w:rPr>
        <w:t xml:space="preserve">(указывается полное наименование участника закупочной процедуры</w:t>
      </w:r>
      <w:r>
        <w:rPr>
          <w:i/>
          <w:sz w:val="20"/>
          <w:szCs w:val="20"/>
        </w:rPr>
      </w:r>
      <w:r>
        <w:rPr>
          <w:i/>
          <w:sz w:val="20"/>
          <w:szCs w:val="20"/>
        </w:rPr>
      </w:r>
    </w:p>
    <w:p>
      <w:pPr>
        <w:ind w:firstLine="567"/>
        <w:spacing w:after="0"/>
      </w:pPr>
      <w:r>
        <w:t xml:space="preserve">___________________________________________________________________________</w:t>
      </w:r>
      <w:r/>
    </w:p>
    <w:p>
      <w:pPr>
        <w:ind w:firstLine="567"/>
        <w:jc w:val="center"/>
        <w:spacing w:after="0"/>
        <w:rPr>
          <w:i/>
          <w:sz w:val="20"/>
          <w:szCs w:val="20"/>
        </w:rPr>
      </w:pPr>
      <w:r>
        <w:rPr>
          <w:i/>
          <w:sz w:val="20"/>
          <w:szCs w:val="20"/>
        </w:rPr>
        <w:t xml:space="preserve">(потенциального контрагента), контрагента)</w:t>
      </w:r>
      <w:r>
        <w:rPr>
          <w:i/>
          <w:sz w:val="20"/>
          <w:szCs w:val="20"/>
        </w:rPr>
      </w:r>
      <w:r>
        <w:rPr>
          <w:i/>
          <w:sz w:val="20"/>
          <w:szCs w:val="20"/>
        </w:rPr>
      </w:r>
    </w:p>
    <w:p>
      <w:pPr>
        <w:ind w:firstLine="567"/>
        <w:spacing w:after="0"/>
      </w:pPr>
      <w:r>
        <w:t xml:space="preserve">Адрес регистрации: _______________________________________________________,</w:t>
      </w:r>
      <w:r/>
    </w:p>
    <w:p>
      <w:pPr>
        <w:ind w:firstLine="567"/>
        <w:spacing w:after="0"/>
      </w:pPr>
      <w:r>
        <w:t xml:space="preserve">Свидетельство о регистрации: ______________________________________________</w:t>
      </w:r>
      <w:r/>
    </w:p>
    <w:p>
      <w:pPr>
        <w:ind w:firstLine="567"/>
        <w:spacing w:after="0"/>
        <w:rPr>
          <w:b/>
          <w:i/>
        </w:rPr>
      </w:pPr>
      <w:r>
        <w:rPr>
          <w:b/>
          <w:i/>
        </w:rPr>
        <w:t xml:space="preserve">ИНН__________________________</w:t>
      </w:r>
      <w:r>
        <w:rPr>
          <w:b/>
          <w:i/>
        </w:rPr>
      </w:r>
      <w:r>
        <w:rPr>
          <w:b/>
          <w:i/>
        </w:rPr>
      </w:r>
    </w:p>
    <w:p>
      <w:pPr>
        <w:ind w:firstLine="567"/>
        <w:spacing w:after="0"/>
        <w:rPr>
          <w:b/>
          <w:i/>
        </w:rPr>
      </w:pPr>
      <w:r>
        <w:rPr>
          <w:b/>
          <w:i/>
        </w:rPr>
        <w:t xml:space="preserve">КПП__________________________</w:t>
      </w:r>
      <w:r>
        <w:rPr>
          <w:b/>
          <w:i/>
        </w:rPr>
      </w:r>
      <w:r>
        <w:rPr>
          <w:b/>
          <w:i/>
        </w:rPr>
      </w:r>
    </w:p>
    <w:p>
      <w:pPr>
        <w:ind w:firstLine="567"/>
        <w:spacing w:after="0"/>
      </w:pPr>
      <w:r>
        <w:rPr>
          <w:b/>
          <w:i/>
        </w:rPr>
        <w:t xml:space="preserve">ОГРН</w:t>
      </w:r>
      <w:r>
        <w:t xml:space="preserve">_________________________,</w:t>
      </w:r>
      <w:r/>
    </w:p>
    <w:p>
      <w:pPr>
        <w:ind w:firstLine="567"/>
        <w:spacing w:after="0"/>
      </w:pPr>
      <w:r>
        <w:t xml:space="preserve">В лице__________________________________________________________________</w:t>
      </w:r>
      <w:r/>
    </w:p>
    <w:p>
      <w:pPr>
        <w:ind w:firstLine="567"/>
        <w:spacing w:after="0"/>
      </w:pPr>
      <w:r>
        <w:rPr>
          <w:i/>
          <w:sz w:val="20"/>
          <w:szCs w:val="20"/>
        </w:rPr>
        <w:t xml:space="preserve">(указывается Ф.И.О., адрес, номер основного документа, удостоверяющего его личность</w:t>
      </w:r>
      <w:r>
        <w:t xml:space="preserve">)</w:t>
      </w:r>
      <w:r/>
    </w:p>
    <w:p>
      <w:pPr>
        <w:ind w:firstLine="567"/>
        <w:spacing w:after="0"/>
        <w:rPr>
          <w:b/>
          <w:i/>
        </w:rPr>
      </w:pPr>
      <w:r>
        <w:t xml:space="preserve">_____________________________________________________________________________, </w:t>
      </w:r>
      <w:r>
        <w:rPr>
          <w:b/>
          <w:i/>
        </w:rPr>
        <w:t xml:space="preserve">сведения о дате выдачи указанного документа и выдавшем его органе)*</w:t>
      </w:r>
      <w:r>
        <w:rPr>
          <w:b/>
          <w:i/>
        </w:rPr>
      </w:r>
      <w:r>
        <w:rPr>
          <w:b/>
          <w:i/>
        </w:rPr>
      </w:r>
    </w:p>
    <w:p>
      <w:pPr>
        <w:ind w:firstLine="567"/>
        <w:spacing w:after="0"/>
      </w:pPr>
      <w:r>
        <w:rPr>
          <w:b/>
          <w:i/>
        </w:rPr>
        <w:t xml:space="preserve">действующего на основании</w:t>
      </w:r>
      <w:r>
        <w:t xml:space="preserve"> _____________________________, дает свое согласие </w:t>
      </w:r>
      <w:r>
        <w:rPr>
          <w:b/>
          <w:bCs/>
          <w:i/>
          <w:iCs/>
        </w:rPr>
        <w:t xml:space="preserve">Публичному акционерному обществу «Россети Юг»</w:t>
      </w:r>
      <w:r>
        <w:t xml:space="preserve">, зарегистрированному по адресу: г. Ростов-на-Дону, ул. Большая Садовая, 49/42, </w:t>
      </w:r>
      <w:r>
        <w:rPr>
          <w:b/>
          <w:bCs/>
          <w:i/>
          <w:iCs/>
        </w:rPr>
        <w:t xml:space="preserve">ДЗО ПАО «Россети Юг» </w:t>
      </w:r>
      <w:r>
        <w:t xml:space="preserve">и </w:t>
      </w:r>
      <w:r>
        <w:rPr>
          <w:b/>
          <w:i/>
        </w:rPr>
        <w:t xml:space="preserve">Публичному акционерному обществу «Федеральная сетевая компания - Россети»,</w:t>
      </w:r>
      <w:r>
        <w:t xml:space="preserve"> зарегистрированному по адресу: г. Москва, ул. Беловежская, 4, в отношении следующего перечня персональных данных руководителей и собственников (участников, учредителей</w:t>
      </w:r>
      <w:r>
        <w:t xml:space="preserve">, акционеров), в том числе конечных бенефициаров, участника закупки (потенциального контрагента)/ контрагента/ планируемых к привлечению субконтрагентов: фамилия имя отчество, серия и номер документа, удостоверяющего личность, сведения о дате выдачи указан</w:t>
      </w:r>
      <w:r>
        <w:t xml:space="preserve">ного документа и выдавшем его органе, адрес регистрации, ИНН на совершение действий, предусмотренных п. 3 ст. 3 ФЗ  «О персональных данных» от 27.07.2006 № 152-ФЗ, в том числе с использованием информационных систем, а также на представление указанной инфор</w:t>
      </w:r>
      <w:r>
        <w:t xml:space="preserve">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p>
    <w:p>
      <w:pPr>
        <w:ind w:firstLine="567"/>
        <w:spacing w:after="0"/>
      </w:pPr>
      <w:r>
        <w:t xml:space="preserve">Цель обработки персональных данных: обеспечение соблюдения требований законодательства Российской Федерации, в том числе статьи 13.3 Федерального закона от 25.12.2008 № 273 - ФЗ «О противодействии коррупции»</w:t>
      </w:r>
      <w:r>
        <w:t xml:space="preserve">,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w:t>
      </w:r>
      <w:r>
        <w:t xml:space="preserve">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r/>
    </w:p>
    <w:p>
      <w:pPr>
        <w:ind w:firstLine="567"/>
        <w:spacing w:after="0"/>
      </w:pPr>
      <w:r>
        <w:t xml:space="preserve">Срок, в течение которого дейс</w:t>
      </w:r>
      <w:r>
        <w:t xml:space="preserve">твует настоящее согласие: со дня его подписания 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r/>
    </w:p>
    <w:p>
      <w:pPr>
        <w:ind w:firstLine="567"/>
        <w:spacing w:after="0"/>
      </w:pPr>
      <w:r/>
      <w:r/>
    </w:p>
    <w:p>
      <w:pPr>
        <w:ind w:firstLine="567"/>
        <w:spacing w:after="0"/>
      </w:pPr>
      <w:r>
        <w:t xml:space="preserve">_____________________________                                 ___________________________</w:t>
      </w:r>
      <w:r/>
    </w:p>
    <w:p>
      <w:pPr>
        <w:ind w:firstLine="567"/>
        <w:spacing w:after="0"/>
        <w:rPr>
          <w:i/>
          <w:sz w:val="20"/>
          <w:szCs w:val="20"/>
        </w:rPr>
      </w:pPr>
      <w:r>
        <w:rPr>
          <w:i/>
          <w:sz w:val="20"/>
          <w:szCs w:val="20"/>
        </w:rPr>
        <w:t xml:space="preserve">(Подпись субъекта персональных данных/                                   (Ф.И.О. и должность подписавшего*)</w:t>
      </w:r>
      <w:r>
        <w:rPr>
          <w:i/>
          <w:sz w:val="20"/>
          <w:szCs w:val="20"/>
        </w:rPr>
      </w:r>
      <w:r>
        <w:rPr>
          <w:i/>
          <w:sz w:val="20"/>
          <w:szCs w:val="20"/>
        </w:rPr>
      </w:r>
    </w:p>
    <w:p>
      <w:pPr>
        <w:ind w:firstLine="567"/>
        <w:spacing w:after="0"/>
        <w:rPr>
          <w:i/>
          <w:sz w:val="20"/>
          <w:szCs w:val="20"/>
        </w:rPr>
      </w:pPr>
      <w:r>
        <w:rPr>
          <w:i/>
          <w:sz w:val="20"/>
          <w:szCs w:val="20"/>
        </w:rPr>
        <w:t xml:space="preserve">уполномоченного представителя)                                                </w:t>
      </w:r>
      <w:r>
        <w:rPr>
          <w:i/>
          <w:sz w:val="20"/>
          <w:szCs w:val="20"/>
        </w:rPr>
      </w:r>
      <w:r>
        <w:rPr>
          <w:i/>
          <w:sz w:val="20"/>
          <w:szCs w:val="20"/>
        </w:rPr>
      </w:r>
    </w:p>
    <w:p>
      <w:pPr>
        <w:ind w:firstLine="567"/>
        <w:spacing w:after="0"/>
        <w:rPr>
          <w:b/>
          <w:i/>
        </w:rPr>
      </w:pPr>
      <w:r>
        <w:rPr>
          <w:b/>
          <w:i/>
        </w:rPr>
      </w:r>
      <w:r>
        <w:rPr>
          <w:b/>
          <w:i/>
        </w:rPr>
      </w:r>
      <w:r>
        <w:rPr>
          <w:b/>
          <w:i/>
        </w:rPr>
      </w:r>
    </w:p>
    <w:p>
      <w:pPr>
        <w:ind w:firstLine="567"/>
        <w:spacing w:after="0"/>
        <w:rPr>
          <w:b/>
          <w:i/>
        </w:rPr>
      </w:pPr>
      <w:r>
        <w:rPr>
          <w:b/>
          <w:i/>
        </w:rPr>
        <w:t xml:space="preserve">М.П.</w:t>
      </w:r>
      <w:r>
        <w:rPr>
          <w:b/>
          <w:i/>
        </w:rPr>
      </w:r>
      <w:r>
        <w:rPr>
          <w:b/>
          <w:i/>
        </w:rPr>
      </w:r>
    </w:p>
    <w:p>
      <w:pPr>
        <w:ind w:firstLine="567"/>
        <w:spacing w:after="0"/>
        <w:rPr>
          <w:b/>
          <w:i/>
        </w:rPr>
      </w:pPr>
      <w:r>
        <w:rPr>
          <w:b/>
          <w:i/>
        </w:rPr>
      </w:r>
      <w:r>
        <w:rPr>
          <w:b/>
          <w:i/>
        </w:rPr>
      </w:r>
      <w:r>
        <w:rPr>
          <w:b/>
          <w:i/>
        </w:rPr>
      </w:r>
    </w:p>
    <w:p>
      <w:pPr>
        <w:ind w:firstLine="567"/>
        <w:spacing w:after="0"/>
        <w:rPr>
          <w:sz w:val="20"/>
          <w:szCs w:val="20"/>
        </w:rPr>
      </w:pPr>
      <w:r>
        <w:rPr>
          <w:sz w:val="20"/>
          <w:szCs w:val="20"/>
        </w:rPr>
        <w:t xml:space="preserve">* Указывается фамилия,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фамилия, </w:t>
      </w:r>
      <w:r>
        <w:rPr>
          <w:sz w:val="20"/>
          <w:szCs w:val="20"/>
        </w:rPr>
        <w:t xml:space="preserve">имя, отчество, адрес представителя субъекта персональных данных, номер основного документа, удо</w:t>
      </w:r>
      <w:r>
        <w:rPr>
          <w:sz w:val="20"/>
          <w:szCs w:val="20"/>
        </w:rPr>
        <w:t xml:space="preserve">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r>
        <w:rPr>
          <w:sz w:val="20"/>
          <w:szCs w:val="20"/>
        </w:rPr>
      </w:r>
      <w:r>
        <w:rPr>
          <w:sz w:val="20"/>
          <w:szCs w:val="20"/>
        </w:rPr>
      </w:r>
    </w:p>
    <w:p>
      <w:pPr>
        <w:ind w:firstLine="567"/>
        <w:spacing w:after="0"/>
        <w:rPr>
          <w:sz w:val="20"/>
          <w:szCs w:val="20"/>
        </w:rPr>
      </w:pPr>
      <w:r>
        <w:rPr>
          <w:sz w:val="20"/>
          <w:szCs w:val="20"/>
        </w:rPr>
        <w:t xml:space="preserve">** При заключении договоров ПАО «Россети Юг», ДЗО ПАО «Россети Юг» обязаны получить согласие на обработку персональных данных участника закупки (потенциального контрагента/ контрагента/ планируемых к привлечению </w:t>
      </w:r>
      <w:r>
        <w:rPr>
          <w:sz w:val="20"/>
          <w:szCs w:val="20"/>
        </w:rPr>
        <w:t xml:space="preserve">субконтрагентов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r>
        <w:rPr>
          <w:sz w:val="20"/>
          <w:szCs w:val="20"/>
        </w:rPr>
      </w:r>
      <w:r>
        <w:rPr>
          <w:sz w:val="20"/>
          <w:szCs w:val="20"/>
        </w:rPr>
      </w:r>
    </w:p>
    <w:p>
      <w:pPr>
        <w:ind w:firstLine="567"/>
        <w:spacing w:after="0"/>
        <w:rPr>
          <w:sz w:val="20"/>
          <w:szCs w:val="20"/>
        </w:rPr>
      </w:pPr>
      <w:r>
        <w:rPr>
          <w:sz w:val="20"/>
          <w:szCs w:val="20"/>
        </w:rPr>
        <w:t xml:space="preserve">*** Заполнение участником закупки (потенциальным контрагентом) / контрагентом</w:t>
      </w:r>
      <w:r>
        <w:rPr>
          <w:sz w:val="20"/>
          <w:szCs w:val="20"/>
        </w:rPr>
        <w:t xml:space="preserve">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ПАО «Россети», ПАО «Россети Юг», ДЗО П</w:t>
      </w:r>
      <w:r>
        <w:rPr>
          <w:sz w:val="20"/>
          <w:szCs w:val="20"/>
        </w:rPr>
        <w:t xml:space="preserve">АО «Россети Юг» перед руководителем, собственником (участником, учредителем, акционером), а также бенефициаром участника закупки / контрагента / их субконтрагентов за предоставление Обществу данных о руководителе, собственниках (участниках, учредителях, ак</w:t>
      </w:r>
      <w:r>
        <w:rPr>
          <w:sz w:val="20"/>
          <w:szCs w:val="20"/>
        </w:rPr>
        <w:t xml:space="preserve">ционерах), в том числе бенефициарах и бенефициарах своего субконтрагента, и предполагает, что участник закупки (потенциальный контрагент) / контрагент получил у руководителя, своих бенефициаров и бенефициаров своих субконтрагентов согласие на представление</w:t>
      </w:r>
      <w:r>
        <w:rPr>
          <w:sz w:val="20"/>
          <w:szCs w:val="20"/>
        </w:rPr>
      </w:r>
      <w:r>
        <w:rPr>
          <w:sz w:val="20"/>
          <w:szCs w:val="20"/>
        </w:rPr>
      </w:r>
    </w:p>
    <w:p>
      <w:pPr>
        <w:ind w:firstLine="567"/>
        <w:spacing w:after="0"/>
      </w:pPr>
      <w:r/>
      <w:r/>
    </w:p>
    <w:p>
      <w:pPr>
        <w:ind w:firstLine="567"/>
        <w:spacing w:after="0"/>
      </w:pPr>
      <w:r/>
      <w:r/>
    </w:p>
    <w:p>
      <w:pPr>
        <w:ind w:firstLine="567"/>
        <w:spacing w:after="0"/>
      </w:pPr>
      <w:r/>
      <w:r/>
    </w:p>
    <w:p>
      <w:pPr>
        <w:ind w:firstLine="567"/>
        <w:spacing w:after="0"/>
      </w:pPr>
      <w:r/>
      <w:r/>
    </w:p>
    <w:p>
      <w:pPr>
        <w:ind w:firstLine="567"/>
        <w:spacing w:after="0"/>
      </w:pPr>
      <w:r/>
      <w:r/>
    </w:p>
    <w:p>
      <w:pPr>
        <w:ind w:firstLine="567"/>
        <w:spacing w:after="0"/>
      </w:pPr>
      <w:r/>
      <w:r/>
    </w:p>
    <w:p>
      <w:pPr>
        <w:ind w:firstLine="567"/>
        <w:spacing w:after="0"/>
      </w:pPr>
      <w:r/>
      <w:r/>
    </w:p>
    <w:p>
      <w:pPr>
        <w:ind w:firstLine="567"/>
        <w:spacing w:after="0"/>
      </w:pPr>
      <w:r/>
      <w:r/>
    </w:p>
    <w:p>
      <w:r/>
      <w:r/>
    </w:p>
    <w:p>
      <w:r/>
      <w:r/>
    </w:p>
    <w:p>
      <w:r/>
      <w:r/>
    </w:p>
    <w:p>
      <w:r/>
      <w:r/>
    </w:p>
    <w:p>
      <w:r/>
      <w:r/>
    </w:p>
    <w:p>
      <w:r/>
      <w:r/>
    </w:p>
    <w:p>
      <w:r/>
      <w:r/>
    </w:p>
    <w:p>
      <w:r/>
      <w:r/>
    </w:p>
    <w:p>
      <w:r/>
      <w:r/>
    </w:p>
    <w:p>
      <w:r/>
      <w:r/>
    </w:p>
    <w:p>
      <w:r/>
      <w:r/>
    </w:p>
    <w:p>
      <w:r/>
      <w:r/>
    </w:p>
    <w:p>
      <w:r/>
      <w:r/>
    </w:p>
    <w:p>
      <w:r/>
      <w:r/>
    </w:p>
    <w:p>
      <w:r/>
      <w:r/>
    </w:p>
    <w:p>
      <w:r/>
      <w:r/>
    </w:p>
    <w:p>
      <w:r/>
      <w:r/>
    </w:p>
    <w:p>
      <w:r/>
      <w:r/>
    </w:p>
    <w:p>
      <w:r/>
      <w:r/>
    </w:p>
    <w:p>
      <w:r/>
      <w:r/>
    </w:p>
    <w:p>
      <w:r/>
      <w:r/>
    </w:p>
    <w:p>
      <w:r/>
      <w:r/>
    </w:p>
    <w:p>
      <w:r/>
      <w:r/>
    </w:p>
    <w:p>
      <w:pPr>
        <w:pStyle w:val="1014"/>
        <w:ind w:left="578" w:hanging="578"/>
        <w:keepNext w:val="0"/>
        <w:pageBreakBefore/>
        <w:widowControl w:val="off"/>
        <w:rPr>
          <w:sz w:val="24"/>
          <w:szCs w:val="24"/>
        </w:rPr>
      </w:pPr>
      <w:r/>
      <w:bookmarkStart w:id="145" w:name="_Toc100"/>
      <w:r>
        <w:rPr>
          <w:sz w:val="24"/>
          <w:szCs w:val="24"/>
        </w:rPr>
        <w:t xml:space="preserve">ФОРМА 5. СПРАВКА О ТЕКУЩЕЙ ЗАГРУЖЕННОСТИ УЧАСТНИКА (ДОГОВОРАХ, НАХОДЯЩИХСЯ В ИСПОЛНЕНИИ)</w:t>
      </w:r>
      <w:bookmarkEnd w:id="145"/>
      <w:r>
        <w:rPr>
          <w:sz w:val="24"/>
          <w:szCs w:val="24"/>
        </w:rPr>
      </w:r>
      <w:r>
        <w:rPr>
          <w:sz w:val="24"/>
          <w:szCs w:val="24"/>
        </w:rPr>
      </w:r>
    </w:p>
    <w:p>
      <w:pPr>
        <w:ind w:firstLine="567"/>
        <w:spacing w:after="0"/>
        <w:rPr>
          <w:sz w:val="22"/>
          <w:szCs w:val="22"/>
        </w:rPr>
      </w:pPr>
      <w:r>
        <w:rPr>
          <w:sz w:val="22"/>
          <w:szCs w:val="22"/>
        </w:rPr>
      </w:r>
      <w:r>
        <w:rPr>
          <w:sz w:val="22"/>
          <w:szCs w:val="22"/>
        </w:rPr>
      </w:r>
      <w:r>
        <w:rPr>
          <w:sz w:val="22"/>
          <w:szCs w:val="22"/>
        </w:rPr>
      </w:r>
    </w:p>
    <w:p>
      <w:pPr>
        <w:jc w:val="right"/>
        <w:spacing w:after="0"/>
      </w:pPr>
      <w:r>
        <w:t xml:space="preserve">Приложение № ___ к Заявке на участие</w:t>
      </w:r>
      <w:r/>
    </w:p>
    <w:p>
      <w:pPr>
        <w:jc w:val="right"/>
        <w:spacing w:after="0"/>
      </w:pPr>
      <w:r>
        <w:t xml:space="preserve">от «____» ______________ г. № ______</w:t>
      </w:r>
      <w:r/>
    </w:p>
    <w:p>
      <w:pPr>
        <w:ind w:firstLine="567"/>
        <w:jc w:val="center"/>
        <w:spacing w:after="0"/>
        <w:tabs>
          <w:tab w:val="left" w:pos="993" w:leader="none"/>
        </w:tabs>
      </w:pPr>
      <w:r/>
      <w:r/>
    </w:p>
    <w:p>
      <w:pPr>
        <w:ind w:hanging="142"/>
        <w:jc w:val="center"/>
        <w:spacing w:after="0"/>
        <w:tabs>
          <w:tab w:val="left" w:pos="1080" w:leader="none"/>
        </w:tabs>
        <w:rPr>
          <w:b/>
          <w:i/>
        </w:rPr>
      </w:pPr>
      <w:r>
        <w:rPr>
          <w:b/>
          <w:i/>
        </w:rPr>
        <w:t xml:space="preserve">Справка о текущей загруженности Участника </w:t>
      </w:r>
      <w:r>
        <w:rPr>
          <w:b/>
          <w:i/>
        </w:rPr>
        <w:br/>
        <w:t xml:space="preserve">(договорах, находящихся в исполнении) </w:t>
      </w:r>
      <w:r>
        <w:rPr>
          <w:b/>
          <w:i/>
        </w:rPr>
      </w:r>
      <w:r>
        <w:rPr>
          <w:b/>
          <w:i/>
        </w:rPr>
      </w:r>
    </w:p>
    <w:p>
      <w:pPr>
        <w:ind w:firstLine="540"/>
        <w:tabs>
          <w:tab w:val="left" w:pos="1080" w:leader="none"/>
        </w:tabs>
        <w:rPr>
          <w:b/>
        </w:rPr>
      </w:pPr>
      <w:r>
        <w:rPr>
          <w:b/>
        </w:rPr>
      </w:r>
      <w:r>
        <w:rPr>
          <w:b/>
        </w:rPr>
      </w:r>
      <w:r>
        <w:rPr>
          <w:b/>
        </w:rPr>
      </w:r>
    </w:p>
    <w:p>
      <w:pPr>
        <w:ind w:firstLine="540"/>
        <w:tabs>
          <w:tab w:val="left" w:pos="1080" w:leader="none"/>
        </w:tabs>
        <w:rPr>
          <w:b/>
        </w:rPr>
      </w:pPr>
      <w:r>
        <w:rPr>
          <w:b/>
        </w:rPr>
        <w:t xml:space="preserve">Способ и наименование закупки _______________________________________ </w:t>
      </w:r>
      <w:r>
        <w:rPr>
          <w:b/>
        </w:rPr>
      </w:r>
      <w:r>
        <w:rPr>
          <w:b/>
        </w:rPr>
      </w:r>
    </w:p>
    <w:p>
      <w:pPr>
        <w:ind w:firstLine="540"/>
        <w:tabs>
          <w:tab w:val="left" w:pos="1080" w:leader="none"/>
        </w:tabs>
        <w:rPr>
          <w:b/>
        </w:rPr>
      </w:pPr>
      <w:r>
        <w:rPr>
          <w:b/>
        </w:rPr>
        <w:t xml:space="preserve">Лот ___</w:t>
      </w:r>
      <w:r>
        <w:rPr>
          <w:b/>
        </w:rPr>
      </w:r>
      <w:r>
        <w:rPr>
          <w:b/>
        </w:rPr>
      </w:r>
    </w:p>
    <w:p>
      <w:pPr>
        <w:ind w:firstLine="540"/>
        <w:tabs>
          <w:tab w:val="left" w:pos="1080" w:leader="none"/>
        </w:tabs>
      </w:pPr>
      <w:r>
        <w:rPr>
          <w:b/>
        </w:rPr>
        <w:t xml:space="preserve">Участник закупки:</w:t>
      </w:r>
      <w:r>
        <w:t xml:space="preserve"> ________________________________ </w:t>
      </w:r>
      <w:r/>
    </w:p>
    <w:tbl>
      <w:tblPr>
        <w:tblW w:w="5470" w:type="pct"/>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502"/>
        <w:gridCol w:w="1472"/>
        <w:gridCol w:w="1601"/>
        <w:gridCol w:w="740"/>
        <w:gridCol w:w="525"/>
        <w:gridCol w:w="1065"/>
        <w:gridCol w:w="896"/>
        <w:gridCol w:w="1217"/>
        <w:gridCol w:w="1280"/>
        <w:gridCol w:w="226"/>
        <w:gridCol w:w="1321"/>
      </w:tblGrid>
      <w:tr>
        <w:tblPrEx/>
        <w:trPr>
          <w:cantSplit/>
          <w:trHeight w:val="466"/>
          <w:tblHeader/>
        </w:trPr>
        <w:tc>
          <w:tcPr>
            <w:tcW w:w="232" w:type="pct"/>
            <w:vAlign w:val="center"/>
            <w:vMerge w:val="restart"/>
            <w:textDirection w:val="lrTb"/>
            <w:noWrap w:val="false"/>
          </w:tcPr>
          <w:p>
            <w:pPr>
              <w:ind w:firstLine="33"/>
              <w:jc w:val="left"/>
              <w:tabs>
                <w:tab w:val="left" w:pos="1080" w:leader="none"/>
              </w:tabs>
              <w:rPr>
                <w:sz w:val="18"/>
                <w:szCs w:val="18"/>
              </w:rPr>
            </w:pPr>
            <w:r>
              <w:rPr>
                <w:sz w:val="18"/>
                <w:szCs w:val="18"/>
              </w:rPr>
              <w:t xml:space="preserve">№</w:t>
            </w:r>
            <w:r>
              <w:rPr>
                <w:sz w:val="18"/>
                <w:szCs w:val="18"/>
              </w:rPr>
            </w:r>
            <w:r>
              <w:rPr>
                <w:sz w:val="18"/>
                <w:szCs w:val="18"/>
              </w:rPr>
            </w:r>
          </w:p>
          <w:p>
            <w:pPr>
              <w:ind w:firstLine="33"/>
              <w:jc w:val="left"/>
              <w:tabs>
                <w:tab w:val="left" w:pos="1080" w:leader="none"/>
              </w:tabs>
              <w:rPr>
                <w:sz w:val="18"/>
                <w:szCs w:val="18"/>
              </w:rPr>
            </w:pPr>
            <w:r>
              <w:rPr>
                <w:sz w:val="18"/>
                <w:szCs w:val="18"/>
              </w:rPr>
              <w:t xml:space="preserve">п/п</w:t>
            </w:r>
            <w:r>
              <w:rPr>
                <w:sz w:val="18"/>
                <w:szCs w:val="18"/>
              </w:rPr>
            </w:r>
            <w:r>
              <w:rPr>
                <w:sz w:val="18"/>
                <w:szCs w:val="18"/>
              </w:rPr>
            </w:r>
          </w:p>
        </w:tc>
        <w:tc>
          <w:tcPr>
            <w:tcW w:w="679" w:type="pct"/>
            <w:vAlign w:val="center"/>
            <w:vMerge w:val="restart"/>
            <w:textDirection w:val="lrTb"/>
            <w:noWrap w:val="false"/>
          </w:tcPr>
          <w:p>
            <w:pPr>
              <w:ind w:firstLine="33"/>
              <w:jc w:val="center"/>
              <w:tabs>
                <w:tab w:val="left" w:pos="1080" w:leader="none"/>
              </w:tabs>
              <w:rPr>
                <w:sz w:val="18"/>
                <w:szCs w:val="18"/>
              </w:rPr>
            </w:pPr>
            <w:r>
              <w:rPr>
                <w:sz w:val="18"/>
                <w:szCs w:val="18"/>
              </w:rPr>
              <w:t xml:space="preserve">Сроки выполнения  (год и месяц начала выполнения - год и месяц планируемого окончания выполнения)</w:t>
            </w:r>
            <w:r>
              <w:rPr>
                <w:sz w:val="18"/>
                <w:szCs w:val="18"/>
              </w:rPr>
            </w:r>
            <w:r>
              <w:rPr>
                <w:sz w:val="18"/>
                <w:szCs w:val="18"/>
              </w:rPr>
            </w:r>
          </w:p>
        </w:tc>
        <w:tc>
          <w:tcPr>
            <w:tcW w:w="738" w:type="pct"/>
            <w:vAlign w:val="center"/>
            <w:vMerge w:val="restart"/>
            <w:textDirection w:val="lrTb"/>
            <w:noWrap w:val="false"/>
          </w:tcPr>
          <w:p>
            <w:pPr>
              <w:ind w:firstLine="33"/>
              <w:jc w:val="center"/>
              <w:tabs>
                <w:tab w:val="left" w:pos="1080" w:leader="none"/>
              </w:tabs>
              <w:rPr>
                <w:sz w:val="18"/>
                <w:szCs w:val="18"/>
              </w:rPr>
            </w:pPr>
            <w:r>
              <w:rPr>
                <w:sz w:val="18"/>
                <w:szCs w:val="18"/>
              </w:rPr>
              <w:t xml:space="preserve">Заказчик (наименование, адрес, контактное лицо с указанием должности, контактные телефоны)</w:t>
            </w:r>
            <w:r>
              <w:rPr>
                <w:sz w:val="18"/>
                <w:szCs w:val="18"/>
              </w:rPr>
            </w:r>
            <w:r>
              <w:rPr>
                <w:sz w:val="18"/>
                <w:szCs w:val="18"/>
              </w:rPr>
            </w:r>
          </w:p>
        </w:tc>
        <w:tc>
          <w:tcPr>
            <w:gridSpan w:val="2"/>
            <w:tcW w:w="583" w:type="pct"/>
            <w:vAlign w:val="center"/>
            <w:vMerge w:val="restart"/>
            <w:textDirection w:val="lrTb"/>
            <w:noWrap w:val="false"/>
          </w:tcPr>
          <w:p>
            <w:pPr>
              <w:ind w:firstLine="33"/>
              <w:jc w:val="center"/>
              <w:tabs>
                <w:tab w:val="left" w:pos="1080" w:leader="none"/>
              </w:tabs>
              <w:rPr>
                <w:sz w:val="18"/>
                <w:szCs w:val="18"/>
              </w:rPr>
            </w:pPr>
            <w:r>
              <w:rPr>
                <w:sz w:val="18"/>
                <w:szCs w:val="18"/>
              </w:rPr>
              <w:t xml:space="preserve">Описание договора (объем и состав поставок, работ, услуг, описание основных условий договора)</w:t>
            </w:r>
            <w:r>
              <w:rPr>
                <w:sz w:val="18"/>
                <w:szCs w:val="18"/>
              </w:rPr>
            </w:r>
            <w:r>
              <w:rPr>
                <w:sz w:val="18"/>
                <w:szCs w:val="18"/>
              </w:rPr>
            </w:r>
          </w:p>
        </w:tc>
        <w:tc>
          <w:tcPr>
            <w:tcW w:w="420" w:type="pct"/>
            <w:vAlign w:val="center"/>
            <w:vMerge w:val="restart"/>
            <w:textDirection w:val="lrTb"/>
            <w:noWrap w:val="false"/>
          </w:tcPr>
          <w:p>
            <w:pPr>
              <w:ind w:left="-106" w:right="-89"/>
              <w:jc w:val="center"/>
              <w:rPr>
                <w:sz w:val="18"/>
                <w:szCs w:val="18"/>
              </w:rPr>
            </w:pPr>
            <w:r>
              <w:rPr>
                <w:sz w:val="18"/>
                <w:szCs w:val="18"/>
              </w:rPr>
              <w:t xml:space="preserve">Стоимость договора, рублей с НДС</w:t>
            </w:r>
            <w:r>
              <w:rPr>
                <w:sz w:val="18"/>
                <w:szCs w:val="18"/>
              </w:rPr>
            </w:r>
            <w:r>
              <w:rPr>
                <w:sz w:val="18"/>
                <w:szCs w:val="18"/>
              </w:rPr>
            </w:r>
          </w:p>
        </w:tc>
        <w:tc>
          <w:tcPr>
            <w:tcW w:w="413" w:type="pct"/>
            <w:vAlign w:val="center"/>
            <w:vMerge w:val="restart"/>
            <w:textDirection w:val="lrTb"/>
            <w:noWrap w:val="false"/>
          </w:tcPr>
          <w:p>
            <w:pPr>
              <w:ind w:firstLine="33"/>
              <w:jc w:val="center"/>
              <w:tabs>
                <w:tab w:val="left" w:pos="1080" w:leader="none"/>
              </w:tabs>
              <w:rPr>
                <w:sz w:val="18"/>
                <w:szCs w:val="18"/>
              </w:rPr>
            </w:pPr>
            <w:r>
              <w:rPr>
                <w:sz w:val="18"/>
                <w:szCs w:val="18"/>
              </w:rPr>
              <w:t xml:space="preserve">Исполнение договора, %</w:t>
            </w:r>
            <w:r>
              <w:rPr>
                <w:sz w:val="18"/>
                <w:szCs w:val="18"/>
              </w:rPr>
            </w:r>
            <w:r>
              <w:rPr>
                <w:sz w:val="18"/>
                <w:szCs w:val="18"/>
              </w:rPr>
            </w:r>
          </w:p>
        </w:tc>
        <w:tc>
          <w:tcPr>
            <w:gridSpan w:val="4"/>
            <w:tcW w:w="1935" w:type="pct"/>
            <w:vAlign w:val="center"/>
            <w:textDirection w:val="lrTb"/>
            <w:noWrap w:val="false"/>
          </w:tcPr>
          <w:p>
            <w:pPr>
              <w:jc w:val="center"/>
              <w:tabs>
                <w:tab w:val="left" w:pos="1080" w:leader="none"/>
              </w:tabs>
              <w:rPr>
                <w:sz w:val="18"/>
                <w:szCs w:val="18"/>
              </w:rPr>
            </w:pPr>
            <w:r>
              <w:rPr>
                <w:sz w:val="18"/>
                <w:szCs w:val="18"/>
              </w:rPr>
              <w:t xml:space="preserve">Количество привлеченного основного  персонала</w:t>
            </w:r>
            <w:r>
              <w:rPr>
                <w:sz w:val="18"/>
                <w:szCs w:val="18"/>
              </w:rPr>
            </w:r>
            <w:r>
              <w:rPr>
                <w:sz w:val="18"/>
                <w:szCs w:val="18"/>
              </w:rPr>
            </w:r>
          </w:p>
        </w:tc>
      </w:tr>
      <w:tr>
        <w:tblPrEx/>
        <w:trPr>
          <w:cantSplit/>
          <w:trHeight w:val="227"/>
          <w:tblHeader/>
        </w:trPr>
        <w:tc>
          <w:tcPr>
            <w:tcW w:w="232" w:type="pct"/>
            <w:vMerge w:val="continue"/>
            <w:textDirection w:val="lrTb"/>
            <w:noWrap w:val="false"/>
          </w:tcPr>
          <w:p>
            <w:pPr>
              <w:ind w:firstLine="33"/>
              <w:tabs>
                <w:tab w:val="left" w:pos="1080" w:leader="none"/>
              </w:tabs>
              <w:rPr>
                <w:sz w:val="18"/>
                <w:szCs w:val="18"/>
              </w:rPr>
            </w:pPr>
            <w:r>
              <w:rPr>
                <w:sz w:val="18"/>
                <w:szCs w:val="18"/>
              </w:rPr>
            </w:r>
            <w:r>
              <w:rPr>
                <w:sz w:val="18"/>
                <w:szCs w:val="18"/>
              </w:rPr>
            </w:r>
            <w:r>
              <w:rPr>
                <w:sz w:val="18"/>
                <w:szCs w:val="18"/>
              </w:rPr>
            </w:r>
          </w:p>
        </w:tc>
        <w:tc>
          <w:tcPr>
            <w:tcW w:w="679" w:type="pct"/>
            <w:vMerge w:val="continue"/>
            <w:textDirection w:val="lrTb"/>
            <w:noWrap w:val="false"/>
          </w:tcPr>
          <w:p>
            <w:pPr>
              <w:ind w:firstLine="33"/>
              <w:jc w:val="center"/>
              <w:tabs>
                <w:tab w:val="left" w:pos="1080" w:leader="none"/>
              </w:tabs>
              <w:rPr>
                <w:sz w:val="18"/>
                <w:szCs w:val="18"/>
              </w:rPr>
            </w:pPr>
            <w:r>
              <w:rPr>
                <w:sz w:val="18"/>
                <w:szCs w:val="18"/>
              </w:rPr>
            </w:r>
            <w:r>
              <w:rPr>
                <w:sz w:val="18"/>
                <w:szCs w:val="18"/>
              </w:rPr>
            </w:r>
            <w:r>
              <w:rPr>
                <w:sz w:val="18"/>
                <w:szCs w:val="18"/>
              </w:rPr>
            </w:r>
          </w:p>
        </w:tc>
        <w:tc>
          <w:tcPr>
            <w:tcW w:w="738" w:type="pct"/>
            <w:vMerge w:val="continue"/>
            <w:textDirection w:val="lrTb"/>
            <w:noWrap w:val="false"/>
          </w:tcPr>
          <w:p>
            <w:pPr>
              <w:ind w:firstLine="33"/>
              <w:jc w:val="center"/>
              <w:tabs>
                <w:tab w:val="left" w:pos="1080" w:leader="none"/>
              </w:tabs>
              <w:rPr>
                <w:sz w:val="18"/>
                <w:szCs w:val="18"/>
              </w:rPr>
            </w:pPr>
            <w:r>
              <w:rPr>
                <w:sz w:val="18"/>
                <w:szCs w:val="18"/>
              </w:rPr>
            </w:r>
            <w:r>
              <w:rPr>
                <w:sz w:val="18"/>
                <w:szCs w:val="18"/>
              </w:rPr>
            </w:r>
            <w:r>
              <w:rPr>
                <w:sz w:val="18"/>
                <w:szCs w:val="18"/>
              </w:rPr>
            </w:r>
          </w:p>
        </w:tc>
        <w:tc>
          <w:tcPr>
            <w:gridSpan w:val="2"/>
            <w:tcW w:w="583" w:type="pct"/>
            <w:vMerge w:val="continue"/>
            <w:textDirection w:val="lrTb"/>
            <w:noWrap w:val="false"/>
          </w:tcPr>
          <w:p>
            <w:pPr>
              <w:ind w:firstLine="33"/>
              <w:jc w:val="center"/>
              <w:tabs>
                <w:tab w:val="left" w:pos="1080" w:leader="none"/>
              </w:tabs>
              <w:rPr>
                <w:sz w:val="18"/>
                <w:szCs w:val="18"/>
              </w:rPr>
            </w:pPr>
            <w:r>
              <w:rPr>
                <w:sz w:val="18"/>
                <w:szCs w:val="18"/>
              </w:rPr>
            </w:r>
            <w:r>
              <w:rPr>
                <w:sz w:val="18"/>
                <w:szCs w:val="18"/>
              </w:rPr>
            </w:r>
            <w:r>
              <w:rPr>
                <w:sz w:val="18"/>
                <w:szCs w:val="18"/>
              </w:rPr>
            </w:r>
          </w:p>
        </w:tc>
        <w:tc>
          <w:tcPr>
            <w:tcW w:w="420" w:type="pct"/>
            <w:vMerge w:val="continue"/>
            <w:textDirection w:val="lrTb"/>
            <w:noWrap w:val="false"/>
          </w:tcPr>
          <w:p>
            <w:pPr>
              <w:ind w:firstLine="33"/>
              <w:jc w:val="center"/>
              <w:tabs>
                <w:tab w:val="left" w:pos="1080" w:leader="none"/>
              </w:tabs>
              <w:rPr>
                <w:sz w:val="18"/>
                <w:szCs w:val="18"/>
              </w:rPr>
            </w:pPr>
            <w:r>
              <w:rPr>
                <w:sz w:val="18"/>
                <w:szCs w:val="18"/>
              </w:rPr>
            </w:r>
            <w:r>
              <w:rPr>
                <w:sz w:val="18"/>
                <w:szCs w:val="18"/>
              </w:rPr>
            </w:r>
            <w:r>
              <w:rPr>
                <w:sz w:val="18"/>
                <w:szCs w:val="18"/>
              </w:rPr>
            </w:r>
          </w:p>
        </w:tc>
        <w:tc>
          <w:tcPr>
            <w:tcW w:w="413" w:type="pct"/>
            <w:vMerge w:val="continue"/>
            <w:textDirection w:val="lrTb"/>
            <w:noWrap w:val="false"/>
          </w:tcPr>
          <w:p>
            <w:pPr>
              <w:ind w:firstLine="33"/>
              <w:jc w:val="center"/>
              <w:tabs>
                <w:tab w:val="left" w:pos="1080" w:leader="none"/>
              </w:tabs>
              <w:rPr>
                <w:sz w:val="18"/>
                <w:szCs w:val="18"/>
              </w:rPr>
            </w:pPr>
            <w:r>
              <w:rPr>
                <w:sz w:val="18"/>
                <w:szCs w:val="18"/>
              </w:rPr>
            </w:r>
            <w:r>
              <w:rPr>
                <w:sz w:val="18"/>
                <w:szCs w:val="18"/>
              </w:rPr>
            </w:r>
            <w:r>
              <w:rPr>
                <w:sz w:val="18"/>
                <w:szCs w:val="18"/>
              </w:rPr>
            </w:r>
          </w:p>
        </w:tc>
        <w:tc>
          <w:tcPr>
            <w:tcW w:w="561" w:type="pct"/>
            <w:vAlign w:val="center"/>
            <w:textDirection w:val="lrTb"/>
            <w:noWrap w:val="false"/>
          </w:tcPr>
          <w:p>
            <w:pPr>
              <w:ind w:left="-106" w:right="-89"/>
              <w:jc w:val="center"/>
              <w:rPr>
                <w:sz w:val="18"/>
                <w:szCs w:val="18"/>
              </w:rPr>
            </w:pPr>
            <w:r>
              <w:rPr>
                <w:sz w:val="18"/>
                <w:szCs w:val="18"/>
              </w:rPr>
              <w:t xml:space="preserve">Собственного, чел.</w:t>
            </w:r>
            <w:r>
              <w:rPr>
                <w:sz w:val="18"/>
                <w:szCs w:val="18"/>
              </w:rPr>
            </w:r>
            <w:r>
              <w:rPr>
                <w:sz w:val="18"/>
                <w:szCs w:val="18"/>
              </w:rPr>
            </w:r>
          </w:p>
        </w:tc>
        <w:tc>
          <w:tcPr>
            <w:tcW w:w="590" w:type="pct"/>
            <w:vAlign w:val="center"/>
            <w:textDirection w:val="lrTb"/>
            <w:noWrap w:val="false"/>
          </w:tcPr>
          <w:p>
            <w:pPr>
              <w:jc w:val="center"/>
              <w:tabs>
                <w:tab w:val="left" w:pos="1080" w:leader="none"/>
              </w:tabs>
              <w:rPr>
                <w:sz w:val="18"/>
                <w:szCs w:val="18"/>
              </w:rPr>
            </w:pPr>
            <w:r>
              <w:rPr>
                <w:sz w:val="18"/>
                <w:szCs w:val="18"/>
              </w:rPr>
              <w:t xml:space="preserve">Субподрядных организаций/соисполнителей, чел</w:t>
            </w:r>
            <w:r>
              <w:rPr>
                <w:sz w:val="18"/>
                <w:szCs w:val="18"/>
              </w:rPr>
            </w:r>
            <w:r>
              <w:rPr>
                <w:sz w:val="18"/>
                <w:szCs w:val="18"/>
              </w:rPr>
            </w:r>
          </w:p>
        </w:tc>
        <w:tc>
          <w:tcPr>
            <w:gridSpan w:val="2"/>
            <w:tcW w:w="784" w:type="pct"/>
            <w:textDirection w:val="lrTb"/>
            <w:noWrap w:val="false"/>
          </w:tcPr>
          <w:p>
            <w:pPr>
              <w:jc w:val="center"/>
              <w:tabs>
                <w:tab w:val="left" w:pos="1080" w:leader="none"/>
              </w:tabs>
              <w:rPr>
                <w:sz w:val="18"/>
                <w:szCs w:val="18"/>
              </w:rPr>
            </w:pPr>
            <w:r>
              <w:rPr>
                <w:sz w:val="18"/>
                <w:szCs w:val="18"/>
              </w:rPr>
              <w:t xml:space="preserve">Наименования привлеченных субподрядных организаций/ соисполнителей</w:t>
            </w:r>
            <w:r>
              <w:rPr>
                <w:sz w:val="18"/>
                <w:szCs w:val="18"/>
              </w:rPr>
            </w:r>
            <w:r>
              <w:rPr>
                <w:sz w:val="18"/>
                <w:szCs w:val="18"/>
              </w:rPr>
            </w:r>
          </w:p>
        </w:tc>
      </w:tr>
      <w:tr>
        <w:tblPrEx/>
        <w:trPr>
          <w:cantSplit/>
          <w:trHeight w:val="227"/>
        </w:trPr>
        <w:tc>
          <w:tcPr>
            <w:tcW w:w="232" w:type="pct"/>
            <w:vAlign w:val="center"/>
            <w:vMerge w:val="restart"/>
            <w:textDirection w:val="lrTb"/>
            <w:noWrap w:val="false"/>
          </w:tcPr>
          <w:p>
            <w:pPr>
              <w:ind w:firstLine="33"/>
              <w:tabs>
                <w:tab w:val="left" w:pos="1080" w:leader="none"/>
              </w:tabs>
              <w:rPr>
                <w:sz w:val="20"/>
                <w:szCs w:val="20"/>
              </w:rPr>
            </w:pPr>
            <w:r>
              <w:rPr>
                <w:sz w:val="20"/>
                <w:szCs w:val="20"/>
              </w:rPr>
              <w:t xml:space="preserve">1.</w:t>
            </w:r>
            <w:r>
              <w:rPr>
                <w:sz w:val="20"/>
                <w:szCs w:val="20"/>
              </w:rPr>
            </w:r>
            <w:r>
              <w:rPr>
                <w:sz w:val="20"/>
                <w:szCs w:val="20"/>
              </w:rPr>
            </w:r>
          </w:p>
        </w:tc>
        <w:tc>
          <w:tcPr>
            <w:tcW w:w="679" w:type="pct"/>
            <w:vAlign w:val="center"/>
            <w:vMerge w:val="restart"/>
            <w:textDirection w:val="lrTb"/>
            <w:noWrap w:val="false"/>
          </w:tcPr>
          <w:p>
            <w:pPr>
              <w:ind w:firstLine="33"/>
              <w:tabs>
                <w:tab w:val="left" w:pos="1080" w:leader="none"/>
              </w:tabs>
              <w:rPr>
                <w:sz w:val="20"/>
                <w:szCs w:val="20"/>
              </w:rPr>
            </w:pPr>
            <w:r>
              <w:rPr>
                <w:sz w:val="20"/>
                <w:szCs w:val="20"/>
              </w:rPr>
              <w:t xml:space="preserve">Договор 1</w:t>
            </w:r>
            <w:r>
              <w:rPr>
                <w:sz w:val="20"/>
                <w:szCs w:val="20"/>
              </w:rPr>
            </w:r>
            <w:r>
              <w:rPr>
                <w:sz w:val="20"/>
                <w:szCs w:val="20"/>
              </w:rPr>
            </w:r>
          </w:p>
        </w:tc>
        <w:tc>
          <w:tcPr>
            <w:tcW w:w="738" w:type="pct"/>
            <w:vMerge w:val="restar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583" w:type="pct"/>
            <w:textDirection w:val="lrTb"/>
            <w:noWrap w:val="false"/>
          </w:tcPr>
          <w:p>
            <w:pPr>
              <w:ind w:firstLine="33"/>
              <w:tabs>
                <w:tab w:val="left" w:pos="1080" w:leader="none"/>
              </w:tabs>
              <w:rPr>
                <w:i/>
                <w:sz w:val="20"/>
                <w:szCs w:val="20"/>
              </w:rPr>
            </w:pPr>
            <w:r>
              <w:rPr>
                <w:i/>
                <w:sz w:val="20"/>
                <w:szCs w:val="20"/>
              </w:rPr>
              <w:t xml:space="preserve">Общая, в т.ч.:</w:t>
            </w:r>
            <w:r>
              <w:rPr>
                <w:i/>
                <w:sz w:val="20"/>
                <w:szCs w:val="20"/>
              </w:rPr>
            </w:r>
            <w:r>
              <w:rPr>
                <w:i/>
                <w:sz w:val="20"/>
                <w:szCs w:val="20"/>
              </w:rPr>
            </w:r>
          </w:p>
        </w:tc>
        <w:tc>
          <w:tcPr>
            <w:tcW w:w="42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413" w:type="pct"/>
            <w:vMerge w:val="restar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61" w:type="pct"/>
            <w:vMerge w:val="restar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9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784"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r>
      <w:tr>
        <w:tblPrEx/>
        <w:trPr>
          <w:cantSplit/>
          <w:trHeight w:val="227"/>
        </w:trPr>
        <w:tc>
          <w:tcPr>
            <w:tcW w:w="232"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679"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738"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583" w:type="pct"/>
            <w:textDirection w:val="lrTb"/>
            <w:noWrap w:val="false"/>
          </w:tcPr>
          <w:p>
            <w:pPr>
              <w:ind w:firstLine="33"/>
              <w:tabs>
                <w:tab w:val="left" w:pos="1080" w:leader="none"/>
              </w:tabs>
              <w:rPr>
                <w:i/>
                <w:sz w:val="20"/>
                <w:szCs w:val="20"/>
              </w:rPr>
            </w:pPr>
            <w:r>
              <w:rPr>
                <w:i/>
                <w:sz w:val="20"/>
                <w:szCs w:val="20"/>
              </w:rPr>
            </w:r>
            <w:r>
              <w:rPr>
                <w:i/>
                <w:sz w:val="20"/>
                <w:szCs w:val="20"/>
              </w:rPr>
            </w:r>
            <w:r>
              <w:rPr>
                <w:i/>
                <w:sz w:val="20"/>
                <w:szCs w:val="20"/>
              </w:rPr>
            </w:r>
          </w:p>
        </w:tc>
        <w:tc>
          <w:tcPr>
            <w:tcW w:w="42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413"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61"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9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784"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r>
      <w:tr>
        <w:tblPrEx/>
        <w:trPr>
          <w:cantSplit/>
          <w:trHeight w:val="227"/>
        </w:trPr>
        <w:tc>
          <w:tcPr>
            <w:tcW w:w="232"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679"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738"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583" w:type="pct"/>
            <w:textDirection w:val="lrTb"/>
            <w:noWrap w:val="false"/>
          </w:tcPr>
          <w:p>
            <w:pPr>
              <w:ind w:firstLine="33"/>
              <w:tabs>
                <w:tab w:val="left" w:pos="1080" w:leader="none"/>
              </w:tabs>
              <w:rPr>
                <w:i/>
                <w:sz w:val="20"/>
                <w:szCs w:val="20"/>
              </w:rPr>
            </w:pPr>
            <w:r>
              <w:rPr>
                <w:i/>
                <w:sz w:val="20"/>
                <w:szCs w:val="20"/>
              </w:rPr>
            </w:r>
            <w:r>
              <w:rPr>
                <w:i/>
                <w:sz w:val="20"/>
                <w:szCs w:val="20"/>
              </w:rPr>
            </w:r>
            <w:r>
              <w:rPr>
                <w:i/>
                <w:sz w:val="20"/>
                <w:szCs w:val="20"/>
              </w:rPr>
            </w:r>
          </w:p>
        </w:tc>
        <w:tc>
          <w:tcPr>
            <w:tcW w:w="42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413"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61"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9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784"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r>
      <w:tr>
        <w:tblPrEx/>
        <w:trPr>
          <w:cantSplit/>
          <w:trHeight w:val="227"/>
        </w:trPr>
        <w:tc>
          <w:tcPr>
            <w:tcW w:w="232"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679"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738"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583" w:type="pct"/>
            <w:textDirection w:val="lrTb"/>
            <w:noWrap w:val="false"/>
          </w:tcPr>
          <w:p>
            <w:pPr>
              <w:ind w:firstLine="33"/>
              <w:tabs>
                <w:tab w:val="left" w:pos="1080" w:leader="none"/>
              </w:tabs>
              <w:rPr>
                <w:i/>
                <w:sz w:val="20"/>
                <w:szCs w:val="20"/>
              </w:rPr>
            </w:pPr>
            <w:r>
              <w:rPr>
                <w:i/>
                <w:sz w:val="20"/>
                <w:szCs w:val="20"/>
              </w:rPr>
            </w:r>
            <w:r>
              <w:rPr>
                <w:i/>
                <w:sz w:val="20"/>
                <w:szCs w:val="20"/>
              </w:rPr>
            </w:r>
            <w:r>
              <w:rPr>
                <w:i/>
                <w:sz w:val="20"/>
                <w:szCs w:val="20"/>
              </w:rPr>
            </w:r>
          </w:p>
        </w:tc>
        <w:tc>
          <w:tcPr>
            <w:tcW w:w="42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413"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61"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9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784"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r>
      <w:tr>
        <w:tblPrEx/>
        <w:trPr>
          <w:cantSplit/>
          <w:trHeight w:val="227"/>
        </w:trPr>
        <w:tc>
          <w:tcPr>
            <w:tcW w:w="232"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679"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738"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583" w:type="pct"/>
            <w:textDirection w:val="lrTb"/>
            <w:noWrap w:val="false"/>
          </w:tcPr>
          <w:p>
            <w:pPr>
              <w:ind w:firstLine="33"/>
              <w:tabs>
                <w:tab w:val="left" w:pos="1080" w:leader="none"/>
              </w:tabs>
              <w:rPr>
                <w:i/>
                <w:sz w:val="20"/>
                <w:szCs w:val="20"/>
              </w:rPr>
            </w:pPr>
            <w:r>
              <w:rPr>
                <w:i/>
                <w:sz w:val="20"/>
                <w:szCs w:val="20"/>
              </w:rPr>
            </w:r>
            <w:r>
              <w:rPr>
                <w:i/>
                <w:sz w:val="20"/>
                <w:szCs w:val="20"/>
              </w:rPr>
            </w:r>
            <w:r>
              <w:rPr>
                <w:i/>
                <w:sz w:val="20"/>
                <w:szCs w:val="20"/>
              </w:rPr>
            </w:r>
          </w:p>
        </w:tc>
        <w:tc>
          <w:tcPr>
            <w:tcW w:w="42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413"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61"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9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784"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r>
      <w:tr>
        <w:tblPrEx/>
        <w:trPr>
          <w:cantSplit/>
          <w:trHeight w:val="227"/>
        </w:trPr>
        <w:tc>
          <w:tcPr>
            <w:tcW w:w="232"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679"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738"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583" w:type="pct"/>
            <w:textDirection w:val="lrTb"/>
            <w:noWrap w:val="false"/>
          </w:tcPr>
          <w:p>
            <w:pPr>
              <w:ind w:firstLine="33"/>
              <w:tabs>
                <w:tab w:val="left" w:pos="1080" w:leader="none"/>
              </w:tabs>
              <w:rPr>
                <w:i/>
                <w:sz w:val="20"/>
                <w:szCs w:val="20"/>
              </w:rPr>
            </w:pPr>
            <w:r>
              <w:rPr>
                <w:i/>
                <w:sz w:val="20"/>
                <w:szCs w:val="20"/>
              </w:rPr>
            </w:r>
            <w:r>
              <w:rPr>
                <w:i/>
                <w:sz w:val="20"/>
                <w:szCs w:val="20"/>
              </w:rPr>
            </w:r>
            <w:r>
              <w:rPr>
                <w:i/>
                <w:sz w:val="20"/>
                <w:szCs w:val="20"/>
              </w:rPr>
            </w:r>
          </w:p>
        </w:tc>
        <w:tc>
          <w:tcPr>
            <w:tcW w:w="42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413"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61"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9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784"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r>
      <w:tr>
        <w:tblPrEx/>
        <w:trPr>
          <w:cantSplit/>
          <w:trHeight w:val="227"/>
        </w:trPr>
        <w:tc>
          <w:tcPr>
            <w:tcW w:w="232"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679"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738"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583" w:type="pct"/>
            <w:textDirection w:val="lrTb"/>
            <w:noWrap w:val="false"/>
          </w:tcPr>
          <w:p>
            <w:pPr>
              <w:ind w:firstLine="33"/>
              <w:tabs>
                <w:tab w:val="left" w:pos="1080" w:leader="none"/>
              </w:tabs>
              <w:rPr>
                <w:i/>
                <w:sz w:val="20"/>
                <w:szCs w:val="20"/>
              </w:rPr>
            </w:pPr>
            <w:r>
              <w:rPr>
                <w:i/>
                <w:sz w:val="20"/>
                <w:szCs w:val="20"/>
              </w:rPr>
            </w:r>
            <w:r>
              <w:rPr>
                <w:i/>
                <w:sz w:val="20"/>
                <w:szCs w:val="20"/>
              </w:rPr>
            </w:r>
            <w:r>
              <w:rPr>
                <w:i/>
                <w:sz w:val="20"/>
                <w:szCs w:val="20"/>
              </w:rPr>
            </w:r>
          </w:p>
        </w:tc>
        <w:tc>
          <w:tcPr>
            <w:tcW w:w="42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413"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61"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9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784"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r>
      <w:tr>
        <w:tblPrEx/>
        <w:trPr>
          <w:cantSplit/>
          <w:trHeight w:val="227"/>
        </w:trPr>
        <w:tc>
          <w:tcPr>
            <w:tcW w:w="232"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679"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738"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583" w:type="pct"/>
            <w:textDirection w:val="lrTb"/>
            <w:noWrap w:val="false"/>
          </w:tcPr>
          <w:p>
            <w:pPr>
              <w:ind w:firstLine="33"/>
              <w:tabs>
                <w:tab w:val="left" w:pos="1080" w:leader="none"/>
              </w:tabs>
              <w:rPr>
                <w:i/>
                <w:sz w:val="20"/>
                <w:szCs w:val="20"/>
              </w:rPr>
            </w:pPr>
            <w:r>
              <w:rPr>
                <w:i/>
                <w:sz w:val="20"/>
                <w:szCs w:val="20"/>
              </w:rPr>
              <w:t xml:space="preserve">…</w:t>
            </w:r>
            <w:r>
              <w:rPr>
                <w:i/>
                <w:sz w:val="20"/>
                <w:szCs w:val="20"/>
              </w:rPr>
            </w:r>
            <w:r>
              <w:rPr>
                <w:i/>
                <w:sz w:val="20"/>
                <w:szCs w:val="20"/>
              </w:rPr>
            </w:r>
          </w:p>
        </w:tc>
        <w:tc>
          <w:tcPr>
            <w:tcW w:w="42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413"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61"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9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784"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r>
      <w:tr>
        <w:tblPrEx/>
        <w:trPr>
          <w:cantSplit/>
          <w:trHeight w:val="227"/>
        </w:trPr>
        <w:tc>
          <w:tcPr>
            <w:tcW w:w="232"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679"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738"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583" w:type="pct"/>
            <w:textDirection w:val="lrTb"/>
            <w:noWrap w:val="false"/>
          </w:tcPr>
          <w:p>
            <w:pPr>
              <w:ind w:firstLine="33"/>
              <w:tabs>
                <w:tab w:val="left" w:pos="1080" w:leader="none"/>
              </w:tabs>
              <w:rPr>
                <w:i/>
                <w:sz w:val="20"/>
                <w:szCs w:val="20"/>
              </w:rPr>
            </w:pPr>
            <w:r>
              <w:rPr>
                <w:i/>
                <w:sz w:val="20"/>
                <w:szCs w:val="20"/>
              </w:rPr>
              <w:t xml:space="preserve">…</w:t>
            </w:r>
            <w:r>
              <w:rPr>
                <w:i/>
                <w:sz w:val="20"/>
                <w:szCs w:val="20"/>
              </w:rPr>
            </w:r>
            <w:r>
              <w:rPr>
                <w:i/>
                <w:sz w:val="20"/>
                <w:szCs w:val="20"/>
              </w:rPr>
            </w:r>
          </w:p>
        </w:tc>
        <w:tc>
          <w:tcPr>
            <w:tcW w:w="42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413"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61" w:type="pct"/>
            <w:vMerge w:val="continue"/>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9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784"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r>
      <w:tr>
        <w:tblPrEx/>
        <w:trPr>
          <w:cantSplit/>
          <w:trHeight w:val="227"/>
        </w:trPr>
        <w:tc>
          <w:tcPr>
            <w:tcW w:w="232" w:type="pct"/>
            <w:textDirection w:val="lrTb"/>
            <w:noWrap w:val="false"/>
          </w:tcPr>
          <w:p>
            <w:pPr>
              <w:ind w:firstLine="33"/>
              <w:tabs>
                <w:tab w:val="left" w:pos="1080" w:leader="none"/>
              </w:tabs>
              <w:rPr>
                <w:sz w:val="20"/>
                <w:szCs w:val="20"/>
              </w:rPr>
            </w:pPr>
            <w:r>
              <w:rPr>
                <w:sz w:val="20"/>
                <w:szCs w:val="20"/>
              </w:rPr>
              <w:t xml:space="preserve">2. </w:t>
            </w:r>
            <w:r>
              <w:rPr>
                <w:sz w:val="20"/>
                <w:szCs w:val="20"/>
              </w:rPr>
            </w:r>
            <w:r>
              <w:rPr>
                <w:sz w:val="20"/>
                <w:szCs w:val="20"/>
              </w:rPr>
            </w:r>
          </w:p>
        </w:tc>
        <w:tc>
          <w:tcPr>
            <w:gridSpan w:val="4"/>
            <w:tcW w:w="1999" w:type="pct"/>
            <w:vAlign w:val="center"/>
            <w:textDirection w:val="lrTb"/>
            <w:noWrap w:val="false"/>
          </w:tcPr>
          <w:p>
            <w:pPr>
              <w:ind w:firstLine="33"/>
              <w:tabs>
                <w:tab w:val="left" w:pos="1080" w:leader="none"/>
              </w:tabs>
              <w:rPr>
                <w:sz w:val="20"/>
                <w:szCs w:val="20"/>
              </w:rPr>
            </w:pPr>
            <w:r>
              <w:rPr>
                <w:sz w:val="20"/>
                <w:szCs w:val="20"/>
              </w:rPr>
              <w:t xml:space="preserve">Договор 2</w:t>
            </w:r>
            <w:r>
              <w:rPr>
                <w:sz w:val="20"/>
                <w:szCs w:val="20"/>
              </w:rPr>
            </w:r>
            <w:r>
              <w:rPr>
                <w:sz w:val="20"/>
                <w:szCs w:val="20"/>
              </w:rPr>
            </w:r>
          </w:p>
        </w:tc>
        <w:tc>
          <w:tcPr>
            <w:tcW w:w="42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413"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61"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9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784"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r>
      <w:tr>
        <w:tblPrEx/>
        <w:trPr>
          <w:cantSplit/>
          <w:trHeight w:val="227"/>
        </w:trPr>
        <w:tc>
          <w:tcPr>
            <w:tcW w:w="232"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679"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738"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583" w:type="pct"/>
            <w:textDirection w:val="lrTb"/>
            <w:noWrap w:val="false"/>
          </w:tcPr>
          <w:p>
            <w:pPr>
              <w:ind w:firstLine="33"/>
              <w:tabs>
                <w:tab w:val="left" w:pos="1080" w:leader="none"/>
              </w:tabs>
              <w:rPr>
                <w:sz w:val="20"/>
                <w:szCs w:val="20"/>
              </w:rPr>
            </w:pPr>
            <w:r>
              <w:rPr>
                <w:sz w:val="20"/>
                <w:szCs w:val="20"/>
              </w:rPr>
              <w:t xml:space="preserve">….</w:t>
            </w:r>
            <w:r>
              <w:rPr>
                <w:sz w:val="20"/>
                <w:szCs w:val="20"/>
              </w:rPr>
            </w:r>
            <w:r>
              <w:rPr>
                <w:sz w:val="20"/>
                <w:szCs w:val="20"/>
              </w:rPr>
            </w:r>
          </w:p>
        </w:tc>
        <w:tc>
          <w:tcPr>
            <w:tcW w:w="42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413"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61"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9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784"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r>
      <w:tr>
        <w:tblPrEx/>
        <w:trPr>
          <w:cantSplit/>
          <w:trHeight w:val="227"/>
        </w:trPr>
        <w:tc>
          <w:tcPr>
            <w:gridSpan w:val="5"/>
            <w:tcW w:w="2232" w:type="pct"/>
            <w:textDirection w:val="lrTb"/>
            <w:noWrap w:val="false"/>
          </w:tcPr>
          <w:p>
            <w:pPr>
              <w:ind w:firstLine="33"/>
              <w:tabs>
                <w:tab w:val="left" w:pos="1080" w:leader="none"/>
              </w:tabs>
              <w:rPr>
                <w:sz w:val="20"/>
                <w:szCs w:val="20"/>
              </w:rPr>
            </w:pPr>
            <w:r>
              <w:rPr>
                <w:sz w:val="20"/>
                <w:szCs w:val="20"/>
              </w:rPr>
              <w:t xml:space="preserve">ИТОГО за полный год </w:t>
            </w:r>
            <w:r>
              <w:rPr>
                <w:sz w:val="20"/>
                <w:szCs w:val="20"/>
              </w:rPr>
            </w:r>
            <w:r>
              <w:rPr>
                <w:sz w:val="20"/>
                <w:szCs w:val="20"/>
              </w:rPr>
            </w:r>
          </w:p>
        </w:tc>
        <w:tc>
          <w:tcPr>
            <w:tcW w:w="42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413"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61"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9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784"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r>
      <w:tr>
        <w:tblPrEx/>
        <w:trPr>
          <w:cantSplit/>
          <w:trHeight w:val="227"/>
        </w:trPr>
        <w:tc>
          <w:tcPr>
            <w:tcW w:w="232" w:type="pct"/>
            <w:textDirection w:val="lrTb"/>
            <w:noWrap w:val="false"/>
          </w:tcPr>
          <w:p>
            <w:pPr>
              <w:ind w:firstLine="33"/>
              <w:tabs>
                <w:tab w:val="left" w:pos="1080" w:leader="none"/>
              </w:tabs>
              <w:rPr>
                <w:sz w:val="20"/>
                <w:szCs w:val="20"/>
              </w:rPr>
            </w:pPr>
            <w:r>
              <w:rPr>
                <w:sz w:val="20"/>
                <w:szCs w:val="20"/>
              </w:rPr>
              <w:t xml:space="preserve">…</w:t>
            </w:r>
            <w:r>
              <w:rPr>
                <w:sz w:val="20"/>
                <w:szCs w:val="20"/>
              </w:rPr>
            </w:r>
            <w:r>
              <w:rPr>
                <w:sz w:val="20"/>
                <w:szCs w:val="20"/>
              </w:rPr>
            </w:r>
          </w:p>
        </w:tc>
        <w:tc>
          <w:tcPr>
            <w:tcW w:w="679"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738"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583"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42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413"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61"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9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784"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r>
      <w:tr>
        <w:tblPrEx/>
        <w:trPr>
          <w:cantSplit/>
          <w:trHeight w:val="227"/>
        </w:trPr>
        <w:tc>
          <w:tcPr>
            <w:gridSpan w:val="5"/>
            <w:tcW w:w="2232" w:type="pct"/>
            <w:textDirection w:val="lrTb"/>
            <w:noWrap w:val="false"/>
          </w:tcPr>
          <w:p>
            <w:pPr>
              <w:ind w:firstLine="33"/>
              <w:tabs>
                <w:tab w:val="left" w:pos="1080" w:leader="none"/>
              </w:tabs>
              <w:rPr>
                <w:sz w:val="20"/>
                <w:szCs w:val="20"/>
              </w:rPr>
            </w:pPr>
            <w:r>
              <w:rPr>
                <w:sz w:val="20"/>
                <w:szCs w:val="20"/>
              </w:rPr>
              <w:t xml:space="preserve">ИТОГО за полный год </w:t>
            </w:r>
            <w:r>
              <w:rPr>
                <w:sz w:val="20"/>
                <w:szCs w:val="20"/>
              </w:rPr>
            </w:r>
            <w:r>
              <w:rPr>
                <w:sz w:val="20"/>
                <w:szCs w:val="20"/>
              </w:rPr>
            </w:r>
          </w:p>
        </w:tc>
        <w:tc>
          <w:tcPr>
            <w:tcW w:w="42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413"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61"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9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784"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r>
      <w:tr>
        <w:tblPrEx/>
        <w:trPr>
          <w:cantSplit/>
          <w:trHeight w:val="227"/>
        </w:trPr>
        <w:tc>
          <w:tcPr>
            <w:gridSpan w:val="5"/>
            <w:tcW w:w="2232" w:type="pct"/>
            <w:textDirection w:val="lrTb"/>
            <w:noWrap w:val="false"/>
          </w:tcPr>
          <w:p>
            <w:pPr>
              <w:ind w:firstLine="33"/>
              <w:tabs>
                <w:tab w:val="left" w:pos="1080" w:leader="none"/>
              </w:tabs>
              <w:rPr>
                <w:sz w:val="20"/>
                <w:szCs w:val="20"/>
              </w:rPr>
            </w:pPr>
            <w:r>
              <w:rPr>
                <w:sz w:val="20"/>
                <w:szCs w:val="20"/>
              </w:rPr>
              <w:t xml:space="preserve">ИТОГО </w:t>
            </w:r>
            <w:r>
              <w:rPr>
                <w:sz w:val="20"/>
                <w:szCs w:val="20"/>
              </w:rPr>
            </w:r>
            <w:r>
              <w:rPr>
                <w:sz w:val="20"/>
                <w:szCs w:val="20"/>
              </w:rPr>
            </w:r>
          </w:p>
        </w:tc>
        <w:tc>
          <w:tcPr>
            <w:tcW w:w="42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413"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61"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tcW w:w="590"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c>
          <w:tcPr>
            <w:gridSpan w:val="2"/>
            <w:tcW w:w="784" w:type="pct"/>
            <w:textDirection w:val="lrTb"/>
            <w:noWrap w:val="false"/>
          </w:tcPr>
          <w:p>
            <w:pPr>
              <w:ind w:firstLine="33"/>
              <w:tabs>
                <w:tab w:val="left" w:pos="1080" w:leader="none"/>
              </w:tabs>
              <w:rPr>
                <w:sz w:val="20"/>
                <w:szCs w:val="20"/>
              </w:rPr>
            </w:pPr>
            <w:r>
              <w:rPr>
                <w:sz w:val="20"/>
                <w:szCs w:val="20"/>
              </w:rPr>
            </w:r>
            <w:r>
              <w:rPr>
                <w:sz w:val="20"/>
                <w:szCs w:val="20"/>
              </w:rPr>
            </w:r>
            <w:r>
              <w:rPr>
                <w:sz w:val="20"/>
                <w:szCs w:val="20"/>
              </w:rPr>
            </w:r>
          </w:p>
        </w:tc>
      </w:tr>
      <w:tr>
        <w:tblPrEx/>
        <w:trPr>
          <w:gridAfter w:val="1"/>
          <w:gridBefore w:val="1"/>
        </w:trPr>
        <w:tc>
          <w:tcPr>
            <w:gridSpan w:val="3"/>
            <w:tcBorders>
              <w:top w:val="none" w:color="000000" w:sz="4" w:space="0"/>
              <w:left w:val="none" w:color="000000" w:sz="4" w:space="0"/>
              <w:bottom w:val="none" w:color="000000" w:sz="4" w:space="0"/>
              <w:right w:val="none" w:color="000000" w:sz="4" w:space="0"/>
            </w:tcBorders>
            <w:tcW w:w="1758" w:type="pct"/>
            <w:textDirection w:val="lrTb"/>
            <w:noWrap w:val="false"/>
          </w:tcPr>
          <w:p>
            <w:pPr>
              <w:ind w:firstLine="540"/>
              <w:tabs>
                <w:tab w:val="left" w:pos="1080" w:leader="none"/>
              </w:tabs>
              <w:rPr>
                <w:sz w:val="20"/>
                <w:szCs w:val="20"/>
              </w:rPr>
            </w:pPr>
            <w:r>
              <w:rPr>
                <w:sz w:val="20"/>
                <w:szCs w:val="20"/>
              </w:rPr>
            </w:r>
            <w:r>
              <w:rPr>
                <w:sz w:val="20"/>
                <w:szCs w:val="20"/>
              </w:rPr>
            </w:r>
            <w:r>
              <w:rPr>
                <w:sz w:val="20"/>
                <w:szCs w:val="20"/>
              </w:rPr>
            </w:r>
          </w:p>
        </w:tc>
        <w:tc>
          <w:tcPr>
            <w:gridSpan w:val="2"/>
            <w:tcBorders>
              <w:top w:val="none" w:color="000000" w:sz="4" w:space="0"/>
              <w:left w:val="none" w:color="000000" w:sz="4" w:space="0"/>
              <w:bottom w:val="none" w:color="000000" w:sz="4" w:space="0"/>
              <w:right w:val="none" w:color="000000" w:sz="4" w:space="0"/>
            </w:tcBorders>
            <w:tcW w:w="733" w:type="pct"/>
            <w:textDirection w:val="lrTb"/>
            <w:noWrap w:val="false"/>
          </w:tcPr>
          <w:p>
            <w:pPr>
              <w:ind w:firstLine="540"/>
              <w:tabs>
                <w:tab w:val="left" w:pos="1080" w:leader="none"/>
              </w:tabs>
              <w:rPr>
                <w:sz w:val="20"/>
                <w:szCs w:val="20"/>
              </w:rPr>
            </w:pPr>
            <w:r>
              <w:rPr>
                <w:sz w:val="20"/>
                <w:szCs w:val="20"/>
              </w:rPr>
            </w:r>
            <w:r>
              <w:rPr>
                <w:sz w:val="20"/>
                <w:szCs w:val="20"/>
              </w:rPr>
            </w:r>
            <w:r>
              <w:rPr>
                <w:sz w:val="20"/>
                <w:szCs w:val="20"/>
              </w:rPr>
            </w:r>
          </w:p>
        </w:tc>
        <w:tc>
          <w:tcPr>
            <w:gridSpan w:val="4"/>
            <w:tcBorders>
              <w:top w:val="none" w:color="000000" w:sz="4" w:space="0"/>
              <w:left w:val="none" w:color="000000" w:sz="4" w:space="0"/>
              <w:bottom w:val="none" w:color="000000" w:sz="4" w:space="0"/>
              <w:right w:val="none" w:color="000000" w:sz="4" w:space="0"/>
            </w:tcBorders>
            <w:tcW w:w="1668" w:type="pct"/>
            <w:textDirection w:val="lrTb"/>
            <w:noWrap w:val="false"/>
          </w:tcPr>
          <w:p>
            <w:pPr>
              <w:ind w:firstLine="540"/>
              <w:tabs>
                <w:tab w:val="left" w:pos="1080" w:leader="none"/>
              </w:tabs>
              <w:rPr>
                <w:sz w:val="20"/>
                <w:szCs w:val="20"/>
              </w:rPr>
            </w:pPr>
            <w:r>
              <w:rPr>
                <w:sz w:val="20"/>
                <w:szCs w:val="20"/>
              </w:rPr>
            </w:r>
            <w:r>
              <w:rPr>
                <w:sz w:val="20"/>
                <w:szCs w:val="20"/>
              </w:rPr>
            </w:r>
            <w:r>
              <w:rPr>
                <w:sz w:val="20"/>
                <w:szCs w:val="20"/>
              </w:rPr>
            </w:r>
          </w:p>
        </w:tc>
      </w:tr>
      <w:tr>
        <w:tblPrEx/>
        <w:trPr>
          <w:gridAfter w:val="1"/>
          <w:gridBefore w:val="1"/>
        </w:trPr>
        <w:tc>
          <w:tcPr>
            <w:gridSpan w:val="3"/>
            <w:tcBorders>
              <w:top w:val="none" w:color="000000" w:sz="4" w:space="0"/>
              <w:left w:val="none" w:color="000000" w:sz="4" w:space="0"/>
              <w:bottom w:val="none" w:color="000000" w:sz="4" w:space="0"/>
              <w:right w:val="none" w:color="000000" w:sz="4" w:space="0"/>
            </w:tcBorders>
            <w:tcW w:w="1758" w:type="pct"/>
            <w:textDirection w:val="lrTb"/>
            <w:noWrap w:val="false"/>
          </w:tcPr>
          <w:p>
            <w:pPr>
              <w:jc w:val="center"/>
              <w:tabs>
                <w:tab w:val="left" w:pos="1080" w:leader="none"/>
              </w:tabs>
              <w:rPr>
                <w:i/>
                <w:sz w:val="20"/>
                <w:szCs w:val="20"/>
              </w:rPr>
            </w:pPr>
            <w:r>
              <w:rPr>
                <w:i/>
                <w:sz w:val="20"/>
                <w:szCs w:val="20"/>
              </w:rPr>
              <w:t xml:space="preserve">(подпись уполномоченного представителя)</w:t>
            </w:r>
            <w:r>
              <w:rPr>
                <w:i/>
                <w:sz w:val="20"/>
                <w:szCs w:val="20"/>
              </w:rPr>
            </w:r>
            <w:r>
              <w:rPr>
                <w:i/>
                <w:sz w:val="20"/>
                <w:szCs w:val="20"/>
              </w:rPr>
            </w:r>
          </w:p>
        </w:tc>
        <w:tc>
          <w:tcPr>
            <w:gridSpan w:val="2"/>
            <w:tcBorders>
              <w:top w:val="none" w:color="000000" w:sz="4" w:space="0"/>
              <w:left w:val="none" w:color="000000" w:sz="4" w:space="0"/>
              <w:bottom w:val="none" w:color="000000" w:sz="4" w:space="0"/>
              <w:right w:val="none" w:color="000000" w:sz="4" w:space="0"/>
            </w:tcBorders>
            <w:tcW w:w="733" w:type="pct"/>
            <w:textDirection w:val="lrTb"/>
            <w:noWrap w:val="false"/>
          </w:tcPr>
          <w:p>
            <w:pPr>
              <w:jc w:val="center"/>
              <w:tabs>
                <w:tab w:val="left" w:pos="1080" w:leader="none"/>
              </w:tabs>
              <w:rPr>
                <w:i/>
                <w:sz w:val="20"/>
                <w:szCs w:val="20"/>
              </w:rPr>
            </w:pPr>
            <w:r>
              <w:rPr>
                <w:i/>
                <w:sz w:val="20"/>
                <w:szCs w:val="20"/>
              </w:rPr>
            </w:r>
            <w:r>
              <w:rPr>
                <w:i/>
                <w:sz w:val="20"/>
                <w:szCs w:val="20"/>
              </w:rPr>
            </w:r>
            <w:r>
              <w:rPr>
                <w:i/>
                <w:sz w:val="20"/>
                <w:szCs w:val="20"/>
              </w:rPr>
            </w:r>
          </w:p>
        </w:tc>
        <w:tc>
          <w:tcPr>
            <w:gridSpan w:val="4"/>
            <w:tcBorders>
              <w:top w:val="none" w:color="000000" w:sz="4" w:space="0"/>
              <w:left w:val="none" w:color="000000" w:sz="4" w:space="0"/>
              <w:bottom w:val="none" w:color="000000" w:sz="4" w:space="0"/>
              <w:right w:val="none" w:color="000000" w:sz="4" w:space="0"/>
            </w:tcBorders>
            <w:tcW w:w="1668" w:type="pct"/>
            <w:textDirection w:val="lrTb"/>
            <w:noWrap w:val="false"/>
          </w:tcPr>
          <w:p>
            <w:pPr>
              <w:jc w:val="center"/>
              <w:tabs>
                <w:tab w:val="left" w:pos="1080" w:leader="none"/>
              </w:tabs>
              <w:rPr>
                <w:i/>
                <w:sz w:val="20"/>
                <w:szCs w:val="20"/>
              </w:rPr>
            </w:pPr>
            <w:r>
              <w:rPr>
                <w:i/>
                <w:sz w:val="20"/>
                <w:szCs w:val="20"/>
              </w:rPr>
              <w:t xml:space="preserve">(фамилия, имя, отчество подписавшего, должность)</w:t>
            </w:r>
            <w:r>
              <w:rPr>
                <w:i/>
                <w:sz w:val="20"/>
                <w:szCs w:val="20"/>
              </w:rPr>
            </w:r>
            <w:r>
              <w:rPr>
                <w:i/>
                <w:sz w:val="20"/>
                <w:szCs w:val="20"/>
              </w:rPr>
            </w:r>
          </w:p>
        </w:tc>
      </w:tr>
    </w:tbl>
    <w:p>
      <w:pPr>
        <w:ind w:firstLine="540"/>
        <w:tabs>
          <w:tab w:val="left" w:pos="1080" w:leader="none"/>
        </w:tabs>
        <w:rPr>
          <w:b/>
          <w:i/>
        </w:rPr>
      </w:pPr>
      <w:r>
        <w:rPr>
          <w:b/>
          <w:i/>
        </w:rPr>
        <w:t xml:space="preserve">М.П.</w:t>
      </w:r>
      <w:r>
        <w:rPr>
          <w:b/>
          <w:i/>
        </w:rPr>
      </w:r>
      <w:r>
        <w:rPr>
          <w:b/>
          <w:i/>
        </w:rPr>
      </w:r>
    </w:p>
    <w:p>
      <w:pPr>
        <w:jc w:val="center"/>
        <w:rPr>
          <w:b/>
        </w:rPr>
      </w:pPr>
      <w:r>
        <w:rPr>
          <w:b/>
        </w:rPr>
      </w:r>
      <w:r>
        <w:rPr>
          <w:b/>
        </w:rPr>
      </w:r>
      <w:r>
        <w:rPr>
          <w:b/>
        </w:rPr>
      </w:r>
    </w:p>
    <w:p>
      <w:pPr>
        <w:jc w:val="center"/>
        <w:rPr>
          <w:b/>
        </w:rPr>
      </w:pPr>
      <w:r>
        <w:rPr>
          <w:b/>
        </w:rPr>
      </w:r>
      <w:r>
        <w:rPr>
          <w:b/>
        </w:rPr>
      </w:r>
      <w:r>
        <w:rPr>
          <w:b/>
        </w:rPr>
      </w:r>
    </w:p>
    <w:p>
      <w:pPr>
        <w:ind w:firstLine="539"/>
        <w:pageBreakBefore/>
        <w:tabs>
          <w:tab w:val="left" w:pos="1080" w:leader="none"/>
        </w:tabs>
        <w:rPr>
          <w:b/>
          <w:i/>
          <w:sz w:val="20"/>
          <w:szCs w:val="20"/>
        </w:rPr>
      </w:pPr>
      <w:r>
        <w:rPr>
          <w:b/>
          <w:i/>
          <w:sz w:val="20"/>
          <w:szCs w:val="20"/>
        </w:rPr>
        <w:t xml:space="preserve">Инструкции по заполнению</w:t>
      </w:r>
      <w:r>
        <w:rPr>
          <w:b/>
          <w:i/>
          <w:sz w:val="20"/>
          <w:szCs w:val="20"/>
        </w:rPr>
      </w:r>
      <w:r>
        <w:rPr>
          <w:b/>
          <w:i/>
          <w:sz w:val="20"/>
          <w:szCs w:val="20"/>
        </w:rPr>
      </w:r>
    </w:p>
    <w:p>
      <w:pPr>
        <w:numPr>
          <w:ilvl w:val="0"/>
          <w:numId w:val="44"/>
        </w:numPr>
        <w:ind w:left="0" w:firstLine="567"/>
        <w:spacing w:after="0"/>
        <w:tabs>
          <w:tab w:val="num" w:pos="851" w:leader="none"/>
          <w:tab w:val="clear" w:pos="1260" w:leader="none"/>
        </w:tabs>
        <w:rPr>
          <w:sz w:val="20"/>
          <w:szCs w:val="20"/>
        </w:rPr>
      </w:pPr>
      <w:r>
        <w:rPr>
          <w:sz w:val="20"/>
          <w:szCs w:val="20"/>
        </w:rPr>
        <w:t xml:space="preserve">Данные инструкции не следует воспроизводить в документах, подготовленных Участником закупки.</w:t>
      </w:r>
      <w:r>
        <w:rPr>
          <w:sz w:val="20"/>
          <w:szCs w:val="20"/>
        </w:rPr>
      </w:r>
      <w:r>
        <w:rPr>
          <w:sz w:val="20"/>
          <w:szCs w:val="20"/>
        </w:rPr>
      </w:r>
    </w:p>
    <w:p>
      <w:pPr>
        <w:numPr>
          <w:ilvl w:val="0"/>
          <w:numId w:val="44"/>
        </w:numPr>
        <w:ind w:left="0" w:firstLine="567"/>
        <w:spacing w:after="0"/>
        <w:tabs>
          <w:tab w:val="num" w:pos="851" w:leader="none"/>
          <w:tab w:val="clear" w:pos="1260" w:leader="none"/>
        </w:tabs>
        <w:rPr>
          <w:sz w:val="20"/>
          <w:szCs w:val="20"/>
        </w:rPr>
      </w:pPr>
      <w:r>
        <w:rPr>
          <w:sz w:val="20"/>
          <w:szCs w:val="20"/>
        </w:rPr>
        <w:t xml:space="preserve">Участник закупки приводит номер и дату письма о подаче оферты, приложением к которому является данная справка.</w:t>
      </w:r>
      <w:r>
        <w:rPr>
          <w:sz w:val="20"/>
          <w:szCs w:val="20"/>
        </w:rPr>
      </w:r>
      <w:r>
        <w:rPr>
          <w:sz w:val="20"/>
          <w:szCs w:val="20"/>
        </w:rPr>
      </w:r>
    </w:p>
    <w:p>
      <w:pPr>
        <w:numPr>
          <w:ilvl w:val="0"/>
          <w:numId w:val="44"/>
        </w:numPr>
        <w:ind w:left="0" w:firstLine="567"/>
        <w:spacing w:after="0"/>
        <w:tabs>
          <w:tab w:val="num" w:pos="851" w:leader="none"/>
          <w:tab w:val="clear" w:pos="1260" w:leader="none"/>
        </w:tabs>
        <w:rPr>
          <w:sz w:val="20"/>
          <w:szCs w:val="20"/>
        </w:rPr>
      </w:pPr>
      <w:r>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w:t>
      </w:r>
      <w:r>
        <w:rPr>
          <w:sz w:val="20"/>
          <w:szCs w:val="20"/>
        </w:rPr>
        <w:t xml:space="preserve">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r>
        <w:rPr>
          <w:sz w:val="20"/>
          <w:szCs w:val="20"/>
        </w:rPr>
      </w:r>
      <w:r>
        <w:rPr>
          <w:sz w:val="20"/>
          <w:szCs w:val="20"/>
        </w:rPr>
      </w:r>
    </w:p>
    <w:p>
      <w:pPr>
        <w:numPr>
          <w:ilvl w:val="0"/>
          <w:numId w:val="44"/>
        </w:numPr>
        <w:ind w:left="0" w:firstLine="567"/>
        <w:spacing w:after="0"/>
        <w:tabs>
          <w:tab w:val="num" w:pos="851" w:leader="none"/>
          <w:tab w:val="clear" w:pos="1260" w:leader="none"/>
        </w:tabs>
        <w:rPr>
          <w:sz w:val="20"/>
          <w:szCs w:val="20"/>
        </w:rPr>
      </w:pPr>
      <w:r>
        <w:rPr>
          <w:sz w:val="20"/>
          <w:szCs w:val="20"/>
        </w:rPr>
        <w:t xml:space="preserve"> В этой форме Участник закупки указывает перечень, сроки выполнения, суммы заключенных и незаконченных договоров, в том числе договоров, где участник является субподрядчиком/соисполнителем.</w:t>
      </w:r>
      <w:r>
        <w:rPr>
          <w:sz w:val="20"/>
          <w:szCs w:val="20"/>
        </w:rPr>
      </w:r>
      <w:r>
        <w:rPr>
          <w:sz w:val="20"/>
          <w:szCs w:val="20"/>
        </w:rPr>
      </w:r>
    </w:p>
    <w:p>
      <w:pPr>
        <w:numPr>
          <w:ilvl w:val="0"/>
          <w:numId w:val="44"/>
        </w:numPr>
        <w:ind w:left="0" w:firstLine="567"/>
        <w:spacing w:after="0"/>
        <w:tabs>
          <w:tab w:val="num" w:pos="851" w:leader="none"/>
          <w:tab w:val="clear" w:pos="1260" w:leader="none"/>
        </w:tabs>
        <w:rPr>
          <w:bCs/>
          <w:sz w:val="20"/>
          <w:szCs w:val="20"/>
        </w:rPr>
      </w:pPr>
      <w:r>
        <w:rPr>
          <w:sz w:val="20"/>
          <w:szCs w:val="20"/>
        </w:rPr>
        <w:t xml:space="preserve">Для основного персонала, привлеченного к выполнению договора, указать количество и объем загруженности.</w:t>
      </w:r>
      <w:r>
        <w:rPr>
          <w:bCs/>
          <w:sz w:val="20"/>
          <w:szCs w:val="20"/>
        </w:rPr>
      </w:r>
      <w:r>
        <w:rPr>
          <w:bCs/>
          <w:sz w:val="20"/>
          <w:szCs w:val="20"/>
        </w:rPr>
      </w:r>
    </w:p>
    <w:p>
      <w:pPr>
        <w:numPr>
          <w:ilvl w:val="0"/>
          <w:numId w:val="44"/>
        </w:numPr>
        <w:ind w:left="0" w:firstLine="567"/>
        <w:spacing w:after="0"/>
        <w:tabs>
          <w:tab w:val="num" w:pos="851" w:leader="none"/>
          <w:tab w:val="clear" w:pos="1260" w:leader="none"/>
        </w:tabs>
        <w:rPr>
          <w:bCs/>
          <w:sz w:val="20"/>
          <w:szCs w:val="20"/>
        </w:rPr>
      </w:pPr>
      <w:r>
        <w:rPr>
          <w:sz w:val="20"/>
          <w:szCs w:val="20"/>
        </w:rPr>
        <w:t xml:space="preserve">Данная форма заполняется как в случае наличия у Участника текущих договоров (договоров, находящихся в исполнении), так и в случае отсутствия таких договоров. В последнем случае в таблице приводятся слова «Договоров, находящихся в исполнении нет».</w:t>
      </w:r>
      <w:r>
        <w:rPr>
          <w:bCs/>
          <w:sz w:val="20"/>
          <w:szCs w:val="20"/>
        </w:rPr>
      </w:r>
      <w:r>
        <w:rPr>
          <w:bCs/>
          <w:sz w:val="20"/>
          <w:szCs w:val="20"/>
        </w:rPr>
      </w:r>
    </w:p>
    <w:p>
      <w:pPr>
        <w:shd w:val="nil" w:color="auto"/>
        <w:rPr>
          <w:sz w:val="20"/>
          <w:szCs w:val="20"/>
        </w:rPr>
      </w:pPr>
      <w:r>
        <w:rPr>
          <w:sz w:val="20"/>
          <w:szCs w:val="20"/>
        </w:rPr>
        <w:br w:type="page" w:clear="all"/>
      </w:r>
      <w:r>
        <w:rPr>
          <w:sz w:val="20"/>
          <w:szCs w:val="20"/>
        </w:rPr>
      </w:r>
      <w:r>
        <w:rPr>
          <w:sz w:val="20"/>
          <w:szCs w:val="20"/>
        </w:rPr>
      </w:r>
    </w:p>
    <w:p>
      <w:pPr>
        <w:pStyle w:val="1014"/>
        <w:ind w:left="578" w:hanging="578"/>
        <w:keepNext w:val="0"/>
        <w:pageBreakBefore/>
        <w:widowControl w:val="off"/>
        <w:rPr>
          <w:sz w:val="24"/>
          <w:szCs w:val="24"/>
        </w:rPr>
      </w:pPr>
      <w:r/>
      <w:bookmarkStart w:id="146" w:name="_Toc101"/>
      <w:r>
        <w:rPr>
          <w:sz w:val="24"/>
          <w:szCs w:val="24"/>
        </w:rPr>
        <w:t xml:space="preserve">ФОРМА 6. </w:t>
      </w:r>
      <w:bookmarkStart w:id="147" w:name="_Ref96861029"/>
      <w:r/>
      <w:bookmarkStart w:id="148" w:name="форма12"/>
      <w:r>
        <w:rPr>
          <w:sz w:val="24"/>
          <w:szCs w:val="24"/>
        </w:rPr>
        <w:t xml:space="preserve">СПРАВКА О НАЛИЧИИ У УЧАСТНИКА ЗАКУПКИ СВЯЗЕЙ, НОСЯЩИХ ХАРАКТЕР АФФИЛИРОВАННОСТИ С </w:t>
      </w:r>
      <w:bookmarkEnd w:id="147"/>
      <w:r/>
      <w:bookmarkEnd w:id="148"/>
      <w:r>
        <w:rPr>
          <w:sz w:val="24"/>
          <w:szCs w:val="24"/>
        </w:rPr>
        <w:t xml:space="preserve">СОТРУДНИКАМИ ОРГАНИЗАТОРА ЗАКУПКИ</w:t>
      </w:r>
      <w:bookmarkEnd w:id="146"/>
      <w:r>
        <w:rPr>
          <w:sz w:val="24"/>
          <w:szCs w:val="24"/>
        </w:rPr>
      </w:r>
      <w:r>
        <w:rPr>
          <w:sz w:val="24"/>
          <w:szCs w:val="24"/>
        </w:rPr>
      </w:r>
    </w:p>
    <w:p>
      <w:pPr>
        <w:spacing w:after="0"/>
      </w:pPr>
      <w:r/>
      <w:r/>
    </w:p>
    <w:p>
      <w:pPr>
        <w:jc w:val="right"/>
        <w:spacing w:after="0"/>
      </w:pPr>
      <w:r>
        <w:t xml:space="preserve">Приложение № ___ к Заявке на участие</w:t>
      </w:r>
      <w:r/>
    </w:p>
    <w:p>
      <w:pPr>
        <w:jc w:val="right"/>
        <w:spacing w:after="0"/>
      </w:pPr>
      <w:r>
        <w:t xml:space="preserve">от «____» _______________ г. № _____</w:t>
      </w:r>
      <w:r/>
    </w:p>
    <w:p>
      <w:pPr>
        <w:spacing w:after="0"/>
      </w:pPr>
      <w:r/>
      <w:r/>
    </w:p>
    <w:p>
      <w:pPr>
        <w:spacing w:after="0"/>
        <w:rPr>
          <w:i/>
        </w:rPr>
      </w:pPr>
      <w:r>
        <w:rPr>
          <w:i/>
        </w:rPr>
      </w:r>
      <w:r>
        <w:rPr>
          <w:i/>
        </w:rPr>
      </w:r>
      <w:r>
        <w:rPr>
          <w:i/>
        </w:rPr>
      </w:r>
    </w:p>
    <w:p>
      <w:pPr>
        <w:jc w:val="center"/>
        <w:spacing w:after="0"/>
        <w:rPr>
          <w:b/>
          <w:i/>
        </w:rPr>
      </w:pPr>
      <w:r>
        <w:rPr>
          <w:b/>
          <w:i/>
        </w:rPr>
        <w:t xml:space="preserve">Справка</w:t>
      </w:r>
      <w:r>
        <w:rPr>
          <w:b/>
          <w:i/>
        </w:rPr>
        <w:br/>
        <w:t xml:space="preserve">о наличии у Участника закупки связей, носящих характер аффилированности с сотрудниками Организатора закупки</w:t>
      </w:r>
      <w:r>
        <w:rPr>
          <w:b/>
          <w:i/>
        </w:rPr>
      </w:r>
      <w:r>
        <w:rPr>
          <w:b/>
          <w:i/>
        </w:rPr>
      </w:r>
    </w:p>
    <w:p>
      <w:pPr>
        <w:spacing w:after="0"/>
      </w:pPr>
      <w:r/>
      <w:r/>
    </w:p>
    <w:p>
      <w:pPr>
        <w:jc w:val="center"/>
        <w:spacing w:after="0"/>
        <w:rPr>
          <w:b/>
          <w:i/>
        </w:rPr>
      </w:pPr>
      <w:r>
        <w:rPr>
          <w:b/>
          <w:i/>
        </w:rPr>
        <w:t xml:space="preserve">Уважаемые господа!</w:t>
      </w:r>
      <w:r>
        <w:rPr>
          <w:b/>
          <w:i/>
        </w:rPr>
      </w:r>
      <w:r>
        <w:rPr>
          <w:b/>
          <w:i/>
        </w:rPr>
      </w:r>
    </w:p>
    <w:p>
      <w:pPr>
        <w:ind w:firstLine="709"/>
        <w:spacing w:after="0" w:line="276" w:lineRule="auto"/>
        <w:rPr>
          <w:sz w:val="22"/>
          <w:szCs w:val="22"/>
        </w:rPr>
      </w:pPr>
      <w:r>
        <w:rPr>
          <w:sz w:val="22"/>
          <w:szCs w:val="22"/>
        </w:rPr>
        <w:t xml:space="preserve">При рассмотрении нашей заявки просим учесть следующие сведения о наличии у [</w:t>
      </w:r>
      <w:r>
        <w:rPr>
          <w:b/>
          <w:i/>
          <w:sz w:val="22"/>
          <w:szCs w:val="22"/>
          <w:highlight w:val="yellow"/>
        </w:rPr>
        <w:t xml:space="preserve">указывается наименование Участника закупки</w:t>
      </w:r>
      <w:r>
        <w:rPr>
          <w:sz w:val="22"/>
          <w:szCs w:val="22"/>
        </w:rPr>
        <w:t xml:space="preserve">] связей, носящих характер аффилированности с лицами, являющимися [</w:t>
      </w:r>
      <w:r>
        <w:rPr>
          <w:b/>
          <w:i/>
          <w:sz w:val="22"/>
          <w:szCs w:val="22"/>
          <w:highlight w:val="yellow"/>
        </w:rPr>
        <w:t xml:space="preserve">указывается кем являются эти лица, пример: учредители, сотрудники, и т.д.</w:t>
      </w:r>
      <w:r>
        <w:rPr>
          <w:sz w:val="22"/>
          <w:szCs w:val="22"/>
        </w:rPr>
        <w:t xml:space="preserve">] Организатора закупки, а именно:</w:t>
      </w:r>
      <w:r>
        <w:rPr>
          <w:sz w:val="22"/>
          <w:szCs w:val="22"/>
        </w:rPr>
      </w:r>
      <w:r>
        <w:rPr>
          <w:sz w:val="22"/>
          <w:szCs w:val="22"/>
        </w:rPr>
      </w:r>
    </w:p>
    <w:p>
      <w:pPr>
        <w:ind w:firstLine="709"/>
        <w:spacing w:after="0" w:line="276" w:lineRule="auto"/>
        <w:rPr>
          <w:sz w:val="22"/>
          <w:szCs w:val="22"/>
        </w:rPr>
      </w:pPr>
      <w:r>
        <w:rPr>
          <w:sz w:val="22"/>
          <w:szCs w:val="22"/>
        </w:rPr>
        <w:t xml:space="preserve">{указывается Ф.И.О. лица, его место работы, должность; кратко описывается почему связи между данным лицом и Участником закупки могут быть расценены как аффилированность};</w:t>
      </w:r>
      <w:r>
        <w:rPr>
          <w:sz w:val="22"/>
          <w:szCs w:val="22"/>
        </w:rPr>
      </w:r>
      <w:r>
        <w:rPr>
          <w:sz w:val="22"/>
          <w:szCs w:val="22"/>
        </w:rPr>
      </w:r>
    </w:p>
    <w:p>
      <w:pPr>
        <w:ind w:firstLine="709"/>
        <w:spacing w:after="0" w:line="276" w:lineRule="auto"/>
        <w:rPr>
          <w:sz w:val="22"/>
          <w:szCs w:val="22"/>
        </w:rPr>
      </w:pPr>
      <w:r>
        <w:rPr>
          <w:sz w:val="22"/>
          <w:szCs w:val="22"/>
        </w:rPr>
        <w:t xml:space="preserve">{указывается Ф.И.О. лица, его должность, кратко описывается почему связи между данным лицом и Участником закупки могут быть расценены как аффилированность};</w:t>
      </w:r>
      <w:r>
        <w:rPr>
          <w:sz w:val="22"/>
          <w:szCs w:val="22"/>
        </w:rPr>
      </w:r>
      <w:r>
        <w:rPr>
          <w:sz w:val="22"/>
          <w:szCs w:val="22"/>
        </w:rPr>
      </w:r>
    </w:p>
    <w:p>
      <w:pPr>
        <w:spacing w:after="0" w:line="276" w:lineRule="auto"/>
        <w:rPr>
          <w:sz w:val="22"/>
          <w:szCs w:val="22"/>
        </w:rPr>
      </w:pPr>
      <w:r>
        <w:rPr>
          <w:sz w:val="22"/>
          <w:szCs w:val="22"/>
        </w:rPr>
        <w:t xml:space="preserve">……</w:t>
      </w:r>
      <w:r>
        <w:rPr>
          <w:sz w:val="22"/>
          <w:szCs w:val="22"/>
        </w:rPr>
      </w:r>
      <w:r>
        <w:rPr>
          <w:sz w:val="22"/>
          <w:szCs w:val="22"/>
        </w:rPr>
      </w:r>
    </w:p>
    <w:p>
      <w:pPr>
        <w:spacing w:after="0"/>
      </w:pPr>
      <w:r/>
      <w:r/>
    </w:p>
    <w:tbl>
      <w:tblPr>
        <w:tblW w:w="0" w:type="auto"/>
        <w:tblInd w:w="108" w:type="dxa"/>
        <w:tblLook w:val="01E0" w:firstRow="1" w:lastRow="1" w:firstColumn="1" w:lastColumn="1" w:noHBand="0" w:noVBand="0"/>
      </w:tblPr>
      <w:tblGrid>
        <w:gridCol w:w="3818"/>
        <w:gridCol w:w="687"/>
        <w:gridCol w:w="4742"/>
      </w:tblGrid>
      <w:tr>
        <w:tblPrEx/>
        <w:trPr/>
        <w:tc>
          <w:tcPr>
            <w:tcBorders>
              <w:bottom w:val="single" w:color="auto" w:sz="4" w:space="0"/>
            </w:tcBorders>
            <w:tcW w:w="3960" w:type="dxa"/>
            <w:textDirection w:val="lrTb"/>
            <w:noWrap w:val="false"/>
          </w:tcPr>
          <w:p>
            <w:pPr>
              <w:spacing w:after="0"/>
            </w:pPr>
            <w:r/>
            <w:r/>
          </w:p>
        </w:tc>
        <w:tc>
          <w:tcPr>
            <w:tcW w:w="718" w:type="dxa"/>
            <w:textDirection w:val="lrTb"/>
            <w:noWrap w:val="false"/>
          </w:tcPr>
          <w:p>
            <w:pPr>
              <w:spacing w:after="0"/>
            </w:pPr>
            <w:r/>
            <w:r/>
          </w:p>
        </w:tc>
        <w:tc>
          <w:tcPr>
            <w:tcBorders>
              <w:bottom w:val="single" w:color="auto" w:sz="4" w:space="0"/>
            </w:tcBorders>
            <w:tcW w:w="4961" w:type="dxa"/>
            <w:textDirection w:val="lrTb"/>
            <w:noWrap w:val="false"/>
          </w:tcPr>
          <w:p>
            <w:pPr>
              <w:spacing w:after="0"/>
            </w:pPr>
            <w:r/>
            <w:r/>
          </w:p>
        </w:tc>
      </w:tr>
      <w:tr>
        <w:tblPrEx/>
        <w:trPr/>
        <w:tc>
          <w:tcPr>
            <w:tcBorders>
              <w:top w:val="single" w:color="auto" w:sz="4" w:space="0"/>
            </w:tcBorders>
            <w:tcW w:w="3960" w:type="dxa"/>
            <w:textDirection w:val="lrTb"/>
            <w:noWrap w:val="false"/>
          </w:tcPr>
          <w:p>
            <w:pPr>
              <w:jc w:val="center"/>
              <w:spacing w:after="0"/>
              <w:rPr>
                <w:i/>
                <w:sz w:val="20"/>
                <w:szCs w:val="20"/>
              </w:rPr>
            </w:pPr>
            <w:r>
              <w:rPr>
                <w:i/>
                <w:sz w:val="20"/>
                <w:szCs w:val="20"/>
              </w:rPr>
              <w:t xml:space="preserve">(подпись уполномоченного представителя)</w:t>
            </w:r>
            <w:r>
              <w:rPr>
                <w:i/>
                <w:sz w:val="20"/>
                <w:szCs w:val="20"/>
              </w:rPr>
            </w:r>
            <w:r>
              <w:rPr>
                <w:i/>
                <w:sz w:val="20"/>
                <w:szCs w:val="20"/>
              </w:rPr>
            </w:r>
          </w:p>
        </w:tc>
        <w:tc>
          <w:tcPr>
            <w:tcW w:w="718" w:type="dxa"/>
            <w:textDirection w:val="lrTb"/>
            <w:noWrap w:val="false"/>
          </w:tcPr>
          <w:p>
            <w:pPr>
              <w:jc w:val="center"/>
              <w:spacing w:after="0"/>
              <w:rPr>
                <w:i/>
                <w:sz w:val="20"/>
                <w:szCs w:val="20"/>
              </w:rPr>
            </w:pPr>
            <w:r>
              <w:rPr>
                <w:i/>
                <w:sz w:val="20"/>
                <w:szCs w:val="20"/>
              </w:rPr>
            </w:r>
            <w:r>
              <w:rPr>
                <w:i/>
                <w:sz w:val="20"/>
                <w:szCs w:val="20"/>
              </w:rPr>
            </w:r>
            <w:r>
              <w:rPr>
                <w:i/>
                <w:sz w:val="20"/>
                <w:szCs w:val="20"/>
              </w:rPr>
            </w:r>
          </w:p>
        </w:tc>
        <w:tc>
          <w:tcPr>
            <w:tcBorders>
              <w:top w:val="single" w:color="auto" w:sz="4" w:space="0"/>
            </w:tcBorders>
            <w:tcW w:w="4961" w:type="dxa"/>
            <w:textDirection w:val="lrTb"/>
            <w:noWrap w:val="false"/>
          </w:tcPr>
          <w:p>
            <w:pPr>
              <w:jc w:val="center"/>
              <w:spacing w:after="0"/>
              <w:rPr>
                <w:i/>
                <w:sz w:val="20"/>
                <w:szCs w:val="20"/>
              </w:rPr>
            </w:pPr>
            <w:r>
              <w:rPr>
                <w:i/>
                <w:sz w:val="20"/>
                <w:szCs w:val="20"/>
              </w:rPr>
              <w:t xml:space="preserve">(фамилия, имя, отчество подписавшего, должность)</w:t>
            </w:r>
            <w:r>
              <w:rPr>
                <w:i/>
                <w:sz w:val="20"/>
                <w:szCs w:val="20"/>
              </w:rPr>
            </w:r>
            <w:r>
              <w:rPr>
                <w:i/>
                <w:sz w:val="20"/>
                <w:szCs w:val="20"/>
              </w:rPr>
            </w:r>
          </w:p>
        </w:tc>
      </w:tr>
    </w:tbl>
    <w:p>
      <w:pPr>
        <w:spacing w:after="0"/>
        <w:rPr>
          <w:b/>
          <w:i/>
          <w:sz w:val="22"/>
          <w:szCs w:val="22"/>
        </w:rPr>
      </w:pPr>
      <w:r>
        <w:rPr>
          <w:b/>
          <w:i/>
          <w:sz w:val="22"/>
          <w:szCs w:val="22"/>
        </w:rPr>
        <w:t xml:space="preserve">М.П.</w:t>
      </w:r>
      <w:r>
        <w:rPr>
          <w:b/>
          <w:i/>
          <w:sz w:val="22"/>
          <w:szCs w:val="22"/>
        </w:rPr>
      </w:r>
      <w:r>
        <w:rPr>
          <w:b/>
          <w:i/>
          <w:sz w:val="22"/>
          <w:szCs w:val="22"/>
        </w:rP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ind w:firstLine="567"/>
        <w:spacing w:after="0"/>
        <w:rPr>
          <w:b/>
          <w:i/>
          <w:sz w:val="20"/>
          <w:szCs w:val="20"/>
        </w:rPr>
      </w:pPr>
      <w:r>
        <w:rPr>
          <w:b/>
          <w:i/>
          <w:sz w:val="20"/>
          <w:szCs w:val="20"/>
        </w:rPr>
        <w:t xml:space="preserve">Инструкции по заполнению</w:t>
      </w:r>
      <w:r>
        <w:rPr>
          <w:b/>
          <w:i/>
          <w:sz w:val="20"/>
          <w:szCs w:val="20"/>
        </w:rPr>
      </w:r>
      <w:r>
        <w:rPr>
          <w:b/>
          <w:i/>
          <w:sz w:val="20"/>
          <w:szCs w:val="20"/>
        </w:rPr>
      </w:r>
    </w:p>
    <w:p>
      <w:pPr>
        <w:ind w:firstLine="567"/>
        <w:spacing w:after="0"/>
        <w:rPr>
          <w:sz w:val="20"/>
          <w:szCs w:val="20"/>
        </w:rPr>
      </w:pPr>
      <w:r>
        <w:rPr>
          <w:sz w:val="20"/>
          <w:szCs w:val="20"/>
        </w:rPr>
        <w:t xml:space="preserve">1. Участник приводит номер и дату письма о подаче оферты, приложением к которому является данное Информационное письмо.</w:t>
      </w:r>
      <w:r>
        <w:rPr>
          <w:sz w:val="20"/>
          <w:szCs w:val="20"/>
        </w:rPr>
      </w:r>
      <w:r>
        <w:rPr>
          <w:sz w:val="20"/>
          <w:szCs w:val="20"/>
        </w:rPr>
      </w:r>
    </w:p>
    <w:p>
      <w:pPr>
        <w:ind w:firstLine="567"/>
        <w:spacing w:after="0"/>
        <w:rPr>
          <w:sz w:val="20"/>
          <w:szCs w:val="20"/>
        </w:rPr>
      </w:pPr>
      <w:r>
        <w:rPr>
          <w:sz w:val="20"/>
          <w:szCs w:val="20"/>
        </w:rPr>
        <w:t xml:space="preserve">2. Участник закупки, являющийся юридическим лицом, должен указать свое полное наименование (с указанием организационно-правовой</w:t>
      </w:r>
      <w:r>
        <w:rPr>
          <w:sz w:val="20"/>
          <w:szCs w:val="20"/>
        </w:rPr>
        <w:t xml:space="preserve">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r>
        <w:rPr>
          <w:sz w:val="20"/>
          <w:szCs w:val="20"/>
        </w:rPr>
      </w:r>
      <w:r>
        <w:rPr>
          <w:sz w:val="20"/>
          <w:szCs w:val="20"/>
        </w:rPr>
      </w:r>
    </w:p>
    <w:p>
      <w:pPr>
        <w:ind w:firstLine="567"/>
        <w:spacing w:after="0"/>
        <w:rPr>
          <w:sz w:val="20"/>
          <w:szCs w:val="20"/>
        </w:rPr>
      </w:pPr>
      <w:r>
        <w:rPr>
          <w:sz w:val="20"/>
          <w:szCs w:val="20"/>
        </w:rPr>
        <w:t xml:space="preserve">3. 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лиц нет, </w:t>
      </w:r>
      <w:r>
        <w:rPr>
          <w:sz w:val="20"/>
          <w:szCs w:val="20"/>
        </w:rPr>
        <w:t xml:space="preserve">то в письме пишется фраза «При рассмотрении нашей заявки просим учесть, что у [указывается наименование Участника закупки] НЕТ связей, которые могут быть признаны носящими характер аффилированности с лицами так или иначе связанными с Организатором закупки.</w:t>
      </w:r>
      <w:r>
        <w:rPr>
          <w:sz w:val="20"/>
          <w:szCs w:val="20"/>
        </w:rPr>
      </w:r>
      <w:r>
        <w:rPr>
          <w:sz w:val="20"/>
          <w:szCs w:val="20"/>
        </w:rPr>
      </w:r>
    </w:p>
    <w:p>
      <w:pPr>
        <w:ind w:firstLine="567"/>
        <w:spacing w:after="0"/>
        <w:rPr>
          <w:sz w:val="20"/>
          <w:szCs w:val="20"/>
        </w:rPr>
      </w:pPr>
      <w:r>
        <w:rPr>
          <w:sz w:val="20"/>
          <w:szCs w:val="20"/>
        </w:rPr>
        <w:t xml:space="preserve">4. При составлении данного письма Участник закупки должен учесть, что сокрытие любой информации о наличии связей, носящих характер аффилир</w:t>
      </w:r>
      <w:r>
        <w:rPr>
          <w:sz w:val="20"/>
          <w:szCs w:val="20"/>
        </w:rPr>
        <w:t xml:space="preserve">ованности между Участником закупки и любыми лицам так или иначе связанными с Организатором закупки может быть признано Постоянно действующей закупочной комиссией существенным нарушением условий данной закупки, и повлечь отклонение заявки такого Участника. </w:t>
      </w:r>
      <w:r>
        <w:rPr>
          <w:sz w:val="20"/>
          <w:szCs w:val="20"/>
        </w:rPr>
      </w:r>
      <w:r>
        <w:rPr>
          <w:sz w:val="20"/>
          <w:szCs w:val="20"/>
        </w:rPr>
      </w:r>
    </w:p>
    <w:p>
      <w:pPr>
        <w:ind w:firstLine="567"/>
        <w:spacing w:after="0"/>
        <w:rPr>
          <w:rFonts w:eastAsia="Calibri"/>
          <w:sz w:val="20"/>
          <w:szCs w:val="20"/>
          <w:lang w:eastAsia="en-US"/>
        </w:rPr>
      </w:pPr>
      <w:r>
        <w:rPr>
          <w:sz w:val="20"/>
          <w:szCs w:val="20"/>
        </w:rPr>
        <w:t xml:space="preserve">5. При наличии документов, подтверждающих или указывающих на факты возможного возникновения конфликта интересов и/или аффилированных связей, Участник</w:t>
      </w:r>
      <w:r>
        <w:rPr>
          <w:rFonts w:eastAsia="Calibri"/>
          <w:sz w:val="20"/>
          <w:szCs w:val="20"/>
          <w:lang w:eastAsia="en-US"/>
        </w:rPr>
        <w:t xml:space="preserve"> прилагает соответствующие документы к настоящей Справке и включает перечень прилагаемых документов в текст Справки.</w:t>
      </w:r>
      <w:r>
        <w:rPr>
          <w:rFonts w:eastAsia="Calibri"/>
          <w:sz w:val="20"/>
          <w:szCs w:val="20"/>
          <w:lang w:eastAsia="en-US"/>
        </w:rPr>
      </w:r>
      <w:r>
        <w:rPr>
          <w:rFonts w:eastAsia="Calibri"/>
          <w:sz w:val="20"/>
          <w:szCs w:val="20"/>
          <w:lang w:eastAsia="en-US"/>
        </w:rPr>
      </w:r>
    </w:p>
    <w:p>
      <w:pPr>
        <w:ind w:firstLine="360"/>
        <w:spacing w:after="0"/>
        <w:rPr>
          <w:sz w:val="20"/>
          <w:szCs w:val="20"/>
        </w:rPr>
        <w:sectPr>
          <w:headerReference w:type="default" r:id="rId12"/>
          <w:headerReference w:type="even" r:id="rId13"/>
          <w:headerReference w:type="first" r:id="rId14"/>
          <w:footerReference w:type="even" r:id="rId17"/>
          <w:footerReference w:type="first" r:id="rId18"/>
          <w:footnotePr/>
          <w:endnotePr/>
          <w:type w:val="nextPage"/>
          <w:pgSz w:w="11907" w:h="16839" w:orient="portrait"/>
          <w:pgMar w:top="765" w:right="851" w:bottom="765" w:left="1701" w:header="709" w:footer="709" w:gutter="0"/>
          <w:cols w:num="1" w:sep="0" w:space="720" w:equalWidth="1"/>
          <w:docGrid w:linePitch="360"/>
        </w:sectPr>
      </w:pPr>
      <w:r>
        <w:rPr>
          <w:sz w:val="20"/>
          <w:szCs w:val="20"/>
        </w:rPr>
      </w:r>
      <w:r>
        <w:rPr>
          <w:sz w:val="20"/>
          <w:szCs w:val="20"/>
        </w:rPr>
      </w:r>
      <w:r>
        <w:rPr>
          <w:sz w:val="20"/>
          <w:szCs w:val="20"/>
        </w:rPr>
      </w:r>
    </w:p>
    <w:p>
      <w:pPr>
        <w:pStyle w:val="1014"/>
        <w:ind w:left="578" w:hanging="578"/>
        <w:keepNext w:val="0"/>
        <w:pageBreakBefore/>
        <w:widowControl w:val="off"/>
        <w:rPr>
          <w:sz w:val="24"/>
          <w:szCs w:val="24"/>
        </w:rPr>
      </w:pPr>
      <w:r/>
      <w:bookmarkStart w:id="149" w:name="_Toc102"/>
      <w:r>
        <w:rPr>
          <w:sz w:val="24"/>
          <w:szCs w:val="24"/>
        </w:rPr>
        <w:t xml:space="preserve">ФОРМА 7. СОГЛАСИЕ УЧАСТНИКА ЗАКУПОЧНОЙ ПРОЦЕДУРЫ НАЛОГОВЫМ ОРГАНАМ НА РАЗГЛАШЕНИЕ СВЕДЕНИЙ, СОСТАВЛЯЮЩИХ НАЛОГОВУЮ ТАЙНУ</w:t>
      </w:r>
      <w:bookmarkEnd w:id="149"/>
      <w:r>
        <w:rPr>
          <w:sz w:val="24"/>
          <w:szCs w:val="24"/>
        </w:rPr>
      </w:r>
      <w:r>
        <w:rPr>
          <w:sz w:val="24"/>
          <w:szCs w:val="24"/>
        </w:rPr>
      </w:r>
    </w:p>
    <w:p>
      <w:pPr>
        <w:jc w:val="right"/>
        <w:spacing w:after="0"/>
      </w:pPr>
      <w:r/>
      <w:r/>
    </w:p>
    <w:p>
      <w:pPr>
        <w:jc w:val="right"/>
        <w:spacing w:after="0"/>
      </w:pPr>
      <w:r>
        <w:t xml:space="preserve">Приложение № ___ к Заявке на участие</w:t>
      </w:r>
      <w:r/>
    </w:p>
    <w:p>
      <w:pPr>
        <w:jc w:val="right"/>
        <w:spacing w:after="0"/>
      </w:pPr>
      <w:r>
        <w:t xml:space="preserve">от «____» ______________ г. № ______</w:t>
      </w:r>
      <w:r/>
    </w:p>
    <w:p>
      <w:pPr>
        <w:spacing w:after="0"/>
      </w:pPr>
      <w:r/>
      <w:r/>
    </w:p>
    <w:p>
      <w:pPr>
        <w:spacing w:after="0"/>
      </w:pPr>
      <w:r/>
      <w:r/>
    </w:p>
    <w:p>
      <w:pPr>
        <w:jc w:val="center"/>
        <w:spacing w:after="0"/>
        <w:rPr>
          <w:b/>
          <w:i/>
        </w:rPr>
      </w:pPr>
      <w:r/>
      <w:bookmarkStart w:id="150" w:name="_Согласие_Участника_закупочной"/>
      <w:r/>
      <w:bookmarkEnd w:id="150"/>
      <w:r>
        <w:rPr>
          <w:b/>
          <w:i/>
        </w:rPr>
        <w:t xml:space="preserve">Согласие Участника закупочной процедуры налоговым органам на разглашение сведений, составляющих налоговую тайну</w:t>
      </w:r>
      <w:r>
        <w:rPr>
          <w:b/>
          <w:i/>
        </w:rPr>
      </w:r>
      <w:r>
        <w:rPr>
          <w:b/>
          <w:i/>
        </w:rPr>
      </w:r>
    </w:p>
    <w:p>
      <w:pPr>
        <w:jc w:val="center"/>
        <w:spacing w:after="0"/>
        <w:rPr>
          <w:b/>
          <w:i/>
        </w:rPr>
      </w:pPr>
      <w:r>
        <w:rPr>
          <w:b/>
          <w:i/>
        </w:rPr>
        <w:t xml:space="preserve">от «___» ________ 20__ г.</w:t>
      </w:r>
      <w:r>
        <w:rPr>
          <w:b/>
          <w:i/>
        </w:rPr>
      </w:r>
      <w:r>
        <w:rPr>
          <w:b/>
          <w:i/>
        </w:rPr>
      </w:r>
    </w:p>
    <w:p>
      <w:pPr>
        <w:spacing w:after="0"/>
      </w:pPr>
      <w:r/>
      <w:r/>
    </w:p>
    <w:p>
      <w:pPr>
        <w:ind w:firstLine="709"/>
        <w:spacing w:after="0"/>
      </w:pPr>
      <w:r>
        <w:t xml:space="preserve">Настоящим {указывается полное наименование Участника закупочной процедуры, его место нахождения, ИНН, КПП и ОГРН (ОГРНИП - для индивидуальных предпринимателей)} в соответствии с положениями статьи 102 Налогового </w:t>
      </w:r>
      <w:r>
        <w:t xml:space="preserve">кодекса Российской Федерации дает свое согласие на признание бухгалтерской (налоговой - для индивидуальных предпринимателей) отчётности {указывается полное наименование Участника закупочной процедуры, ИНН} за {указываются налоговые периоды} общедоступными.</w:t>
      </w:r>
      <w:r/>
    </w:p>
    <w:p>
      <w:pPr>
        <w:ind w:firstLine="709"/>
        <w:spacing w:after="0"/>
      </w:pPr>
      <w:r>
        <w:t xml:space="preserve">Одновременно соглашаемся на представление налоговыми органами указанных сведений о {указывается полное наименование Участника закупочной процедуры, ИНН} в адрес ____________________ (ИНН __________, ОГРН ___________________).</w:t>
      </w:r>
      <w:r/>
    </w:p>
    <w:p>
      <w:pPr>
        <w:spacing w:after="0"/>
      </w:pPr>
      <w:r/>
      <w:r/>
    </w:p>
    <w:p>
      <w:pPr>
        <w:spacing w:after="0"/>
        <w:rPr>
          <w:i/>
        </w:rPr>
      </w:pPr>
      <w:r>
        <w:rPr>
          <w:i/>
        </w:rPr>
        <w:t xml:space="preserve">____________________________________                 ______________________</w:t>
      </w:r>
      <w:r>
        <w:rPr>
          <w:i/>
        </w:rPr>
      </w:r>
      <w:r>
        <w:rPr>
          <w:i/>
        </w:rPr>
      </w:r>
    </w:p>
    <w:p>
      <w:pPr>
        <w:spacing w:after="0"/>
        <w:rPr>
          <w:i/>
          <w:sz w:val="20"/>
          <w:szCs w:val="20"/>
        </w:rPr>
      </w:pPr>
      <w:r>
        <w:rPr>
          <w:i/>
          <w:sz w:val="20"/>
          <w:szCs w:val="20"/>
        </w:rPr>
        <w:t xml:space="preserve">(Подпись уполномоченного представителя)                          (Ф.И.О. и должность подписавшего)</w:t>
      </w:r>
      <w:r>
        <w:rPr>
          <w:i/>
          <w:sz w:val="20"/>
          <w:szCs w:val="20"/>
        </w:rPr>
      </w:r>
      <w:r>
        <w:rPr>
          <w:i/>
          <w:sz w:val="20"/>
          <w:szCs w:val="20"/>
        </w:rPr>
      </w:r>
    </w:p>
    <w:p>
      <w:pPr>
        <w:spacing w:after="0"/>
        <w:rPr>
          <w:b/>
          <w:i/>
          <w:sz w:val="22"/>
          <w:szCs w:val="22"/>
        </w:rPr>
      </w:pPr>
      <w:r>
        <w:rPr>
          <w:b/>
          <w:i/>
          <w:sz w:val="22"/>
          <w:szCs w:val="22"/>
        </w:rPr>
      </w:r>
      <w:r>
        <w:rPr>
          <w:b/>
          <w:i/>
          <w:sz w:val="22"/>
          <w:szCs w:val="22"/>
        </w:rPr>
      </w:r>
      <w:r>
        <w:rPr>
          <w:b/>
          <w:i/>
          <w:sz w:val="22"/>
          <w:szCs w:val="22"/>
        </w:rPr>
      </w:r>
    </w:p>
    <w:p>
      <w:pPr>
        <w:spacing w:after="0"/>
        <w:rPr>
          <w:b/>
          <w:i/>
          <w:sz w:val="22"/>
          <w:szCs w:val="22"/>
        </w:rPr>
      </w:pPr>
      <w:r>
        <w:rPr>
          <w:b/>
          <w:i/>
          <w:sz w:val="22"/>
          <w:szCs w:val="22"/>
        </w:rPr>
        <w:t xml:space="preserve">М.П.</w:t>
      </w:r>
      <w:r>
        <w:rPr>
          <w:b/>
          <w:i/>
          <w:sz w:val="22"/>
          <w:szCs w:val="22"/>
        </w:rPr>
      </w:r>
      <w:r>
        <w:rPr>
          <w:b/>
          <w:i/>
          <w:sz w:val="22"/>
          <w:szCs w:val="22"/>
        </w:rPr>
      </w:r>
    </w:p>
    <w:p>
      <w:pPr>
        <w:spacing w:after="0"/>
      </w:pPr>
      <w:r/>
      <w:r/>
    </w:p>
    <w:p>
      <w:pPr>
        <w:spacing w:after="0"/>
      </w:pPr>
      <w:r/>
      <w:r/>
    </w:p>
    <w:p>
      <w:pPr>
        <w:spacing w:after="0"/>
      </w:pPr>
      <w:r>
        <w:t xml:space="preserve">Полномочия на право подписания от имени Участника закупочной процедуры настоящего документа подтверждены (нужное подчеркнуть): доверенностью, иным документом </w:t>
      </w:r>
      <w:r/>
    </w:p>
    <w:p>
      <w:pPr>
        <w:spacing w:after="0"/>
        <w:rPr>
          <w:b/>
          <w:i/>
        </w:rPr>
      </w:pPr>
      <w:r>
        <w:rPr>
          <w:b/>
          <w:i/>
        </w:rPr>
        <w:t xml:space="preserve">{указывается конкретно каким}.</w:t>
      </w:r>
      <w:r>
        <w:rPr>
          <w:b/>
          <w:i/>
        </w:rPr>
      </w:r>
      <w:r>
        <w:rPr>
          <w:b/>
          <w:i/>
        </w:rP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spacing w:after="0"/>
      </w:pPr>
      <w:r/>
      <w:r/>
    </w:p>
    <w:p>
      <w:pPr>
        <w:ind w:firstLine="567"/>
        <w:spacing w:after="0"/>
        <w:rPr>
          <w:b/>
          <w:i/>
          <w:sz w:val="20"/>
          <w:szCs w:val="20"/>
        </w:rPr>
      </w:pPr>
      <w:r>
        <w:rPr>
          <w:b/>
          <w:i/>
          <w:sz w:val="20"/>
          <w:szCs w:val="20"/>
        </w:rPr>
        <w:t xml:space="preserve">Инструкции по заполнению</w:t>
      </w:r>
      <w:r>
        <w:rPr>
          <w:b/>
          <w:i/>
          <w:sz w:val="20"/>
          <w:szCs w:val="20"/>
        </w:rPr>
      </w:r>
      <w:r>
        <w:rPr>
          <w:b/>
          <w:i/>
          <w:sz w:val="20"/>
          <w:szCs w:val="20"/>
        </w:rPr>
      </w:r>
    </w:p>
    <w:p>
      <w:pPr>
        <w:ind w:firstLine="567"/>
        <w:spacing w:after="0"/>
        <w:rPr>
          <w:sz w:val="20"/>
          <w:szCs w:val="20"/>
        </w:rPr>
      </w:pPr>
      <w:r>
        <w:rPr>
          <w:sz w:val="20"/>
          <w:szCs w:val="20"/>
        </w:rPr>
        <w:t xml:space="preserve">1. Данные инструкции не следует воспроизводить в документах, подготовленных Участником закупочной процедуры.</w:t>
      </w:r>
      <w:r>
        <w:rPr>
          <w:sz w:val="20"/>
          <w:szCs w:val="20"/>
        </w:rPr>
      </w:r>
      <w:r>
        <w:rPr>
          <w:sz w:val="20"/>
          <w:szCs w:val="20"/>
        </w:rPr>
      </w:r>
    </w:p>
    <w:p>
      <w:pPr>
        <w:ind w:firstLine="567"/>
        <w:spacing w:after="0"/>
        <w:rPr>
          <w:sz w:val="20"/>
          <w:szCs w:val="20"/>
        </w:rPr>
      </w:pPr>
      <w:r>
        <w:rPr>
          <w:sz w:val="20"/>
          <w:szCs w:val="20"/>
        </w:rPr>
        <w:t xml:space="preserve">2. Участник закупочной процедуры приводит номер и дату письма о подаче оферты, приложением к которому является данное Согласие.</w:t>
      </w:r>
      <w:r>
        <w:rPr>
          <w:sz w:val="20"/>
          <w:szCs w:val="20"/>
        </w:rPr>
      </w:r>
      <w:r>
        <w:rPr>
          <w:sz w:val="20"/>
          <w:szCs w:val="20"/>
        </w:rPr>
      </w:r>
    </w:p>
    <w:p>
      <w:pPr>
        <w:ind w:firstLine="567"/>
        <w:spacing w:after="0"/>
        <w:rPr>
          <w:sz w:val="20"/>
          <w:szCs w:val="20"/>
        </w:rPr>
      </w:pPr>
      <w:r>
        <w:rPr>
          <w:sz w:val="20"/>
          <w:szCs w:val="20"/>
        </w:rPr>
        <w:t xml:space="preserve">3. Полное наименование Участника закупочной процедуры указывается в соответствии с уставными документами.</w:t>
      </w:r>
      <w:r>
        <w:rPr>
          <w:sz w:val="20"/>
          <w:szCs w:val="20"/>
        </w:rPr>
      </w:r>
      <w:r>
        <w:rPr>
          <w:sz w:val="20"/>
          <w:szCs w:val="20"/>
        </w:rPr>
      </w:r>
    </w:p>
    <w:p>
      <w:pPr>
        <w:rPr>
          <w:sz w:val="20"/>
          <w:szCs w:val="20"/>
        </w:rPr>
      </w:pPr>
      <w:r>
        <w:rPr>
          <w:sz w:val="20"/>
          <w:szCs w:val="20"/>
        </w:rPr>
      </w:r>
      <w:r>
        <w:rPr>
          <w:sz w:val="20"/>
          <w:szCs w:val="20"/>
        </w:rPr>
      </w:r>
      <w:r>
        <w:rPr>
          <w:sz w:val="20"/>
          <w:szCs w:val="20"/>
        </w:rPr>
      </w:r>
    </w:p>
    <w:p>
      <w:pPr>
        <w:jc w:val="center"/>
      </w:pPr>
      <w:r/>
      <w:r/>
    </w:p>
    <w:p>
      <w:pPr>
        <w:jc w:val="left"/>
        <w:spacing w:after="0"/>
      </w:pPr>
      <w:r>
        <w:br w:type="page" w:clear="all"/>
      </w:r>
      <w:r/>
    </w:p>
    <w:p>
      <w:pPr>
        <w:pStyle w:val="1014"/>
        <w:ind w:left="578" w:hanging="578"/>
        <w:keepNext w:val="0"/>
        <w:pageBreakBefore/>
        <w:widowControl w:val="off"/>
        <w:rPr>
          <w:sz w:val="24"/>
          <w:szCs w:val="24"/>
        </w:rPr>
      </w:pPr>
      <w:r/>
      <w:bookmarkStart w:id="151" w:name="_Toc103"/>
      <w:r/>
      <w:bookmarkStart w:id="152" w:name="_Ref166247657"/>
      <w:r/>
      <w:bookmarkStart w:id="153" w:name="_Ref166247661"/>
      <w:r/>
      <w:bookmarkStart w:id="154" w:name="_Ref166249240"/>
      <w:r/>
      <w:bookmarkStart w:id="155" w:name="_Ref166249243"/>
      <w:r/>
      <w:bookmarkStart w:id="156" w:name="_Ref166311450"/>
      <w:r/>
      <w:bookmarkStart w:id="157" w:name="_Ref166311452"/>
      <w:r/>
      <w:bookmarkStart w:id="158" w:name="_Ref166334805"/>
      <w:r/>
      <w:bookmarkStart w:id="159" w:name="_Ref166334809"/>
      <w:r>
        <w:rPr>
          <w:sz w:val="24"/>
          <w:szCs w:val="24"/>
        </w:rPr>
        <w:t xml:space="preserve">ФОРМА 8.  НЕЗАВИСИМАЯ ГАРАНТИЯ, ПРЕДОСТАВЛЯЕМАЯ В КАЧЕСТВЕ ОБЕСПЕЧЕНИЯ ЗАЯВКИ НА УЧАСТИЕ В ЗАКУПКЕ</w:t>
      </w:r>
      <w:bookmarkEnd w:id="151"/>
      <w:r>
        <w:rPr>
          <w:sz w:val="24"/>
          <w:szCs w:val="24"/>
        </w:rPr>
      </w:r>
      <w:r>
        <w:rPr>
          <w:sz w:val="24"/>
          <w:szCs w:val="24"/>
        </w:rPr>
      </w:r>
    </w:p>
    <w:p>
      <w:pPr>
        <w:ind w:firstLine="567"/>
        <w:jc w:val="center"/>
        <w:spacing w:after="0"/>
        <w:rPr>
          <w:b/>
          <w:bCs/>
        </w:rPr>
      </w:pPr>
      <w:r>
        <w:rPr>
          <w:b/>
          <w:bCs/>
        </w:rPr>
      </w:r>
      <w:r>
        <w:rPr>
          <w:b/>
          <w:bCs/>
        </w:rPr>
      </w:r>
      <w:r>
        <w:rPr>
          <w:b/>
          <w:bCs/>
        </w:rPr>
      </w:r>
    </w:p>
    <w:p>
      <w:pPr>
        <w:ind w:firstLine="567"/>
        <w:jc w:val="right"/>
        <w:spacing w:after="0"/>
        <w:rPr>
          <w:lang w:eastAsia="ar-SA"/>
        </w:rPr>
      </w:pPr>
      <w:r>
        <w:rPr>
          <w:lang w:eastAsia="ar-SA"/>
        </w:rPr>
        <w:t xml:space="preserve">Приложение № ___ к Заявке на участие</w:t>
      </w:r>
      <w:r>
        <w:rPr>
          <w:lang w:eastAsia="ar-SA"/>
        </w:rPr>
      </w:r>
      <w:r>
        <w:rPr>
          <w:lang w:eastAsia="ar-SA"/>
        </w:rPr>
      </w:r>
    </w:p>
    <w:p>
      <w:pPr>
        <w:ind w:firstLine="567"/>
        <w:jc w:val="right"/>
        <w:spacing w:after="0"/>
        <w:rPr>
          <w:lang w:eastAsia="ar-SA"/>
        </w:rPr>
      </w:pPr>
      <w:r>
        <w:rPr>
          <w:lang w:eastAsia="ar-SA"/>
        </w:rPr>
        <w:t xml:space="preserve">от «____» ____________ г. №_________</w:t>
      </w:r>
      <w:r>
        <w:rPr>
          <w:lang w:eastAsia="ar-SA"/>
        </w:rPr>
      </w:r>
      <w:r>
        <w:rPr>
          <w:lang w:eastAsia="ar-SA"/>
        </w:rPr>
      </w:r>
    </w:p>
    <w:p>
      <w:pPr>
        <w:jc w:val="center"/>
        <w:spacing w:after="0"/>
      </w:pPr>
      <w:r/>
      <w:r/>
    </w:p>
    <w:p>
      <w:pPr>
        <w:jc w:val="center"/>
        <w:spacing w:after="0"/>
      </w:pPr>
      <w:r/>
      <w:r/>
    </w:p>
    <w:p>
      <w:pPr>
        <w:jc w:val="center"/>
        <w:widowControl w:val="off"/>
        <w:rPr>
          <w:rStyle w:val="1371"/>
          <w:b/>
          <w:bCs/>
          <w:szCs w:val="26"/>
        </w:rPr>
      </w:pPr>
      <w:r>
        <w:rPr>
          <w:rStyle w:val="1371"/>
          <w:b/>
          <w:bCs/>
          <w:szCs w:val="26"/>
        </w:rPr>
        <w:t xml:space="preserve">НЕЗАВИСИМАЯ ГАРАНТИЯ № ______</w:t>
      </w:r>
      <w:r>
        <w:rPr>
          <w:rStyle w:val="1371"/>
          <w:b/>
          <w:bCs/>
          <w:szCs w:val="26"/>
        </w:rPr>
      </w:r>
      <w:r>
        <w:rPr>
          <w:rStyle w:val="1371"/>
          <w:b/>
          <w:bCs/>
          <w:szCs w:val="26"/>
        </w:rPr>
      </w:r>
    </w:p>
    <w:p>
      <w:pPr>
        <w:jc w:val="center"/>
        <w:widowControl w:val="off"/>
        <w:rPr>
          <w:rStyle w:val="1371"/>
          <w:b/>
          <w:bCs/>
          <w:szCs w:val="26"/>
        </w:rPr>
      </w:pPr>
      <w:r>
        <w:rPr>
          <w:b/>
          <w:bCs/>
          <w:szCs w:val="26"/>
        </w:rPr>
      </w:r>
      <w:r>
        <w:rPr>
          <w:rStyle w:val="1371"/>
          <w:b/>
          <w:bCs/>
          <w:szCs w:val="26"/>
        </w:rPr>
      </w:r>
      <w:r>
        <w:rPr>
          <w:rStyle w:val="1371"/>
          <w:b/>
          <w:bCs/>
          <w:szCs w:val="26"/>
        </w:rPr>
      </w:r>
    </w:p>
    <w:p>
      <w:pPr>
        <w:jc w:val="center"/>
        <w:widowControl w:val="off"/>
        <w:rPr>
          <w:rStyle w:val="1371"/>
          <w:szCs w:val="26"/>
        </w:rPr>
      </w:pPr>
      <w:r>
        <w:rPr>
          <w:rStyle w:val="1371"/>
          <w:szCs w:val="26"/>
        </w:rPr>
        <w:t xml:space="preserve">г. ________</w:t>
      </w:r>
      <w:r>
        <w:rPr>
          <w:rStyle w:val="1371"/>
          <w:szCs w:val="26"/>
        </w:rPr>
        <w:tab/>
      </w:r>
      <w:r>
        <w:rPr>
          <w:rStyle w:val="1371"/>
          <w:szCs w:val="26"/>
        </w:rPr>
        <w:tab/>
      </w:r>
      <w:r>
        <w:rPr>
          <w:rStyle w:val="1371"/>
          <w:szCs w:val="26"/>
        </w:rPr>
        <w:tab/>
      </w:r>
      <w:r>
        <w:rPr>
          <w:rStyle w:val="1371"/>
          <w:szCs w:val="26"/>
        </w:rPr>
        <w:tab/>
      </w:r>
      <w:r>
        <w:rPr>
          <w:rStyle w:val="1371"/>
          <w:szCs w:val="26"/>
        </w:rPr>
        <w:tab/>
      </w:r>
      <w:r>
        <w:rPr>
          <w:rStyle w:val="1371"/>
          <w:szCs w:val="26"/>
        </w:rPr>
        <w:tab/>
      </w:r>
      <w:r>
        <w:rPr>
          <w:rStyle w:val="1371"/>
          <w:szCs w:val="26"/>
        </w:rPr>
        <w:tab/>
      </w:r>
      <w:r>
        <w:rPr>
          <w:rStyle w:val="1371"/>
          <w:szCs w:val="26"/>
        </w:rPr>
        <w:tab/>
      </w:r>
      <w:r>
        <w:rPr>
          <w:rStyle w:val="1371"/>
          <w:szCs w:val="26"/>
        </w:rPr>
        <w:t xml:space="preserve">           </w:t>
      </w:r>
      <w:r>
        <w:rPr>
          <w:rStyle w:val="1371"/>
          <w:szCs w:val="26"/>
        </w:rPr>
        <w:t xml:space="preserve"> </w:t>
      </w:r>
      <w:r>
        <w:rPr>
          <w:rStyle w:val="1371"/>
          <w:szCs w:val="26"/>
        </w:rPr>
        <w:t xml:space="preserve">«___»</w:t>
      </w:r>
      <w:r>
        <w:rPr>
          <w:rStyle w:val="1371"/>
          <w:szCs w:val="26"/>
        </w:rPr>
        <w:t xml:space="preserve"> </w:t>
      </w:r>
      <w:r>
        <w:rPr>
          <w:rStyle w:val="1371"/>
          <w:szCs w:val="26"/>
        </w:rPr>
        <w:t xml:space="preserve">___________20__ г.</w:t>
      </w:r>
      <w:r>
        <w:rPr>
          <w:rStyle w:val="1371"/>
          <w:szCs w:val="26"/>
        </w:rPr>
      </w:r>
      <w:r>
        <w:rPr>
          <w:rStyle w:val="1371"/>
          <w:szCs w:val="26"/>
        </w:rPr>
      </w:r>
    </w:p>
    <w:p>
      <w:pPr>
        <w:jc w:val="center"/>
        <w:widowControl w:val="off"/>
        <w:rPr>
          <w:rStyle w:val="1371"/>
          <w:b/>
          <w:bCs/>
          <w:szCs w:val="26"/>
        </w:rPr>
      </w:pPr>
      <w:r>
        <w:rPr>
          <w:b/>
          <w:bCs/>
          <w:szCs w:val="26"/>
        </w:rPr>
      </w:r>
      <w:r>
        <w:rPr>
          <w:rStyle w:val="1371"/>
          <w:b/>
          <w:bCs/>
          <w:szCs w:val="26"/>
        </w:rPr>
      </w:r>
      <w:r>
        <w:rPr>
          <w:rStyle w:val="1371"/>
          <w:b/>
          <w:bCs/>
          <w:szCs w:val="26"/>
        </w:rPr>
      </w:r>
    </w:p>
    <w:p>
      <w:pPr>
        <w:ind w:firstLine="709"/>
        <w:spacing w:after="0"/>
        <w:widowControl w:val="off"/>
        <w:tabs>
          <w:tab w:val="left" w:pos="851" w:leader="none"/>
        </w:tabs>
        <w:rPr>
          <w:i/>
          <w:iCs/>
          <w:szCs w:val="26"/>
        </w:rPr>
      </w:pPr>
      <w:r>
        <w:rPr>
          <w:rStyle w:val="1371"/>
          <w:szCs w:val="26"/>
        </w:rPr>
        <w:t xml:space="preserve"> </w:t>
      </w:r>
      <w:r>
        <w:rPr>
          <w:rStyle w:val="1371"/>
        </w:rPr>
        <w:t xml:space="preserve">Мы информированы о том, что________________________ </w:t>
      </w:r>
      <w:r>
        <w:rPr>
          <w:rStyle w:val="1371"/>
          <w:i/>
          <w:iCs/>
        </w:rPr>
        <w:t xml:space="preserve">(наименование, ИНН</w:t>
      </w:r>
      <w:r>
        <w:rPr>
          <w:rStyle w:val="1371"/>
        </w:rPr>
        <w:t xml:space="preserve">), именуемое в дальнейшем «Принципал», намерен участвовать в закупочной процедуре на ___________________________________ </w:t>
      </w:r>
      <w:r>
        <w:rPr>
          <w:rStyle w:val="1371"/>
          <w:i/>
          <w:iCs/>
        </w:rPr>
        <w:t xml:space="preserve">(предмет закупки)</w:t>
      </w:r>
      <w:r>
        <w:rPr>
          <w:rStyle w:val="1371"/>
        </w:rPr>
        <w:t xml:space="preserve">, проводимой _____________________ (</w:t>
      </w:r>
      <w:r>
        <w:rPr>
          <w:rStyle w:val="1371"/>
          <w:i/>
          <w:iCs/>
        </w:rPr>
        <w:t xml:space="preserve">наименование бенефициара, ИНН)</w:t>
      </w:r>
      <w:r>
        <w:rPr>
          <w:rStyle w:val="1371"/>
        </w:rPr>
        <w:t xml:space="preserve">, именуемым в дальнейшем «Бенефициар»</w:t>
      </w:r>
      <w:r>
        <w:rPr>
          <w:rStyle w:val="1371"/>
          <w:i/>
          <w:iCs/>
        </w:rPr>
        <w:t xml:space="preserve">.</w:t>
      </w:r>
      <w:r>
        <w:rPr>
          <w:i/>
          <w:iCs/>
          <w:szCs w:val="26"/>
        </w:rPr>
      </w:r>
      <w:r>
        <w:rPr>
          <w:i/>
          <w:iCs/>
          <w:szCs w:val="26"/>
        </w:rPr>
      </w:r>
    </w:p>
    <w:p>
      <w:pPr>
        <w:ind w:firstLine="709"/>
        <w:spacing w:after="0"/>
        <w:widowControl w:val="off"/>
        <w:tabs>
          <w:tab w:val="left" w:pos="851" w:leader="none"/>
        </w:tabs>
        <w:rPr>
          <w:szCs w:val="26"/>
        </w:rPr>
      </w:pPr>
      <w:r>
        <w:rPr>
          <w:rStyle w:val="1371"/>
        </w:rPr>
        <w:t xml:space="preserve">В соответствии с условиями Документации о закупке Принципал обязан предоставить Бенефициару финансовое обеспечение заявки Принципала на сумму в размере ___________________________</w:t>
      </w:r>
      <w:r>
        <w:rPr>
          <w:rStyle w:val="1371"/>
        </w:rPr>
        <w:t xml:space="preserve"> </w:t>
      </w:r>
      <w:r>
        <w:rPr>
          <w:rStyle w:val="1371"/>
          <w:i/>
          <w:iCs/>
        </w:rPr>
        <w:t xml:space="preserve">(сумма цифрами и прописью</w:t>
      </w:r>
      <w:r>
        <w:rPr>
          <w:rStyle w:val="1371"/>
        </w:rPr>
        <w:t xml:space="preserve">).</w:t>
      </w:r>
      <w:r>
        <w:rPr>
          <w:szCs w:val="26"/>
        </w:rPr>
      </w:r>
      <w:r>
        <w:rPr>
          <w:szCs w:val="26"/>
        </w:rPr>
      </w:r>
    </w:p>
    <w:p>
      <w:pPr>
        <w:ind w:firstLine="709"/>
        <w:spacing w:after="0"/>
        <w:widowControl w:val="off"/>
        <w:tabs>
          <w:tab w:val="left" w:pos="851" w:leader="none"/>
        </w:tabs>
        <w:rPr>
          <w:szCs w:val="26"/>
        </w:rPr>
      </w:pPr>
      <w:r>
        <w:rPr>
          <w:rStyle w:val="1371"/>
        </w:rPr>
        <w:t xml:space="preserve">Учитывая вышеизложенное, по просьбе Принципала, мы, _________________________________ (</w:t>
      </w:r>
      <w:r>
        <w:rPr>
          <w:rStyle w:val="1371"/>
          <w:i/>
          <w:iCs/>
        </w:rPr>
        <w:t xml:space="preserve">реквизиты гаранта: наименование, ИНН, реквизиты лицензии на осуществлении банковских операций/иных документов, подтверждающих наличие у гаранта права на выдачу независимых гарантий</w:t>
      </w:r>
      <w:r>
        <w:rPr>
          <w:rStyle w:val="1371"/>
          <w:vertAlign w:val="superscript"/>
        </w:rPr>
        <w:footnoteReference w:id="9"/>
      </w:r>
      <w:r>
        <w:rPr>
          <w:rStyle w:val="1371"/>
        </w:rPr>
        <w:t xml:space="preserve">), в лице </w:t>
      </w:r>
      <w:r>
        <w:rPr>
          <w:rStyle w:val="1371"/>
          <w:i/>
          <w:iCs/>
        </w:rPr>
        <w:t xml:space="preserve">_____________(Ф. И. О. уполномоченного действовать от имени гаранта лица</w:t>
      </w:r>
      <w:r>
        <w:rPr>
          <w:rStyle w:val="1371"/>
        </w:rPr>
        <w:t xml:space="preserve">), действующего на основании _____________ (</w:t>
      </w:r>
      <w:r>
        <w:rPr>
          <w:rStyle w:val="1371"/>
          <w:i/>
          <w:iCs/>
        </w:rPr>
        <w:t xml:space="preserve">реквизиты доверенности)</w:t>
      </w:r>
      <w:r>
        <w:rPr>
          <w:rStyle w:val="1371"/>
        </w:rPr>
        <w:t xml:space="preserve">, именуемый в дальнейшем «Гарант», настоящим принимаем на себя безотзывное и безусловное обязательство выплатить по первому письменному требованию Бенефициара любую сумму, не превышающую __________________ </w:t>
      </w:r>
      <w:r>
        <w:rPr>
          <w:rStyle w:val="1371"/>
          <w:i/>
          <w:iCs/>
        </w:rPr>
        <w:t xml:space="preserve">(сумма цифрами и прописью</w:t>
      </w:r>
      <w:r>
        <w:rPr>
          <w:rStyle w:val="1371"/>
        </w:rPr>
        <w:t xml:space="preserve">), в случае:</w:t>
      </w:r>
      <w:r>
        <w:rPr>
          <w:szCs w:val="26"/>
        </w:rPr>
      </w:r>
      <w:r>
        <w:rPr>
          <w:szCs w:val="26"/>
        </w:rPr>
      </w:r>
    </w:p>
    <w:p>
      <w:pPr>
        <w:pStyle w:val="1334"/>
        <w:numPr>
          <w:ilvl w:val="0"/>
          <w:numId w:val="39"/>
        </w:numPr>
        <w:ind w:left="0" w:firstLine="709"/>
        <w:jc w:val="both"/>
        <w:tabs>
          <w:tab w:val="left" w:pos="992" w:leader="none"/>
        </w:tabs>
        <w:rPr>
          <w:szCs w:val="26"/>
        </w:rPr>
        <w:pBdr>
          <w:top w:val="none" w:color="000000" w:sz="4" w:space="0"/>
          <w:left w:val="none" w:color="000000" w:sz="4" w:space="0"/>
          <w:bottom w:val="none" w:color="000000" w:sz="4" w:space="0"/>
          <w:right w:val="none" w:color="000000" w:sz="4" w:space="0"/>
          <w:between w:val="none" w:color="000000" w:sz="4" w:space="0"/>
        </w:pBdr>
      </w:pPr>
      <w:r>
        <w:rPr>
          <w:rStyle w:val="1371"/>
        </w:rPr>
        <w:t xml:space="preserve">изменения на момент заключения договора состава Коллективного участника</w:t>
      </w:r>
      <w:r>
        <w:rPr>
          <w:rStyle w:val="1221"/>
        </w:rPr>
        <w:footnoteReference w:id="10"/>
      </w:r>
      <w:r>
        <w:rPr>
          <w:rStyle w:val="1371"/>
        </w:rPr>
        <w:t xml:space="preserve">;</w:t>
      </w:r>
      <w:r>
        <w:rPr>
          <w:szCs w:val="26"/>
        </w:rPr>
      </w:r>
      <w:r>
        <w:rPr>
          <w:szCs w:val="26"/>
        </w:rPr>
      </w:r>
    </w:p>
    <w:p>
      <w:pPr>
        <w:pStyle w:val="1334"/>
        <w:numPr>
          <w:ilvl w:val="0"/>
          <w:numId w:val="39"/>
        </w:numPr>
        <w:ind w:left="0" w:firstLine="709"/>
        <w:jc w:val="both"/>
        <w:tabs>
          <w:tab w:val="left" w:pos="992" w:leader="none"/>
        </w:tabs>
        <w:rPr>
          <w:szCs w:val="26"/>
        </w:rPr>
        <w:pBdr>
          <w:top w:val="none" w:color="000000" w:sz="4" w:space="0"/>
          <w:left w:val="none" w:color="000000" w:sz="4" w:space="0"/>
          <w:bottom w:val="none" w:color="000000" w:sz="4" w:space="0"/>
          <w:right w:val="none" w:color="000000" w:sz="4" w:space="0"/>
          <w:between w:val="none" w:color="000000" w:sz="4" w:space="0"/>
        </w:pBdr>
      </w:pPr>
      <w:r>
        <w:rPr>
          <w:rStyle w:val="1372"/>
        </w:rPr>
        <w:t xml:space="preserve">непредставления или предоставления с нарушением условий, установленных настоящей документ</w:t>
      </w:r>
      <w:r>
        <w:rPr>
          <w:rStyle w:val="1372"/>
        </w:rPr>
        <w:t xml:space="preserve">ацией о закупке, до заключения договора заказчику обеспечения исполнения договора (в случае, если в извещении о закупке и/или в документации о закупке установлены требования обеспечения исполнения договора и срок его предоставления до заключения договора);</w:t>
      </w:r>
      <w:r>
        <w:rPr>
          <w:szCs w:val="26"/>
        </w:rPr>
      </w:r>
      <w:r>
        <w:rPr>
          <w:szCs w:val="26"/>
        </w:rPr>
      </w:r>
    </w:p>
    <w:p>
      <w:pPr>
        <w:pStyle w:val="1334"/>
        <w:numPr>
          <w:ilvl w:val="0"/>
          <w:numId w:val="39"/>
        </w:numPr>
        <w:ind w:left="0" w:firstLine="709"/>
        <w:jc w:val="both"/>
        <w:tabs>
          <w:tab w:val="left" w:pos="992" w:leader="none"/>
        </w:tabs>
        <w:rPr>
          <w:szCs w:val="26"/>
        </w:rPr>
        <w:pBdr>
          <w:top w:val="none" w:color="000000" w:sz="4" w:space="0"/>
          <w:left w:val="none" w:color="000000" w:sz="4" w:space="0"/>
          <w:bottom w:val="none" w:color="000000" w:sz="4" w:space="0"/>
          <w:right w:val="none" w:color="000000" w:sz="4" w:space="0"/>
          <w:between w:val="none" w:color="000000" w:sz="4" w:space="0"/>
        </w:pBdr>
      </w:pPr>
      <w:r>
        <w:rPr>
          <w:rStyle w:val="1372"/>
        </w:rPr>
        <w:t xml:space="preserve">уклонения или отказа участника закупки от заключения договора</w:t>
      </w:r>
      <w:r>
        <w:t xml:space="preserve"> (договоров, если документацией о закупке предусмотрено заключение нескольких договоров по ее итогам)</w:t>
      </w:r>
      <w:r>
        <w:rPr>
          <w:szCs w:val="26"/>
        </w:rPr>
      </w:r>
      <w:r>
        <w:rPr>
          <w:szCs w:val="26"/>
        </w:rPr>
      </w:r>
    </w:p>
    <w:p>
      <w:pPr>
        <w:ind w:firstLine="709"/>
        <w:spacing w:after="0"/>
        <w:widowControl w:val="off"/>
        <w:tabs>
          <w:tab w:val="left" w:pos="851" w:leader="none"/>
        </w:tabs>
        <w:rPr>
          <w:szCs w:val="26"/>
        </w:rPr>
      </w:pPr>
      <w:r>
        <w:rPr>
          <w:rStyle w:val="1371"/>
        </w:rPr>
        <w:t xml:space="preserve">без споров и возражений с нашей стороны, не требуя от Бенефициара доказательств или обоснований требования на определенную в настоящей независимой гарантии сумму.</w:t>
      </w:r>
      <w:r>
        <w:rPr>
          <w:szCs w:val="26"/>
        </w:rPr>
      </w:r>
      <w:r>
        <w:rPr>
          <w:szCs w:val="26"/>
        </w:rPr>
      </w:r>
    </w:p>
    <w:p>
      <w:pPr>
        <w:ind w:firstLine="709"/>
        <w:spacing w:after="0"/>
        <w:widowControl w:val="off"/>
        <w:tabs>
          <w:tab w:val="left" w:pos="851" w:leader="none"/>
        </w:tabs>
        <w:rPr>
          <w:szCs w:val="26"/>
        </w:rPr>
      </w:pPr>
      <w:r>
        <w:rPr>
          <w:rStyle w:val="1371"/>
        </w:rPr>
        <w:t xml:space="preserve">Ответственность Гаранта за неисполнение требования по настоящей независимой гарантии не ограничивается суммой, на которую она выдана.</w:t>
      </w:r>
      <w:r>
        <w:rPr>
          <w:szCs w:val="26"/>
        </w:rPr>
      </w:r>
      <w:r>
        <w:rPr>
          <w:szCs w:val="26"/>
        </w:rPr>
      </w:r>
    </w:p>
    <w:p>
      <w:pPr>
        <w:ind w:firstLine="709"/>
        <w:spacing w:after="0"/>
        <w:widowControl w:val="off"/>
        <w:tabs>
          <w:tab w:val="left" w:pos="851" w:leader="none"/>
        </w:tabs>
        <w:rPr>
          <w:szCs w:val="26"/>
        </w:rPr>
      </w:pPr>
      <w:r>
        <w:rPr>
          <w:rStyle w:val="1371"/>
        </w:rPr>
        <w:t xml:space="preserve">За неисполнение принятых обязательств по независимой гарантии Гарант несет ответственность, предусмотренную законодательством Российской Федерации.</w:t>
      </w:r>
      <w:r>
        <w:rPr>
          <w:rStyle w:val="1371"/>
        </w:rPr>
        <w:tab/>
      </w:r>
      <w:r>
        <w:rPr>
          <w:szCs w:val="26"/>
        </w:rPr>
      </w:r>
      <w:r>
        <w:rPr>
          <w:szCs w:val="26"/>
        </w:rPr>
      </w:r>
    </w:p>
    <w:p>
      <w:pPr>
        <w:ind w:firstLine="709"/>
        <w:spacing w:after="0"/>
        <w:widowControl w:val="off"/>
        <w:tabs>
          <w:tab w:val="left" w:pos="851" w:leader="none"/>
        </w:tabs>
        <w:rPr>
          <w:szCs w:val="26"/>
        </w:rPr>
      </w:pPr>
      <w:r>
        <w:rPr>
          <w:rStyle w:val="1371"/>
        </w:rPr>
        <w:t xml:space="preserve">Настоящая независимая гарантия вступает в силу с _________20___года и действует по __________20___года (включительно). </w:t>
      </w:r>
      <w:r>
        <w:rPr>
          <w:szCs w:val="26"/>
        </w:rPr>
      </w:r>
      <w:r>
        <w:rPr>
          <w:szCs w:val="26"/>
        </w:rPr>
      </w:r>
    </w:p>
    <w:p>
      <w:pPr>
        <w:ind w:firstLine="709"/>
        <w:spacing w:after="0"/>
        <w:widowControl w:val="off"/>
        <w:tabs>
          <w:tab w:val="left" w:pos="851" w:leader="none"/>
        </w:tabs>
        <w:rPr>
          <w:szCs w:val="26"/>
        </w:rPr>
      </w:pPr>
      <w:r>
        <w:rPr>
          <w:rStyle w:val="1371"/>
        </w:rPr>
        <w:t xml:space="preserve">Письменное требование платежа должно быть направлено Гаранту до 24 часов 00 минут «___»</w:t>
      </w:r>
      <w:r>
        <w:rPr>
          <w:rStyle w:val="1371"/>
        </w:rPr>
        <w:t xml:space="preserve"> </w:t>
      </w:r>
      <w:r>
        <w:rPr>
          <w:rStyle w:val="1371"/>
        </w:rPr>
        <w:t xml:space="preserve">_________ (включительно) по адресу: __________________________ посредством почтовой связи либо передано нарочным непосредственно по адресу:</w:t>
      </w:r>
      <w:r>
        <w:rPr>
          <w:rStyle w:val="1371"/>
        </w:rPr>
        <w:t xml:space="preserve"> </w:t>
      </w:r>
      <w:r>
        <w:rPr>
          <w:rStyle w:val="1371"/>
        </w:rPr>
        <w:t xml:space="preserve">_______________________.</w:t>
      </w:r>
      <w:r>
        <w:rPr>
          <w:szCs w:val="26"/>
        </w:rPr>
      </w:r>
      <w:r>
        <w:rPr>
          <w:szCs w:val="26"/>
        </w:rPr>
      </w:r>
    </w:p>
    <w:p>
      <w:pPr>
        <w:ind w:firstLine="709"/>
        <w:spacing w:after="0"/>
        <w:widowControl w:val="off"/>
        <w:tabs>
          <w:tab w:val="left" w:pos="851" w:leader="none"/>
        </w:tabs>
        <w:rPr>
          <w:szCs w:val="26"/>
        </w:rPr>
      </w:pPr>
      <w:r>
        <w:rPr>
          <w:rStyle w:val="1371"/>
        </w:rPr>
        <w:t xml:space="preserve">Гарант по получении от Бенефициара письменного требования о выплате денежной суммы </w:t>
      </w:r>
      <w:r>
        <w:rPr>
          <w:rStyle w:val="1371"/>
        </w:rPr>
        <w:t xml:space="preserve">по настоящей независимой гарантии, обязуется в течение 10 рабочих дней с момента получения требования от Бенефициара, соответствующего условиям настоящей независимой гарантии, при отсутствии предусмотренных Граждан</w:t>
      </w:r>
      <w:r>
        <w:rPr>
          <w:rStyle w:val="1371"/>
        </w:rPr>
        <w:t xml:space="preserve">ским кодексом Российской Федерации оснований для отказа в удовлетворении этого требования выплатить Бенефициару денежные средства согласно условиям настоящей независимой гарантии. Расходы, возникающие в связи с перечислением денежных средств, несет Гарант.</w:t>
      </w:r>
      <w:r>
        <w:rPr>
          <w:szCs w:val="26"/>
        </w:rPr>
      </w:r>
      <w:r>
        <w:rPr>
          <w:szCs w:val="26"/>
        </w:rPr>
      </w:r>
    </w:p>
    <w:p>
      <w:pPr>
        <w:ind w:firstLine="709"/>
        <w:spacing w:after="0"/>
        <w:widowControl w:val="off"/>
        <w:tabs>
          <w:tab w:val="left" w:pos="851" w:leader="none"/>
        </w:tabs>
      </w:pPr>
      <w:r>
        <w:rPr>
          <w:rStyle w:val="1371"/>
        </w:rPr>
        <w:t xml:space="preserve">Гарантия не может быть отозвана Гарантом. Передача права требования по настоящей гарантии не допускается. </w:t>
      </w:r>
      <w:r/>
    </w:p>
    <w:p>
      <w:pPr>
        <w:ind w:firstLine="709"/>
        <w:spacing w:after="0"/>
        <w:widowControl w:val="off"/>
        <w:tabs>
          <w:tab w:val="left" w:pos="851" w:leader="none"/>
        </w:tabs>
        <w:rPr>
          <w:szCs w:val="26"/>
        </w:rPr>
      </w:pPr>
      <w:r>
        <w:rPr>
          <w:rStyle w:val="1371"/>
        </w:rPr>
        <w:t xml:space="preserve">Настоящая Гарантия может быть изменена Гарантом с письменного согласия Бенефициара. Все изменения к настоящей Гарантии должны быть оформлены в виде письменного документа - Изменения к независимой гарантии. </w:t>
      </w:r>
      <w:r>
        <w:rPr>
          <w:szCs w:val="26"/>
        </w:rPr>
      </w:r>
      <w:r>
        <w:rPr>
          <w:szCs w:val="26"/>
        </w:rPr>
      </w:r>
    </w:p>
    <w:p>
      <w:pPr>
        <w:ind w:firstLine="709"/>
        <w:spacing w:after="0"/>
        <w:widowControl w:val="off"/>
        <w:tabs>
          <w:tab w:val="left" w:pos="851" w:leader="none"/>
        </w:tabs>
        <w:rPr>
          <w:szCs w:val="26"/>
        </w:rPr>
      </w:pPr>
      <w:r>
        <w:rPr>
          <w:rStyle w:val="1371"/>
        </w:rPr>
        <w:t xml:space="preserve">Письменное согласие Бенефициар</w:t>
      </w:r>
      <w:r>
        <w:rPr>
          <w:rStyle w:val="1371"/>
        </w:rPr>
        <w:t xml:space="preserve">а на изменение соответствующих условий настоящей гарантии направляется Гаранту до внесения изменений в гарантию. Изменения в условия гарантии вступают в силу с даты их выпуска Гарантом, если иной момент вступления их в силу не определен в таких изменениях.</w:t>
      </w:r>
      <w:r>
        <w:rPr>
          <w:szCs w:val="26"/>
        </w:rPr>
      </w:r>
      <w:r>
        <w:rPr>
          <w:szCs w:val="26"/>
        </w:rPr>
      </w:r>
    </w:p>
    <w:p>
      <w:pPr>
        <w:ind w:firstLine="709"/>
        <w:spacing w:after="0"/>
        <w:widowControl w:val="off"/>
        <w:tabs>
          <w:tab w:val="left" w:pos="851" w:leader="none"/>
        </w:tabs>
        <w:rPr>
          <w:szCs w:val="26"/>
        </w:rPr>
      </w:pPr>
      <w:r>
        <w:rPr>
          <w:rStyle w:val="1371"/>
        </w:rPr>
        <w:t xml:space="preserve">Гарант передает сведения о Принципале, определенные ст. 4 Федерального закона от 30.12.200</w:t>
      </w:r>
      <w:r>
        <w:rPr>
          <w:rStyle w:val="1371"/>
        </w:rPr>
        <w:t xml:space="preserve">4 № 218-ФЗ «О кредитных историях», хотя бы в одно бюро кредитных историй, включенное в государственный реестр бюро кредитных историй, без получения согласий Принципала на их представление в соответствии с требованиями ч. 3.1 и ч. 4 ст. 5 указанного Закона.</w:t>
      </w:r>
      <w:r>
        <w:rPr>
          <w:szCs w:val="26"/>
        </w:rPr>
      </w:r>
      <w:r>
        <w:rPr>
          <w:szCs w:val="26"/>
        </w:rPr>
      </w:r>
    </w:p>
    <w:p>
      <w:pPr>
        <w:ind w:firstLine="709"/>
        <w:spacing w:after="0"/>
        <w:widowControl w:val="off"/>
        <w:tabs>
          <w:tab w:val="left" w:pos="851" w:leader="none"/>
        </w:tabs>
        <w:rPr>
          <w:szCs w:val="26"/>
        </w:rPr>
      </w:pPr>
      <w:r>
        <w:rPr>
          <w:rStyle w:val="1371"/>
        </w:rPr>
        <w:t xml:space="preserve">Действие настоящей независимой гарантии регулируется законодательством Российской Федерации. </w:t>
      </w:r>
      <w:r>
        <w:rPr>
          <w:szCs w:val="26"/>
        </w:rPr>
      </w:r>
      <w:r>
        <w:rPr>
          <w:szCs w:val="26"/>
        </w:rPr>
      </w:r>
    </w:p>
    <w:p>
      <w:pPr>
        <w:ind w:firstLine="709"/>
        <w:widowControl w:val="off"/>
        <w:rPr>
          <w:rStyle w:val="1371"/>
          <w:bCs/>
          <w:i/>
        </w:rPr>
      </w:pPr>
      <w:r>
        <w:rPr>
          <w:rStyle w:val="1371"/>
        </w:rPr>
        <w:t xml:space="preserve">Все споры, возникающие в связи с действительностью, толкованием или исполнением настоящей независимой гарантии, подлежат рассмотрению в Арбитражном суде Ростовской области</w:t>
      </w:r>
      <w:r>
        <w:rPr>
          <w:rStyle w:val="1371"/>
          <w:szCs w:val="26"/>
        </w:rPr>
        <w:t xml:space="preserve">.</w:t>
      </w:r>
      <w:r>
        <w:rPr>
          <w:rStyle w:val="1371"/>
          <w:bCs/>
          <w:i/>
        </w:rPr>
      </w:r>
      <w:r>
        <w:rPr>
          <w:rStyle w:val="1371"/>
          <w:bCs/>
          <w:i/>
        </w:rPr>
      </w:r>
    </w:p>
    <w:p>
      <w:pPr>
        <w:widowControl w:val="off"/>
        <w:tabs>
          <w:tab w:val="left" w:pos="1080" w:leader="none"/>
        </w:tabs>
        <w:rPr>
          <w:rStyle w:val="1372"/>
          <w:szCs w:val="26"/>
        </w:rPr>
      </w:pPr>
      <w:r>
        <w:rPr>
          <w:szCs w:val="26"/>
        </w:rPr>
      </w:r>
      <w:r>
        <w:rPr>
          <w:rStyle w:val="1372"/>
          <w:szCs w:val="26"/>
        </w:rPr>
      </w:r>
      <w:r>
        <w:rPr>
          <w:rStyle w:val="1372"/>
          <w:szCs w:val="26"/>
        </w:rPr>
      </w:r>
    </w:p>
    <w:tbl>
      <w:tblPr>
        <w:tblW w:w="9345"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left w:w="0" w:type="dxa"/>
          <w:right w:w="0" w:type="dxa"/>
        </w:tblCellMar>
        <w:tblLook w:val="04A0" w:firstRow="1" w:lastRow="0" w:firstColumn="1" w:lastColumn="0" w:noHBand="0" w:noVBand="1"/>
      </w:tblPr>
      <w:tblGrid>
        <w:gridCol w:w="3115"/>
        <w:gridCol w:w="3115"/>
        <w:gridCol w:w="3115"/>
      </w:tblGrid>
      <w:tr>
        <w:tblPrEx/>
        <w:trPr>
          <w:trHeight w:val="309"/>
        </w:trPr>
        <w:tc>
          <w:tcPr>
            <w:shd w:val="clear" w:color="auto" w:fill="auto"/>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115" w:type="dxa"/>
            <w:textDirection w:val="lrTb"/>
            <w:noWrap w:val="false"/>
          </w:tcPr>
          <w:p>
            <w:pPr>
              <w:jc w:val="center"/>
              <w:widowControl w:val="off"/>
              <w:rPr>
                <w:sz w:val="22"/>
              </w:rPr>
            </w:pPr>
            <w:r>
              <w:rPr>
                <w:rStyle w:val="1371"/>
                <w:szCs w:val="26"/>
              </w:rPr>
              <w:t xml:space="preserve">Представитель </w:t>
            </w:r>
            <w:r>
              <w:rPr>
                <w:rStyle w:val="1371"/>
                <w:i/>
                <w:iCs/>
                <w:szCs w:val="26"/>
              </w:rPr>
              <w:t xml:space="preserve">________</w:t>
            </w:r>
            <w:r>
              <w:rPr>
                <w:sz w:val="22"/>
              </w:rPr>
            </w:r>
            <w:r>
              <w:rPr>
                <w:sz w:val="22"/>
              </w:rPr>
            </w:r>
          </w:p>
        </w:tc>
        <w:tc>
          <w:tcPr>
            <w:shd w:val="clear" w:color="auto" w:fill="auto"/>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115" w:type="dxa"/>
            <w:textDirection w:val="lrTb"/>
            <w:noWrap w:val="false"/>
          </w:tcPr>
          <w:p>
            <w:pPr>
              <w:jc w:val="center"/>
              <w:widowControl w:val="off"/>
              <w:rPr>
                <w:sz w:val="22"/>
              </w:rPr>
            </w:pPr>
            <w:r>
              <w:rPr>
                <w:rStyle w:val="1371"/>
                <w:i/>
                <w:iCs/>
                <w:szCs w:val="26"/>
              </w:rPr>
              <w:t xml:space="preserve">______________</w:t>
            </w:r>
            <w:r>
              <w:rPr>
                <w:sz w:val="22"/>
              </w:rPr>
            </w:r>
            <w:r>
              <w:rPr>
                <w:sz w:val="22"/>
              </w:rPr>
            </w:r>
          </w:p>
        </w:tc>
        <w:tc>
          <w:tcPr>
            <w:shd w:val="clear" w:color="auto" w:fill="auto"/>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115" w:type="dxa"/>
            <w:textDirection w:val="lrTb"/>
            <w:noWrap w:val="false"/>
          </w:tcPr>
          <w:p>
            <w:pPr>
              <w:jc w:val="center"/>
              <w:widowControl w:val="off"/>
              <w:rPr>
                <w:sz w:val="22"/>
              </w:rPr>
            </w:pPr>
            <w:r>
              <w:rPr>
                <w:rStyle w:val="1371"/>
                <w:i/>
                <w:iCs/>
                <w:szCs w:val="26"/>
              </w:rPr>
              <w:t xml:space="preserve">_____________</w:t>
            </w:r>
            <w:r>
              <w:rPr>
                <w:sz w:val="22"/>
              </w:rPr>
            </w:r>
            <w:r>
              <w:rPr>
                <w:sz w:val="22"/>
              </w:rPr>
            </w:r>
          </w:p>
        </w:tc>
      </w:tr>
      <w:tr>
        <w:tblPrEx/>
        <w:trPr>
          <w:trHeight w:val="309"/>
        </w:trPr>
        <w:tc>
          <w:tcPr>
            <w:shd w:val="clear" w:color="auto" w:fill="auto"/>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115" w:type="dxa"/>
            <w:textDirection w:val="lrTb"/>
            <w:noWrap w:val="false"/>
          </w:tcPr>
          <w:p>
            <w:pPr>
              <w:jc w:val="center"/>
              <w:widowControl w:val="off"/>
              <w:rPr>
                <w:sz w:val="14"/>
                <w:szCs w:val="16"/>
              </w:rPr>
            </w:pPr>
            <w:r>
              <w:rPr>
                <w:rStyle w:val="1371"/>
                <w:i/>
                <w:iCs/>
                <w:sz w:val="20"/>
                <w:szCs w:val="22"/>
              </w:rPr>
              <w:t xml:space="preserve">(наименование Гаранта)</w:t>
            </w:r>
            <w:r>
              <w:rPr>
                <w:sz w:val="14"/>
                <w:szCs w:val="16"/>
              </w:rPr>
            </w:r>
            <w:r>
              <w:rPr>
                <w:sz w:val="14"/>
                <w:szCs w:val="16"/>
              </w:rPr>
            </w:r>
          </w:p>
        </w:tc>
        <w:tc>
          <w:tcPr>
            <w:shd w:val="clear" w:color="auto" w:fill="auto"/>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115" w:type="dxa"/>
            <w:textDirection w:val="lrTb"/>
            <w:noWrap w:val="false"/>
          </w:tcPr>
          <w:p>
            <w:pPr>
              <w:jc w:val="center"/>
              <w:widowControl w:val="off"/>
              <w:rPr>
                <w:sz w:val="14"/>
                <w:szCs w:val="16"/>
              </w:rPr>
            </w:pPr>
            <w:r>
              <w:rPr>
                <w:rStyle w:val="1371"/>
                <w:i/>
                <w:iCs/>
                <w:sz w:val="20"/>
                <w:szCs w:val="22"/>
              </w:rPr>
              <w:t xml:space="preserve">(подпись)</w:t>
            </w:r>
            <w:r>
              <w:rPr>
                <w:sz w:val="14"/>
                <w:szCs w:val="16"/>
              </w:rPr>
            </w:r>
            <w:r>
              <w:rPr>
                <w:sz w:val="14"/>
                <w:szCs w:val="16"/>
              </w:rPr>
            </w:r>
          </w:p>
        </w:tc>
        <w:tc>
          <w:tcPr>
            <w:shd w:val="clear" w:color="auto" w:fill="auto"/>
            <w:tcBorders>
              <w:top w:val="none" w:color="000000" w:sz="4" w:space="0"/>
              <w:left w:val="none" w:color="000000" w:sz="4" w:space="0"/>
              <w:bottom w:val="none" w:color="000000" w:sz="4" w:space="0"/>
              <w:right w:val="none" w:color="000000" w:sz="4" w:space="0"/>
            </w:tcBorders>
            <w:tcMar>
              <w:left w:w="80" w:type="dxa"/>
              <w:top w:w="80" w:type="dxa"/>
              <w:right w:w="80" w:type="dxa"/>
              <w:bottom w:w="80" w:type="dxa"/>
            </w:tcMar>
            <w:tcW w:w="3115" w:type="dxa"/>
            <w:textDirection w:val="lrTb"/>
            <w:noWrap w:val="false"/>
          </w:tcPr>
          <w:p>
            <w:pPr>
              <w:jc w:val="center"/>
              <w:widowControl w:val="off"/>
              <w:rPr>
                <w:sz w:val="14"/>
                <w:szCs w:val="16"/>
              </w:rPr>
            </w:pPr>
            <w:r>
              <w:rPr>
                <w:rStyle w:val="1371"/>
                <w:i/>
                <w:iCs/>
                <w:sz w:val="20"/>
                <w:szCs w:val="22"/>
              </w:rPr>
              <w:t xml:space="preserve">(Ф.</w:t>
            </w:r>
            <w:r>
              <w:rPr>
                <w:rStyle w:val="1371"/>
                <w:i/>
                <w:iCs/>
                <w:sz w:val="20"/>
                <w:szCs w:val="22"/>
                <w:lang w:val="en-US"/>
              </w:rPr>
              <w:t xml:space="preserve"> </w:t>
            </w:r>
            <w:r>
              <w:rPr>
                <w:rStyle w:val="1371"/>
                <w:i/>
                <w:iCs/>
                <w:sz w:val="20"/>
                <w:szCs w:val="22"/>
              </w:rPr>
              <w:t xml:space="preserve">И.</w:t>
            </w:r>
            <w:r>
              <w:rPr>
                <w:rStyle w:val="1371"/>
                <w:i/>
                <w:iCs/>
                <w:sz w:val="20"/>
                <w:szCs w:val="22"/>
                <w:lang w:val="en-US"/>
              </w:rPr>
              <w:t xml:space="preserve"> </w:t>
            </w:r>
            <w:r>
              <w:rPr>
                <w:rStyle w:val="1371"/>
                <w:i/>
                <w:iCs/>
                <w:sz w:val="20"/>
                <w:szCs w:val="22"/>
              </w:rPr>
              <w:t xml:space="preserve">О.) </w:t>
            </w:r>
            <w:r>
              <w:rPr>
                <w:sz w:val="14"/>
                <w:szCs w:val="16"/>
              </w:rPr>
            </w:r>
            <w:r>
              <w:rPr>
                <w:sz w:val="14"/>
                <w:szCs w:val="16"/>
              </w:rPr>
            </w:r>
          </w:p>
        </w:tc>
      </w:tr>
    </w:tbl>
    <w:p>
      <w:pPr>
        <w:widowControl w:val="off"/>
        <w:tabs>
          <w:tab w:val="left" w:pos="1080" w:leader="none"/>
        </w:tabs>
        <w:rPr>
          <w:rStyle w:val="1372"/>
          <w:szCs w:val="26"/>
        </w:rPr>
      </w:pPr>
      <w:r>
        <w:rPr>
          <w:szCs w:val="26"/>
        </w:rPr>
      </w:r>
      <w:r>
        <w:rPr>
          <w:rStyle w:val="1372"/>
          <w:szCs w:val="26"/>
        </w:rPr>
      </w:r>
      <w:r>
        <w:rPr>
          <w:rStyle w:val="1372"/>
          <w:szCs w:val="26"/>
        </w:rPr>
      </w:r>
    </w:p>
    <w:p>
      <w:pPr>
        <w:ind w:firstLine="709"/>
        <w:widowControl w:val="off"/>
        <w:rPr>
          <w:rStyle w:val="1371"/>
          <w:i/>
          <w:szCs w:val="26"/>
        </w:rPr>
      </w:pPr>
      <w:r>
        <w:rPr>
          <w:rStyle w:val="1371"/>
          <w:i/>
          <w:szCs w:val="26"/>
        </w:rPr>
        <w:t xml:space="preserve">                                                                                           м.п.</w:t>
      </w:r>
      <w:r>
        <w:rPr>
          <w:rStyle w:val="1371"/>
          <w:i/>
          <w:szCs w:val="26"/>
        </w:rPr>
      </w:r>
      <w:r>
        <w:rPr>
          <w:rStyle w:val="1371"/>
          <w:i/>
          <w:szCs w:val="26"/>
        </w:rPr>
      </w:r>
    </w:p>
    <w:p>
      <w:r/>
      <w:r/>
    </w:p>
    <w:p>
      <w:pPr>
        <w:pStyle w:val="1013"/>
        <w:ind w:left="540" w:firstLine="0"/>
        <w:pageBreakBefore/>
        <w:spacing w:before="0" w:after="0"/>
        <w:tabs>
          <w:tab w:val="clear" w:pos="432" w:leader="none"/>
        </w:tabs>
        <w:rPr>
          <w:rStyle w:val="1316"/>
          <w:b/>
          <w:caps/>
          <w:sz w:val="24"/>
          <w:szCs w:val="24"/>
        </w:rPr>
      </w:pPr>
      <w:r>
        <w:rPr>
          <w:rStyle w:val="1316"/>
          <w:b/>
          <w:caps/>
          <w:sz w:val="24"/>
          <w:szCs w:val="24"/>
          <w:lang w:val="en-US"/>
        </w:rPr>
        <w:t xml:space="preserve">IV</w:t>
      </w:r>
      <w:r>
        <w:rPr>
          <w:rStyle w:val="1316"/>
          <w:b/>
          <w:caps/>
          <w:sz w:val="24"/>
          <w:szCs w:val="24"/>
        </w:rPr>
        <w:t xml:space="preserve">. </w:t>
      </w:r>
      <w:bookmarkEnd w:id="152"/>
      <w:r/>
      <w:bookmarkEnd w:id="153"/>
      <w:r/>
      <w:bookmarkEnd w:id="154"/>
      <w:r/>
      <w:bookmarkEnd w:id="155"/>
      <w:r/>
      <w:bookmarkEnd w:id="156"/>
      <w:r/>
      <w:bookmarkEnd w:id="157"/>
      <w:r/>
      <w:bookmarkEnd w:id="158"/>
      <w:r/>
      <w:bookmarkEnd w:id="159"/>
      <w:r>
        <w:rPr>
          <w:rStyle w:val="1316"/>
          <w:b/>
          <w:caps/>
          <w:sz w:val="24"/>
          <w:szCs w:val="24"/>
        </w:rPr>
        <w:t xml:space="preserve">ТЕХНИЧЕСКИЕ ТРЕБОВА</w:t>
      </w:r>
      <w:r>
        <w:rPr>
          <w:rStyle w:val="1316"/>
          <w:b/>
          <w:bCs/>
          <w:caps/>
          <w:sz w:val="24"/>
          <w:szCs w:val="24"/>
        </w:rPr>
        <w:t xml:space="preserve">НИЯ НА </w:t>
      </w:r>
      <w:r>
        <w:rPr>
          <w:rStyle w:val="1316"/>
          <w:b/>
          <w:bCs/>
          <w:caps/>
          <w:sz w:val="24"/>
          <w:szCs w:val="24"/>
        </w:rPr>
        <w:t xml:space="preserve">ВЫПОЛНЕНИЕ РАБОТ</w:t>
      </w:r>
      <w:r>
        <w:rPr>
          <w:rStyle w:val="1316"/>
          <w:b/>
          <w:caps/>
          <w:sz w:val="24"/>
          <w:szCs w:val="24"/>
        </w:rPr>
      </w:r>
      <w:r>
        <w:rPr>
          <w:rStyle w:val="1316"/>
          <w:b/>
          <w:caps/>
          <w:sz w:val="24"/>
          <w:szCs w:val="24"/>
        </w:rPr>
      </w:r>
    </w:p>
    <w:p>
      <w:r/>
      <w:r/>
    </w:p>
    <w:p>
      <w:pPr>
        <w:pStyle w:val="1189"/>
        <w:ind w:left="0" w:firstLine="567"/>
        <w:tabs>
          <w:tab w:val="clear" w:pos="1492" w:leader="none"/>
        </w:tabs>
      </w:pPr>
      <w:r>
        <w:t xml:space="preserve">Технические требования на выполнение работ приведены в приложении № 1 к настоящей документации о закупке.</w:t>
      </w:r>
      <w:r/>
    </w:p>
    <w:p>
      <w:pPr>
        <w:pStyle w:val="1189"/>
        <w:ind w:left="0" w:firstLine="567"/>
        <w:tabs>
          <w:tab w:val="clear" w:pos="1492" w:leader="none"/>
        </w:tabs>
      </w:pPr>
      <w:r/>
      <w:r/>
    </w:p>
    <w:p>
      <w:r/>
      <w:r/>
    </w:p>
    <w:p>
      <w:pPr>
        <w:jc w:val="left"/>
        <w:spacing w:after="0"/>
        <w:rPr>
          <w:bCs/>
        </w:rPr>
      </w:pPr>
      <w:r>
        <w:rPr>
          <w:rStyle w:val="1316"/>
          <w:b w:val="0"/>
          <w:caps/>
          <w:sz w:val="24"/>
          <w:szCs w:val="24"/>
        </w:rPr>
        <w:br w:type="page" w:clear="all"/>
      </w:r>
      <w:r>
        <w:rPr>
          <w:bCs/>
        </w:rPr>
      </w:r>
      <w:r>
        <w:rPr>
          <w:bCs/>
        </w:rPr>
      </w:r>
    </w:p>
    <w:p>
      <w:pPr>
        <w:pStyle w:val="1013"/>
        <w:ind w:left="0" w:firstLine="0"/>
        <w:spacing w:before="0" w:after="0"/>
        <w:tabs>
          <w:tab w:val="clear" w:pos="432" w:leader="none"/>
        </w:tabs>
        <w:rPr>
          <w:rStyle w:val="1316"/>
          <w:b/>
          <w:sz w:val="24"/>
          <w:szCs w:val="24"/>
        </w:rPr>
      </w:pPr>
      <w:r/>
      <w:bookmarkStart w:id="161" w:name="_Ref166247676"/>
      <w:r/>
      <w:bookmarkStart w:id="162" w:name="_Toc106"/>
      <w:r>
        <w:rPr>
          <w:rStyle w:val="1316"/>
          <w:b/>
          <w:sz w:val="24"/>
          <w:szCs w:val="24"/>
          <w:lang w:val="en-US"/>
        </w:rPr>
        <w:t xml:space="preserve">V</w:t>
      </w:r>
      <w:r>
        <w:rPr>
          <w:rStyle w:val="1316"/>
          <w:b/>
          <w:sz w:val="24"/>
          <w:szCs w:val="24"/>
        </w:rPr>
        <w:t xml:space="preserve">. </w:t>
      </w:r>
      <w:bookmarkEnd w:id="161"/>
      <w:r>
        <w:rPr>
          <w:rStyle w:val="1316"/>
          <w:b/>
          <w:caps/>
          <w:sz w:val="24"/>
          <w:szCs w:val="24"/>
        </w:rPr>
        <w:t xml:space="preserve">ПРОЕКТ ДОГОВОРА</w:t>
      </w:r>
      <w:r>
        <w:rPr>
          <w:rStyle w:val="1316"/>
          <w:b/>
          <w:sz w:val="24"/>
          <w:szCs w:val="24"/>
        </w:rPr>
        <w:t xml:space="preserve"> </w:t>
      </w:r>
      <w:bookmarkEnd w:id="162"/>
      <w:r>
        <w:rPr>
          <w:rStyle w:val="1316"/>
          <w:b/>
          <w:sz w:val="24"/>
          <w:szCs w:val="24"/>
        </w:rPr>
      </w:r>
      <w:r>
        <w:rPr>
          <w:rStyle w:val="1316"/>
          <w:b/>
          <w:sz w:val="24"/>
          <w:szCs w:val="24"/>
        </w:rPr>
      </w:r>
    </w:p>
    <w:p>
      <w:r/>
      <w:r/>
    </w:p>
    <w:p>
      <w:pPr>
        <w:pStyle w:val="1189"/>
        <w:ind w:left="0" w:firstLine="567"/>
        <w:tabs>
          <w:tab w:val="clear" w:pos="1492" w:leader="none"/>
        </w:tabs>
      </w:pPr>
      <w:r>
        <w:t xml:space="preserve">Проект договора на </w:t>
      </w:r>
      <w:r>
        <w:t xml:space="preserve">выполнение работ</w:t>
      </w:r>
      <w:r>
        <w:t xml:space="preserve"> приведен в приложении № 2 к настоящей документации о закупке.</w:t>
      </w:r>
      <w:r/>
    </w:p>
    <w:p>
      <w:pPr>
        <w:ind w:firstLine="567"/>
      </w:pPr>
      <w:r/>
      <w:r/>
    </w:p>
    <w:p>
      <w:r/>
      <w:r/>
    </w:p>
    <w:p>
      <w:r/>
      <w:r/>
    </w:p>
    <w:p>
      <w:pPr>
        <w:ind w:firstLine="567"/>
        <w:spacing w:after="0"/>
        <w:rPr>
          <w:rStyle w:val="1316"/>
          <w:b w:val="0"/>
          <w:sz w:val="28"/>
          <w:szCs w:val="28"/>
        </w:rPr>
      </w:pPr>
      <w:r>
        <w:rPr>
          <w:b w:val="0"/>
          <w:sz w:val="28"/>
          <w:szCs w:val="28"/>
        </w:rPr>
      </w:r>
      <w:r>
        <w:rPr>
          <w:rStyle w:val="1316"/>
          <w:b w:val="0"/>
          <w:sz w:val="28"/>
          <w:szCs w:val="28"/>
        </w:rPr>
      </w:r>
      <w:r>
        <w:rPr>
          <w:rStyle w:val="1316"/>
          <w:b w:val="0"/>
          <w:sz w:val="28"/>
          <w:szCs w:val="28"/>
        </w:rPr>
      </w:r>
    </w:p>
    <w:sectPr>
      <w:footerReference w:type="default" r:id="rId19"/>
      <w:footnotePr>
        <w:numRestart w:val="eachPage"/>
      </w:footnotePr>
      <w:endnotePr/>
      <w:type w:val="nextPage"/>
      <w:pgSz w:w="11906" w:h="16838" w:orient="portrait"/>
      <w:pgMar w:top="902" w:right="567" w:bottom="1077" w:left="1134"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p>
      <w:r/>
      <w:r/>
    </w:p>
  </w:endnote>
  <w:endnote w:type="continuationSeparator" w:id="0">
    <w:p>
      <w:r>
        <w:continuationSeparator/>
      </w:r>
      <w:r/>
    </w:p>
    <w:p>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font>
  <w:font w:name="Arial (WT)">
    <w:panose1 w:val="020B0604020202020204"/>
  </w:font>
  <w:font w:name="Symbol">
    <w:panose1 w:val="05010000000000000000"/>
  </w:font>
  <w:font w:name="Wingdings">
    <w:panose1 w:val="05010000000000000000"/>
  </w:font>
  <w:font w:name="MS Mincho">
    <w:panose1 w:val="02020603050405090304"/>
  </w:font>
  <w:font w:name="Courier New">
    <w:panose1 w:val="02070309020205020404"/>
  </w:font>
  <w:font w:name="TimesDL">
    <w:panose1 w:val="02000603000000000000"/>
  </w:font>
  <w:font w:name="Courier">
    <w:panose1 w:val="02070309020205020404"/>
  </w:font>
  <w:font w:name="Cambria">
    <w:panose1 w:val="02040503050406030204"/>
  </w:font>
  <w:font w:name="Times New Roman">
    <w:panose1 w:val="02020603050405020304"/>
  </w:font>
  <w:font w:name="Arial Narrow">
    <w:panose1 w:val="020B0604020202020204"/>
  </w:font>
  <w:font w:name="Calibri">
    <w:panose1 w:val="020F0502020204030204"/>
  </w:font>
  <w:font w:name="Arial Unicode MS">
    <w:panose1 w:val="020B06040202020202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25"/>
      <w:rPr>
        <w:rStyle w:val="1224"/>
        <w:i/>
        <w:sz w:val="22"/>
        <w:szCs w:val="22"/>
      </w:rPr>
      <w:framePr w:wrap="auto" w:vAnchor="text" w:hAnchor="margin" w:xAlign="right" w:y="1"/>
    </w:pPr>
    <w:r>
      <w:rPr>
        <w:rStyle w:val="1224"/>
        <w:i/>
        <w:sz w:val="22"/>
        <w:szCs w:val="22"/>
      </w:rPr>
      <w:fldChar w:fldCharType="begin"/>
    </w:r>
    <w:r>
      <w:rPr>
        <w:rStyle w:val="1224"/>
        <w:i/>
        <w:sz w:val="22"/>
        <w:szCs w:val="22"/>
      </w:rPr>
      <w:instrText xml:space="preserve">PAGE  </w:instrText>
    </w:r>
    <w:r>
      <w:rPr>
        <w:rStyle w:val="1224"/>
        <w:i/>
        <w:sz w:val="22"/>
        <w:szCs w:val="22"/>
      </w:rPr>
      <w:fldChar w:fldCharType="separate"/>
    </w:r>
    <w:r>
      <w:rPr>
        <w:rStyle w:val="1224"/>
        <w:i/>
        <w:sz w:val="22"/>
        <w:szCs w:val="22"/>
      </w:rPr>
      <w:t xml:space="preserve">63</w:t>
    </w:r>
    <w:r>
      <w:rPr>
        <w:rStyle w:val="1224"/>
        <w:i/>
        <w:sz w:val="22"/>
        <w:szCs w:val="22"/>
      </w:rPr>
      <w:fldChar w:fldCharType="end"/>
    </w:r>
    <w:r>
      <w:rPr>
        <w:rStyle w:val="1224"/>
        <w:i/>
        <w:sz w:val="22"/>
        <w:szCs w:val="22"/>
      </w:rPr>
    </w:r>
    <w:r>
      <w:rPr>
        <w:rStyle w:val="1224"/>
        <w:i/>
        <w:sz w:val="22"/>
        <w:szCs w:val="22"/>
      </w:rPr>
    </w:r>
  </w:p>
  <w:p>
    <w:pPr>
      <w:pStyle w:val="1225"/>
      <w:ind w:right="360"/>
      <w:jc w:val="center"/>
      <w:tabs>
        <w:tab w:val="right" w:pos="9840" w:leader="none"/>
      </w:tabs>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p>
      <w:r/>
      <w:r/>
    </w:p>
  </w:footnote>
  <w:footnote w:type="continuationSeparator" w:id="0">
    <w:p>
      <w:r>
        <w:continuationSeparator/>
      </w:r>
      <w:r/>
    </w:p>
    <w:p>
      <w:r/>
      <w:r/>
    </w:p>
  </w:footnote>
  <w:footnote w:id="2">
    <w:p>
      <w:pPr>
        <w:pStyle w:val="1222"/>
      </w:pPr>
      <w:r>
        <w:rPr>
          <w:rStyle w:val="1221"/>
        </w:rPr>
        <w:footnoteRef/>
      </w:r>
      <w:r>
        <w:t xml:space="preserve"> В соответствии с Постановлением Правительства Российской Федерации от 17.07.2015 № 719 «О подтверждении производства российской промышленной продукции».</w:t>
      </w:r>
      <w:r/>
    </w:p>
  </w:footnote>
  <w:footnote w:id="3">
    <w:p>
      <w:pPr>
        <w:pStyle w:val="1222"/>
      </w:pPr>
      <w:r>
        <w:rPr>
          <w:rStyle w:val="1221"/>
        </w:rPr>
        <w:footnoteRef/>
      </w:r>
      <w:r>
        <w:t xml:space="preserve"> Данные по банку на последнюю отчетную дату </w:t>
      </w:r>
      <w:hyperlink r:id="rId1" w:tooltip="http://cbr.ru/banking_sector/credit/" w:history="1">
        <w:r>
          <w:rPr>
            <w:rStyle w:val="1241"/>
          </w:rPr>
          <w:t xml:space="preserve">http://cbr.ru/banking_sector/credit/</w:t>
        </w:r>
      </w:hyperlink>
      <w:r/>
      <w:r/>
    </w:p>
  </w:footnote>
  <w:footnote w:id="4">
    <w:p>
      <w:pPr>
        <w:pStyle w:val="1222"/>
      </w:pPr>
      <w:r>
        <w:rPr>
          <w:rStyle w:val="1221"/>
        </w:rPr>
        <w:footnoteRef/>
      </w:r>
      <w:r>
        <w:t xml:space="preserve"> По данным официальных источников.</w:t>
      </w:r>
      <w:r/>
    </w:p>
  </w:footnote>
  <w:footnote w:id="5">
    <w:p>
      <w:pPr>
        <w:spacing w:after="0"/>
        <w:rPr>
          <w:sz w:val="18"/>
          <w:szCs w:val="18"/>
        </w:rPr>
      </w:pPr>
      <w:r>
        <w:rPr>
          <w:sz w:val="18"/>
          <w:szCs w:val="18"/>
        </w:rPr>
        <w:footnoteRef/>
      </w:r>
      <w:r>
        <w:rPr>
          <w:sz w:val="18"/>
          <w:szCs w:val="18"/>
        </w:rPr>
        <w:t xml:space="preserve"> В соответствии со ст. 102 НК РФ - данная информация не является налоговой тайной</w:t>
      </w:r>
      <w:r>
        <w:rPr>
          <w:sz w:val="18"/>
          <w:szCs w:val="18"/>
        </w:rPr>
      </w:r>
      <w:r>
        <w:rPr>
          <w:sz w:val="18"/>
          <w:szCs w:val="18"/>
        </w:rPr>
      </w:r>
    </w:p>
  </w:footnote>
  <w:footnote w:id="6">
    <w:p>
      <w:pPr>
        <w:spacing w:after="0"/>
        <w:rPr>
          <w:sz w:val="18"/>
          <w:szCs w:val="18"/>
        </w:rPr>
      </w:pPr>
      <w:r>
        <w:rPr>
          <w:sz w:val="18"/>
          <w:szCs w:val="18"/>
        </w:rPr>
        <w:footnoteRef/>
      </w:r>
      <w:r>
        <w:rPr>
          <w:sz w:val="18"/>
          <w:szCs w:val="18"/>
        </w:rPr>
        <w:t xml:space="preserve"> В соответствии со ст. 102 НК РФ - данная информация не является налоговой тайной</w:t>
      </w:r>
      <w:r>
        <w:rPr>
          <w:sz w:val="18"/>
          <w:szCs w:val="18"/>
        </w:rPr>
      </w:r>
      <w:r>
        <w:rPr>
          <w:sz w:val="18"/>
          <w:szCs w:val="18"/>
        </w:rPr>
      </w:r>
    </w:p>
  </w:footnote>
  <w:footnote w:id="7">
    <w:p>
      <w:pPr>
        <w:spacing w:after="0"/>
        <w:rPr>
          <w:sz w:val="18"/>
          <w:szCs w:val="18"/>
        </w:rPr>
      </w:pPr>
      <w:r>
        <w:rPr>
          <w:sz w:val="18"/>
          <w:szCs w:val="18"/>
        </w:rPr>
        <w:footnoteRef/>
      </w:r>
      <w:r>
        <w:rPr>
          <w:sz w:val="18"/>
          <w:szCs w:val="18"/>
        </w:rPr>
        <w:t xml:space="preserve"> В соответствии со ст. 102 НК РФ - данная информация не является налоговой тайной</w:t>
      </w:r>
      <w:r>
        <w:rPr>
          <w:sz w:val="18"/>
          <w:szCs w:val="18"/>
        </w:rPr>
      </w:r>
      <w:r>
        <w:rPr>
          <w:sz w:val="18"/>
          <w:szCs w:val="18"/>
        </w:rPr>
      </w:r>
    </w:p>
  </w:footnote>
  <w:footnote w:id="8">
    <w:p>
      <w:pPr>
        <w:spacing w:after="0"/>
        <w:rPr>
          <w:sz w:val="18"/>
          <w:szCs w:val="18"/>
        </w:rPr>
      </w:pPr>
      <w:r>
        <w:rPr>
          <w:sz w:val="18"/>
          <w:szCs w:val="18"/>
        </w:rPr>
        <w:footnoteRef/>
      </w:r>
      <w:r>
        <w:rPr>
          <w:sz w:val="18"/>
          <w:szCs w:val="18"/>
        </w:rPr>
        <w:t xml:space="preserve"> Лица, занимающие (занимавшие) должности членов Совета директоров Центрального банка Россий</w:t>
      </w:r>
      <w:r>
        <w:rPr>
          <w:sz w:val="18"/>
          <w:szCs w:val="18"/>
        </w:rPr>
        <w:t xml:space="preserve">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w:t>
      </w:r>
      <w:r>
        <w:rPr>
          <w:sz w:val="18"/>
          <w:szCs w:val="18"/>
        </w:rPr>
        <w:t xml:space="preserve">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(Перечень публичных должностных лиц указан в приложении к Анкете).</w:t>
      </w:r>
      <w:r>
        <w:rPr>
          <w:sz w:val="18"/>
          <w:szCs w:val="18"/>
        </w:rPr>
      </w:r>
      <w:r>
        <w:rPr>
          <w:sz w:val="18"/>
          <w:szCs w:val="18"/>
        </w:rPr>
      </w:r>
    </w:p>
  </w:footnote>
  <w:footnote w:id="9">
    <w:p>
      <w:pPr>
        <w:pStyle w:val="1222"/>
      </w:pPr>
      <w:r>
        <w:rPr>
          <w:rStyle w:val="1371"/>
          <w:vertAlign w:val="superscript"/>
        </w:rPr>
        <w:t xml:space="preserve">1</w:t>
      </w:r>
      <w:r>
        <w:rPr>
          <w:rStyle w:val="1372"/>
        </w:rPr>
        <w:t xml:space="preserve"> Указание вместо реквизитов лицензии Банка России реквизитов иных документов, подтверждающих наличие у организации права на выдачу независимых гарантий, допустимо только в тех случаях, когда Гарант не является кредитной организацией.</w:t>
      </w:r>
      <w:r/>
    </w:p>
  </w:footnote>
  <w:footnote w:id="10">
    <w:p>
      <w:pPr>
        <w:pStyle w:val="1222"/>
      </w:pPr>
      <w:r>
        <w:rPr>
          <w:rStyle w:val="1221"/>
        </w:rPr>
        <w:footnoteRef/>
      </w:r>
      <w:r>
        <w:t xml:space="preserve"> </w:t>
      </w:r>
      <w:r>
        <w:rPr>
          <w:rStyle w:val="1372"/>
        </w:rPr>
        <w:t xml:space="preserve">Условие применяется при подаче заявки объединением (группой лиц), выступающим на стороне одного участника закупки (коллективный участник).</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russianLower"/>
      <w:isLgl w:val="false"/>
      <w:suff w:val="tab"/>
      <w:lvlText w:val="%1)"/>
      <w:lvlJc w:val="left"/>
      <w:pPr>
        <w:ind w:left="720" w:hanging="360"/>
      </w:pPr>
      <w:rPr>
        <w:rFonts w:hint="default" w:cs="Times New Roman"/>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
    <w:multiLevelType w:val="hybridMultilevel"/>
    <w:lvl w:ilvl="0">
      <w:start w:val="1"/>
      <w:numFmt w:val="upperRoman"/>
      <w:isLgl w:val="false"/>
      <w:suff w:val="tab"/>
      <w:lvlText w:val="%1."/>
      <w:lvlJc w:val="right"/>
      <w:pPr>
        <w:ind w:left="720" w:hanging="180"/>
        <w:tabs>
          <w:tab w:val="num" w:pos="720" w:leader="none"/>
        </w:tabs>
      </w:pPr>
      <w:rPr>
        <w:rFonts w:hint="default"/>
        <w:sz w:val="24"/>
        <w:szCs w:val="24"/>
      </w:rPr>
    </w:lvl>
    <w:lvl w:ilvl="1">
      <w:start w:val="1"/>
      <w:numFmt w:val="decimal"/>
      <w:isLgl w:val="false"/>
      <w:suff w:val="tab"/>
      <w:lvlText w:val="Форма %2."/>
      <w:lvlJc w:val="left"/>
      <w:pPr>
        <w:ind w:left="1440" w:hanging="360"/>
        <w:tabs>
          <w:tab w:val="num" w:pos="2160" w:leader="none"/>
        </w:tabs>
      </w:pPr>
      <w:rPr>
        <w:rFonts w:hint="default" w:ascii="Times New Roman" w:hAnsi="Times New Roman" w:cs="Times New Roman"/>
        <w:b/>
        <w:bCs/>
        <w:i w:val="0"/>
        <w:iCs w:val="0"/>
        <w:sz w:val="26"/>
        <w:szCs w:val="26"/>
      </w:r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
    <w:multiLevelType w:val="hybridMultilevel"/>
    <w:lvl w:ilvl="0">
      <w:start w:val="1"/>
      <w:numFmt w:val="russianLower"/>
      <w:isLgl w:val="false"/>
      <w:suff w:val="tab"/>
      <w:lvlText w:val="%1)"/>
      <w:lvlJc w:val="left"/>
      <w:pPr>
        <w:ind w:left="1428" w:hanging="360"/>
      </w:pPr>
      <w:rPr>
        <w:rFonts w:hint="default"/>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russianLower"/>
      <w:isLgl w:val="false"/>
      <w:suff w:val="tab"/>
      <w:lvlText w:val="%1)"/>
      <w:lvlJc w:val="left"/>
      <w:pPr>
        <w:ind w:left="720" w:hanging="360"/>
      </w:pPr>
      <w:rPr>
        <w:rFonts w:hint="default"/>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decimal"/>
      <w:isLgl w:val="false"/>
      <w:suff w:val="tab"/>
      <w:lvlText w:val="%1)"/>
      <w:lvlJc w:val="left"/>
      <w:pPr>
        <w:ind w:left="720" w:hanging="720"/>
      </w:pPr>
      <w:rPr>
        <w:rFonts w:hint="default"/>
      </w:rPr>
    </w:lvl>
    <w:lvl w:ilvl="1">
      <w:start w:val="3"/>
      <w:numFmt w:val="decimal"/>
      <w:isLgl w:val="false"/>
      <w:suff w:val="tab"/>
      <w:lvlText w:val="%1.%2."/>
      <w:lvlJc w:val="left"/>
      <w:pPr>
        <w:ind w:left="1240" w:hanging="720"/>
      </w:pPr>
      <w:rPr>
        <w:rFonts w:hint="default"/>
      </w:rPr>
    </w:lvl>
    <w:lvl w:ilvl="2">
      <w:start w:val="1"/>
      <w:numFmt w:val="decimal"/>
      <w:isLgl w:val="false"/>
      <w:suff w:val="tab"/>
      <w:lvlText w:val="%1.%2.%3."/>
      <w:lvlJc w:val="left"/>
      <w:pPr>
        <w:ind w:left="1760" w:hanging="720"/>
      </w:pPr>
      <w:rPr>
        <w:rFonts w:hint="default"/>
      </w:rPr>
    </w:lvl>
    <w:lvl w:ilvl="3">
      <w:start w:val="1"/>
      <w:numFmt w:val="decimal"/>
      <w:isLgl w:val="false"/>
      <w:suff w:val="tab"/>
      <w:lvlText w:val="%1.%2.%3.%4."/>
      <w:lvlJc w:val="left"/>
      <w:pPr>
        <w:ind w:left="1430" w:hanging="720"/>
      </w:pPr>
      <w:rPr>
        <w:rFonts w:hint="default"/>
      </w:rPr>
    </w:lvl>
    <w:lvl w:ilvl="4">
      <w:start w:val="1"/>
      <w:numFmt w:val="decimal"/>
      <w:isLgl w:val="false"/>
      <w:suff w:val="tab"/>
      <w:lvlText w:val="%1.%2.%3.%4.%5."/>
      <w:lvlJc w:val="left"/>
      <w:pPr>
        <w:ind w:left="3160" w:hanging="1080"/>
      </w:pPr>
      <w:rPr>
        <w:rFonts w:hint="default"/>
      </w:rPr>
    </w:lvl>
    <w:lvl w:ilvl="5">
      <w:start w:val="1"/>
      <w:numFmt w:val="decimal"/>
      <w:isLgl w:val="false"/>
      <w:suff w:val="tab"/>
      <w:lvlText w:val="%1.%2.%3.%4.%5.%6."/>
      <w:lvlJc w:val="left"/>
      <w:pPr>
        <w:ind w:left="3680" w:hanging="1080"/>
      </w:pPr>
      <w:rPr>
        <w:rFonts w:hint="default"/>
      </w:rPr>
    </w:lvl>
    <w:lvl w:ilvl="6">
      <w:start w:val="1"/>
      <w:numFmt w:val="decimal"/>
      <w:isLgl w:val="false"/>
      <w:suff w:val="tab"/>
      <w:lvlText w:val="%1.%2.%3.%4.%5.%6.%7."/>
      <w:lvlJc w:val="left"/>
      <w:pPr>
        <w:ind w:left="4560" w:hanging="1440"/>
      </w:pPr>
      <w:rPr>
        <w:rFonts w:hint="default"/>
      </w:rPr>
    </w:lvl>
    <w:lvl w:ilvl="7">
      <w:start w:val="1"/>
      <w:numFmt w:val="decimal"/>
      <w:isLgl w:val="false"/>
      <w:suff w:val="tab"/>
      <w:lvlText w:val="%1.%2.%3.%4.%5.%6.%7.%8."/>
      <w:lvlJc w:val="left"/>
      <w:pPr>
        <w:ind w:left="5080" w:hanging="1440"/>
      </w:pPr>
      <w:rPr>
        <w:rFonts w:hint="default"/>
      </w:rPr>
    </w:lvl>
    <w:lvl w:ilvl="8">
      <w:start w:val="1"/>
      <w:numFmt w:val="decimal"/>
      <w:isLgl w:val="false"/>
      <w:suff w:val="tab"/>
      <w:lvlText w:val="%1.%2.%3.%4.%5.%6.%7.%8.%9."/>
      <w:lvlJc w:val="left"/>
      <w:pPr>
        <w:ind w:left="5960" w:hanging="1800"/>
      </w:pPr>
      <w:rPr>
        <w:rFonts w:hint="default"/>
      </w:rPr>
    </w:lvl>
  </w:abstractNum>
  <w:abstractNum w:abstractNumId="5">
    <w:multiLevelType w:val="hybridMultilevel"/>
    <w:lvl w:ilvl="0">
      <w:start w:val="1"/>
      <w:numFmt w:val="russianLower"/>
      <w:isLgl w:val="false"/>
      <w:suff w:val="tab"/>
      <w:lvlText w:val="%1)"/>
      <w:lvlJc w:val="left"/>
      <w:pPr>
        <w:ind w:left="927" w:hanging="360"/>
      </w:pPr>
      <w:rPr>
        <w:rFonts w:hint="default"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6">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720" w:hanging="360"/>
      </w:pPr>
      <w:rPr>
        <w:rFonts w:hint="default"/>
        <w:b w:val="0"/>
      </w:rPr>
    </w:lvl>
    <w:lvl w:ilvl="2">
      <w:start w:val="1"/>
      <w:numFmt w:val="decimal"/>
      <w:isLgl/>
      <w:suff w:val="tab"/>
      <w:lvlText w:val="%1.%2.%3."/>
      <w:lvlJc w:val="left"/>
      <w:pPr>
        <w:ind w:left="1080" w:hanging="720"/>
      </w:pPr>
      <w:rPr>
        <w:rFonts w:hint="default"/>
        <w:b/>
      </w:rPr>
    </w:lvl>
    <w:lvl w:ilvl="3">
      <w:start w:val="1"/>
      <w:numFmt w:val="decimal"/>
      <w:isLgl/>
      <w:suff w:val="tab"/>
      <w:lvlText w:val="%1.%2.%3.%4."/>
      <w:lvlJc w:val="left"/>
      <w:pPr>
        <w:ind w:left="1080" w:hanging="720"/>
      </w:pPr>
      <w:rPr>
        <w:rFonts w:hint="default"/>
        <w:b/>
      </w:rPr>
    </w:lvl>
    <w:lvl w:ilvl="4">
      <w:start w:val="1"/>
      <w:numFmt w:val="decimal"/>
      <w:isLgl/>
      <w:suff w:val="tab"/>
      <w:lvlText w:val="%1.%2.%3.%4.%5."/>
      <w:lvlJc w:val="left"/>
      <w:pPr>
        <w:ind w:left="1440" w:hanging="1080"/>
      </w:pPr>
      <w:rPr>
        <w:rFonts w:hint="default"/>
        <w:b/>
      </w:rPr>
    </w:lvl>
    <w:lvl w:ilvl="5">
      <w:start w:val="1"/>
      <w:numFmt w:val="decimal"/>
      <w:isLgl/>
      <w:suff w:val="tab"/>
      <w:lvlText w:val="%1.%2.%3.%4.%5.%6."/>
      <w:lvlJc w:val="left"/>
      <w:pPr>
        <w:ind w:left="1440" w:hanging="1080"/>
      </w:pPr>
      <w:rPr>
        <w:rFonts w:hint="default"/>
        <w:b/>
      </w:rPr>
    </w:lvl>
    <w:lvl w:ilvl="6">
      <w:start w:val="1"/>
      <w:numFmt w:val="decimal"/>
      <w:isLgl/>
      <w:suff w:val="tab"/>
      <w:lvlText w:val="%1.%2.%3.%4.%5.%6.%7."/>
      <w:lvlJc w:val="left"/>
      <w:pPr>
        <w:ind w:left="1800" w:hanging="1440"/>
      </w:pPr>
      <w:rPr>
        <w:rFonts w:hint="default"/>
        <w:b/>
      </w:rPr>
    </w:lvl>
    <w:lvl w:ilvl="7">
      <w:start w:val="1"/>
      <w:numFmt w:val="decimal"/>
      <w:isLgl/>
      <w:suff w:val="tab"/>
      <w:lvlText w:val="%1.%2.%3.%4.%5.%6.%7.%8."/>
      <w:lvlJc w:val="left"/>
      <w:pPr>
        <w:ind w:left="1800" w:hanging="1440"/>
      </w:pPr>
      <w:rPr>
        <w:rFonts w:hint="default"/>
        <w:b/>
      </w:rPr>
    </w:lvl>
    <w:lvl w:ilvl="8">
      <w:start w:val="1"/>
      <w:numFmt w:val="decimal"/>
      <w:isLgl/>
      <w:suff w:val="tab"/>
      <w:lvlText w:val="%1.%2.%3.%4.%5.%6.%7.%8.%9."/>
      <w:lvlJc w:val="left"/>
      <w:pPr>
        <w:ind w:left="2160" w:hanging="1800"/>
      </w:pPr>
      <w:rPr>
        <w:rFonts w:hint="default"/>
        <w:b/>
      </w:rPr>
    </w:lvl>
  </w:abstractNum>
  <w:abstractNum w:abstractNumId="7">
    <w:multiLevelType w:val="hybridMultilevel"/>
    <w:lvl w:ilvl="0">
      <w:start w:val="1"/>
      <w:numFmt w:val="decimal"/>
      <w:isLgl w:val="false"/>
      <w:suff w:val="tab"/>
      <w:lvlText w:val="%1."/>
      <w:lvlJc w:val="left"/>
      <w:pPr>
        <w:ind w:left="1080" w:hanging="360"/>
      </w:pPr>
      <w:rPr>
        <w:rFonts w:hint="default" w:ascii="Times New Roman" w:hAnsi="Times New Roman" w:cs="Times New Roman"/>
        <w:b w:val="0"/>
        <w:i w:val="0"/>
        <w:color w:val="auto"/>
        <w:sz w:val="24"/>
        <w:szCs w:val="24"/>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8">
    <w:multiLevelType w:val="hybridMultilevel"/>
    <w:lvl w:ilvl="0">
      <w:start w:val="1"/>
      <w:numFmt w:val="russianLower"/>
      <w:isLgl w:val="false"/>
      <w:suff w:val="tab"/>
      <w:lvlText w:val="%1)"/>
      <w:lvlJc w:val="left"/>
      <w:pPr>
        <w:ind w:left="3196" w:hanging="360"/>
      </w:pPr>
      <w:rPr>
        <w:rFonts w:hint="default"/>
      </w:rPr>
    </w:lvl>
    <w:lvl w:ilvl="1">
      <w:start w:val="1"/>
      <w:numFmt w:val="lowerLetter"/>
      <w:isLgl w:val="false"/>
      <w:suff w:val="tab"/>
      <w:lvlText w:val="%2."/>
      <w:lvlJc w:val="left"/>
      <w:pPr>
        <w:ind w:left="1941" w:hanging="360"/>
      </w:pPr>
    </w:lvl>
    <w:lvl w:ilvl="2">
      <w:start w:val="1"/>
      <w:numFmt w:val="lowerRoman"/>
      <w:isLgl w:val="false"/>
      <w:suff w:val="tab"/>
      <w:lvlText w:val="%3."/>
      <w:lvlJc w:val="right"/>
      <w:pPr>
        <w:ind w:left="2661" w:hanging="180"/>
      </w:pPr>
    </w:lvl>
    <w:lvl w:ilvl="3">
      <w:start w:val="1"/>
      <w:numFmt w:val="decimal"/>
      <w:isLgl w:val="false"/>
      <w:suff w:val="tab"/>
      <w:lvlText w:val="%4."/>
      <w:lvlJc w:val="left"/>
      <w:pPr>
        <w:ind w:left="3381" w:hanging="360"/>
      </w:pPr>
    </w:lvl>
    <w:lvl w:ilvl="4">
      <w:start w:val="1"/>
      <w:numFmt w:val="lowerLetter"/>
      <w:isLgl w:val="false"/>
      <w:suff w:val="tab"/>
      <w:lvlText w:val="%5."/>
      <w:lvlJc w:val="left"/>
      <w:pPr>
        <w:ind w:left="4101" w:hanging="360"/>
      </w:pPr>
    </w:lvl>
    <w:lvl w:ilvl="5">
      <w:start w:val="1"/>
      <w:numFmt w:val="lowerRoman"/>
      <w:isLgl w:val="false"/>
      <w:suff w:val="tab"/>
      <w:lvlText w:val="%6."/>
      <w:lvlJc w:val="right"/>
      <w:pPr>
        <w:ind w:left="4821" w:hanging="180"/>
      </w:pPr>
    </w:lvl>
    <w:lvl w:ilvl="6">
      <w:start w:val="1"/>
      <w:numFmt w:val="decimal"/>
      <w:isLgl w:val="false"/>
      <w:suff w:val="tab"/>
      <w:lvlText w:val="%7."/>
      <w:lvlJc w:val="left"/>
      <w:pPr>
        <w:ind w:left="5541" w:hanging="360"/>
      </w:pPr>
    </w:lvl>
    <w:lvl w:ilvl="7">
      <w:start w:val="1"/>
      <w:numFmt w:val="lowerLetter"/>
      <w:isLgl w:val="false"/>
      <w:suff w:val="tab"/>
      <w:lvlText w:val="%8."/>
      <w:lvlJc w:val="left"/>
      <w:pPr>
        <w:ind w:left="6261" w:hanging="360"/>
      </w:pPr>
    </w:lvl>
    <w:lvl w:ilvl="8">
      <w:start w:val="1"/>
      <w:numFmt w:val="lowerRoman"/>
      <w:isLgl w:val="false"/>
      <w:suff w:val="tab"/>
      <w:lvlText w:val="%9."/>
      <w:lvlJc w:val="right"/>
      <w:pPr>
        <w:ind w:left="6981" w:hanging="180"/>
      </w:pPr>
    </w:lvl>
  </w:abstractNum>
  <w:abstractNum w:abstractNumId="9">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10">
    <w:multiLevelType w:val="hybridMultilevel"/>
    <w:lvl w:ilvl="0">
      <w:start w:val="1"/>
      <w:numFmt w:val="decimal"/>
      <w:pStyle w:val="1288"/>
      <w:isLgl w:val="false"/>
      <w:suff w:val="tab"/>
      <w:lvlText w:val="%1."/>
      <w:lvlJc w:val="left"/>
      <w:pPr>
        <w:ind w:left="432" w:hanging="432"/>
        <w:tabs>
          <w:tab w:val="num" w:pos="432" w:leader="none"/>
        </w:tabs>
      </w:pPr>
      <w:rPr>
        <w:rFonts w:hint="default"/>
      </w:rPr>
    </w:lvl>
    <w:lvl w:ilvl="1">
      <w:start w:val="1"/>
      <w:numFmt w:val="decimal"/>
      <w:pStyle w:val="1291"/>
      <w:isLgl w:val="false"/>
      <w:suff w:val="tab"/>
      <w:lvlText w:val="%1.%2"/>
      <w:lvlJc w:val="left"/>
      <w:pPr>
        <w:ind w:left="1836" w:hanging="576"/>
        <w:tabs>
          <w:tab w:val="num" w:pos="1836" w:leader="none"/>
        </w:tabs>
      </w:pPr>
      <w:rPr>
        <w:rFonts w:hint="default"/>
      </w:rPr>
    </w:lvl>
    <w:lvl w:ilvl="2">
      <w:start w:val="1"/>
      <w:numFmt w:val="decimal"/>
      <w:pStyle w:val="1292"/>
      <w:isLgl w:val="false"/>
      <w:suff w:val="tab"/>
      <w:lvlText w:val="%1.%2.%3"/>
      <w:lvlJc w:val="left"/>
      <w:pPr>
        <w:ind w:left="1080"/>
        <w:tabs>
          <w:tab w:val="num" w:pos="1307" w:leader="none"/>
        </w:tabs>
      </w:pPr>
      <w:rPr>
        <w:rFonts w:hint="default"/>
      </w:rPr>
    </w:lvl>
    <w:lvl w:ilvl="3">
      <w:start w:val="1"/>
      <w:numFmt w:val="decimal"/>
      <w:isLgl w:val="false"/>
      <w:suff w:val="tab"/>
      <w:lvlText w:val="%1.%2.%3.%4"/>
      <w:lvlJc w:val="left"/>
      <w:pPr>
        <w:ind w:left="864" w:hanging="864"/>
        <w:tabs>
          <w:tab w:val="num" w:pos="864" w:leader="none"/>
        </w:tabs>
      </w:pPr>
      <w:rPr>
        <w:rFonts w:hint="default"/>
      </w:rPr>
    </w:lvl>
    <w:lvl w:ilvl="4">
      <w:start w:val="1"/>
      <w:numFmt w:val="decimal"/>
      <w:isLgl w:val="false"/>
      <w:suff w:val="tab"/>
      <w:lvlText w:val="%1.%2.%3.%4.%5"/>
      <w:lvlJc w:val="left"/>
      <w:pPr>
        <w:ind w:left="1008" w:hanging="1008"/>
        <w:tabs>
          <w:tab w:val="num" w:pos="1008" w:leader="none"/>
        </w:tabs>
      </w:pPr>
      <w:rPr>
        <w:rFonts w:hint="default"/>
      </w:rPr>
    </w:lvl>
    <w:lvl w:ilvl="5">
      <w:start w:val="1"/>
      <w:numFmt w:val="decimal"/>
      <w:isLgl w:val="false"/>
      <w:suff w:val="tab"/>
      <w:lvlText w:val="%1.%2.%3.%4.%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11">
    <w:multiLevelType w:val="hybridMultilevel"/>
    <w:lvl w:ilvl="0">
      <w:start w:val="1"/>
      <w:numFmt w:val="russianLower"/>
      <w:isLgl w:val="false"/>
      <w:suff w:val="tab"/>
      <w:lvlText w:val="%1)"/>
      <w:lvlJc w:val="left"/>
      <w:pPr>
        <w:ind w:left="1429" w:hanging="360"/>
      </w:pPr>
      <w:rPr>
        <w:rFonts w:hint="default" w:cs="Times New Roman"/>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2">
    <w:multiLevelType w:val="hybridMultilevel"/>
    <w:lvl w:ilvl="0">
      <w:start w:val="1"/>
      <w:numFmt w:val="russianLower"/>
      <w:isLgl w:val="false"/>
      <w:suff w:val="tab"/>
      <w:lvlText w:val="%1)"/>
      <w:lvlJc w:val="left"/>
      <w:pPr>
        <w:ind w:left="720" w:hanging="360"/>
      </w:pPr>
      <w:rPr>
        <w:rFonts w:hint="default" w:cs="Times New Roman"/>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
    <w:multiLevelType w:val="hybridMultilevel"/>
    <w:lvl w:ilvl="0">
      <w:start w:val="1"/>
      <w:numFmt w:val="russianLower"/>
      <w:isLgl w:val="false"/>
      <w:suff w:val="tab"/>
      <w:lvlText w:val="%1)"/>
      <w:lvlJc w:val="left"/>
      <w:pPr>
        <w:ind w:left="1287" w:hanging="360"/>
      </w:pPr>
      <w:rPr>
        <w:rFonts w:hint="default"/>
        <w:b w:val="0"/>
      </w:rPr>
    </w:lvl>
    <w:lvl w:ilvl="1">
      <w:start w:val="1"/>
      <w:numFmt w:val="decimal"/>
      <w:isLgl w:val="false"/>
      <w:suff w:val="tab"/>
      <w:lvlText w:val="%2."/>
      <w:lvlJc w:val="left"/>
      <w:pPr>
        <w:ind w:left="2112" w:hanging="465"/>
      </w:pPr>
      <w:rPr>
        <w:rFonts w:hint="default"/>
      </w:r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14">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927" w:hanging="360"/>
      </w:pPr>
      <w:rPr>
        <w:rFonts w:hint="default"/>
      </w:rPr>
    </w:lvl>
    <w:lvl w:ilvl="2">
      <w:start w:val="1"/>
      <w:numFmt w:val="decimal"/>
      <w:isLgl w:val="false"/>
      <w:suff w:val="tab"/>
      <w:lvlText w:val="%1.%2.%3."/>
      <w:lvlJc w:val="left"/>
      <w:pPr>
        <w:ind w:left="1854" w:hanging="720"/>
      </w:pPr>
      <w:rPr>
        <w:rFonts w:hint="default"/>
      </w:rPr>
    </w:lvl>
    <w:lvl w:ilvl="3">
      <w:start w:val="1"/>
      <w:numFmt w:val="decimal"/>
      <w:isLgl w:val="false"/>
      <w:suff w:val="tab"/>
      <w:lvlText w:val="%1.%2.%3.%4."/>
      <w:lvlJc w:val="left"/>
      <w:pPr>
        <w:ind w:left="2421" w:hanging="720"/>
      </w:pPr>
      <w:rPr>
        <w:rFonts w:hint="default"/>
      </w:rPr>
    </w:lvl>
    <w:lvl w:ilvl="4">
      <w:start w:val="1"/>
      <w:numFmt w:val="decimal"/>
      <w:isLgl w:val="false"/>
      <w:suff w:val="tab"/>
      <w:lvlText w:val="%1.%2.%3.%4.%5."/>
      <w:lvlJc w:val="left"/>
      <w:pPr>
        <w:ind w:left="3348" w:hanging="1080"/>
      </w:pPr>
      <w:rPr>
        <w:rFonts w:hint="default"/>
      </w:rPr>
    </w:lvl>
    <w:lvl w:ilvl="5">
      <w:start w:val="1"/>
      <w:numFmt w:val="decimal"/>
      <w:isLgl w:val="false"/>
      <w:suff w:val="tab"/>
      <w:lvlText w:val="%1.%2.%3.%4.%5.%6."/>
      <w:lvlJc w:val="left"/>
      <w:pPr>
        <w:ind w:left="3915" w:hanging="1080"/>
      </w:pPr>
      <w:rPr>
        <w:rFonts w:hint="default"/>
      </w:rPr>
    </w:lvl>
    <w:lvl w:ilvl="6">
      <w:start w:val="1"/>
      <w:numFmt w:val="decimal"/>
      <w:isLgl w:val="false"/>
      <w:suff w:val="tab"/>
      <w:lvlText w:val="%1.%2.%3.%4.%5.%6.%7."/>
      <w:lvlJc w:val="left"/>
      <w:pPr>
        <w:ind w:left="4842" w:hanging="1440"/>
      </w:pPr>
      <w:rPr>
        <w:rFonts w:hint="default"/>
      </w:rPr>
    </w:lvl>
    <w:lvl w:ilvl="7">
      <w:start w:val="1"/>
      <w:numFmt w:val="decimal"/>
      <w:isLgl w:val="false"/>
      <w:suff w:val="tab"/>
      <w:lvlText w:val="%1.%2.%3.%4.%5.%6.%7.%8."/>
      <w:lvlJc w:val="left"/>
      <w:pPr>
        <w:ind w:left="5409" w:hanging="1440"/>
      </w:pPr>
      <w:rPr>
        <w:rFonts w:hint="default"/>
      </w:rPr>
    </w:lvl>
    <w:lvl w:ilvl="8">
      <w:start w:val="1"/>
      <w:numFmt w:val="decimal"/>
      <w:isLgl w:val="false"/>
      <w:suff w:val="tab"/>
      <w:lvlText w:val="%1.%2.%3.%4.%5.%6.%7.%8.%9."/>
      <w:lvlJc w:val="left"/>
      <w:pPr>
        <w:ind w:left="6336" w:hanging="1800"/>
      </w:pPr>
      <w:rPr>
        <w:rFonts w:hint="default"/>
      </w:rPr>
    </w:lvl>
  </w:abstractNum>
  <w:abstractNum w:abstractNumId="15">
    <w:multiLevelType w:val="hybridMultilevel"/>
    <w:lvl w:ilvl="0">
      <w:start w:val="1"/>
      <w:numFmt w:val="bullet"/>
      <w:isLgl w:val="false"/>
      <w:suff w:val="tab"/>
      <w:lvlText w:val="-"/>
      <w:lvlJc w:val="left"/>
      <w:pPr>
        <w:ind w:left="1428" w:hanging="360"/>
      </w:pPr>
      <w:rPr>
        <w:rFonts w:ascii="Times New Roman" w:hAnsi="Times New Roman"/>
      </w:rPr>
    </w:lvl>
    <w:lvl w:ilvl="1">
      <w:start w:val="1"/>
      <w:numFmt w:val="bullet"/>
      <w:isLgl w:val="false"/>
      <w:suff w:val="tab"/>
      <w:lvlText w:val="o"/>
      <w:lvlJc w:val="left"/>
      <w:pPr>
        <w:ind w:left="2148" w:hanging="360"/>
      </w:pPr>
      <w:rPr>
        <w:rFonts w:hint="default" w:ascii="Courier New" w:hAnsi="Courier New" w:cs="Courier New"/>
      </w:rPr>
    </w:lvl>
    <w:lvl w:ilvl="2">
      <w:start w:val="1"/>
      <w:numFmt w:val="bullet"/>
      <w:isLgl w:val="false"/>
      <w:suff w:val="tab"/>
      <w:lvlText w:val=""/>
      <w:lvlJc w:val="left"/>
      <w:pPr>
        <w:ind w:left="2868" w:hanging="360"/>
      </w:pPr>
      <w:rPr>
        <w:rFonts w:hint="default" w:ascii="Wingdings" w:hAnsi="Wingdings"/>
      </w:rPr>
    </w:lvl>
    <w:lvl w:ilvl="3">
      <w:start w:val="1"/>
      <w:numFmt w:val="bullet"/>
      <w:isLgl w:val="false"/>
      <w:suff w:val="tab"/>
      <w:lvlText w:val=""/>
      <w:lvlJc w:val="left"/>
      <w:pPr>
        <w:ind w:left="3588" w:hanging="360"/>
      </w:pPr>
      <w:rPr>
        <w:rFonts w:hint="default" w:ascii="Symbol" w:hAnsi="Symbol"/>
      </w:rPr>
    </w:lvl>
    <w:lvl w:ilvl="4">
      <w:start w:val="1"/>
      <w:numFmt w:val="bullet"/>
      <w:isLgl w:val="false"/>
      <w:suff w:val="tab"/>
      <w:lvlText w:val="o"/>
      <w:lvlJc w:val="left"/>
      <w:pPr>
        <w:ind w:left="4308" w:hanging="360"/>
      </w:pPr>
      <w:rPr>
        <w:rFonts w:hint="default" w:ascii="Courier New" w:hAnsi="Courier New" w:cs="Courier New"/>
      </w:rPr>
    </w:lvl>
    <w:lvl w:ilvl="5">
      <w:start w:val="1"/>
      <w:numFmt w:val="bullet"/>
      <w:isLgl w:val="false"/>
      <w:suff w:val="tab"/>
      <w:lvlText w:val=""/>
      <w:lvlJc w:val="left"/>
      <w:pPr>
        <w:ind w:left="5028" w:hanging="360"/>
      </w:pPr>
      <w:rPr>
        <w:rFonts w:hint="default" w:ascii="Wingdings" w:hAnsi="Wingdings"/>
      </w:rPr>
    </w:lvl>
    <w:lvl w:ilvl="6">
      <w:start w:val="1"/>
      <w:numFmt w:val="bullet"/>
      <w:isLgl w:val="false"/>
      <w:suff w:val="tab"/>
      <w:lvlText w:val=""/>
      <w:lvlJc w:val="left"/>
      <w:pPr>
        <w:ind w:left="5748" w:hanging="360"/>
      </w:pPr>
      <w:rPr>
        <w:rFonts w:hint="default" w:ascii="Symbol" w:hAnsi="Symbol"/>
      </w:rPr>
    </w:lvl>
    <w:lvl w:ilvl="7">
      <w:start w:val="1"/>
      <w:numFmt w:val="bullet"/>
      <w:isLgl w:val="false"/>
      <w:suff w:val="tab"/>
      <w:lvlText w:val="o"/>
      <w:lvlJc w:val="left"/>
      <w:pPr>
        <w:ind w:left="6468" w:hanging="360"/>
      </w:pPr>
      <w:rPr>
        <w:rFonts w:hint="default" w:ascii="Courier New" w:hAnsi="Courier New" w:cs="Courier New"/>
      </w:rPr>
    </w:lvl>
    <w:lvl w:ilvl="8">
      <w:start w:val="1"/>
      <w:numFmt w:val="bullet"/>
      <w:isLgl w:val="false"/>
      <w:suff w:val="tab"/>
      <w:lvlText w:val=""/>
      <w:lvlJc w:val="left"/>
      <w:pPr>
        <w:ind w:left="7188" w:hanging="360"/>
      </w:pPr>
      <w:rPr>
        <w:rFonts w:hint="default" w:ascii="Wingdings" w:hAnsi="Wingdings"/>
      </w:rPr>
    </w:lvl>
  </w:abstractNum>
  <w:abstractNum w:abstractNumId="16">
    <w:multiLevelType w:val="hybridMultilevel"/>
    <w:lvl w:ilvl="0">
      <w:start w:val="1"/>
      <w:numFmt w:val="decimal"/>
      <w:isLgl w:val="false"/>
      <w:suff w:val="tab"/>
      <w:lvlText w:val="%1."/>
      <w:lvlJc w:val="left"/>
      <w:pPr>
        <w:ind w:left="1276" w:hanging="360"/>
      </w:pPr>
    </w:lvl>
    <w:lvl w:ilvl="1">
      <w:start w:val="1"/>
      <w:numFmt w:val="lowerLetter"/>
      <w:isLgl w:val="false"/>
      <w:suff w:val="tab"/>
      <w:lvlText w:val="%2."/>
      <w:lvlJc w:val="left"/>
      <w:pPr>
        <w:ind w:left="1996" w:hanging="360"/>
      </w:pPr>
    </w:lvl>
    <w:lvl w:ilvl="2">
      <w:start w:val="1"/>
      <w:numFmt w:val="lowerRoman"/>
      <w:isLgl w:val="false"/>
      <w:suff w:val="tab"/>
      <w:lvlText w:val="%3."/>
      <w:lvlJc w:val="right"/>
      <w:pPr>
        <w:ind w:left="2716" w:hanging="180"/>
      </w:pPr>
    </w:lvl>
    <w:lvl w:ilvl="3">
      <w:start w:val="1"/>
      <w:numFmt w:val="decimal"/>
      <w:isLgl w:val="false"/>
      <w:suff w:val="tab"/>
      <w:lvlText w:val="%4."/>
      <w:lvlJc w:val="left"/>
      <w:pPr>
        <w:ind w:left="3436" w:hanging="360"/>
      </w:pPr>
    </w:lvl>
    <w:lvl w:ilvl="4">
      <w:start w:val="1"/>
      <w:numFmt w:val="lowerLetter"/>
      <w:isLgl w:val="false"/>
      <w:suff w:val="tab"/>
      <w:lvlText w:val="%5."/>
      <w:lvlJc w:val="left"/>
      <w:pPr>
        <w:ind w:left="4156" w:hanging="360"/>
      </w:pPr>
    </w:lvl>
    <w:lvl w:ilvl="5">
      <w:start w:val="1"/>
      <w:numFmt w:val="lowerRoman"/>
      <w:isLgl w:val="false"/>
      <w:suff w:val="tab"/>
      <w:lvlText w:val="%6."/>
      <w:lvlJc w:val="right"/>
      <w:pPr>
        <w:ind w:left="4876" w:hanging="180"/>
      </w:pPr>
    </w:lvl>
    <w:lvl w:ilvl="6">
      <w:start w:val="1"/>
      <w:numFmt w:val="decimal"/>
      <w:isLgl w:val="false"/>
      <w:suff w:val="tab"/>
      <w:lvlText w:val="%7."/>
      <w:lvlJc w:val="left"/>
      <w:pPr>
        <w:ind w:left="5596" w:hanging="360"/>
      </w:pPr>
    </w:lvl>
    <w:lvl w:ilvl="7">
      <w:start w:val="1"/>
      <w:numFmt w:val="lowerLetter"/>
      <w:isLgl w:val="false"/>
      <w:suff w:val="tab"/>
      <w:lvlText w:val="%8."/>
      <w:lvlJc w:val="left"/>
      <w:pPr>
        <w:ind w:left="6316" w:hanging="360"/>
      </w:pPr>
    </w:lvl>
    <w:lvl w:ilvl="8">
      <w:start w:val="1"/>
      <w:numFmt w:val="lowerRoman"/>
      <w:isLgl w:val="false"/>
      <w:suff w:val="tab"/>
      <w:lvlText w:val="%9."/>
      <w:lvlJc w:val="right"/>
      <w:pPr>
        <w:ind w:left="7036" w:hanging="180"/>
      </w:pPr>
    </w:lvl>
  </w:abstractNum>
  <w:abstractNum w:abstractNumId="17">
    <w:multiLevelType w:val="hybridMultilevel"/>
    <w:lvl w:ilvl="0">
      <w:start w:val="1"/>
      <w:numFmt w:val="decimal"/>
      <w:pStyle w:val="1196"/>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8">
    <w:multiLevelType w:val="hybridMultilevel"/>
    <w:lvl w:ilvl="0">
      <w:start w:val="1"/>
      <w:numFmt w:val="decimal"/>
      <w:pStyle w:val="1197"/>
      <w:isLgl w:val="false"/>
      <w:suff w:val="tab"/>
      <w:lvlText w:val="%1."/>
      <w:lvlJc w:val="left"/>
      <w:pPr>
        <w:ind w:left="567" w:hanging="567"/>
        <w:tabs>
          <w:tab w:val="num" w:pos="567" w:leader="none"/>
        </w:tabs>
      </w:pPr>
    </w:lvl>
    <w:lvl w:ilvl="1">
      <w:start w:val="1"/>
      <w:numFmt w:val="decimal"/>
      <w:pStyle w:val="1182"/>
      <w:isLgl w:val="false"/>
      <w:suff w:val="tab"/>
      <w:lvlText w:val="%1.%2"/>
      <w:lvlJc w:val="left"/>
      <w:pPr>
        <w:ind w:left="567" w:hanging="567"/>
        <w:tabs>
          <w:tab w:val="num" w:pos="567" w:leader="none"/>
        </w:tabs>
      </w:pPr>
    </w:lvl>
    <w:lvl w:ilvl="2">
      <w:start w:val="1"/>
      <w:numFmt w:val="none"/>
      <w:isLgl w:val="false"/>
      <w:suff w:val="tab"/>
      <w:lvlText w:val="%1.%2.%3"/>
      <w:lvlJc w:val="left"/>
      <w:pPr>
        <w:ind w:left="720" w:hanging="720"/>
        <w:tabs>
          <w:tab w:val="num" w:pos="720" w:leader="none"/>
        </w:tabs>
      </w:p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19">
    <w:multiLevelType w:val="hybridMultilevel"/>
    <w:lvl w:ilvl="0">
      <w:start w:val="1"/>
      <w:numFmt w:val="bullet"/>
      <w:isLgl w:val="false"/>
      <w:suff w:val="tab"/>
      <w:lvlText w:val="*"/>
      <w:lvlJc w:val="left"/>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0">
    <w:multiLevelType w:val="hybridMultilevel"/>
    <w:lvl w:ilvl="0">
      <w:start w:val="1"/>
      <w:numFmt w:val="russianLower"/>
      <w:isLgl w:val="false"/>
      <w:suff w:val="tab"/>
      <w:lvlText w:val="%1)"/>
      <w:lvlJc w:val="left"/>
      <w:pPr>
        <w:ind w:left="1428" w:hanging="360"/>
      </w:pPr>
      <w:rPr>
        <w:rFonts w:hint="default"/>
        <w:b w:val="0"/>
      </w:rPr>
    </w:lvl>
    <w:lvl w:ilvl="1">
      <w:start w:val="1"/>
      <w:numFmt w:val="lowerLetter"/>
      <w:isLgl w:val="false"/>
      <w:suff w:val="tab"/>
      <w:lvlText w:val="%2."/>
      <w:lvlJc w:val="left"/>
      <w:pPr>
        <w:ind w:left="1941" w:hanging="360"/>
      </w:pPr>
    </w:lvl>
    <w:lvl w:ilvl="2">
      <w:start w:val="1"/>
      <w:numFmt w:val="lowerRoman"/>
      <w:isLgl w:val="false"/>
      <w:suff w:val="tab"/>
      <w:lvlText w:val="%3."/>
      <w:lvlJc w:val="right"/>
      <w:pPr>
        <w:ind w:left="2661" w:hanging="180"/>
      </w:pPr>
    </w:lvl>
    <w:lvl w:ilvl="3">
      <w:start w:val="1"/>
      <w:numFmt w:val="decimal"/>
      <w:isLgl w:val="false"/>
      <w:suff w:val="tab"/>
      <w:lvlText w:val="%4."/>
      <w:lvlJc w:val="left"/>
      <w:pPr>
        <w:ind w:left="3381" w:hanging="360"/>
      </w:pPr>
    </w:lvl>
    <w:lvl w:ilvl="4">
      <w:start w:val="1"/>
      <w:numFmt w:val="lowerLetter"/>
      <w:isLgl w:val="false"/>
      <w:suff w:val="tab"/>
      <w:lvlText w:val="%5."/>
      <w:lvlJc w:val="left"/>
      <w:pPr>
        <w:ind w:left="4101" w:hanging="360"/>
      </w:pPr>
    </w:lvl>
    <w:lvl w:ilvl="5">
      <w:start w:val="1"/>
      <w:numFmt w:val="lowerRoman"/>
      <w:isLgl w:val="false"/>
      <w:suff w:val="tab"/>
      <w:lvlText w:val="%6."/>
      <w:lvlJc w:val="right"/>
      <w:pPr>
        <w:ind w:left="4821" w:hanging="180"/>
      </w:pPr>
    </w:lvl>
    <w:lvl w:ilvl="6">
      <w:start w:val="1"/>
      <w:numFmt w:val="decimal"/>
      <w:isLgl w:val="false"/>
      <w:suff w:val="tab"/>
      <w:lvlText w:val="%7."/>
      <w:lvlJc w:val="left"/>
      <w:pPr>
        <w:ind w:left="5541" w:hanging="360"/>
      </w:pPr>
    </w:lvl>
    <w:lvl w:ilvl="7">
      <w:start w:val="1"/>
      <w:numFmt w:val="lowerLetter"/>
      <w:isLgl w:val="false"/>
      <w:suff w:val="tab"/>
      <w:lvlText w:val="%8."/>
      <w:lvlJc w:val="left"/>
      <w:pPr>
        <w:ind w:left="6261" w:hanging="360"/>
      </w:pPr>
    </w:lvl>
    <w:lvl w:ilvl="8">
      <w:start w:val="1"/>
      <w:numFmt w:val="lowerRoman"/>
      <w:isLgl w:val="false"/>
      <w:suff w:val="tab"/>
      <w:lvlText w:val="%9."/>
      <w:lvlJc w:val="right"/>
      <w:pPr>
        <w:ind w:left="6981" w:hanging="180"/>
      </w:pPr>
    </w:lvl>
  </w:abstractNum>
  <w:abstractNum w:abstractNumId="21">
    <w:multiLevelType w:val="hybridMultilevel"/>
    <w:lvl w:ilvl="0">
      <w:start w:val="1"/>
      <w:numFmt w:val="russianLower"/>
      <w:isLgl w:val="false"/>
      <w:suff w:val="tab"/>
      <w:lvlText w:val="%1)"/>
      <w:lvlJc w:val="left"/>
      <w:pPr>
        <w:ind w:left="1152" w:hanging="360"/>
      </w:pPr>
      <w:rPr>
        <w:rFonts w:hint="default" w:cs="Times New Roman"/>
      </w:rPr>
    </w:lvl>
    <w:lvl w:ilvl="1">
      <w:start w:val="1"/>
      <w:numFmt w:val="lowerLetter"/>
      <w:isLgl w:val="false"/>
      <w:suff w:val="tab"/>
      <w:lvlText w:val="%2."/>
      <w:lvlJc w:val="left"/>
      <w:pPr>
        <w:ind w:left="1872" w:hanging="360"/>
      </w:pPr>
    </w:lvl>
    <w:lvl w:ilvl="2">
      <w:start w:val="1"/>
      <w:numFmt w:val="lowerRoman"/>
      <w:isLgl w:val="false"/>
      <w:suff w:val="tab"/>
      <w:lvlText w:val="%3."/>
      <w:lvlJc w:val="right"/>
      <w:pPr>
        <w:ind w:left="2592" w:hanging="180"/>
      </w:pPr>
    </w:lvl>
    <w:lvl w:ilvl="3">
      <w:start w:val="1"/>
      <w:numFmt w:val="decimal"/>
      <w:isLgl w:val="false"/>
      <w:suff w:val="tab"/>
      <w:lvlText w:val="%4."/>
      <w:lvlJc w:val="left"/>
      <w:pPr>
        <w:ind w:left="3312" w:hanging="360"/>
      </w:pPr>
    </w:lvl>
    <w:lvl w:ilvl="4">
      <w:start w:val="1"/>
      <w:numFmt w:val="lowerLetter"/>
      <w:isLgl w:val="false"/>
      <w:suff w:val="tab"/>
      <w:lvlText w:val="%5."/>
      <w:lvlJc w:val="left"/>
      <w:pPr>
        <w:ind w:left="4032" w:hanging="360"/>
      </w:pPr>
    </w:lvl>
    <w:lvl w:ilvl="5">
      <w:start w:val="1"/>
      <w:numFmt w:val="lowerRoman"/>
      <w:isLgl w:val="false"/>
      <w:suff w:val="tab"/>
      <w:lvlText w:val="%6."/>
      <w:lvlJc w:val="right"/>
      <w:pPr>
        <w:ind w:left="4752" w:hanging="180"/>
      </w:pPr>
    </w:lvl>
    <w:lvl w:ilvl="6">
      <w:start w:val="1"/>
      <w:numFmt w:val="decimal"/>
      <w:isLgl w:val="false"/>
      <w:suff w:val="tab"/>
      <w:lvlText w:val="%7."/>
      <w:lvlJc w:val="left"/>
      <w:pPr>
        <w:ind w:left="5472" w:hanging="360"/>
      </w:pPr>
    </w:lvl>
    <w:lvl w:ilvl="7">
      <w:start w:val="1"/>
      <w:numFmt w:val="lowerLetter"/>
      <w:isLgl w:val="false"/>
      <w:suff w:val="tab"/>
      <w:lvlText w:val="%8."/>
      <w:lvlJc w:val="left"/>
      <w:pPr>
        <w:ind w:left="6192" w:hanging="360"/>
      </w:pPr>
    </w:lvl>
    <w:lvl w:ilvl="8">
      <w:start w:val="1"/>
      <w:numFmt w:val="lowerRoman"/>
      <w:isLgl w:val="false"/>
      <w:suff w:val="tab"/>
      <w:lvlText w:val="%9."/>
      <w:lvlJc w:val="right"/>
      <w:pPr>
        <w:ind w:left="6912" w:hanging="180"/>
      </w:pPr>
    </w:lvl>
  </w:abstractNum>
  <w:abstractNum w:abstractNumId="22">
    <w:multiLevelType w:val="hybridMultilevel"/>
    <w:lvl w:ilvl="0">
      <w:start w:val="1"/>
      <w:numFmt w:val="decimal"/>
      <w:pStyle w:val="1358"/>
      <w:isLgl w:val="false"/>
      <w:suff w:val="tab"/>
      <w:lvlText w:val="%1."/>
      <w:lvlJc w:val="center"/>
      <w:pPr>
        <w:ind w:left="0" w:firstLine="0"/>
        <w:tabs>
          <w:tab w:val="num" w:pos="2977" w:leader="none"/>
        </w:tabs>
      </w:pPr>
      <w:rPr>
        <w:rFonts w:cs="Times New Roman"/>
        <w:bCs w:val="0"/>
        <w:iCs w:val="0"/>
        <w:caps w:val="0"/>
        <w:strike w:val="0"/>
        <w:vanish w:val="0"/>
        <w:color w:val="000000"/>
        <w:spacing w:val="0"/>
        <w:position w:val="0"/>
        <w:u w:val="none"/>
        <w:vertAlign w:val="baseline"/>
      </w:rPr>
    </w:lvl>
    <w:lvl w:ilvl="1">
      <w:start w:val="1"/>
      <w:numFmt w:val="decimal"/>
      <w:pStyle w:val="1360"/>
      <w:isLgl w:val="false"/>
      <w:suff w:val="tab"/>
      <w:lvlText w:val="%1.%2"/>
      <w:lvlJc w:val="left"/>
      <w:pPr>
        <w:ind w:left="0" w:firstLine="567"/>
        <w:tabs>
          <w:tab w:val="num" w:pos="4680" w:leader="none"/>
        </w:tabs>
      </w:pPr>
      <w:rPr>
        <w:rFonts w:cs="Times New Roman"/>
        <w:bCs/>
        <w:iCs w:val="0"/>
        <w:caps w:val="0"/>
        <w:strike w:val="0"/>
        <w:vanish w:val="0"/>
        <w:color w:val="auto"/>
        <w:spacing w:val="0"/>
        <w:position w:val="0"/>
        <w:sz w:val="28"/>
        <w:szCs w:val="28"/>
        <w:u w:val="none"/>
        <w:vertAlign w:val="baseline"/>
      </w:rPr>
    </w:lvl>
    <w:lvl w:ilvl="2">
      <w:start w:val="1"/>
      <w:numFmt w:val="decimal"/>
      <w:pStyle w:val="1359"/>
      <w:isLgl w:val="false"/>
      <w:suff w:val="tab"/>
      <w:lvlText w:val="%1.%2.%3"/>
      <w:lvlJc w:val="left"/>
      <w:pPr>
        <w:ind w:left="0" w:firstLine="567"/>
        <w:tabs>
          <w:tab w:val="num" w:pos="4399" w:leader="none"/>
        </w:tabs>
      </w:pPr>
      <w:rPr>
        <w:rFonts w:cs="Times New Roman"/>
        <w:b w:val="0"/>
        <w:bCs w:val="0"/>
        <w:i w:val="0"/>
        <w:iCs w:val="0"/>
        <w:color w:val="auto"/>
      </w:rPr>
    </w:lvl>
    <w:lvl w:ilvl="3">
      <w:start w:val="1"/>
      <w:numFmt w:val="decimal"/>
      <w:isLgl w:val="false"/>
      <w:suff w:val="tab"/>
      <w:lvlText w:val="%1.%2.%3.%4"/>
      <w:lvlJc w:val="left"/>
      <w:pPr>
        <w:ind w:left="0" w:firstLine="567"/>
        <w:tabs>
          <w:tab w:val="num" w:pos="1985" w:leader="none"/>
        </w:tabs>
      </w:pPr>
      <w:rPr>
        <w:rFonts w:cs="Times New Roman"/>
        <w:b w:val="0"/>
        <w:bCs w:val="0"/>
        <w:i w:val="0"/>
        <w:iCs w:val="0"/>
        <w:caps w:val="0"/>
        <w:strike w:val="0"/>
        <w:vanish w:val="0"/>
        <w:color w:val="auto"/>
        <w:spacing w:val="0"/>
        <w:position w:val="0"/>
        <w:u w:val="none"/>
        <w:vertAlign w:val="baseline"/>
      </w:rPr>
    </w:lvl>
    <w:lvl w:ilvl="4">
      <w:start w:val="1"/>
      <w:numFmt w:val="russianLower"/>
      <w:pStyle w:val="1361"/>
      <w:isLgl w:val="false"/>
      <w:suff w:val="tab"/>
      <w:lvlText w:val="%5)"/>
      <w:lvlJc w:val="left"/>
      <w:pPr>
        <w:ind w:left="0" w:firstLine="567"/>
        <w:tabs>
          <w:tab w:val="num" w:pos="1703" w:leader="none"/>
        </w:tabs>
      </w:pPr>
      <w:rPr>
        <w:rFonts w:cs="Times New Roman"/>
        <w:b w:val="0"/>
        <w:bCs w:val="0"/>
        <w:i w:val="0"/>
        <w:iCs w:val="0"/>
      </w:rPr>
    </w:lvl>
    <w:lvl w:ilvl="5">
      <w:start w:val="1"/>
      <w:numFmt w:val="lowerLetter"/>
      <w:isLgl w:val="false"/>
      <w:suff w:val="tab"/>
      <w:lvlText w:val="%6)"/>
      <w:lvlJc w:val="left"/>
      <w:pPr>
        <w:ind w:left="2551" w:hanging="567"/>
        <w:tabs>
          <w:tab w:val="num" w:pos="2551" w:leader="none"/>
        </w:tabs>
      </w:pPr>
      <w:rPr>
        <w:rFonts w:cs="Times New Roman"/>
      </w:rPr>
    </w:lvl>
    <w:lvl w:ilvl="6">
      <w:start w:val="1"/>
      <w:numFmt w:val="lowerRoman"/>
      <w:isLgl w:val="false"/>
      <w:suff w:val="tab"/>
      <w:lvlText w:val="%7)"/>
      <w:lvlJc w:val="left"/>
      <w:pPr>
        <w:ind w:left="2268" w:hanging="567"/>
        <w:tabs>
          <w:tab w:val="num" w:pos="2268" w:leader="none"/>
        </w:tabs>
      </w:pPr>
      <w:rPr>
        <w:rFonts w:cs="Times New Roman"/>
      </w:rPr>
    </w:lvl>
    <w:lvl w:ilvl="7">
      <w:start w:val="1"/>
      <w:numFmt w:val="decimal"/>
      <w:isLgl w:val="false"/>
      <w:suff w:val="tab"/>
      <w:lvlText w:val="%5.%6.%7.%8)"/>
      <w:lvlJc w:val="left"/>
      <w:pPr>
        <w:ind w:left="1448" w:hanging="567"/>
        <w:tabs>
          <w:tab w:val="num" w:pos="1448" w:leader="none"/>
        </w:tabs>
      </w:pPr>
      <w:rPr>
        <w:rFonts w:cs="Times New Roman"/>
      </w:rPr>
    </w:lvl>
    <w:lvl w:ilvl="8">
      <w:start w:val="1"/>
      <w:numFmt w:val="decimal"/>
      <w:isLgl w:val="false"/>
      <w:suff w:val="tab"/>
      <w:lvlText w:val="%1.%2.%3.%4.%5.%6.%7.%8.%9."/>
      <w:lvlJc w:val="left"/>
      <w:pPr>
        <w:ind w:left="2366" w:hanging="1440"/>
        <w:tabs>
          <w:tab w:val="num" w:pos="4166" w:leader="none"/>
        </w:tabs>
      </w:pPr>
      <w:rPr>
        <w:rFonts w:cs="Times New Roman"/>
      </w:rPr>
    </w:lvl>
  </w:abstractNum>
  <w:abstractNum w:abstractNumId="23">
    <w:multiLevelType w:val="hybridMultilevel"/>
    <w:lvl w:ilvl="0">
      <w:start w:val="1"/>
      <w:numFmt w:val="russianLower"/>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4">
    <w:multiLevelType w:val="hybridMultilevel"/>
    <w:lvl w:ilvl="0">
      <w:start w:val="1"/>
      <w:numFmt w:val="decimal"/>
      <w:isLgl w:val="false"/>
      <w:suff w:val="tab"/>
      <w:lvlText w:val="%1."/>
      <w:lvlJc w:val="left"/>
      <w:pPr>
        <w:ind w:left="1387" w:hanging="1245"/>
        <w:tabs>
          <w:tab w:val="num" w:pos="426" w:leader="none"/>
        </w:tabs>
      </w:pPr>
      <w:rPr>
        <w:rFonts w:hint="default"/>
      </w:rPr>
    </w:lvl>
    <w:lvl w:ilvl="1">
      <w:start w:val="1"/>
      <w:numFmt w:val="decimal"/>
      <w:isLgl w:val="false"/>
      <w:suff w:val="tab"/>
      <w:lvlText w:val="%1.%2."/>
      <w:lvlJc w:val="left"/>
      <w:pPr>
        <w:ind w:left="1954" w:hanging="1897"/>
        <w:tabs>
          <w:tab w:val="num" w:pos="1954" w:leader="none"/>
        </w:tabs>
      </w:pPr>
      <w:rPr>
        <w:rFonts w:hint="default"/>
      </w:rPr>
    </w:lvl>
    <w:lvl w:ilvl="2">
      <w:start w:val="1"/>
      <w:numFmt w:val="decimal"/>
      <w:isLgl w:val="false"/>
      <w:suff w:val="tab"/>
      <w:lvlText w:val="%1.%2.%3."/>
      <w:lvlJc w:val="left"/>
      <w:pPr>
        <w:ind w:left="2663" w:hanging="1245"/>
        <w:tabs>
          <w:tab w:val="num" w:pos="2663" w:leader="none"/>
        </w:tabs>
      </w:pPr>
      <w:rPr>
        <w:rFonts w:hint="default"/>
      </w:rPr>
    </w:lvl>
    <w:lvl w:ilvl="3">
      <w:start w:val="1"/>
      <w:numFmt w:val="decimal"/>
      <w:isLgl w:val="false"/>
      <w:suff w:val="tab"/>
      <w:lvlText w:val="%1.%2.%3.%4."/>
      <w:lvlJc w:val="left"/>
      <w:pPr>
        <w:ind w:left="3372" w:hanging="1245"/>
        <w:tabs>
          <w:tab w:val="num" w:pos="3372" w:leader="none"/>
        </w:tabs>
      </w:pPr>
      <w:rPr>
        <w:rFonts w:hint="default"/>
      </w:rPr>
    </w:lvl>
    <w:lvl w:ilvl="4">
      <w:start w:val="1"/>
      <w:numFmt w:val="decimal"/>
      <w:isLgl w:val="false"/>
      <w:suff w:val="tab"/>
      <w:lvlText w:val="%1.%2.%3.%4.%5."/>
      <w:lvlJc w:val="left"/>
      <w:pPr>
        <w:ind w:left="4081" w:hanging="1245"/>
        <w:tabs>
          <w:tab w:val="num" w:pos="4081" w:leader="none"/>
        </w:tabs>
      </w:pPr>
      <w:rPr>
        <w:rFonts w:hint="default"/>
      </w:rPr>
    </w:lvl>
    <w:lvl w:ilvl="5">
      <w:start w:val="1"/>
      <w:numFmt w:val="decimal"/>
      <w:isLgl w:val="false"/>
      <w:suff w:val="tab"/>
      <w:lvlText w:val="%1.%2.%3.%4.%5.%6."/>
      <w:lvlJc w:val="left"/>
      <w:pPr>
        <w:ind w:left="4790" w:hanging="1245"/>
        <w:tabs>
          <w:tab w:val="num" w:pos="4790" w:leader="none"/>
        </w:tabs>
      </w:pPr>
      <w:rPr>
        <w:rFonts w:hint="default"/>
      </w:rPr>
    </w:lvl>
    <w:lvl w:ilvl="6">
      <w:start w:val="1"/>
      <w:numFmt w:val="decimal"/>
      <w:isLgl w:val="false"/>
      <w:suff w:val="tab"/>
      <w:lvlText w:val="%1.%2.%3.%4.%5.%6.%7."/>
      <w:lvlJc w:val="left"/>
      <w:pPr>
        <w:ind w:left="5694" w:hanging="1440"/>
        <w:tabs>
          <w:tab w:val="num" w:pos="5694" w:leader="none"/>
        </w:tabs>
      </w:pPr>
      <w:rPr>
        <w:rFonts w:hint="default"/>
      </w:rPr>
    </w:lvl>
    <w:lvl w:ilvl="7">
      <w:start w:val="1"/>
      <w:numFmt w:val="decimal"/>
      <w:isLgl w:val="false"/>
      <w:suff w:val="tab"/>
      <w:lvlText w:val="%1.%2.%3.%4.%5.%6.%7.%8."/>
      <w:lvlJc w:val="left"/>
      <w:pPr>
        <w:ind w:left="6403" w:hanging="1440"/>
        <w:tabs>
          <w:tab w:val="num" w:pos="6403" w:leader="none"/>
        </w:tabs>
      </w:pPr>
      <w:rPr>
        <w:rFonts w:hint="default"/>
      </w:rPr>
    </w:lvl>
    <w:lvl w:ilvl="8">
      <w:start w:val="1"/>
      <w:numFmt w:val="decimal"/>
      <w:isLgl w:val="false"/>
      <w:suff w:val="tab"/>
      <w:lvlText w:val="%1.%2.%3.%4.%5.%6.%7.%8.%9."/>
      <w:lvlJc w:val="left"/>
      <w:pPr>
        <w:ind w:left="7472" w:hanging="1800"/>
        <w:tabs>
          <w:tab w:val="num" w:pos="7472" w:leader="none"/>
        </w:tabs>
      </w:pPr>
      <w:rPr>
        <w:rFonts w:hint="default"/>
      </w:rPr>
    </w:lvl>
  </w:abstractNum>
  <w:abstractNum w:abstractNumId="25">
    <w:multiLevelType w:val="hybridMultilevel"/>
    <w:lvl w:ilvl="0">
      <w:start w:val="1"/>
      <w:numFmt w:val="bullet"/>
      <w:isLgl w:val="false"/>
      <w:suff w:val="tab"/>
      <w:lvlText w:val="-"/>
      <w:lvlJc w:val="left"/>
      <w:pPr>
        <w:ind w:left="4472" w:hanging="360"/>
        <w:tabs>
          <w:tab w:val="num" w:pos="4472" w:leader="none"/>
        </w:tabs>
      </w:pPr>
      <w:rPr>
        <w:rFonts w:ascii="Times New Roman" w:hAnsi="Times New Roman" w:eastAsia="Times New Roman"/>
      </w:rPr>
    </w:lvl>
    <w:lvl w:ilvl="1">
      <w:start w:val="1"/>
      <w:numFmt w:val="bullet"/>
      <w:isLgl w:val="false"/>
      <w:suff w:val="tab"/>
      <w:lvlText w:val="-"/>
      <w:lvlJc w:val="left"/>
      <w:pPr>
        <w:ind w:left="2520" w:hanging="360"/>
        <w:tabs>
          <w:tab w:val="num" w:pos="2520" w:leader="none"/>
        </w:tabs>
      </w:pPr>
      <w:rPr>
        <w:rFonts w:hint="default" w:ascii="Times New Roman" w:hAnsi="Times New Roman" w:eastAsia="Times New Roman"/>
      </w:rPr>
    </w:lvl>
    <w:lvl w:ilvl="2">
      <w:start w:val="1"/>
      <w:numFmt w:val="bullet"/>
      <w:isLgl w:val="false"/>
      <w:suff w:val="tab"/>
      <w:lvlText w:val=""/>
      <w:lvlJc w:val="left"/>
      <w:pPr>
        <w:ind w:left="3240" w:hanging="360"/>
      </w:pPr>
      <w:rPr>
        <w:rFonts w:hint="default" w:ascii="Symbol" w:hAnsi="Symbol"/>
      </w:rPr>
    </w:lvl>
    <w:lvl w:ilvl="3">
      <w:start w:val="1"/>
      <w:numFmt w:val="bullet"/>
      <w:isLgl w:val="false"/>
      <w:suff w:val="tab"/>
      <w:lvlText w:val=""/>
      <w:lvlJc w:val="left"/>
      <w:pPr>
        <w:ind w:left="3960" w:hanging="360"/>
      </w:pPr>
      <w:rPr>
        <w:rFonts w:hint="default" w:ascii="Symbol" w:hAnsi="Symbol"/>
      </w:rPr>
    </w:lvl>
    <w:lvl w:ilvl="4">
      <w:start w:val="1"/>
      <w:numFmt w:val="bullet"/>
      <w:isLgl w:val="false"/>
      <w:suff w:val="tab"/>
      <w:lvlText w:val="o"/>
      <w:lvlJc w:val="left"/>
      <w:pPr>
        <w:ind w:left="4680" w:hanging="360"/>
      </w:pPr>
      <w:rPr>
        <w:rFonts w:hint="default" w:ascii="Arial (WT)" w:hAnsi="Arial (WT)"/>
      </w:rPr>
    </w:lvl>
    <w:lvl w:ilvl="5">
      <w:start w:val="1"/>
      <w:numFmt w:val="bullet"/>
      <w:isLgl w:val="false"/>
      <w:suff w:val="tab"/>
      <w:lvlText w:val=""/>
      <w:lvlJc w:val="left"/>
      <w:pPr>
        <w:ind w:left="5400" w:hanging="360"/>
      </w:pPr>
      <w:rPr>
        <w:rFonts w:hint="default" w:ascii="Symbol" w:hAnsi="Symbol"/>
      </w:rPr>
    </w:lvl>
    <w:lvl w:ilvl="6">
      <w:start w:val="1"/>
      <w:numFmt w:val="bullet"/>
      <w:isLgl w:val="false"/>
      <w:suff w:val="tab"/>
      <w:lvlText w:val=""/>
      <w:lvlJc w:val="left"/>
      <w:pPr>
        <w:ind w:left="6120" w:hanging="360"/>
      </w:pPr>
      <w:rPr>
        <w:rFonts w:hint="default" w:ascii="Symbol" w:hAnsi="Symbol"/>
      </w:rPr>
    </w:lvl>
    <w:lvl w:ilvl="7">
      <w:start w:val="1"/>
      <w:numFmt w:val="bullet"/>
      <w:isLgl w:val="false"/>
      <w:suff w:val="tab"/>
      <w:lvlText w:val="o"/>
      <w:lvlJc w:val="left"/>
      <w:pPr>
        <w:ind w:left="6840" w:hanging="360"/>
      </w:pPr>
      <w:rPr>
        <w:rFonts w:hint="default" w:ascii="Arial (WT)" w:hAnsi="Arial (WT)"/>
      </w:rPr>
    </w:lvl>
    <w:lvl w:ilvl="8">
      <w:start w:val="1"/>
      <w:numFmt w:val="bullet"/>
      <w:isLgl w:val="false"/>
      <w:suff w:val="tab"/>
      <w:lvlText w:val=""/>
      <w:lvlJc w:val="left"/>
      <w:pPr>
        <w:ind w:left="7560" w:hanging="360"/>
      </w:pPr>
      <w:rPr>
        <w:rFonts w:hint="default" w:ascii="Symbol" w:hAnsi="Symbol"/>
      </w:rPr>
    </w:lvl>
  </w:abstractNum>
  <w:abstractNum w:abstractNumId="26">
    <w:multiLevelType w:val="hybridMultilevel"/>
    <w:lvl w:ilvl="0">
      <w:start w:val="1"/>
      <w:numFmt w:val="russianLower"/>
      <w:isLgl w:val="false"/>
      <w:suff w:val="tab"/>
      <w:lvlText w:val="%1)"/>
      <w:lvlJc w:val="left"/>
      <w:pPr>
        <w:ind w:left="1287" w:hanging="360"/>
      </w:pPr>
      <w:rPr>
        <w:rFonts w:hint="default"/>
      </w:r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27">
    <w:multiLevelType w:val="hybridMultilevel"/>
    <w:lvl w:ilvl="0">
      <w:start w:val="1"/>
      <w:numFmt w:val="russianLower"/>
      <w:isLgl w:val="false"/>
      <w:suff w:val="tab"/>
      <w:lvlText w:val="%1)"/>
      <w:lvlJc w:val="left"/>
      <w:pPr>
        <w:ind w:left="720" w:hanging="360"/>
      </w:pPr>
      <w:rPr>
        <w:rFonts w:hint="default" w:cs="Times New Roman"/>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
    <w:multiLevelType w:val="hybridMultilevel"/>
    <w:lvl w:ilvl="0">
      <w:start w:val="1"/>
      <w:numFmt w:val="decimal"/>
      <w:isLgl w:val="false"/>
      <w:suff w:val="tab"/>
      <w:lvlText w:val="%1."/>
      <w:lvlJc w:val="left"/>
      <w:pPr>
        <w:tabs>
          <w:tab w:val="num" w:pos="0" w:leader="none"/>
        </w:tabs>
      </w:pPr>
      <w:rPr>
        <w:rFonts w:hint="default"/>
        <w:b/>
        <w:bCs/>
        <w:i w:val="0"/>
        <w:iCs w:val="0"/>
        <w:caps w:val="0"/>
        <w:smallCaps w:val="0"/>
        <w:strike w:val="0"/>
        <w:vanish w:val="0"/>
        <w:color w:val="000000"/>
        <w:spacing w:val="0"/>
        <w:position w:val="0"/>
        <w:u w:val="none"/>
        <w:vertAlign w:val="baseline"/>
      </w:rPr>
    </w:lvl>
    <w:lvl w:ilvl="1">
      <w:start w:val="1"/>
      <w:numFmt w:val="decimal"/>
      <w:isLgl w:val="false"/>
      <w:suff w:val="tab"/>
      <w:lvlText w:val="%1.%2"/>
      <w:lvlJc w:val="left"/>
      <w:pPr>
        <w:ind w:left="1277" w:hanging="851"/>
        <w:tabs>
          <w:tab w:val="num" w:pos="1277" w:leader="none"/>
        </w:tabs>
      </w:pPr>
      <w:rPr>
        <w:rFonts w:hint="default"/>
        <w:caps w:val="0"/>
        <w:strike w:val="0"/>
        <w:vanish w:val="0"/>
        <w:color w:val="auto"/>
        <w:spacing w:val="0"/>
        <w:position w:val="0"/>
        <w:u w:val="none"/>
        <w:vertAlign w:val="baseline"/>
      </w:rPr>
    </w:lvl>
    <w:lvl w:ilvl="2">
      <w:start w:val="1"/>
      <w:numFmt w:val="decimal"/>
      <w:pStyle w:val="1323"/>
      <w:isLgl w:val="false"/>
      <w:suff w:val="tab"/>
      <w:lvlText w:val="%1.%2.%3"/>
      <w:lvlJc w:val="left"/>
      <w:pPr>
        <w:ind w:left="-283" w:firstLine="567"/>
        <w:tabs>
          <w:tab w:val="num" w:pos="1135" w:leader="none"/>
        </w:tabs>
      </w:pPr>
      <w:rPr>
        <w:rFonts w:hint="default"/>
        <w:b w:val="0"/>
        <w:bCs w:val="0"/>
        <w:i w:val="0"/>
        <w:iCs w:val="0"/>
      </w:rPr>
    </w:lvl>
    <w:lvl w:ilvl="3">
      <w:start w:val="1"/>
      <w:numFmt w:val="decimal"/>
      <w:isLgl w:val="false"/>
      <w:suff w:val="tab"/>
      <w:lvlText w:val="%1.%2.%3.%4"/>
      <w:lvlJc w:val="left"/>
      <w:pPr>
        <w:ind w:firstLine="567"/>
        <w:tabs>
          <w:tab w:val="num" w:pos="1418" w:leader="none"/>
        </w:tabs>
      </w:pPr>
      <w:rPr>
        <w:rFonts w:hint="default"/>
        <w:b w:val="0"/>
        <w:bCs w:val="0"/>
        <w:i w:val="0"/>
        <w:iCs w:val="0"/>
        <w:caps w:val="0"/>
        <w:strike w:val="0"/>
        <w:vanish w:val="0"/>
        <w:color w:val="auto"/>
        <w:spacing w:val="0"/>
        <w:position w:val="0"/>
        <w:u w:val="none"/>
        <w:vertAlign w:val="baseline"/>
      </w:rPr>
    </w:lvl>
    <w:lvl w:ilvl="4">
      <w:start w:val="1"/>
      <w:numFmt w:val="lowerLetter"/>
      <w:isLgl w:val="false"/>
      <w:suff w:val="tab"/>
      <w:lvlText w:val="%5)"/>
      <w:lvlJc w:val="left"/>
      <w:pPr>
        <w:ind w:firstLine="567"/>
        <w:tabs>
          <w:tab w:val="num" w:pos="1418" w:leader="none"/>
        </w:tabs>
      </w:pPr>
      <w:rPr>
        <w:rFonts w:hint="default"/>
        <w:b w:val="0"/>
        <w:bCs w:val="0"/>
        <w:i w:val="0"/>
        <w:iCs w:val="0"/>
      </w:rPr>
    </w:lvl>
    <w:lvl w:ilvl="5">
      <w:start w:val="1"/>
      <w:numFmt w:val="lowerRoman"/>
      <w:isLgl w:val="false"/>
      <w:suff w:val="tab"/>
      <w:lvlText w:val="%6)"/>
      <w:lvlJc w:val="left"/>
      <w:pPr>
        <w:ind w:left="1985" w:hanging="567"/>
        <w:tabs>
          <w:tab w:val="num" w:pos="1985" w:leader="none"/>
        </w:tabs>
      </w:pPr>
      <w:rPr>
        <w:rFonts w:hint="default"/>
      </w:rPr>
    </w:lvl>
    <w:lvl w:ilvl="6">
      <w:start w:val="1"/>
      <w:numFmt w:val="decimal"/>
      <w:isLgl w:val="false"/>
      <w:suff w:val="tab"/>
      <w:lvlText w:val="%5.%6.%7)"/>
      <w:lvlJc w:val="left"/>
      <w:pPr>
        <w:ind w:left="3119" w:hanging="851"/>
        <w:tabs>
          <w:tab w:val="num" w:pos="3119" w:leader="none"/>
        </w:tabs>
      </w:pPr>
      <w:rPr>
        <w:rFonts w:hint="default"/>
      </w:rPr>
    </w:lvl>
    <w:lvl w:ilvl="7">
      <w:start w:val="1"/>
      <w:numFmt w:val="decimal"/>
      <w:isLgl w:val="false"/>
      <w:suff w:val="tab"/>
      <w:lvlText w:val="%5.%6.%7.%8)"/>
      <w:lvlJc w:val="left"/>
      <w:pPr>
        <w:ind w:left="3402" w:hanging="567"/>
        <w:tabs>
          <w:tab w:val="num" w:pos="3402" w:leader="none"/>
        </w:tabs>
      </w:pPr>
      <w:rPr>
        <w:rFonts w:hint="default"/>
      </w:rPr>
    </w:lvl>
    <w:lvl w:ilvl="8">
      <w:start w:val="1"/>
      <w:numFmt w:val="decimal"/>
      <w:isLgl w:val="false"/>
      <w:suff w:val="tab"/>
      <w:lvlText w:val="%1.%2.%3.%4.%5.%6.%7.%8.%9."/>
      <w:lvlJc w:val="left"/>
      <w:pPr>
        <w:ind w:left="4320" w:hanging="1440"/>
        <w:tabs>
          <w:tab w:val="num" w:pos="6120" w:leader="none"/>
        </w:tabs>
      </w:pPr>
      <w:rPr>
        <w:rFonts w:hint="default"/>
      </w:rPr>
    </w:lvl>
  </w:abstractNum>
  <w:abstractNum w:abstractNumId="29">
    <w:multiLevelType w:val="hybridMultilevel"/>
    <w:lvl w:ilvl="0">
      <w:start w:val="1"/>
      <w:numFmt w:val="decimal"/>
      <w:isLgl w:val="false"/>
      <w:suff w:val="tab"/>
      <w:lvlText w:val="%1."/>
      <w:lvlJc w:val="left"/>
      <w:pPr>
        <w:ind w:left="720" w:hanging="360"/>
        <w:tabs>
          <w:tab w:val="num" w:pos="720" w:leader="none"/>
        </w:tabs>
      </w:pPr>
      <w:rPr>
        <w:rFonts w:hint="default" w:cs="Times New Roman"/>
      </w:rPr>
    </w:lvl>
    <w:lvl w:ilvl="1">
      <w:start w:val="1"/>
      <w:numFmt w:val="none"/>
      <w:isLgl w:val="false"/>
      <w:suff w:val="tab"/>
      <w:lvlText w:val=""/>
      <w:lvlJc w:val="left"/>
      <w:pPr>
        <w:tabs>
          <w:tab w:val="num" w:pos="360" w:leader="none"/>
        </w:tabs>
      </w:pPr>
      <w:rPr>
        <w:rFonts w:cs="Times New Roman"/>
      </w:rPr>
    </w:lvl>
    <w:lvl w:ilvl="2">
      <w:start w:val="1"/>
      <w:numFmt w:val="none"/>
      <w:isLgl w:val="false"/>
      <w:suff w:val="tab"/>
      <w:lvlText w:val=""/>
      <w:lvlJc w:val="left"/>
      <w:pPr>
        <w:tabs>
          <w:tab w:val="num" w:pos="360" w:leader="none"/>
        </w:tabs>
      </w:pPr>
      <w:rPr>
        <w:rFonts w:cs="Times New Roman"/>
      </w:rPr>
    </w:lvl>
    <w:lvl w:ilvl="3">
      <w:start w:val="1"/>
      <w:numFmt w:val="none"/>
      <w:isLgl w:val="false"/>
      <w:suff w:val="tab"/>
      <w:lvlText w:val=""/>
      <w:lvlJc w:val="left"/>
      <w:pPr>
        <w:tabs>
          <w:tab w:val="num" w:pos="360" w:leader="none"/>
        </w:tabs>
      </w:pPr>
      <w:rPr>
        <w:rFonts w:cs="Times New Roman"/>
      </w:rPr>
    </w:lvl>
    <w:lvl w:ilvl="4">
      <w:start w:val="1"/>
      <w:numFmt w:val="none"/>
      <w:isLgl w:val="false"/>
      <w:suff w:val="tab"/>
      <w:lvlText w:val=""/>
      <w:lvlJc w:val="left"/>
      <w:pPr>
        <w:tabs>
          <w:tab w:val="num" w:pos="360" w:leader="none"/>
        </w:tabs>
      </w:pPr>
      <w:rPr>
        <w:rFonts w:cs="Times New Roman"/>
      </w:rPr>
    </w:lvl>
    <w:lvl w:ilvl="5">
      <w:start w:val="1"/>
      <w:numFmt w:val="none"/>
      <w:isLgl w:val="false"/>
      <w:suff w:val="tab"/>
      <w:lvlText w:val=""/>
      <w:lvlJc w:val="left"/>
      <w:pPr>
        <w:tabs>
          <w:tab w:val="num" w:pos="360" w:leader="none"/>
        </w:tabs>
      </w:pPr>
      <w:rPr>
        <w:rFonts w:cs="Times New Roman"/>
      </w:rPr>
    </w:lvl>
    <w:lvl w:ilvl="6">
      <w:start w:val="1"/>
      <w:numFmt w:val="none"/>
      <w:isLgl w:val="false"/>
      <w:suff w:val="tab"/>
      <w:lvlText w:val=""/>
      <w:lvlJc w:val="left"/>
      <w:pPr>
        <w:tabs>
          <w:tab w:val="num" w:pos="360" w:leader="none"/>
        </w:tabs>
      </w:pPr>
      <w:rPr>
        <w:rFonts w:cs="Times New Roman"/>
      </w:rPr>
    </w:lvl>
    <w:lvl w:ilvl="7">
      <w:start w:val="1"/>
      <w:numFmt w:val="none"/>
      <w:isLgl w:val="false"/>
      <w:suff w:val="tab"/>
      <w:lvlText w:val=""/>
      <w:lvlJc w:val="left"/>
      <w:pPr>
        <w:tabs>
          <w:tab w:val="num" w:pos="360" w:leader="none"/>
        </w:tabs>
      </w:pPr>
      <w:rPr>
        <w:rFonts w:cs="Times New Roman"/>
      </w:rPr>
    </w:lvl>
    <w:lvl w:ilvl="8">
      <w:start w:val="1"/>
      <w:numFmt w:val="none"/>
      <w:isLgl w:val="false"/>
      <w:suff w:val="tab"/>
      <w:lvlText w:val=""/>
      <w:lvlJc w:val="left"/>
      <w:pPr>
        <w:tabs>
          <w:tab w:val="num" w:pos="360" w:leader="none"/>
        </w:tabs>
      </w:pPr>
      <w:rPr>
        <w:rFonts w:cs="Times New Roman"/>
      </w:rPr>
    </w:lvl>
  </w:abstractNum>
  <w:abstractNum w:abstractNumId="30">
    <w:multiLevelType w:val="hybridMultilevel"/>
    <w:lvl w:ilvl="0">
      <w:start w:val="1"/>
      <w:numFmt w:val="decimal"/>
      <w:isLgl w:val="false"/>
      <w:suff w:val="tab"/>
      <w:lvlText w:val="%1."/>
      <w:lvlJc w:val="left"/>
      <w:pPr>
        <w:ind w:left="1260" w:hanging="360"/>
        <w:tabs>
          <w:tab w:val="num" w:pos="1260" w:leader="none"/>
        </w:tabs>
      </w:pPr>
      <w:rPr>
        <w:rFonts w:hint="default"/>
      </w:rPr>
    </w:lvl>
    <w:lvl w:ilvl="1">
      <w:start w:val="1"/>
      <w:numFmt w:val="lowerLetter"/>
      <w:isLgl w:val="false"/>
      <w:suff w:val="tab"/>
      <w:lvlText w:val="%2."/>
      <w:lvlJc w:val="left"/>
      <w:pPr>
        <w:ind w:left="1980" w:hanging="360"/>
        <w:tabs>
          <w:tab w:val="num" w:pos="1980" w:leader="none"/>
        </w:tabs>
      </w:pPr>
    </w:lvl>
    <w:lvl w:ilvl="2">
      <w:start w:val="1"/>
      <w:numFmt w:val="lowerRoman"/>
      <w:isLgl w:val="false"/>
      <w:suff w:val="tab"/>
      <w:lvlText w:val="%3."/>
      <w:lvlJc w:val="right"/>
      <w:pPr>
        <w:ind w:left="2700" w:hanging="180"/>
        <w:tabs>
          <w:tab w:val="num" w:pos="2700" w:leader="none"/>
        </w:tabs>
      </w:pPr>
    </w:lvl>
    <w:lvl w:ilvl="3">
      <w:start w:val="1"/>
      <w:numFmt w:val="decimal"/>
      <w:isLgl w:val="false"/>
      <w:suff w:val="tab"/>
      <w:lvlText w:val="%4."/>
      <w:lvlJc w:val="left"/>
      <w:pPr>
        <w:ind w:left="3420" w:hanging="360"/>
        <w:tabs>
          <w:tab w:val="num" w:pos="3420" w:leader="none"/>
        </w:tabs>
      </w:pPr>
    </w:lvl>
    <w:lvl w:ilvl="4">
      <w:start w:val="1"/>
      <w:numFmt w:val="lowerLetter"/>
      <w:isLgl w:val="false"/>
      <w:suff w:val="tab"/>
      <w:lvlText w:val="%5."/>
      <w:lvlJc w:val="left"/>
      <w:pPr>
        <w:ind w:left="4140" w:hanging="360"/>
        <w:tabs>
          <w:tab w:val="num" w:pos="4140" w:leader="none"/>
        </w:tabs>
      </w:pPr>
    </w:lvl>
    <w:lvl w:ilvl="5">
      <w:start w:val="1"/>
      <w:numFmt w:val="lowerRoman"/>
      <w:isLgl w:val="false"/>
      <w:suff w:val="tab"/>
      <w:lvlText w:val="%6."/>
      <w:lvlJc w:val="right"/>
      <w:pPr>
        <w:ind w:left="4860" w:hanging="180"/>
        <w:tabs>
          <w:tab w:val="num" w:pos="4860" w:leader="none"/>
        </w:tabs>
      </w:pPr>
    </w:lvl>
    <w:lvl w:ilvl="6">
      <w:start w:val="1"/>
      <w:numFmt w:val="decimal"/>
      <w:isLgl w:val="false"/>
      <w:suff w:val="tab"/>
      <w:lvlText w:val="%7."/>
      <w:lvlJc w:val="left"/>
      <w:pPr>
        <w:ind w:left="5580" w:hanging="360"/>
        <w:tabs>
          <w:tab w:val="num" w:pos="5580" w:leader="none"/>
        </w:tabs>
      </w:pPr>
    </w:lvl>
    <w:lvl w:ilvl="7">
      <w:start w:val="1"/>
      <w:numFmt w:val="lowerLetter"/>
      <w:isLgl w:val="false"/>
      <w:suff w:val="tab"/>
      <w:lvlText w:val="%8."/>
      <w:lvlJc w:val="left"/>
      <w:pPr>
        <w:ind w:left="6300" w:hanging="360"/>
        <w:tabs>
          <w:tab w:val="num" w:pos="6300" w:leader="none"/>
        </w:tabs>
      </w:pPr>
    </w:lvl>
    <w:lvl w:ilvl="8">
      <w:start w:val="1"/>
      <w:numFmt w:val="lowerRoman"/>
      <w:isLgl w:val="false"/>
      <w:suff w:val="tab"/>
      <w:lvlText w:val="%9."/>
      <w:lvlJc w:val="right"/>
      <w:pPr>
        <w:ind w:left="7020" w:hanging="180"/>
        <w:tabs>
          <w:tab w:val="num" w:pos="7020" w:leader="none"/>
        </w:tabs>
      </w:pPr>
    </w:lvl>
  </w:abstractNum>
  <w:abstractNum w:abstractNumId="31">
    <w:multiLevelType w:val="hybridMultilevel"/>
    <w:lvl w:ilvl="0">
      <w:start w:val="1"/>
      <w:numFmt w:val="bullet"/>
      <w:isLgl w:val="false"/>
      <w:suff w:val="tab"/>
      <w:lvlText w:val="-"/>
      <w:lvlJc w:val="left"/>
      <w:pPr>
        <w:ind w:left="1260" w:hanging="360"/>
      </w:pPr>
      <w:rPr>
        <w:rFonts w:hint="default" w:ascii="Times New Roman" w:hAnsi="Times New Roman" w:eastAsia="Times New Roman"/>
      </w:rPr>
    </w:lvl>
    <w:lvl w:ilvl="1">
      <w:start w:val="1"/>
      <w:numFmt w:val="bullet"/>
      <w:isLgl w:val="false"/>
      <w:suff w:val="tab"/>
      <w:lvlText w:val="o"/>
      <w:lvlJc w:val="left"/>
      <w:pPr>
        <w:ind w:left="1980" w:hanging="360"/>
      </w:pPr>
      <w:rPr>
        <w:rFonts w:hint="default" w:ascii="Courier New" w:hAnsi="Courier New" w:cs="Courier New"/>
      </w:rPr>
    </w:lvl>
    <w:lvl w:ilvl="2">
      <w:start w:val="1"/>
      <w:numFmt w:val="bullet"/>
      <w:isLgl w:val="false"/>
      <w:suff w:val="tab"/>
      <w:lvlText w:val=""/>
      <w:lvlJc w:val="left"/>
      <w:pPr>
        <w:ind w:left="2700" w:hanging="360"/>
      </w:pPr>
      <w:rPr>
        <w:rFonts w:hint="default" w:ascii="Wingdings" w:hAnsi="Wingdings"/>
      </w:rPr>
    </w:lvl>
    <w:lvl w:ilvl="3">
      <w:start w:val="1"/>
      <w:numFmt w:val="bullet"/>
      <w:isLgl w:val="false"/>
      <w:suff w:val="tab"/>
      <w:lvlText w:val=""/>
      <w:lvlJc w:val="left"/>
      <w:pPr>
        <w:ind w:left="3420" w:hanging="360"/>
      </w:pPr>
      <w:rPr>
        <w:rFonts w:hint="default" w:ascii="Symbol" w:hAnsi="Symbol"/>
      </w:rPr>
    </w:lvl>
    <w:lvl w:ilvl="4">
      <w:start w:val="1"/>
      <w:numFmt w:val="bullet"/>
      <w:isLgl w:val="false"/>
      <w:suff w:val="tab"/>
      <w:lvlText w:val="o"/>
      <w:lvlJc w:val="left"/>
      <w:pPr>
        <w:ind w:left="4140" w:hanging="360"/>
      </w:pPr>
      <w:rPr>
        <w:rFonts w:hint="default" w:ascii="Courier New" w:hAnsi="Courier New" w:cs="Courier New"/>
      </w:rPr>
    </w:lvl>
    <w:lvl w:ilvl="5">
      <w:start w:val="1"/>
      <w:numFmt w:val="bullet"/>
      <w:isLgl w:val="false"/>
      <w:suff w:val="tab"/>
      <w:lvlText w:val=""/>
      <w:lvlJc w:val="left"/>
      <w:pPr>
        <w:ind w:left="4860" w:hanging="360"/>
      </w:pPr>
      <w:rPr>
        <w:rFonts w:hint="default" w:ascii="Wingdings" w:hAnsi="Wingdings"/>
      </w:rPr>
    </w:lvl>
    <w:lvl w:ilvl="6">
      <w:start w:val="1"/>
      <w:numFmt w:val="bullet"/>
      <w:isLgl w:val="false"/>
      <w:suff w:val="tab"/>
      <w:lvlText w:val=""/>
      <w:lvlJc w:val="left"/>
      <w:pPr>
        <w:ind w:left="5580" w:hanging="360"/>
      </w:pPr>
      <w:rPr>
        <w:rFonts w:hint="default" w:ascii="Symbol" w:hAnsi="Symbol"/>
      </w:rPr>
    </w:lvl>
    <w:lvl w:ilvl="7">
      <w:start w:val="1"/>
      <w:numFmt w:val="bullet"/>
      <w:isLgl w:val="false"/>
      <w:suff w:val="tab"/>
      <w:lvlText w:val="o"/>
      <w:lvlJc w:val="left"/>
      <w:pPr>
        <w:ind w:left="6300" w:hanging="360"/>
      </w:pPr>
      <w:rPr>
        <w:rFonts w:hint="default" w:ascii="Courier New" w:hAnsi="Courier New" w:cs="Courier New"/>
      </w:rPr>
    </w:lvl>
    <w:lvl w:ilvl="8">
      <w:start w:val="1"/>
      <w:numFmt w:val="bullet"/>
      <w:isLgl w:val="false"/>
      <w:suff w:val="tab"/>
      <w:lvlText w:val=""/>
      <w:lvlJc w:val="left"/>
      <w:pPr>
        <w:ind w:left="7020" w:hanging="360"/>
      </w:pPr>
      <w:rPr>
        <w:rFonts w:hint="default" w:ascii="Wingdings" w:hAnsi="Wingdings"/>
      </w:rPr>
    </w:lvl>
  </w:abstractNum>
  <w:abstractNum w:abstractNumId="32">
    <w:multiLevelType w:val="hybridMultilevel"/>
    <w:styleLink w:val="1373"/>
    <w:lvl w:ilvl="0">
      <w:start w:val="1"/>
      <w:numFmt w:val="bullet"/>
      <w:pStyle w:val="1373"/>
      <w:isLgl w:val="false"/>
      <w:suff w:val="tab"/>
      <w:lvlText w:val="­"/>
      <w:lvlJc w:val="left"/>
      <w:pPr>
        <w:ind w:left="709" w:firstLine="0"/>
        <w:tabs>
          <w:tab w:val="num" w:pos="1418" w:leader="none"/>
        </w:tabs>
      </w:pPr>
      <w:rPr>
        <w:rFonts w:ascii="Helvetica" w:hAnsi="Helvetica" w:eastAsia="Helvetica" w:cs="Helvetica"/>
        <w:b w:val="0"/>
        <w:bCs w:val="0"/>
        <w:i w:val="0"/>
        <w:iCs w:val="0"/>
        <w:caps w:val="0"/>
        <w:smallCaps w:val="0"/>
        <w:strike w:val="0"/>
        <w:spacing w:val="0"/>
        <w:position w:val="0"/>
        <w:highlight w:val="none"/>
        <w:vertAlign w:val="baseline"/>
      </w:rPr>
    </w:lvl>
    <w:lvl w:ilvl="1">
      <w:start w:val="1"/>
      <w:numFmt w:val="bullet"/>
      <w:isLgl w:val="false"/>
      <w:suff w:val="tab"/>
      <w:lvlText w:val="o"/>
      <w:lvlJc w:val="left"/>
      <w:pPr>
        <w:ind w:left="720" w:firstLine="11"/>
        <w:tabs>
          <w:tab w:val="num" w:pos="1429" w:leader="none"/>
        </w:tabs>
      </w:pPr>
      <w:rPr>
        <w:rFonts w:ascii="Helvetica" w:hAnsi="Helvetica" w:eastAsia="Helvetica" w:cs="Helvetica"/>
        <w:b w:val="0"/>
        <w:bCs w:val="0"/>
        <w:i w:val="0"/>
        <w:iCs w:val="0"/>
        <w:caps w:val="0"/>
        <w:smallCaps w:val="0"/>
        <w:strike w:val="0"/>
        <w:spacing w:val="0"/>
        <w:position w:val="0"/>
        <w:highlight w:val="none"/>
        <w:vertAlign w:val="baseline"/>
      </w:rPr>
    </w:lvl>
    <w:lvl w:ilvl="2">
      <w:start w:val="1"/>
      <w:numFmt w:val="bullet"/>
      <w:isLgl w:val="false"/>
      <w:suff w:val="tab"/>
      <w:lvlText w:val="▪"/>
      <w:lvlJc w:val="left"/>
      <w:pPr>
        <w:ind w:left="1440" w:firstLine="22"/>
        <w:tabs>
          <w:tab w:val="num" w:pos="2149" w:leader="none"/>
        </w:tabs>
      </w:pPr>
      <w:rPr>
        <w:rFonts w:ascii="Arial Unicode MS" w:hAnsi="Arial Unicode MS" w:eastAsia="Arial Unicode MS" w:cs="Arial Unicode MS"/>
        <w:b w:val="0"/>
        <w:bCs w:val="0"/>
        <w:i w:val="0"/>
        <w:iCs w:val="0"/>
        <w:caps w:val="0"/>
        <w:smallCaps w:val="0"/>
        <w:strike w:val="0"/>
        <w:spacing w:val="0"/>
        <w:position w:val="0"/>
        <w:highlight w:val="none"/>
        <w:vertAlign w:val="baseline"/>
      </w:rPr>
    </w:lvl>
    <w:lvl w:ilvl="3">
      <w:start w:val="1"/>
      <w:numFmt w:val="bullet"/>
      <w:isLgl w:val="false"/>
      <w:suff w:val="tab"/>
      <w:lvlText w:val="•"/>
      <w:lvlJc w:val="left"/>
      <w:pPr>
        <w:ind w:left="2160" w:firstLine="33"/>
        <w:tabs>
          <w:tab w:val="num" w:pos="2869" w:leader="none"/>
        </w:tabs>
      </w:pPr>
      <w:rPr>
        <w:rFonts w:ascii="Helvetica" w:hAnsi="Helvetica" w:eastAsia="Helvetica" w:cs="Helvetica"/>
        <w:b w:val="0"/>
        <w:bCs w:val="0"/>
        <w:i w:val="0"/>
        <w:iCs w:val="0"/>
        <w:caps w:val="0"/>
        <w:smallCaps w:val="0"/>
        <w:strike w:val="0"/>
        <w:spacing w:val="0"/>
        <w:position w:val="0"/>
        <w:highlight w:val="none"/>
        <w:vertAlign w:val="baseline"/>
      </w:rPr>
    </w:lvl>
    <w:lvl w:ilvl="4">
      <w:start w:val="1"/>
      <w:numFmt w:val="bullet"/>
      <w:isLgl w:val="false"/>
      <w:suff w:val="tab"/>
      <w:lvlText w:val="o"/>
      <w:lvlJc w:val="left"/>
      <w:pPr>
        <w:ind w:left="2880" w:firstLine="44"/>
        <w:tabs>
          <w:tab w:val="num" w:pos="3589" w:leader="none"/>
        </w:tabs>
      </w:pPr>
      <w:rPr>
        <w:rFonts w:ascii="Helvetica" w:hAnsi="Helvetica" w:eastAsia="Helvetica" w:cs="Helvetica"/>
        <w:b w:val="0"/>
        <w:bCs w:val="0"/>
        <w:i w:val="0"/>
        <w:iCs w:val="0"/>
        <w:caps w:val="0"/>
        <w:smallCaps w:val="0"/>
        <w:strike w:val="0"/>
        <w:spacing w:val="0"/>
        <w:position w:val="0"/>
        <w:highlight w:val="none"/>
        <w:vertAlign w:val="baseline"/>
      </w:rPr>
    </w:lvl>
    <w:lvl w:ilvl="5">
      <w:start w:val="1"/>
      <w:numFmt w:val="bullet"/>
      <w:isLgl w:val="false"/>
      <w:suff w:val="tab"/>
      <w:lvlText w:val="▪"/>
      <w:lvlJc w:val="left"/>
      <w:pPr>
        <w:ind w:left="3600" w:firstLine="55"/>
        <w:tabs>
          <w:tab w:val="num" w:pos="4309" w:leader="none"/>
        </w:tabs>
      </w:pPr>
      <w:rPr>
        <w:rFonts w:ascii="Arial Unicode MS" w:hAnsi="Arial Unicode MS" w:eastAsia="Arial Unicode MS" w:cs="Arial Unicode MS"/>
        <w:b w:val="0"/>
        <w:bCs w:val="0"/>
        <w:i w:val="0"/>
        <w:iCs w:val="0"/>
        <w:caps w:val="0"/>
        <w:smallCaps w:val="0"/>
        <w:strike w:val="0"/>
        <w:spacing w:val="0"/>
        <w:position w:val="0"/>
        <w:highlight w:val="none"/>
        <w:vertAlign w:val="baseline"/>
      </w:rPr>
    </w:lvl>
    <w:lvl w:ilvl="6">
      <w:start w:val="1"/>
      <w:numFmt w:val="bullet"/>
      <w:isLgl w:val="false"/>
      <w:suff w:val="tab"/>
      <w:lvlText w:val="•"/>
      <w:lvlJc w:val="left"/>
      <w:pPr>
        <w:ind w:left="4320" w:firstLine="66"/>
        <w:tabs>
          <w:tab w:val="num" w:pos="5029" w:leader="none"/>
        </w:tabs>
      </w:pPr>
      <w:rPr>
        <w:rFonts w:ascii="Helvetica" w:hAnsi="Helvetica" w:eastAsia="Helvetica" w:cs="Helvetica"/>
        <w:b w:val="0"/>
        <w:bCs w:val="0"/>
        <w:i w:val="0"/>
        <w:iCs w:val="0"/>
        <w:caps w:val="0"/>
        <w:smallCaps w:val="0"/>
        <w:strike w:val="0"/>
        <w:spacing w:val="0"/>
        <w:position w:val="0"/>
        <w:highlight w:val="none"/>
        <w:vertAlign w:val="baseline"/>
      </w:rPr>
    </w:lvl>
    <w:lvl w:ilvl="7">
      <w:start w:val="1"/>
      <w:numFmt w:val="bullet"/>
      <w:isLgl w:val="false"/>
      <w:suff w:val="tab"/>
      <w:lvlText w:val="o"/>
      <w:lvlJc w:val="left"/>
      <w:pPr>
        <w:ind w:left="5040" w:firstLine="77"/>
        <w:tabs>
          <w:tab w:val="num" w:pos="5749" w:leader="none"/>
        </w:tabs>
      </w:pPr>
      <w:rPr>
        <w:rFonts w:ascii="Helvetica" w:hAnsi="Helvetica" w:eastAsia="Helvetica" w:cs="Helvetica"/>
        <w:b w:val="0"/>
        <w:bCs w:val="0"/>
        <w:i w:val="0"/>
        <w:iCs w:val="0"/>
        <w:caps w:val="0"/>
        <w:smallCaps w:val="0"/>
        <w:strike w:val="0"/>
        <w:spacing w:val="0"/>
        <w:position w:val="0"/>
        <w:highlight w:val="none"/>
        <w:vertAlign w:val="baseline"/>
      </w:rPr>
    </w:lvl>
    <w:lvl w:ilvl="8">
      <w:start w:val="1"/>
      <w:numFmt w:val="bullet"/>
      <w:isLgl w:val="false"/>
      <w:suff w:val="tab"/>
      <w:lvlText w:val="▪"/>
      <w:lvlJc w:val="left"/>
      <w:pPr>
        <w:ind w:left="5760" w:firstLine="88"/>
        <w:tabs>
          <w:tab w:val="num" w:pos="6469" w:leader="none"/>
        </w:tabs>
      </w:pPr>
      <w:rPr>
        <w:rFonts w:ascii="Arial Unicode MS" w:hAnsi="Arial Unicode MS" w:eastAsia="Arial Unicode MS" w:cs="Arial Unicode MS"/>
        <w:b w:val="0"/>
        <w:bCs w:val="0"/>
        <w:i w:val="0"/>
        <w:iCs w:val="0"/>
        <w:caps w:val="0"/>
        <w:smallCaps w:val="0"/>
        <w:strike w:val="0"/>
        <w:spacing w:val="0"/>
        <w:position w:val="0"/>
        <w:highlight w:val="none"/>
        <w:vertAlign w:val="baseline"/>
      </w:rPr>
    </w:lvl>
  </w:abstractNum>
  <w:abstractNum w:abstractNumId="33">
    <w:multiLevelType w:val="hybridMultilevel"/>
    <w:lvl w:ilvl="0">
      <w:start w:val="2"/>
      <w:numFmt w:val="decimal"/>
      <w:isLgl w:val="false"/>
      <w:suff w:val="tab"/>
      <w:lvlText w:val="%1."/>
      <w:lvlJc w:val="left"/>
      <w:pPr>
        <w:ind w:left="360" w:hanging="360"/>
      </w:pPr>
      <w:rPr>
        <w:rFonts w:hint="default"/>
      </w:rPr>
    </w:lvl>
    <w:lvl w:ilvl="1">
      <w:start w:val="1"/>
      <w:numFmt w:val="decimal"/>
      <w:isLgl w:val="false"/>
      <w:suff w:val="tab"/>
      <w:lvlText w:val="%1.%2."/>
      <w:lvlJc w:val="left"/>
      <w:pPr>
        <w:ind w:left="927" w:hanging="360"/>
      </w:pPr>
      <w:rPr>
        <w:rFonts w:hint="default"/>
      </w:rPr>
    </w:lvl>
    <w:lvl w:ilvl="2">
      <w:start w:val="1"/>
      <w:numFmt w:val="decimal"/>
      <w:isLgl w:val="false"/>
      <w:suff w:val="tab"/>
      <w:lvlText w:val="%1.%2.%3."/>
      <w:lvlJc w:val="left"/>
      <w:pPr>
        <w:ind w:left="1854" w:hanging="720"/>
      </w:pPr>
      <w:rPr>
        <w:rFonts w:hint="default"/>
      </w:rPr>
    </w:lvl>
    <w:lvl w:ilvl="3">
      <w:start w:val="1"/>
      <w:numFmt w:val="decimal"/>
      <w:isLgl w:val="false"/>
      <w:suff w:val="tab"/>
      <w:lvlText w:val="%1.%2.%3.%4."/>
      <w:lvlJc w:val="left"/>
      <w:pPr>
        <w:ind w:left="2421" w:hanging="720"/>
      </w:pPr>
      <w:rPr>
        <w:rFonts w:hint="default"/>
      </w:rPr>
    </w:lvl>
    <w:lvl w:ilvl="4">
      <w:start w:val="1"/>
      <w:numFmt w:val="decimal"/>
      <w:isLgl w:val="false"/>
      <w:suff w:val="tab"/>
      <w:lvlText w:val="%1.%2.%3.%4.%5."/>
      <w:lvlJc w:val="left"/>
      <w:pPr>
        <w:ind w:left="3348" w:hanging="1080"/>
      </w:pPr>
      <w:rPr>
        <w:rFonts w:hint="default"/>
      </w:rPr>
    </w:lvl>
    <w:lvl w:ilvl="5">
      <w:start w:val="1"/>
      <w:numFmt w:val="decimal"/>
      <w:isLgl w:val="false"/>
      <w:suff w:val="tab"/>
      <w:lvlText w:val="%1.%2.%3.%4.%5.%6."/>
      <w:lvlJc w:val="left"/>
      <w:pPr>
        <w:ind w:left="3915" w:hanging="1080"/>
      </w:pPr>
      <w:rPr>
        <w:rFonts w:hint="default"/>
      </w:rPr>
    </w:lvl>
    <w:lvl w:ilvl="6">
      <w:start w:val="1"/>
      <w:numFmt w:val="decimal"/>
      <w:isLgl w:val="false"/>
      <w:suff w:val="tab"/>
      <w:lvlText w:val="%1.%2.%3.%4.%5.%6.%7."/>
      <w:lvlJc w:val="left"/>
      <w:pPr>
        <w:ind w:left="4842" w:hanging="1440"/>
      </w:pPr>
      <w:rPr>
        <w:rFonts w:hint="default"/>
      </w:rPr>
    </w:lvl>
    <w:lvl w:ilvl="7">
      <w:start w:val="1"/>
      <w:numFmt w:val="decimal"/>
      <w:isLgl w:val="false"/>
      <w:suff w:val="tab"/>
      <w:lvlText w:val="%1.%2.%3.%4.%5.%6.%7.%8."/>
      <w:lvlJc w:val="left"/>
      <w:pPr>
        <w:ind w:left="5409" w:hanging="1440"/>
      </w:pPr>
      <w:rPr>
        <w:rFonts w:hint="default"/>
      </w:rPr>
    </w:lvl>
    <w:lvl w:ilvl="8">
      <w:start w:val="1"/>
      <w:numFmt w:val="decimal"/>
      <w:isLgl w:val="false"/>
      <w:suff w:val="tab"/>
      <w:lvlText w:val="%1.%2.%3.%4.%5.%6.%7.%8.%9."/>
      <w:lvlJc w:val="left"/>
      <w:pPr>
        <w:ind w:left="6336" w:hanging="1800"/>
      </w:pPr>
      <w:rPr>
        <w:rFonts w:hint="default"/>
      </w:rPr>
    </w:lvl>
  </w:abstractNum>
  <w:abstractNum w:abstractNumId="34">
    <w:multiLevelType w:val="hybridMultilevel"/>
    <w:lvl w:ilvl="0">
      <w:start w:val="1"/>
      <w:numFmt w:val="upperRoman"/>
      <w:isLgl w:val="false"/>
      <w:suff w:val="tab"/>
      <w:lvlText w:val="ЧАСТЬ %1."/>
      <w:lvlJc w:val="left"/>
      <w:pPr>
        <w:ind w:left="720" w:hanging="720"/>
        <w:tabs>
          <w:tab w:val="num" w:pos="2160" w:leader="none"/>
        </w:tabs>
      </w:pPr>
      <w:rPr>
        <w:rFonts w:hint="default"/>
        <w:sz w:val="40"/>
        <w:szCs w:val="40"/>
      </w:rPr>
    </w:lvl>
    <w:lvl w:ilvl="1">
      <w:start w:val="1"/>
      <w:numFmt w:val="decimal"/>
      <w:pStyle w:val="1194"/>
      <w:isLgl w:val="false"/>
      <w:suff w:val="tab"/>
      <w:lvlText w:val="РАЗДЕЛ %1.%2"/>
      <w:lvlJc w:val="left"/>
      <w:pPr>
        <w:ind w:left="720" w:hanging="720"/>
        <w:tabs>
          <w:tab w:val="num" w:pos="1440" w:leader="none"/>
        </w:tabs>
      </w:pPr>
      <w:rPr>
        <w:rFonts w:hint="default"/>
      </w:rPr>
    </w:lvl>
    <w:lvl w:ilvl="2">
      <w:start w:val="1"/>
      <w:numFmt w:val="decimal"/>
      <w:isLgl w:val="false"/>
      <w:suff w:val="tab"/>
      <w:lvlText w:val="%1.%2.%3"/>
      <w:lvlJc w:val="left"/>
      <w:pPr>
        <w:ind w:left="720" w:hanging="720"/>
        <w:tabs>
          <w:tab w:val="num" w:pos="720" w:leader="none"/>
        </w:tabs>
      </w:pPr>
      <w:rPr>
        <w:rFonts w:hint="default"/>
      </w:rPr>
    </w:lvl>
    <w:lvl w:ilvl="3">
      <w:start w:val="1"/>
      <w:numFmt w:val="decimal"/>
      <w:isLgl w:val="false"/>
      <w:suff w:val="tab"/>
      <w:lvlText w:val="%1.%2.%3.%4"/>
      <w:lvlJc w:val="left"/>
      <w:pPr>
        <w:ind w:left="720" w:hanging="720"/>
        <w:tabs>
          <w:tab w:val="num" w:pos="720" w:leader="none"/>
        </w:tabs>
      </w:pPr>
      <w:rPr>
        <w:rFonts w:hint="default"/>
      </w:rPr>
    </w:lvl>
    <w:lvl w:ilvl="4">
      <w:start w:val="1"/>
      <w:numFmt w:val="decimal"/>
      <w:isLgl w:val="false"/>
      <w:suff w:val="tab"/>
      <w:lvlText w:val="%1.%2.%3.%4.%5"/>
      <w:lvlJc w:val="left"/>
      <w:pPr>
        <w:ind w:left="1080" w:hanging="1080"/>
        <w:tabs>
          <w:tab w:val="num" w:pos="1080" w:leader="none"/>
        </w:tabs>
      </w:pPr>
      <w:rPr>
        <w:rFonts w:hint="default"/>
      </w:rPr>
    </w:lvl>
    <w:lvl w:ilvl="5">
      <w:start w:val="1"/>
      <w:numFmt w:val="decimal"/>
      <w:isLgl w:val="false"/>
      <w:suff w:val="tab"/>
      <w:lvlText w:val="%1.%2.%3.%4.%5.%6"/>
      <w:lvlJc w:val="left"/>
      <w:pPr>
        <w:ind w:left="1080" w:hanging="1080"/>
        <w:tabs>
          <w:tab w:val="num" w:pos="1080" w:leader="none"/>
        </w:tabs>
      </w:pPr>
      <w:rPr>
        <w:rFonts w:hint="default"/>
      </w:rPr>
    </w:lvl>
    <w:lvl w:ilvl="6">
      <w:start w:val="1"/>
      <w:numFmt w:val="decimal"/>
      <w:isLgl w:val="false"/>
      <w:suff w:val="tab"/>
      <w:lvlText w:val="%1.%2.%3.%4.%5.%6.%7"/>
      <w:lvlJc w:val="left"/>
      <w:pPr>
        <w:ind w:left="1440" w:hanging="1440"/>
        <w:tabs>
          <w:tab w:val="num" w:pos="1440"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800" w:hanging="1800"/>
        <w:tabs>
          <w:tab w:val="num" w:pos="1800" w:leader="none"/>
        </w:tabs>
      </w:pPr>
      <w:rPr>
        <w:rFonts w:hint="default"/>
      </w:rPr>
    </w:lvl>
  </w:abstractNum>
  <w:abstractNum w:abstractNumId="35">
    <w:multiLevelType w:val="hybridMultilevel"/>
    <w:lvl w:ilvl="0">
      <w:start w:val="1"/>
      <w:numFmt w:val="bullet"/>
      <w:isLgl w:val="false"/>
      <w:suff w:val="tab"/>
      <w:lvlText w:val="-"/>
      <w:legacy w:legacy="1" w:legacyIndent="154" w:legacySpace="0"/>
      <w:lvlJc w:val="left"/>
      <w:pPr>
        <w:ind w:left="720" w:hanging="360"/>
      </w:pPr>
      <w:rPr>
        <w:rFonts w:ascii="Times New Roman" w:hAnsi="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6">
    <w:multiLevelType w:val="hybridMultilevel"/>
    <w:lvl w:ilvl="0">
      <w:start w:val="1"/>
      <w:numFmt w:val="russianLower"/>
      <w:isLgl w:val="false"/>
      <w:suff w:val="tab"/>
      <w:lvlText w:val="%1)"/>
      <w:lvlJc w:val="left"/>
      <w:pPr>
        <w:ind w:left="720" w:hanging="360"/>
      </w:pPr>
      <w:rPr>
        <w:rFonts w:hint="default" w:cs="Times New Roman"/>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7">
    <w:multiLevelType w:val="hybridMultilevel"/>
    <w:lvl w:ilvl="0">
      <w:start w:val="1"/>
      <w:numFmt w:val="decimal"/>
      <w:pStyle w:val="1364"/>
      <w:isLgl w:val="false"/>
      <w:suff w:val="tab"/>
      <w:lvlText w:val="%1."/>
      <w:lvlJc w:val="center"/>
      <w:pPr>
        <w:ind w:left="1986" w:hanging="568"/>
        <w:tabs>
          <w:tab w:val="num" w:pos="1986" w:leader="none"/>
        </w:tabs>
      </w:pPr>
      <w:rPr>
        <w:rFonts w:hint="default" w:cs="Times New Roman"/>
      </w:rPr>
    </w:lvl>
    <w:lvl w:ilvl="1">
      <w:start w:val="1"/>
      <w:numFmt w:val="decimal"/>
      <w:pStyle w:val="1364"/>
      <w:isLgl w:val="false"/>
      <w:suff w:val="tab"/>
      <w:lvlText w:val="%1.%2."/>
      <w:lvlJc w:val="left"/>
      <w:pPr>
        <w:ind w:left="3687" w:hanging="1134"/>
        <w:tabs>
          <w:tab w:val="num" w:pos="3687" w:leader="none"/>
        </w:tabs>
      </w:pPr>
      <w:rPr>
        <w:rFonts w:hint="default" w:cs="Times New Roman"/>
      </w:rPr>
    </w:lvl>
    <w:lvl w:ilvl="2">
      <w:start w:val="1"/>
      <w:numFmt w:val="decimal"/>
      <w:isLgl w:val="false"/>
      <w:suff w:val="tab"/>
      <w:lvlText w:val="%1.%2.%3."/>
      <w:lvlJc w:val="left"/>
      <w:pPr>
        <w:ind w:left="4396" w:hanging="1134"/>
        <w:tabs>
          <w:tab w:val="num" w:pos="4396" w:leader="none"/>
        </w:tabs>
      </w:pPr>
      <w:rPr>
        <w:rFonts w:hint="default" w:cs="Times New Roman"/>
        <w:b w:val="0"/>
      </w:rPr>
    </w:lvl>
    <w:lvl w:ilvl="3">
      <w:start w:val="1"/>
      <w:numFmt w:val="decimal"/>
      <w:isLgl w:val="false"/>
      <w:suff w:val="tab"/>
      <w:lvlText w:val="%1.%2.%3.%4."/>
      <w:lvlJc w:val="left"/>
      <w:pPr>
        <w:ind w:left="4254" w:hanging="1134"/>
        <w:tabs>
          <w:tab w:val="num" w:pos="4254" w:leader="none"/>
        </w:tabs>
      </w:pPr>
      <w:rPr>
        <w:rFonts w:hint="default" w:cs="Times New Roman"/>
      </w:rPr>
    </w:lvl>
    <w:lvl w:ilvl="4">
      <w:start w:val="1"/>
      <w:numFmt w:val="lowerLetter"/>
      <w:isLgl w:val="false"/>
      <w:suff w:val="tab"/>
      <w:lvlText w:val="%5)"/>
      <w:lvlJc w:val="left"/>
      <w:pPr>
        <w:ind w:left="3119" w:hanging="567"/>
        <w:tabs>
          <w:tab w:val="num" w:pos="3119" w:leader="none"/>
        </w:tabs>
      </w:pPr>
      <w:rPr>
        <w:rFonts w:hint="default" w:cs="Times New Roman"/>
      </w:rPr>
    </w:lvl>
    <w:lvl w:ilvl="5">
      <w:start w:val="1"/>
      <w:numFmt w:val="decimal"/>
      <w:isLgl w:val="false"/>
      <w:suff w:val="tab"/>
      <w:lvlText w:val="%1.%2.%3.%4.%5.%6"/>
      <w:lvlJc w:val="left"/>
      <w:pPr>
        <w:ind w:left="4011" w:hanging="1152"/>
        <w:tabs>
          <w:tab w:val="num" w:pos="4011" w:leader="none"/>
        </w:tabs>
      </w:pPr>
      <w:rPr>
        <w:rFonts w:hint="default" w:cs="Times New Roman"/>
      </w:rPr>
    </w:lvl>
    <w:lvl w:ilvl="6">
      <w:start w:val="1"/>
      <w:numFmt w:val="decimal"/>
      <w:isLgl w:val="false"/>
      <w:suff w:val="tab"/>
      <w:lvlText w:val="%1.%2.%3.%4.%5.%6.%7"/>
      <w:lvlJc w:val="left"/>
      <w:pPr>
        <w:ind w:left="4155" w:hanging="1296"/>
        <w:tabs>
          <w:tab w:val="num" w:pos="4155" w:leader="none"/>
        </w:tabs>
      </w:pPr>
      <w:rPr>
        <w:rFonts w:hint="default" w:cs="Times New Roman"/>
      </w:rPr>
    </w:lvl>
    <w:lvl w:ilvl="7">
      <w:start w:val="1"/>
      <w:numFmt w:val="decimal"/>
      <w:isLgl w:val="false"/>
      <w:suff w:val="tab"/>
      <w:lvlText w:val="%1.%2.%3.%4.%5.%6.%7.%8"/>
      <w:lvlJc w:val="left"/>
      <w:pPr>
        <w:ind w:left="4299" w:hanging="1440"/>
        <w:tabs>
          <w:tab w:val="num" w:pos="4299" w:leader="none"/>
        </w:tabs>
      </w:pPr>
      <w:rPr>
        <w:rFonts w:hint="default" w:cs="Times New Roman"/>
      </w:rPr>
    </w:lvl>
    <w:lvl w:ilvl="8">
      <w:start w:val="1"/>
      <w:numFmt w:val="decimal"/>
      <w:isLgl w:val="false"/>
      <w:suff w:val="tab"/>
      <w:lvlText w:val="%1.%2.%3.%4.%5.%6.%7.%8.%9"/>
      <w:lvlJc w:val="left"/>
      <w:pPr>
        <w:ind w:left="4443" w:hanging="1584"/>
        <w:tabs>
          <w:tab w:val="num" w:pos="4443" w:leader="none"/>
        </w:tabs>
      </w:pPr>
      <w:rPr>
        <w:rFonts w:hint="default" w:cs="Times New Roman"/>
      </w:rPr>
    </w:lvl>
  </w:abstractNum>
  <w:abstractNum w:abstractNumId="38">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9">
    <w:multiLevelType w:val="hybridMultilevel"/>
    <w:lvl w:ilvl="0">
      <w:start w:val="1"/>
      <w:numFmt w:val="bullet"/>
      <w:isLgl w:val="false"/>
      <w:suff w:val="tab"/>
      <w:lvlText w:val="-"/>
      <w:lvlJc w:val="left"/>
      <w:pPr>
        <w:ind w:left="1287" w:hanging="360"/>
      </w:pPr>
      <w:rPr>
        <w:rFonts w:hint="default" w:ascii="Times New Roman" w:hAnsi="Times New Roman"/>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40">
    <w:multiLevelType w:val="hybridMultilevel"/>
    <w:lvl w:ilvl="0">
      <w:start w:val="1"/>
      <w:numFmt w:val="russianLower"/>
      <w:isLgl w:val="false"/>
      <w:suff w:val="tab"/>
      <w:lvlText w:val="%1)"/>
      <w:lvlJc w:val="left"/>
      <w:pPr>
        <w:ind w:left="720" w:hanging="360"/>
      </w:pPr>
      <w:rPr>
        <w:rFonts w:hint="default"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1">
    <w:multiLevelType w:val="hybridMultilevel"/>
    <w:lvl w:ilvl="0">
      <w:start w:val="1"/>
      <w:numFmt w:val="russianLower"/>
      <w:isLgl w:val="false"/>
      <w:suff w:val="tab"/>
      <w:lvlText w:val="%1)"/>
      <w:lvlJc w:val="left"/>
      <w:pPr>
        <w:ind w:left="1287" w:hanging="360"/>
      </w:pPr>
      <w:rPr>
        <w:rFonts w:hint="default"/>
      </w:r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42">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1070" w:hanging="36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43">
    <w:multiLevelType w:val="hybridMultilevel"/>
    <w:lvl w:ilvl="0">
      <w:start w:val="1"/>
      <w:numFmt w:val="russianLower"/>
      <w:isLgl w:val="false"/>
      <w:suff w:val="tab"/>
      <w:lvlText w:val="%1)"/>
      <w:lvlJc w:val="left"/>
      <w:pPr>
        <w:ind w:left="1440" w:hanging="360"/>
      </w:pPr>
      <w:rPr>
        <w:rFonts w:hint="default" w:cs="Times New Roman"/>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44">
    <w:multiLevelType w:val="hybridMultilevel"/>
    <w:lvl w:ilvl="0">
      <w:start w:val="1"/>
      <w:numFmt w:val="decimal"/>
      <w:isLgl w:val="false"/>
      <w:suff w:val="tab"/>
      <w:lvlText w:val="%1."/>
      <w:lvlJc w:val="left"/>
      <w:pPr>
        <w:ind w:left="360" w:hanging="360"/>
        <w:tabs>
          <w:tab w:val="num" w:pos="36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45">
    <w:multiLevelType w:val="hybridMultilevel"/>
    <w:lvl w:ilvl="0">
      <w:start w:val="1"/>
      <w:numFmt w:val="decimal"/>
      <w:isLgl w:val="false"/>
      <w:suff w:val="tab"/>
      <w:lvlText w:val="%1."/>
      <w:lvlJc w:val="left"/>
      <w:pPr>
        <w:ind w:left="1287" w:hanging="360"/>
      </w:p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46">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47">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48">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49">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50">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51">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52">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53">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54">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55">
    <w:multiLevelType w:val="hybridMultilevel"/>
    <w:lvl w:ilvl="0">
      <w:start w:val="1"/>
      <w:numFmt w:val="decimal"/>
      <w:isLgl w:val="false"/>
      <w:suff w:val="tab"/>
      <w:lvlText w:val="%1)"/>
      <w:lvlJc w:val="left"/>
      <w:pPr>
        <w:ind w:left="720" w:hanging="720"/>
      </w:pPr>
      <w:rPr>
        <w:rFonts w:hint="default"/>
      </w:rPr>
    </w:lvl>
    <w:lvl w:ilvl="1">
      <w:start w:val="3"/>
      <w:numFmt w:val="decimal"/>
      <w:isLgl w:val="false"/>
      <w:suff w:val="tab"/>
      <w:lvlText w:val="%1.%2."/>
      <w:lvlJc w:val="left"/>
      <w:pPr>
        <w:ind w:left="1240" w:hanging="720"/>
      </w:pPr>
      <w:rPr>
        <w:rFonts w:hint="default"/>
      </w:rPr>
    </w:lvl>
    <w:lvl w:ilvl="2">
      <w:start w:val="1"/>
      <w:numFmt w:val="decimal"/>
      <w:isLgl w:val="false"/>
      <w:suff w:val="tab"/>
      <w:lvlText w:val="%1.%2.%3."/>
      <w:lvlJc w:val="left"/>
      <w:pPr>
        <w:ind w:left="1760" w:hanging="720"/>
      </w:pPr>
      <w:rPr>
        <w:rFonts w:hint="default"/>
      </w:rPr>
    </w:lvl>
    <w:lvl w:ilvl="3">
      <w:start w:val="1"/>
      <w:numFmt w:val="decimal"/>
      <w:isLgl w:val="false"/>
      <w:suff w:val="tab"/>
      <w:lvlText w:val="%1.%2.%3.%4."/>
      <w:lvlJc w:val="left"/>
      <w:pPr>
        <w:ind w:left="1430" w:hanging="720"/>
      </w:pPr>
      <w:rPr>
        <w:rFonts w:hint="default"/>
      </w:rPr>
    </w:lvl>
    <w:lvl w:ilvl="4">
      <w:start w:val="1"/>
      <w:numFmt w:val="decimal"/>
      <w:isLgl w:val="false"/>
      <w:suff w:val="tab"/>
      <w:lvlText w:val="%1.%2.%3.%4.%5."/>
      <w:lvlJc w:val="left"/>
      <w:pPr>
        <w:ind w:left="3160" w:hanging="1080"/>
      </w:pPr>
      <w:rPr>
        <w:rFonts w:hint="default"/>
      </w:rPr>
    </w:lvl>
    <w:lvl w:ilvl="5">
      <w:start w:val="1"/>
      <w:numFmt w:val="decimal"/>
      <w:isLgl w:val="false"/>
      <w:suff w:val="tab"/>
      <w:lvlText w:val="%1.%2.%3.%4.%5.%6."/>
      <w:lvlJc w:val="left"/>
      <w:pPr>
        <w:ind w:left="3680" w:hanging="1080"/>
      </w:pPr>
      <w:rPr>
        <w:rFonts w:hint="default"/>
      </w:rPr>
    </w:lvl>
    <w:lvl w:ilvl="6">
      <w:start w:val="1"/>
      <w:numFmt w:val="decimal"/>
      <w:isLgl w:val="false"/>
      <w:suff w:val="tab"/>
      <w:lvlText w:val="%1.%2.%3.%4.%5.%6.%7."/>
      <w:lvlJc w:val="left"/>
      <w:pPr>
        <w:ind w:left="4560" w:hanging="1440"/>
      </w:pPr>
      <w:rPr>
        <w:rFonts w:hint="default"/>
      </w:rPr>
    </w:lvl>
    <w:lvl w:ilvl="7">
      <w:start w:val="1"/>
      <w:numFmt w:val="decimal"/>
      <w:isLgl w:val="false"/>
      <w:suff w:val="tab"/>
      <w:lvlText w:val="%1.%2.%3.%4.%5.%6.%7.%8."/>
      <w:lvlJc w:val="left"/>
      <w:pPr>
        <w:ind w:left="5080" w:hanging="1440"/>
      </w:pPr>
      <w:rPr>
        <w:rFonts w:hint="default"/>
      </w:rPr>
    </w:lvl>
    <w:lvl w:ilvl="8">
      <w:start w:val="1"/>
      <w:numFmt w:val="decimal"/>
      <w:isLgl w:val="false"/>
      <w:suff w:val="tab"/>
      <w:lvlText w:val="%1.%2.%3.%4.%5.%6.%7.%8.%9."/>
      <w:lvlJc w:val="left"/>
      <w:pPr>
        <w:ind w:left="5960" w:hanging="1800"/>
      </w:pPr>
      <w:rPr>
        <w:rFonts w:hint="default"/>
      </w:rPr>
    </w:lvl>
  </w:abstractNum>
  <w:abstractNum w:abstractNumId="56">
    <w:multiLevelType w:val="hybridMultilevel"/>
    <w:lvl w:ilvl="0">
      <w:start w:val="1"/>
      <w:numFmt w:val="decimal"/>
      <w:isLgl w:val="false"/>
      <w:suff w:val="tab"/>
      <w:lvlText w:val="%1."/>
      <w:lvlJc w:val="left"/>
      <w:pPr>
        <w:ind w:left="1800" w:hanging="360"/>
        <w:tabs>
          <w:tab w:val="num" w:pos="1800" w:leader="none"/>
        </w:tabs>
      </w:pPr>
      <w:rPr>
        <w:rFonts w:hint="default"/>
      </w:rPr>
    </w:lvl>
    <w:lvl w:ilvl="1">
      <w:start w:val="1"/>
      <w:numFmt w:val="bullet"/>
      <w:isLgl w:val="false"/>
      <w:suff w:val="tab"/>
      <w:lvlText w:val="­"/>
      <w:lvlJc w:val="left"/>
      <w:pPr>
        <w:ind w:left="1440" w:hanging="360"/>
      </w:pPr>
      <w:rPr>
        <w:rFonts w:hint="default" w:ascii="Courier New" w:hAnsi="Courier New"/>
      </w:r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7">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58">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59">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60">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61">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62">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63">
    <w:multiLevelType w:val="hybridMultilevel"/>
    <w:lvl w:ilvl="0">
      <w:start w:val="1"/>
      <w:numFmt w:val="decimal"/>
      <w:isLgl w:val="false"/>
      <w:suff w:val="tab"/>
      <w:lvlText w:val="%1."/>
      <w:lvlJc w:val="left"/>
      <w:pPr>
        <w:ind w:left="432" w:hanging="432"/>
        <w:tabs>
          <w:tab w:val="num" w:pos="432" w:leader="none"/>
        </w:tabs>
      </w:pPr>
      <w:rPr>
        <w:rFonts w:hint="default" w:ascii="Times New Roman" w:hAnsi="Times New Roman" w:cs="Times New Roman"/>
        <w:sz w:val="24"/>
        <w:szCs w:val="24"/>
      </w:rPr>
    </w:lvl>
    <w:lvl w:ilvl="1">
      <w:start w:val="1"/>
      <w:numFmt w:val="decimal"/>
      <w:isLgl w:val="false"/>
      <w:suff w:val="tab"/>
      <w:lvlText w:val="%1.%2."/>
      <w:lvlJc w:val="left"/>
      <w:pPr>
        <w:ind w:left="576" w:hanging="576"/>
        <w:tabs>
          <w:tab w:val="num" w:pos="576" w:leader="none"/>
        </w:tabs>
      </w:pPr>
      <w:rPr>
        <w:rFonts w:hint="default"/>
        <w:sz w:val="24"/>
        <w:szCs w:val="24"/>
      </w:rPr>
    </w:lvl>
    <w:lvl w:ilvl="2">
      <w:start w:val="1"/>
      <w:numFmt w:val="decimal"/>
      <w:isLgl w:val="false"/>
      <w:suff w:val="tab"/>
      <w:lvlText w:val="%1.%2.%3."/>
      <w:lvlJc w:val="left"/>
      <w:pPr>
        <w:ind w:left="284"/>
        <w:tabs>
          <w:tab w:val="num" w:pos="454" w:leader="none"/>
        </w:tabs>
      </w:pPr>
      <w:rPr>
        <w:rFonts w:hint="default" w:ascii="Times New Roman" w:hAnsi="Times New Roman" w:cs="Times New Roman"/>
        <w:b w:val="0"/>
        <w:bCs w:val="0"/>
        <w:i w:val="0"/>
        <w:iCs w:val="0"/>
        <w:sz w:val="24"/>
        <w:szCs w:val="24"/>
      </w:rPr>
    </w:lvl>
    <w:lvl w:ilvl="3">
      <w:start w:val="1"/>
      <w:numFmt w:val="decimal"/>
      <w:isLgl w:val="false"/>
      <w:suff w:val="tab"/>
      <w:lvlText w:val="%1.%2.%3.%4."/>
      <w:lvlJc w:val="left"/>
      <w:pPr>
        <w:ind w:left="1290" w:hanging="864"/>
        <w:tabs>
          <w:tab w:val="num" w:pos="1290" w:leader="none"/>
        </w:tabs>
      </w:pPr>
      <w:rPr>
        <w:rFonts w:hint="default" w:ascii="Times New Roman" w:hAnsi="Times New Roman" w:cs="Times New Roman"/>
        <w:sz w:val="24"/>
        <w:szCs w:val="24"/>
      </w:rPr>
    </w:lvl>
    <w:lvl w:ilvl="4">
      <w:start w:val="1"/>
      <w:numFmt w:val="russianLower"/>
      <w:isLgl w:val="false"/>
      <w:suff w:val="tab"/>
      <w:lvlText w:val="%5)"/>
      <w:lvlJc w:val="left"/>
      <w:pPr>
        <w:ind w:left="928" w:hanging="360"/>
        <w:tabs>
          <w:tab w:val="num" w:pos="928" w:leader="none"/>
        </w:tabs>
      </w:pPr>
      <w:rPr>
        <w:rFonts w:hint="default" w:ascii="Times New Roman" w:hAnsi="Times New Roman" w:cs="Times New Roman"/>
        <w:b w:val="0"/>
        <w:i w:val="0"/>
        <w:sz w:val="24"/>
        <w:szCs w:val="24"/>
      </w:rPr>
    </w:lvl>
    <w:lvl w:ilvl="5">
      <w:start w:val="1"/>
      <w:numFmt w:val="decimal"/>
      <w:isLgl w:val="false"/>
      <w:suff w:val="tab"/>
      <w:lvlText w:val="%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64">
    <w:multiLevelType w:val="hybridMultilevel"/>
    <w:lvl w:ilvl="0">
      <w:start w:val="1"/>
      <w:numFmt w:val="bullet"/>
      <w:isLgl w:val="false"/>
      <w:suff w:val="tab"/>
      <w:lvlText w:val=""/>
      <w:lvlJc w:val="left"/>
      <w:pPr>
        <w:ind w:left="4472" w:hanging="360"/>
        <w:tabs>
          <w:tab w:val="num" w:pos="4472" w:leader="none"/>
        </w:tabs>
      </w:pPr>
      <w:rPr>
        <w:rFonts w:hint="default" w:ascii="Symbol" w:hAnsi="Symbol"/>
      </w:rPr>
    </w:lvl>
    <w:lvl w:ilvl="1">
      <w:start w:val="1"/>
      <w:numFmt w:val="bullet"/>
      <w:isLgl w:val="false"/>
      <w:suff w:val="tab"/>
      <w:lvlText w:val="-"/>
      <w:lvlJc w:val="left"/>
      <w:pPr>
        <w:ind w:left="2520" w:hanging="360"/>
        <w:tabs>
          <w:tab w:val="num" w:pos="2520" w:leader="none"/>
        </w:tabs>
      </w:pPr>
      <w:rPr>
        <w:rFonts w:hint="default" w:ascii="Times New Roman" w:hAnsi="Times New Roman" w:eastAsia="Times New Roman"/>
      </w:rPr>
    </w:lvl>
    <w:lvl w:ilvl="2">
      <w:start w:val="1"/>
      <w:numFmt w:val="bullet"/>
      <w:isLgl w:val="false"/>
      <w:suff w:val="tab"/>
      <w:lvlText w:val=""/>
      <w:lvlJc w:val="left"/>
      <w:pPr>
        <w:ind w:left="3240" w:hanging="360"/>
      </w:pPr>
      <w:rPr>
        <w:rFonts w:hint="default" w:ascii="Symbol" w:hAnsi="Symbol"/>
      </w:rPr>
    </w:lvl>
    <w:lvl w:ilvl="3">
      <w:start w:val="1"/>
      <w:numFmt w:val="bullet"/>
      <w:isLgl w:val="false"/>
      <w:suff w:val="tab"/>
      <w:lvlText w:val=""/>
      <w:lvlJc w:val="left"/>
      <w:pPr>
        <w:ind w:left="3960" w:hanging="360"/>
      </w:pPr>
      <w:rPr>
        <w:rFonts w:hint="default" w:ascii="Symbol" w:hAnsi="Symbol"/>
      </w:rPr>
    </w:lvl>
    <w:lvl w:ilvl="4">
      <w:start w:val="1"/>
      <w:numFmt w:val="bullet"/>
      <w:isLgl w:val="false"/>
      <w:suff w:val="tab"/>
      <w:lvlText w:val="o"/>
      <w:lvlJc w:val="left"/>
      <w:pPr>
        <w:ind w:left="4680" w:hanging="360"/>
      </w:pPr>
      <w:rPr>
        <w:rFonts w:hint="default" w:ascii="Arial (WT)" w:hAnsi="Arial (WT)"/>
      </w:rPr>
    </w:lvl>
    <w:lvl w:ilvl="5">
      <w:start w:val="1"/>
      <w:numFmt w:val="bullet"/>
      <w:isLgl w:val="false"/>
      <w:suff w:val="tab"/>
      <w:lvlText w:val=""/>
      <w:lvlJc w:val="left"/>
      <w:pPr>
        <w:ind w:left="5400" w:hanging="360"/>
      </w:pPr>
      <w:rPr>
        <w:rFonts w:hint="default" w:ascii="Symbol" w:hAnsi="Symbol"/>
      </w:rPr>
    </w:lvl>
    <w:lvl w:ilvl="6">
      <w:start w:val="1"/>
      <w:numFmt w:val="bullet"/>
      <w:isLgl w:val="false"/>
      <w:suff w:val="tab"/>
      <w:lvlText w:val=""/>
      <w:lvlJc w:val="left"/>
      <w:pPr>
        <w:ind w:left="6120" w:hanging="360"/>
      </w:pPr>
      <w:rPr>
        <w:rFonts w:hint="default" w:ascii="Symbol" w:hAnsi="Symbol"/>
      </w:rPr>
    </w:lvl>
    <w:lvl w:ilvl="7">
      <w:start w:val="1"/>
      <w:numFmt w:val="bullet"/>
      <w:isLgl w:val="false"/>
      <w:suff w:val="tab"/>
      <w:lvlText w:val="o"/>
      <w:lvlJc w:val="left"/>
      <w:pPr>
        <w:ind w:left="6840" w:hanging="360"/>
      </w:pPr>
      <w:rPr>
        <w:rFonts w:hint="default" w:ascii="Arial (WT)" w:hAnsi="Arial (WT)"/>
      </w:rPr>
    </w:lvl>
    <w:lvl w:ilvl="8">
      <w:start w:val="1"/>
      <w:numFmt w:val="bullet"/>
      <w:isLgl w:val="false"/>
      <w:suff w:val="tab"/>
      <w:lvlText w:val=""/>
      <w:lvlJc w:val="left"/>
      <w:pPr>
        <w:ind w:left="7560" w:hanging="360"/>
      </w:pPr>
      <w:rPr>
        <w:rFonts w:hint="default" w:ascii="Symbol" w:hAnsi="Symbol"/>
      </w:rPr>
    </w:lvl>
  </w:abstractNum>
  <w:abstractNum w:abstractNumId="65">
    <w:multiLevelType w:val="hybridMultilevel"/>
    <w:lvl w:ilvl="0">
      <w:start w:val="1"/>
      <w:numFmt w:val="bullet"/>
      <w:isLgl w:val="false"/>
      <w:suff w:val="tab"/>
      <w:lvlText w:val=""/>
      <w:lvlJc w:val="left"/>
      <w:pPr>
        <w:ind w:left="4472" w:hanging="360"/>
        <w:tabs>
          <w:tab w:val="num" w:pos="4472" w:leader="none"/>
        </w:tabs>
      </w:pPr>
      <w:rPr>
        <w:rFonts w:hint="default" w:ascii="Symbol" w:hAnsi="Symbol"/>
      </w:rPr>
    </w:lvl>
    <w:lvl w:ilvl="1">
      <w:start w:val="1"/>
      <w:numFmt w:val="bullet"/>
      <w:isLgl w:val="false"/>
      <w:suff w:val="tab"/>
      <w:lvlText w:val="-"/>
      <w:lvlJc w:val="left"/>
      <w:pPr>
        <w:ind w:left="2520" w:hanging="360"/>
        <w:tabs>
          <w:tab w:val="num" w:pos="2520" w:leader="none"/>
        </w:tabs>
      </w:pPr>
      <w:rPr>
        <w:rFonts w:hint="default" w:ascii="Times New Roman" w:hAnsi="Times New Roman" w:eastAsia="Times New Roman"/>
      </w:rPr>
    </w:lvl>
    <w:lvl w:ilvl="2">
      <w:start w:val="1"/>
      <w:numFmt w:val="bullet"/>
      <w:isLgl w:val="false"/>
      <w:suff w:val="tab"/>
      <w:lvlText w:val=""/>
      <w:lvlJc w:val="left"/>
      <w:pPr>
        <w:ind w:left="3240" w:hanging="360"/>
      </w:pPr>
      <w:rPr>
        <w:rFonts w:hint="default" w:ascii="Symbol" w:hAnsi="Symbol"/>
      </w:rPr>
    </w:lvl>
    <w:lvl w:ilvl="3">
      <w:start w:val="1"/>
      <w:numFmt w:val="bullet"/>
      <w:isLgl w:val="false"/>
      <w:suff w:val="tab"/>
      <w:lvlText w:val=""/>
      <w:lvlJc w:val="left"/>
      <w:pPr>
        <w:ind w:left="3960" w:hanging="360"/>
      </w:pPr>
      <w:rPr>
        <w:rFonts w:hint="default" w:ascii="Symbol" w:hAnsi="Symbol"/>
      </w:rPr>
    </w:lvl>
    <w:lvl w:ilvl="4">
      <w:start w:val="1"/>
      <w:numFmt w:val="bullet"/>
      <w:isLgl w:val="false"/>
      <w:suff w:val="tab"/>
      <w:lvlText w:val="o"/>
      <w:lvlJc w:val="left"/>
      <w:pPr>
        <w:ind w:left="4680" w:hanging="360"/>
      </w:pPr>
      <w:rPr>
        <w:rFonts w:hint="default" w:ascii="Arial (WT)" w:hAnsi="Arial (WT)"/>
      </w:rPr>
    </w:lvl>
    <w:lvl w:ilvl="5">
      <w:start w:val="1"/>
      <w:numFmt w:val="bullet"/>
      <w:isLgl w:val="false"/>
      <w:suff w:val="tab"/>
      <w:lvlText w:val=""/>
      <w:lvlJc w:val="left"/>
      <w:pPr>
        <w:ind w:left="5400" w:hanging="360"/>
      </w:pPr>
      <w:rPr>
        <w:rFonts w:hint="default" w:ascii="Symbol" w:hAnsi="Symbol"/>
      </w:rPr>
    </w:lvl>
    <w:lvl w:ilvl="6">
      <w:start w:val="1"/>
      <w:numFmt w:val="bullet"/>
      <w:isLgl w:val="false"/>
      <w:suff w:val="tab"/>
      <w:lvlText w:val=""/>
      <w:lvlJc w:val="left"/>
      <w:pPr>
        <w:ind w:left="6120" w:hanging="360"/>
      </w:pPr>
      <w:rPr>
        <w:rFonts w:hint="default" w:ascii="Symbol" w:hAnsi="Symbol"/>
      </w:rPr>
    </w:lvl>
    <w:lvl w:ilvl="7">
      <w:start w:val="1"/>
      <w:numFmt w:val="bullet"/>
      <w:isLgl w:val="false"/>
      <w:suff w:val="tab"/>
      <w:lvlText w:val="o"/>
      <w:lvlJc w:val="left"/>
      <w:pPr>
        <w:ind w:left="6840" w:hanging="360"/>
      </w:pPr>
      <w:rPr>
        <w:rFonts w:hint="default" w:ascii="Arial (WT)" w:hAnsi="Arial (WT)"/>
      </w:rPr>
    </w:lvl>
    <w:lvl w:ilvl="8">
      <w:start w:val="1"/>
      <w:numFmt w:val="bullet"/>
      <w:isLgl w:val="false"/>
      <w:suff w:val="tab"/>
      <w:lvlText w:val=""/>
      <w:lvlJc w:val="left"/>
      <w:pPr>
        <w:ind w:left="7560" w:hanging="360"/>
      </w:pPr>
      <w:rPr>
        <w:rFonts w:hint="default" w:ascii="Symbol" w:hAnsi="Symbol"/>
      </w:rPr>
    </w:lvl>
  </w:abstractNum>
  <w:abstractNum w:abstractNumId="66">
    <w:multiLevelType w:val="hybridMultilevel"/>
    <w:lvl w:ilvl="0">
      <w:start w:val="1"/>
      <w:numFmt w:val="bullet"/>
      <w:isLgl w:val="false"/>
      <w:suff w:val="tab"/>
      <w:lvlText w:val=""/>
      <w:lvlJc w:val="left"/>
      <w:pPr>
        <w:ind w:left="4472" w:hanging="360"/>
        <w:tabs>
          <w:tab w:val="num" w:pos="4472" w:leader="none"/>
        </w:tabs>
      </w:pPr>
      <w:rPr>
        <w:rFonts w:hint="default" w:ascii="Symbol" w:hAnsi="Symbol"/>
      </w:rPr>
    </w:lvl>
    <w:lvl w:ilvl="1">
      <w:start w:val="1"/>
      <w:numFmt w:val="bullet"/>
      <w:isLgl w:val="false"/>
      <w:suff w:val="tab"/>
      <w:lvlText w:val="-"/>
      <w:lvlJc w:val="left"/>
      <w:pPr>
        <w:ind w:left="2520" w:hanging="360"/>
        <w:tabs>
          <w:tab w:val="num" w:pos="2520" w:leader="none"/>
        </w:tabs>
      </w:pPr>
      <w:rPr>
        <w:rFonts w:hint="default" w:ascii="Times New Roman" w:hAnsi="Times New Roman" w:eastAsia="Times New Roman"/>
      </w:rPr>
    </w:lvl>
    <w:lvl w:ilvl="2">
      <w:start w:val="1"/>
      <w:numFmt w:val="bullet"/>
      <w:isLgl w:val="false"/>
      <w:suff w:val="tab"/>
      <w:lvlText w:val=""/>
      <w:lvlJc w:val="left"/>
      <w:pPr>
        <w:ind w:left="3240" w:hanging="360"/>
      </w:pPr>
      <w:rPr>
        <w:rFonts w:hint="default" w:ascii="Symbol" w:hAnsi="Symbol"/>
      </w:rPr>
    </w:lvl>
    <w:lvl w:ilvl="3">
      <w:start w:val="1"/>
      <w:numFmt w:val="bullet"/>
      <w:isLgl w:val="false"/>
      <w:suff w:val="tab"/>
      <w:lvlText w:val=""/>
      <w:lvlJc w:val="left"/>
      <w:pPr>
        <w:ind w:left="3960" w:hanging="360"/>
      </w:pPr>
      <w:rPr>
        <w:rFonts w:hint="default" w:ascii="Symbol" w:hAnsi="Symbol"/>
      </w:rPr>
    </w:lvl>
    <w:lvl w:ilvl="4">
      <w:start w:val="1"/>
      <w:numFmt w:val="bullet"/>
      <w:isLgl w:val="false"/>
      <w:suff w:val="tab"/>
      <w:lvlText w:val="o"/>
      <w:lvlJc w:val="left"/>
      <w:pPr>
        <w:ind w:left="4680" w:hanging="360"/>
      </w:pPr>
      <w:rPr>
        <w:rFonts w:hint="default" w:ascii="Arial (WT)" w:hAnsi="Arial (WT)"/>
      </w:rPr>
    </w:lvl>
    <w:lvl w:ilvl="5">
      <w:start w:val="1"/>
      <w:numFmt w:val="bullet"/>
      <w:isLgl w:val="false"/>
      <w:suff w:val="tab"/>
      <w:lvlText w:val=""/>
      <w:lvlJc w:val="left"/>
      <w:pPr>
        <w:ind w:left="5400" w:hanging="360"/>
      </w:pPr>
      <w:rPr>
        <w:rFonts w:hint="default" w:ascii="Symbol" w:hAnsi="Symbol"/>
      </w:rPr>
    </w:lvl>
    <w:lvl w:ilvl="6">
      <w:start w:val="1"/>
      <w:numFmt w:val="bullet"/>
      <w:isLgl w:val="false"/>
      <w:suff w:val="tab"/>
      <w:lvlText w:val=""/>
      <w:lvlJc w:val="left"/>
      <w:pPr>
        <w:ind w:left="6120" w:hanging="360"/>
      </w:pPr>
      <w:rPr>
        <w:rFonts w:hint="default" w:ascii="Symbol" w:hAnsi="Symbol"/>
      </w:rPr>
    </w:lvl>
    <w:lvl w:ilvl="7">
      <w:start w:val="1"/>
      <w:numFmt w:val="bullet"/>
      <w:isLgl w:val="false"/>
      <w:suff w:val="tab"/>
      <w:lvlText w:val="o"/>
      <w:lvlJc w:val="left"/>
      <w:pPr>
        <w:ind w:left="6840" w:hanging="360"/>
      </w:pPr>
      <w:rPr>
        <w:rFonts w:hint="default" w:ascii="Arial (WT)" w:hAnsi="Arial (WT)"/>
      </w:rPr>
    </w:lvl>
    <w:lvl w:ilvl="8">
      <w:start w:val="1"/>
      <w:numFmt w:val="bullet"/>
      <w:isLgl w:val="false"/>
      <w:suff w:val="tab"/>
      <w:lvlText w:val=""/>
      <w:lvlJc w:val="left"/>
      <w:pPr>
        <w:ind w:left="7560" w:hanging="360"/>
      </w:pPr>
      <w:rPr>
        <w:rFonts w:hint="default" w:ascii="Symbol" w:hAnsi="Symbol"/>
      </w:rPr>
    </w:lvl>
  </w:abstractNum>
  <w:num w:numId="1">
    <w:abstractNumId w:val="9"/>
  </w:num>
  <w:num w:numId="2">
    <w:abstractNumId w:val="34"/>
  </w:num>
  <w:num w:numId="3">
    <w:abstractNumId w:val="17"/>
  </w:num>
  <w:num w:numId="4">
    <w:abstractNumId w:val="18"/>
  </w:num>
  <w:num w:numId="5">
    <w:abstractNumId w:val="10"/>
  </w:num>
  <w:num w:numId="6">
    <w:abstractNumId w:val="1"/>
  </w:num>
  <w:num w:numId="7">
    <w:abstractNumId w:val="24"/>
  </w:num>
  <w:num w:numId="8">
    <w:abstractNumId w:val="28"/>
  </w:num>
  <w:num w:numId="9">
    <w:abstractNumId w:val="7"/>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3"/>
  </w:num>
  <w:num w:numId="14">
    <w:abstractNumId w:val="11"/>
  </w:num>
  <w:num w:numId="15">
    <w:abstractNumId w:val="21"/>
  </w:num>
  <w:num w:numId="16">
    <w:abstractNumId w:val="37"/>
  </w:num>
  <w:num w:numId="17">
    <w:abstractNumId w:val="5"/>
  </w:num>
  <w:num w:numId="18">
    <w:abstractNumId w:val="20"/>
  </w:num>
  <w:num w:numId="19">
    <w:abstractNumId w:val="8"/>
  </w:num>
  <w:num w:numId="20">
    <w:abstractNumId w:val="13"/>
  </w:num>
  <w:num w:numId="21">
    <w:abstractNumId w:val="15"/>
  </w:num>
  <w:num w:numId="22">
    <w:abstractNumId w:val="4"/>
  </w:num>
  <w:num w:numId="23">
    <w:abstractNumId w:val="2"/>
  </w:num>
  <w:num w:numId="24">
    <w:abstractNumId w:val="3"/>
  </w:num>
  <w:num w:numId="25">
    <w:abstractNumId w:val="42"/>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lvl w:ilvl="0">
        <w:start w:val="1"/>
        <w:numFmt w:val="bullet"/>
        <w:isLgl w:val="false"/>
        <w:suff w:val="tab"/>
        <w:lvlText w:val="-"/>
        <w:legacy w:legacy="1" w:legacyIndent="154" w:legacySpace="0"/>
        <w:lvlJc w:val="left"/>
        <w:pPr/>
        <w:rPr>
          <w:rFonts w:hint="default" w:ascii="Times New Roman" w:hAnsi="Times New Roman"/>
        </w:rPr>
      </w:lvl>
    </w:lvlOverride>
  </w:num>
  <w:num w:numId="30">
    <w:abstractNumId w:val="26"/>
  </w:num>
  <w:num w:numId="31">
    <w:abstractNumId w:val="14"/>
  </w:num>
  <w:num w:numId="32">
    <w:abstractNumId w:val="33"/>
  </w:num>
  <w:num w:numId="33">
    <w:abstractNumId w:val="39"/>
  </w:num>
  <w:num w:numId="34">
    <w:abstractNumId w:val="36"/>
  </w:num>
  <w:num w:numId="35">
    <w:abstractNumId w:val="31"/>
  </w:num>
  <w:num w:numId="36">
    <w:abstractNumId w:val="40"/>
  </w:num>
  <w:num w:numId="37">
    <w:abstractNumId w:val="32"/>
  </w:num>
  <w:num w:numId="38">
    <w:abstractNumId w:val="41"/>
  </w:num>
  <w:num w:numId="39">
    <w:abstractNumId w:val="38"/>
  </w:num>
  <w:num w:numId="40">
    <w:abstractNumId w:val="25"/>
  </w:num>
  <w:num w:numId="41">
    <w:abstractNumId w:val="29"/>
    <w:lvlOverride w:ilvl="0">
      <w:startOverride w:val="1"/>
    </w:lvlOverride>
  </w:num>
  <w:num w:numId="42">
    <w:abstractNumId w:val="35"/>
  </w:num>
  <w:num w:numId="43">
    <w:abstractNumId w:val="16"/>
  </w:num>
  <w:num w:numId="44">
    <w:abstractNumId w:val="30"/>
  </w:num>
  <w:num w:numId="45">
    <w:abstractNumId w:val="2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 w:numId="57">
    <w:abstractNumId w:val="55"/>
  </w:num>
  <w:num w:numId="58">
    <w:abstractNumId w:val="56"/>
  </w:num>
  <w:num w:numId="59">
    <w:abstractNumId w:val="57"/>
  </w:num>
  <w:num w:numId="60">
    <w:abstractNumId w:val="58"/>
  </w:num>
  <w:num w:numId="61">
    <w:abstractNumId w:val="59"/>
  </w:num>
  <w:num w:numId="62">
    <w:abstractNumId w:val="60"/>
  </w:num>
  <w:num w:numId="63">
    <w:abstractNumId w:val="61"/>
  </w:num>
  <w:num w:numId="6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4"/>
  </w:num>
  <w:num w:numId="67">
    <w:abstractNumId w:val="65"/>
  </w:num>
  <w:num w:numId="68">
    <w:abstractNumId w:val="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eachPage"/>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009">
    <w:name w:val="Quote Char"/>
    <w:link w:val="1036"/>
    <w:uiPriority w:val="29"/>
    <w:rPr>
      <w:i/>
    </w:rPr>
  </w:style>
  <w:style w:type="character" w:styleId="1010">
    <w:name w:val="Intense Quote Char"/>
    <w:link w:val="1038"/>
    <w:uiPriority w:val="30"/>
    <w:rPr>
      <w:i/>
    </w:rPr>
  </w:style>
  <w:style w:type="character" w:styleId="1011">
    <w:name w:val="Caption Char"/>
    <w:basedOn w:val="1022"/>
    <w:link w:val="1362"/>
    <w:uiPriority w:val="35"/>
    <w:rPr>
      <w:b/>
      <w:bCs/>
      <w:color w:val="4f81bd" w:themeColor="accent1"/>
      <w:sz w:val="18"/>
      <w:szCs w:val="18"/>
    </w:rPr>
  </w:style>
  <w:style w:type="paragraph" w:styleId="1012" w:default="1">
    <w:name w:val="Normal"/>
    <w:qFormat/>
    <w:pPr>
      <w:jc w:val="both"/>
      <w:spacing w:after="60"/>
    </w:pPr>
    <w:rPr>
      <w:sz w:val="24"/>
      <w:szCs w:val="24"/>
    </w:rPr>
  </w:style>
  <w:style w:type="paragraph" w:styleId="1013">
    <w:name w:val="Heading 1"/>
    <w:basedOn w:val="1012"/>
    <w:next w:val="1012"/>
    <w:link w:val="1172"/>
    <w:qFormat/>
    <w:pPr>
      <w:ind w:left="432" w:hanging="432"/>
      <w:jc w:val="center"/>
      <w:keepNext/>
      <w:spacing w:before="240"/>
      <w:tabs>
        <w:tab w:val="num" w:pos="432" w:leader="none"/>
      </w:tabs>
      <w:outlineLvl w:val="0"/>
    </w:pPr>
    <w:rPr>
      <w:b/>
      <w:bCs/>
      <w:sz w:val="36"/>
      <w:szCs w:val="36"/>
    </w:rPr>
  </w:style>
  <w:style w:type="paragraph" w:styleId="1014">
    <w:name w:val="Heading 2"/>
    <w:basedOn w:val="1012"/>
    <w:next w:val="1012"/>
    <w:link w:val="1173"/>
    <w:qFormat/>
    <w:pPr>
      <w:ind w:left="576" w:hanging="576"/>
      <w:jc w:val="center"/>
      <w:keepNext/>
      <w:tabs>
        <w:tab w:val="num" w:pos="576" w:leader="none"/>
      </w:tabs>
      <w:outlineLvl w:val="1"/>
    </w:pPr>
    <w:rPr>
      <w:b/>
      <w:bCs/>
      <w:sz w:val="30"/>
      <w:szCs w:val="30"/>
    </w:rPr>
  </w:style>
  <w:style w:type="paragraph" w:styleId="1015">
    <w:name w:val="Heading 3"/>
    <w:basedOn w:val="1012"/>
    <w:next w:val="1012"/>
    <w:link w:val="1174"/>
    <w:uiPriority w:val="99"/>
    <w:qFormat/>
    <w:pPr>
      <w:ind w:left="142"/>
      <w:keepNext/>
      <w:spacing w:before="240"/>
      <w:tabs>
        <w:tab w:val="num" w:pos="312" w:leader="none"/>
      </w:tabs>
      <w:outlineLvl w:val="2"/>
    </w:pPr>
    <w:rPr>
      <w:rFonts w:ascii="Arial" w:hAnsi="Arial" w:cs="Arial"/>
      <w:b/>
      <w:bCs/>
    </w:rPr>
  </w:style>
  <w:style w:type="paragraph" w:styleId="1016">
    <w:name w:val="Heading 4"/>
    <w:basedOn w:val="1012"/>
    <w:next w:val="1012"/>
    <w:link w:val="1175"/>
    <w:uiPriority w:val="99"/>
    <w:qFormat/>
    <w:pPr>
      <w:ind w:left="1148" w:hanging="864"/>
      <w:keepNext/>
      <w:spacing w:before="240"/>
      <w:tabs>
        <w:tab w:val="num" w:pos="1148" w:leader="none"/>
      </w:tabs>
      <w:outlineLvl w:val="3"/>
    </w:pPr>
    <w:rPr>
      <w:rFonts w:ascii="Arial" w:hAnsi="Arial" w:cs="Arial"/>
    </w:rPr>
  </w:style>
  <w:style w:type="paragraph" w:styleId="1017">
    <w:name w:val="Heading 5"/>
    <w:basedOn w:val="1012"/>
    <w:next w:val="1012"/>
    <w:link w:val="1176"/>
    <w:uiPriority w:val="99"/>
    <w:qFormat/>
    <w:pPr>
      <w:spacing w:before="240"/>
      <w:outlineLvl w:val="4"/>
    </w:pPr>
    <w:rPr>
      <w:rFonts w:ascii="Calibri" w:hAnsi="Calibri" w:cs="Calibri"/>
      <w:b/>
      <w:bCs/>
      <w:i/>
      <w:iCs/>
      <w:sz w:val="26"/>
      <w:szCs w:val="26"/>
    </w:rPr>
  </w:style>
  <w:style w:type="paragraph" w:styleId="1018">
    <w:name w:val="Heading 6"/>
    <w:basedOn w:val="1012"/>
    <w:next w:val="1012"/>
    <w:link w:val="1177"/>
    <w:uiPriority w:val="99"/>
    <w:qFormat/>
    <w:pPr>
      <w:ind w:left="1152" w:hanging="1152"/>
      <w:spacing w:before="240"/>
      <w:tabs>
        <w:tab w:val="num" w:pos="1152" w:leader="none"/>
      </w:tabs>
      <w:outlineLvl w:val="5"/>
    </w:pPr>
    <w:rPr>
      <w:i/>
      <w:iCs/>
      <w:sz w:val="20"/>
      <w:szCs w:val="20"/>
    </w:rPr>
  </w:style>
  <w:style w:type="paragraph" w:styleId="1019">
    <w:name w:val="Heading 7"/>
    <w:basedOn w:val="1012"/>
    <w:next w:val="1012"/>
    <w:link w:val="1178"/>
    <w:uiPriority w:val="99"/>
    <w:qFormat/>
    <w:pPr>
      <w:ind w:left="1296" w:hanging="1296"/>
      <w:spacing w:before="240"/>
      <w:tabs>
        <w:tab w:val="num" w:pos="1296" w:leader="none"/>
      </w:tabs>
      <w:outlineLvl w:val="6"/>
    </w:pPr>
    <w:rPr>
      <w:rFonts w:ascii="Arial" w:hAnsi="Arial" w:cs="Arial"/>
      <w:sz w:val="20"/>
      <w:szCs w:val="20"/>
    </w:rPr>
  </w:style>
  <w:style w:type="paragraph" w:styleId="1020">
    <w:name w:val="Heading 8"/>
    <w:basedOn w:val="1012"/>
    <w:next w:val="1012"/>
    <w:link w:val="1179"/>
    <w:uiPriority w:val="99"/>
    <w:qFormat/>
    <w:pPr>
      <w:ind w:left="1440" w:hanging="1440"/>
      <w:spacing w:before="240"/>
      <w:tabs>
        <w:tab w:val="num" w:pos="1440" w:leader="none"/>
      </w:tabs>
      <w:outlineLvl w:val="7"/>
    </w:pPr>
    <w:rPr>
      <w:rFonts w:ascii="Arial" w:hAnsi="Arial" w:cs="Arial"/>
      <w:i/>
      <w:iCs/>
      <w:sz w:val="20"/>
      <w:szCs w:val="20"/>
    </w:rPr>
  </w:style>
  <w:style w:type="paragraph" w:styleId="1021">
    <w:name w:val="Heading 9"/>
    <w:basedOn w:val="1012"/>
    <w:next w:val="1012"/>
    <w:link w:val="1180"/>
    <w:uiPriority w:val="99"/>
    <w:qFormat/>
    <w:pPr>
      <w:ind w:left="1584" w:hanging="1584"/>
      <w:spacing w:before="240"/>
      <w:tabs>
        <w:tab w:val="num" w:pos="1584" w:leader="none"/>
      </w:tabs>
      <w:outlineLvl w:val="8"/>
    </w:pPr>
    <w:rPr>
      <w:rFonts w:ascii="Arial" w:hAnsi="Arial" w:cs="Arial"/>
      <w:b/>
      <w:bCs/>
      <w:i/>
      <w:iCs/>
      <w:sz w:val="18"/>
      <w:szCs w:val="18"/>
    </w:rPr>
  </w:style>
  <w:style w:type="character" w:styleId="1022" w:default="1">
    <w:name w:val="Default Paragraph Font"/>
    <w:uiPriority w:val="1"/>
    <w:semiHidden/>
    <w:unhideWhenUsed/>
  </w:style>
  <w:style w:type="table" w:styleId="1023" w:default="1">
    <w:name w:val="Normal Table"/>
    <w:uiPriority w:val="99"/>
    <w:semiHidden/>
    <w:unhideWhenUsed/>
    <w:tblPr>
      <w:tblInd w:w="0" w:type="dxa"/>
      <w:tblCellMar>
        <w:left w:w="108" w:type="dxa"/>
        <w:top w:w="0" w:type="dxa"/>
        <w:right w:w="108" w:type="dxa"/>
        <w:bottom w:w="0" w:type="dxa"/>
      </w:tblCellMar>
    </w:tblPr>
  </w:style>
  <w:style w:type="numbering" w:styleId="1024" w:default="1">
    <w:name w:val="No List"/>
    <w:uiPriority w:val="99"/>
    <w:semiHidden/>
    <w:unhideWhenUsed/>
  </w:style>
  <w:style w:type="character" w:styleId="1025" w:customStyle="1">
    <w:name w:val="Heading 1 Char"/>
    <w:basedOn w:val="1022"/>
    <w:uiPriority w:val="9"/>
    <w:rPr>
      <w:rFonts w:ascii="Arial" w:hAnsi="Arial" w:eastAsia="Arial" w:cs="Arial"/>
      <w:sz w:val="40"/>
      <w:szCs w:val="40"/>
    </w:rPr>
  </w:style>
  <w:style w:type="character" w:styleId="1026" w:customStyle="1">
    <w:name w:val="Heading 2 Char"/>
    <w:basedOn w:val="1022"/>
    <w:uiPriority w:val="9"/>
    <w:rPr>
      <w:rFonts w:ascii="Arial" w:hAnsi="Arial" w:eastAsia="Arial" w:cs="Arial"/>
      <w:sz w:val="34"/>
    </w:rPr>
  </w:style>
  <w:style w:type="character" w:styleId="1027" w:customStyle="1">
    <w:name w:val="Heading 3 Char"/>
    <w:basedOn w:val="1022"/>
    <w:uiPriority w:val="9"/>
    <w:rPr>
      <w:rFonts w:ascii="Arial" w:hAnsi="Arial" w:eastAsia="Arial" w:cs="Arial"/>
      <w:sz w:val="30"/>
      <w:szCs w:val="30"/>
    </w:rPr>
  </w:style>
  <w:style w:type="character" w:styleId="1028" w:customStyle="1">
    <w:name w:val="Heading 4 Char"/>
    <w:basedOn w:val="1022"/>
    <w:uiPriority w:val="9"/>
    <w:rPr>
      <w:rFonts w:ascii="Arial" w:hAnsi="Arial" w:eastAsia="Arial" w:cs="Arial"/>
      <w:b/>
      <w:bCs/>
      <w:sz w:val="26"/>
      <w:szCs w:val="26"/>
    </w:rPr>
  </w:style>
  <w:style w:type="character" w:styleId="1029" w:customStyle="1">
    <w:name w:val="Heading 5 Char"/>
    <w:basedOn w:val="1022"/>
    <w:uiPriority w:val="9"/>
    <w:rPr>
      <w:rFonts w:ascii="Arial" w:hAnsi="Arial" w:eastAsia="Arial" w:cs="Arial"/>
      <w:b/>
      <w:bCs/>
      <w:sz w:val="24"/>
      <w:szCs w:val="24"/>
    </w:rPr>
  </w:style>
  <w:style w:type="character" w:styleId="1030" w:customStyle="1">
    <w:name w:val="Heading 6 Char"/>
    <w:basedOn w:val="1022"/>
    <w:uiPriority w:val="9"/>
    <w:rPr>
      <w:rFonts w:ascii="Arial" w:hAnsi="Arial" w:eastAsia="Arial" w:cs="Arial"/>
      <w:b/>
      <w:bCs/>
      <w:sz w:val="22"/>
      <w:szCs w:val="22"/>
    </w:rPr>
  </w:style>
  <w:style w:type="character" w:styleId="1031" w:customStyle="1">
    <w:name w:val="Heading 7 Char"/>
    <w:basedOn w:val="1022"/>
    <w:uiPriority w:val="9"/>
    <w:rPr>
      <w:rFonts w:ascii="Arial" w:hAnsi="Arial" w:eastAsia="Arial" w:cs="Arial"/>
      <w:b/>
      <w:bCs/>
      <w:i/>
      <w:iCs/>
      <w:sz w:val="22"/>
      <w:szCs w:val="22"/>
    </w:rPr>
  </w:style>
  <w:style w:type="character" w:styleId="1032" w:customStyle="1">
    <w:name w:val="Heading 8 Char"/>
    <w:basedOn w:val="1022"/>
    <w:uiPriority w:val="9"/>
    <w:rPr>
      <w:rFonts w:ascii="Arial" w:hAnsi="Arial" w:eastAsia="Arial" w:cs="Arial"/>
      <w:i/>
      <w:iCs/>
      <w:sz w:val="22"/>
      <w:szCs w:val="22"/>
    </w:rPr>
  </w:style>
  <w:style w:type="character" w:styleId="1033" w:customStyle="1">
    <w:name w:val="Heading 9 Char"/>
    <w:basedOn w:val="1022"/>
    <w:uiPriority w:val="9"/>
    <w:rPr>
      <w:rFonts w:ascii="Arial" w:hAnsi="Arial" w:eastAsia="Arial" w:cs="Arial"/>
      <w:i/>
      <w:iCs/>
      <w:sz w:val="21"/>
      <w:szCs w:val="21"/>
    </w:rPr>
  </w:style>
  <w:style w:type="character" w:styleId="1034" w:customStyle="1">
    <w:name w:val="Title Char"/>
    <w:basedOn w:val="1022"/>
    <w:uiPriority w:val="10"/>
    <w:rPr>
      <w:sz w:val="48"/>
      <w:szCs w:val="48"/>
    </w:rPr>
  </w:style>
  <w:style w:type="character" w:styleId="1035" w:customStyle="1">
    <w:name w:val="Subtitle Char"/>
    <w:basedOn w:val="1022"/>
    <w:uiPriority w:val="11"/>
    <w:rPr>
      <w:sz w:val="24"/>
      <w:szCs w:val="24"/>
    </w:rPr>
  </w:style>
  <w:style w:type="paragraph" w:styleId="1036">
    <w:name w:val="Quote"/>
    <w:basedOn w:val="1012"/>
    <w:next w:val="1012"/>
    <w:link w:val="1037"/>
    <w:uiPriority w:val="29"/>
    <w:qFormat/>
    <w:pPr>
      <w:ind w:left="720" w:right="720"/>
    </w:pPr>
    <w:rPr>
      <w:i/>
    </w:rPr>
  </w:style>
  <w:style w:type="character" w:styleId="1037" w:customStyle="1">
    <w:name w:val="Цитата 2 Знак"/>
    <w:link w:val="1036"/>
    <w:uiPriority w:val="29"/>
    <w:rPr>
      <w:i/>
    </w:rPr>
  </w:style>
  <w:style w:type="paragraph" w:styleId="1038">
    <w:name w:val="Intense Quote"/>
    <w:basedOn w:val="1012"/>
    <w:next w:val="1012"/>
    <w:link w:val="1039"/>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039" w:customStyle="1">
    <w:name w:val="Выделенная цитата Знак"/>
    <w:link w:val="1038"/>
    <w:uiPriority w:val="30"/>
    <w:rPr>
      <w:i/>
    </w:rPr>
  </w:style>
  <w:style w:type="character" w:styleId="1040" w:customStyle="1">
    <w:name w:val="Header Char"/>
    <w:basedOn w:val="1022"/>
    <w:uiPriority w:val="99"/>
  </w:style>
  <w:style w:type="character" w:styleId="1041" w:customStyle="1">
    <w:name w:val="Footer Char"/>
    <w:basedOn w:val="1022"/>
    <w:uiPriority w:val="99"/>
  </w:style>
  <w:style w:type="character" w:styleId="1042" w:customStyle="1">
    <w:name w:val="Название объекта Знак"/>
    <w:basedOn w:val="1022"/>
    <w:link w:val="1362"/>
    <w:uiPriority w:val="35"/>
    <w:rPr>
      <w:b/>
      <w:bCs/>
      <w:color w:val="4f81bd" w:themeColor="accent1"/>
      <w:sz w:val="18"/>
      <w:szCs w:val="18"/>
    </w:rPr>
  </w:style>
  <w:style w:type="table" w:styleId="1043" w:customStyle="1">
    <w:name w:val="Table Grid Light"/>
    <w:basedOn w:val="1023"/>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044">
    <w:name w:val="Plain Table 1"/>
    <w:basedOn w:val="1023"/>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045">
    <w:name w:val="Plain Table 2"/>
    <w:basedOn w:val="1023"/>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046">
    <w:name w:val="Plain Table 3"/>
    <w:basedOn w:val="1023"/>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047">
    <w:name w:val="Plain Table 4"/>
    <w:basedOn w:val="1023"/>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048">
    <w:name w:val="Plain Table 5"/>
    <w:basedOn w:val="1023"/>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1049">
    <w:name w:val="Grid Table 1 Light"/>
    <w:basedOn w:val="1023"/>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1050" w:customStyle="1">
    <w:name w:val="Grid Table 1 Light - Accent 1"/>
    <w:basedOn w:val="1023"/>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1051" w:customStyle="1">
    <w:name w:val="Grid Table 1 Light - Accent 2"/>
    <w:basedOn w:val="1023"/>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1052" w:customStyle="1">
    <w:name w:val="Grid Table 1 Light - Accent 3"/>
    <w:basedOn w:val="1023"/>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1053" w:customStyle="1">
    <w:name w:val="Grid Table 1 Light - Accent 4"/>
    <w:basedOn w:val="1023"/>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1054" w:customStyle="1">
    <w:name w:val="Grid Table 1 Light - Accent 5"/>
    <w:basedOn w:val="1023"/>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1055" w:customStyle="1">
    <w:name w:val="Grid Table 1 Light - Accent 6"/>
    <w:basedOn w:val="1023"/>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1056">
    <w:name w:val="Grid Table 2"/>
    <w:basedOn w:val="1023"/>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1057" w:customStyle="1">
    <w:name w:val="Grid Table 2 - Accent 1"/>
    <w:basedOn w:val="1023"/>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1058" w:customStyle="1">
    <w:name w:val="Grid Table 2 - Accent 2"/>
    <w:basedOn w:val="1023"/>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1059" w:customStyle="1">
    <w:name w:val="Grid Table 2 - Accent 3"/>
    <w:basedOn w:val="1023"/>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1060" w:customStyle="1">
    <w:name w:val="Grid Table 2 - Accent 4"/>
    <w:basedOn w:val="1023"/>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1061" w:customStyle="1">
    <w:name w:val="Grid Table 2 - Accent 5"/>
    <w:basedOn w:val="1023"/>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1062" w:customStyle="1">
    <w:name w:val="Grid Table 2 - Accent 6"/>
    <w:basedOn w:val="1023"/>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1063">
    <w:name w:val="Grid Table 3"/>
    <w:basedOn w:val="1023"/>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64" w:customStyle="1">
    <w:name w:val="Grid Table 3 - Accent 1"/>
    <w:basedOn w:val="1023"/>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65" w:customStyle="1">
    <w:name w:val="Grid Table 3 - Accent 2"/>
    <w:basedOn w:val="1023"/>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66" w:customStyle="1">
    <w:name w:val="Grid Table 3 - Accent 3"/>
    <w:basedOn w:val="1023"/>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67" w:customStyle="1">
    <w:name w:val="Grid Table 3 - Accent 4"/>
    <w:basedOn w:val="1023"/>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68" w:customStyle="1">
    <w:name w:val="Grid Table 3 - Accent 5"/>
    <w:basedOn w:val="1023"/>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69" w:customStyle="1">
    <w:name w:val="Grid Table 3 - Accent 6"/>
    <w:basedOn w:val="1023"/>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70">
    <w:name w:val="Grid Table 4"/>
    <w:basedOn w:val="1023"/>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071" w:customStyle="1">
    <w:name w:val="Grid Table 4 - Accent 1"/>
    <w:basedOn w:val="1023"/>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1072" w:customStyle="1">
    <w:name w:val="Grid Table 4 - Accent 2"/>
    <w:basedOn w:val="1023"/>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1073" w:customStyle="1">
    <w:name w:val="Grid Table 4 - Accent 3"/>
    <w:basedOn w:val="1023"/>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1074" w:customStyle="1">
    <w:name w:val="Grid Table 4 - Accent 4"/>
    <w:basedOn w:val="1023"/>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1075" w:customStyle="1">
    <w:name w:val="Grid Table 4 - Accent 5"/>
    <w:basedOn w:val="1023"/>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1076" w:customStyle="1">
    <w:name w:val="Grid Table 4 - Accent 6"/>
    <w:basedOn w:val="1023"/>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1077">
    <w:name w:val="Grid Table 5 Dark"/>
    <w:basedOn w:val="102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1078" w:customStyle="1">
    <w:name w:val="Grid Table 5 Dark- Accent 1"/>
    <w:basedOn w:val="102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1079" w:customStyle="1">
    <w:name w:val="Grid Table 5 Dark - Accent 2"/>
    <w:basedOn w:val="102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1080" w:customStyle="1">
    <w:name w:val="Grid Table 5 Dark - Accent 3"/>
    <w:basedOn w:val="102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1081" w:customStyle="1">
    <w:name w:val="Grid Table 5 Dark- Accent 4"/>
    <w:basedOn w:val="102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1082" w:customStyle="1">
    <w:name w:val="Grid Table 5 Dark - Accent 5"/>
    <w:basedOn w:val="102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1083" w:customStyle="1">
    <w:name w:val="Grid Table 5 Dark - Accent 6"/>
    <w:basedOn w:val="102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1084">
    <w:name w:val="Grid Table 6 Colorful"/>
    <w:basedOn w:val="1023"/>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085" w:customStyle="1">
    <w:name w:val="Grid Table 6 Colorful - Accent 1"/>
    <w:basedOn w:val="1023"/>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1086" w:customStyle="1">
    <w:name w:val="Grid Table 6 Colorful - Accent 2"/>
    <w:basedOn w:val="1023"/>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1087" w:customStyle="1">
    <w:name w:val="Grid Table 6 Colorful - Accent 3"/>
    <w:basedOn w:val="1023"/>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1088" w:customStyle="1">
    <w:name w:val="Grid Table 6 Colorful - Accent 4"/>
    <w:basedOn w:val="1023"/>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1089" w:customStyle="1">
    <w:name w:val="Grid Table 6 Colorful - Accent 5"/>
    <w:basedOn w:val="1023"/>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090" w:customStyle="1">
    <w:name w:val="Grid Table 6 Colorful - Accent 6"/>
    <w:basedOn w:val="1023"/>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091">
    <w:name w:val="Grid Table 7 Colorful"/>
    <w:basedOn w:val="1023"/>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1092" w:customStyle="1">
    <w:name w:val="Grid Table 7 Colorful - Accent 1"/>
    <w:basedOn w:val="1023"/>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style>
  <w:style w:type="table" w:styleId="1093" w:customStyle="1">
    <w:name w:val="Grid Table 7 Colorful - Accent 2"/>
    <w:basedOn w:val="1023"/>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1094" w:customStyle="1">
    <w:name w:val="Grid Table 7 Colorful - Accent 3"/>
    <w:basedOn w:val="1023"/>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style>
  <w:style w:type="table" w:styleId="1095" w:customStyle="1">
    <w:name w:val="Grid Table 7 Colorful - Accent 4"/>
    <w:basedOn w:val="1023"/>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1096" w:customStyle="1">
    <w:name w:val="Grid Table 7 Colorful - Accent 5"/>
    <w:basedOn w:val="1023"/>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style>
  <w:style w:type="table" w:styleId="1097" w:customStyle="1">
    <w:name w:val="Grid Table 7 Colorful - Accent 6"/>
    <w:basedOn w:val="1023"/>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style>
  <w:style w:type="table" w:styleId="1098">
    <w:name w:val="List Table 1 Light"/>
    <w:basedOn w:val="1023"/>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99" w:customStyle="1">
    <w:name w:val="List Table 1 Light - Accent 1"/>
    <w:basedOn w:val="1023"/>
    <w:uiPriority w:val="99"/>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1100" w:customStyle="1">
    <w:name w:val="List Table 1 Light - Accent 2"/>
    <w:basedOn w:val="1023"/>
    <w:uiPriority w:val="99"/>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1101" w:customStyle="1">
    <w:name w:val="List Table 1 Light - Accent 3"/>
    <w:basedOn w:val="1023"/>
    <w:uiPriority w:val="99"/>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1102" w:customStyle="1">
    <w:name w:val="List Table 1 Light - Accent 4"/>
    <w:basedOn w:val="1023"/>
    <w:uiPriority w:val="99"/>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1103" w:customStyle="1">
    <w:name w:val="List Table 1 Light - Accent 5"/>
    <w:basedOn w:val="1023"/>
    <w:uiPriority w:val="99"/>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1104" w:customStyle="1">
    <w:name w:val="List Table 1 Light - Accent 6"/>
    <w:basedOn w:val="1023"/>
    <w:uiPriority w:val="99"/>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1105">
    <w:name w:val="List Table 2"/>
    <w:basedOn w:val="1023"/>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106" w:customStyle="1">
    <w:name w:val="List Table 2 - Accent 1"/>
    <w:basedOn w:val="1023"/>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1107" w:customStyle="1">
    <w:name w:val="List Table 2 - Accent 2"/>
    <w:basedOn w:val="1023"/>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1108" w:customStyle="1">
    <w:name w:val="List Table 2 - Accent 3"/>
    <w:basedOn w:val="1023"/>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1109" w:customStyle="1">
    <w:name w:val="List Table 2 - Accent 4"/>
    <w:basedOn w:val="1023"/>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1110" w:customStyle="1">
    <w:name w:val="List Table 2 - Accent 5"/>
    <w:basedOn w:val="1023"/>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1111" w:customStyle="1">
    <w:name w:val="List Table 2 - Accent 6"/>
    <w:basedOn w:val="1023"/>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1112">
    <w:name w:val="List Table 3"/>
    <w:basedOn w:val="1023"/>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113" w:customStyle="1">
    <w:name w:val="List Table 3 - Accent 1"/>
    <w:basedOn w:val="1023"/>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1114" w:customStyle="1">
    <w:name w:val="List Table 3 - Accent 2"/>
    <w:basedOn w:val="1023"/>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1115" w:customStyle="1">
    <w:name w:val="List Table 3 - Accent 3"/>
    <w:basedOn w:val="1023"/>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1116" w:customStyle="1">
    <w:name w:val="List Table 3 - Accent 4"/>
    <w:basedOn w:val="1023"/>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1117" w:customStyle="1">
    <w:name w:val="List Table 3 - Accent 5"/>
    <w:basedOn w:val="1023"/>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1118" w:customStyle="1">
    <w:name w:val="List Table 3 - Accent 6"/>
    <w:basedOn w:val="1023"/>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1119">
    <w:name w:val="List Table 4"/>
    <w:basedOn w:val="1023"/>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120" w:customStyle="1">
    <w:name w:val="List Table 4 - Accent 1"/>
    <w:basedOn w:val="1023"/>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1121" w:customStyle="1">
    <w:name w:val="List Table 4 - Accent 2"/>
    <w:basedOn w:val="1023"/>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1122" w:customStyle="1">
    <w:name w:val="List Table 4 - Accent 3"/>
    <w:basedOn w:val="1023"/>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1123" w:customStyle="1">
    <w:name w:val="List Table 4 - Accent 4"/>
    <w:basedOn w:val="1023"/>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1124" w:customStyle="1">
    <w:name w:val="List Table 4 - Accent 5"/>
    <w:basedOn w:val="1023"/>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1125" w:customStyle="1">
    <w:name w:val="List Table 4 - Accent 6"/>
    <w:basedOn w:val="1023"/>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1126">
    <w:name w:val="List Table 5 Dark"/>
    <w:basedOn w:val="1023"/>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1127" w:customStyle="1">
    <w:name w:val="List Table 5 Dark - Accent 1"/>
    <w:basedOn w:val="1023"/>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1128" w:customStyle="1">
    <w:name w:val="List Table 5 Dark - Accent 2"/>
    <w:basedOn w:val="1023"/>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1129" w:customStyle="1">
    <w:name w:val="List Table 5 Dark - Accent 3"/>
    <w:basedOn w:val="1023"/>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1130" w:customStyle="1">
    <w:name w:val="List Table 5 Dark - Accent 4"/>
    <w:basedOn w:val="1023"/>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1131" w:customStyle="1">
    <w:name w:val="List Table 5 Dark - Accent 5"/>
    <w:basedOn w:val="1023"/>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1132" w:customStyle="1">
    <w:name w:val="List Table 5 Dark - Accent 6"/>
    <w:basedOn w:val="1023"/>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1133">
    <w:name w:val="List Table 6 Colorful"/>
    <w:basedOn w:val="1023"/>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134" w:customStyle="1">
    <w:name w:val="List Table 6 Colorful - Accent 1"/>
    <w:basedOn w:val="1023"/>
    <w:uiPriority w:val="99"/>
    <w:tblPr>
      <w:tblStyleRowBandSize w:val="1"/>
      <w:tblStyleColBandSize w:val="1"/>
      <w:tblBorders>
        <w:top w:val="single" w:color="4F81BD" w:themeColor="accent1" w:sz="4" w:space="0"/>
        <w:bottom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1135" w:customStyle="1">
    <w:name w:val="List Table 6 Colorful - Accent 2"/>
    <w:basedOn w:val="1023"/>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1136" w:customStyle="1">
    <w:name w:val="List Table 6 Colorful - Accent 3"/>
    <w:basedOn w:val="1023"/>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1137" w:customStyle="1">
    <w:name w:val="List Table 6 Colorful - Accent 4"/>
    <w:basedOn w:val="1023"/>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1138" w:customStyle="1">
    <w:name w:val="List Table 6 Colorful - Accent 5"/>
    <w:basedOn w:val="1023"/>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1139" w:customStyle="1">
    <w:name w:val="List Table 6 Colorful - Accent 6"/>
    <w:basedOn w:val="1023"/>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1140">
    <w:name w:val="List Table 7 Colorful"/>
    <w:basedOn w:val="1023"/>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1141" w:customStyle="1">
    <w:name w:val="List Table 7 Colorful - Accent 1"/>
    <w:basedOn w:val="1023"/>
    <w:uiPriority w:val="99"/>
    <w:tblPr>
      <w:tblStyleRowBandSize w:val="1"/>
      <w:tblStyleColBandSize w:val="1"/>
      <w:tblBorders>
        <w:right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style>
  <w:style w:type="table" w:styleId="1142" w:customStyle="1">
    <w:name w:val="List Table 7 Colorful - Accent 2"/>
    <w:basedOn w:val="1023"/>
    <w:uiPriority w:val="99"/>
    <w:tblPr>
      <w:tblStyleRowBandSize w:val="1"/>
      <w:tblStyleColBandSize w:val="1"/>
      <w:tblBorders>
        <w:right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1143" w:customStyle="1">
    <w:name w:val="List Table 7 Colorful - Accent 3"/>
    <w:basedOn w:val="1023"/>
    <w:uiPriority w:val="99"/>
    <w:tblPr>
      <w:tblStyleRowBandSize w:val="1"/>
      <w:tblStyleColBandSize w:val="1"/>
      <w:tblBorders>
        <w:right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style>
  <w:style w:type="table" w:styleId="1144" w:customStyle="1">
    <w:name w:val="List Table 7 Colorful - Accent 4"/>
    <w:basedOn w:val="1023"/>
    <w:uiPriority w:val="99"/>
    <w:tblPr>
      <w:tblStyleRowBandSize w:val="1"/>
      <w:tblStyleColBandSize w:val="1"/>
      <w:tblBorders>
        <w:right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1145" w:customStyle="1">
    <w:name w:val="List Table 7 Colorful - Accent 5"/>
    <w:basedOn w:val="1023"/>
    <w:uiPriority w:val="99"/>
    <w:tblPr>
      <w:tblStyleRowBandSize w:val="1"/>
      <w:tblStyleColBandSize w:val="1"/>
      <w:tblBorders>
        <w:right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style>
  <w:style w:type="table" w:styleId="1146" w:customStyle="1">
    <w:name w:val="List Table 7 Colorful - Accent 6"/>
    <w:basedOn w:val="1023"/>
    <w:uiPriority w:val="99"/>
    <w:tblPr>
      <w:tblStyleRowBandSize w:val="1"/>
      <w:tblStyleColBandSize w:val="1"/>
      <w:tblBorders>
        <w:right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style>
  <w:style w:type="table" w:styleId="1147" w:customStyle="1">
    <w:name w:val="Lined - Accent"/>
    <w:basedOn w:val="1023"/>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148" w:customStyle="1">
    <w:name w:val="Lined - Accent 1"/>
    <w:basedOn w:val="1023"/>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149" w:customStyle="1">
    <w:name w:val="Lined - Accent 2"/>
    <w:basedOn w:val="1023"/>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150" w:customStyle="1">
    <w:name w:val="Lined - Accent 3"/>
    <w:basedOn w:val="1023"/>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151" w:customStyle="1">
    <w:name w:val="Lined - Accent 4"/>
    <w:basedOn w:val="1023"/>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152" w:customStyle="1">
    <w:name w:val="Lined - Accent 5"/>
    <w:basedOn w:val="1023"/>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153" w:customStyle="1">
    <w:name w:val="Lined - Accent 6"/>
    <w:basedOn w:val="1023"/>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154" w:customStyle="1">
    <w:name w:val="Bordered &amp; Lined - Accent"/>
    <w:basedOn w:val="1023"/>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155" w:customStyle="1">
    <w:name w:val="Bordered &amp; Lined - Accent 1"/>
    <w:basedOn w:val="1023"/>
    <w:uiPriority w:val="99"/>
    <w:rPr>
      <w:color w:val="40404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1156" w:customStyle="1">
    <w:name w:val="Bordered &amp; Lined - Accent 2"/>
    <w:basedOn w:val="1023"/>
    <w:uiPriority w:val="99"/>
    <w:rPr>
      <w:color w:val="40404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1157" w:customStyle="1">
    <w:name w:val="Bordered &amp; Lined - Accent 3"/>
    <w:basedOn w:val="1023"/>
    <w:uiPriority w:val="99"/>
    <w:rPr>
      <w:color w:val="40404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1158" w:customStyle="1">
    <w:name w:val="Bordered &amp; Lined - Accent 4"/>
    <w:basedOn w:val="1023"/>
    <w:uiPriority w:val="99"/>
    <w:rPr>
      <w:color w:val="40404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1159" w:customStyle="1">
    <w:name w:val="Bordered &amp; Lined - Accent 5"/>
    <w:basedOn w:val="1023"/>
    <w:uiPriority w:val="99"/>
    <w:rPr>
      <w:color w:val="40404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1160" w:customStyle="1">
    <w:name w:val="Bordered &amp; Lined - Accent 6"/>
    <w:basedOn w:val="1023"/>
    <w:uiPriority w:val="99"/>
    <w:rPr>
      <w:color w:val="40404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1161" w:customStyle="1">
    <w:name w:val="Bordered"/>
    <w:basedOn w:val="1023"/>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1162" w:customStyle="1">
    <w:name w:val="Bordered - Accent 1"/>
    <w:basedOn w:val="1023"/>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1163" w:customStyle="1">
    <w:name w:val="Bordered - Accent 2"/>
    <w:basedOn w:val="1023"/>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1164" w:customStyle="1">
    <w:name w:val="Bordered - Accent 3"/>
    <w:basedOn w:val="1023"/>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1165" w:customStyle="1">
    <w:name w:val="Bordered - Accent 4"/>
    <w:basedOn w:val="1023"/>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1166" w:customStyle="1">
    <w:name w:val="Bordered - Accent 5"/>
    <w:basedOn w:val="1023"/>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1167" w:customStyle="1">
    <w:name w:val="Bordered - Accent 6"/>
    <w:basedOn w:val="1023"/>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1168" w:customStyle="1">
    <w:name w:val="Footnote Text Char"/>
    <w:uiPriority w:val="99"/>
    <w:rPr>
      <w:sz w:val="18"/>
    </w:rPr>
  </w:style>
  <w:style w:type="character" w:styleId="1169" w:customStyle="1">
    <w:name w:val="Endnote Text Char"/>
    <w:uiPriority w:val="99"/>
    <w:rPr>
      <w:sz w:val="20"/>
    </w:rPr>
  </w:style>
  <w:style w:type="paragraph" w:styleId="1170">
    <w:name w:val="TOC Heading"/>
    <w:uiPriority w:val="39"/>
    <w:unhideWhenUsed/>
  </w:style>
  <w:style w:type="paragraph" w:styleId="1171">
    <w:name w:val="table of figures"/>
    <w:basedOn w:val="1012"/>
    <w:next w:val="1012"/>
    <w:uiPriority w:val="99"/>
    <w:unhideWhenUsed/>
    <w:pPr>
      <w:spacing w:after="0"/>
    </w:pPr>
  </w:style>
  <w:style w:type="character" w:styleId="1172" w:customStyle="1">
    <w:name w:val="Заголовок 1 Знак1"/>
    <w:link w:val="1013"/>
    <w:uiPriority w:val="99"/>
    <w:rPr>
      <w:b/>
      <w:bCs/>
      <w:sz w:val="36"/>
      <w:szCs w:val="36"/>
    </w:rPr>
  </w:style>
  <w:style w:type="character" w:styleId="1173" w:customStyle="1">
    <w:name w:val="Заголовок 2 Знак"/>
    <w:link w:val="1014"/>
    <w:rPr>
      <w:b/>
      <w:bCs/>
      <w:sz w:val="30"/>
      <w:szCs w:val="30"/>
    </w:rPr>
  </w:style>
  <w:style w:type="character" w:styleId="1174" w:customStyle="1">
    <w:name w:val="Заголовок 3 Знак"/>
    <w:link w:val="1015"/>
    <w:uiPriority w:val="99"/>
    <w:rPr>
      <w:rFonts w:ascii="Arial" w:hAnsi="Arial" w:cs="Arial"/>
      <w:b/>
      <w:bCs/>
      <w:sz w:val="24"/>
      <w:szCs w:val="24"/>
    </w:rPr>
  </w:style>
  <w:style w:type="character" w:styleId="1175" w:customStyle="1">
    <w:name w:val="Заголовок 4 Знак"/>
    <w:link w:val="1016"/>
    <w:uiPriority w:val="99"/>
    <w:rPr>
      <w:rFonts w:ascii="Arial" w:hAnsi="Arial" w:cs="Arial"/>
      <w:sz w:val="24"/>
      <w:szCs w:val="24"/>
    </w:rPr>
  </w:style>
  <w:style w:type="character" w:styleId="1176" w:customStyle="1">
    <w:name w:val="Заголовок 5 Знак"/>
    <w:link w:val="1017"/>
    <w:uiPriority w:val="99"/>
    <w:rPr>
      <w:rFonts w:ascii="Calibri" w:hAnsi="Calibri" w:cs="Calibri"/>
      <w:b/>
      <w:bCs/>
      <w:i/>
      <w:iCs/>
      <w:sz w:val="26"/>
      <w:szCs w:val="26"/>
    </w:rPr>
  </w:style>
  <w:style w:type="character" w:styleId="1177" w:customStyle="1">
    <w:name w:val="Заголовок 6 Знак"/>
    <w:link w:val="1018"/>
    <w:uiPriority w:val="99"/>
    <w:rPr>
      <w:i/>
      <w:iCs/>
    </w:rPr>
  </w:style>
  <w:style w:type="character" w:styleId="1178" w:customStyle="1">
    <w:name w:val="Заголовок 7 Знак"/>
    <w:link w:val="1019"/>
    <w:uiPriority w:val="99"/>
    <w:rPr>
      <w:rFonts w:ascii="Arial" w:hAnsi="Arial" w:cs="Arial"/>
      <w:sz w:val="20"/>
      <w:szCs w:val="20"/>
    </w:rPr>
  </w:style>
  <w:style w:type="character" w:styleId="1179" w:customStyle="1">
    <w:name w:val="Заголовок 8 Знак"/>
    <w:link w:val="1020"/>
    <w:uiPriority w:val="99"/>
    <w:rPr>
      <w:rFonts w:ascii="Arial" w:hAnsi="Arial" w:cs="Arial"/>
      <w:i/>
      <w:iCs/>
      <w:sz w:val="20"/>
      <w:szCs w:val="20"/>
    </w:rPr>
  </w:style>
  <w:style w:type="character" w:styleId="1180" w:customStyle="1">
    <w:name w:val="Заголовок 9 Знак"/>
    <w:link w:val="1021"/>
    <w:uiPriority w:val="99"/>
    <w:rPr>
      <w:rFonts w:ascii="Arial" w:hAnsi="Arial" w:cs="Arial"/>
      <w:b/>
      <w:bCs/>
      <w:i/>
      <w:iCs/>
      <w:sz w:val="18"/>
      <w:szCs w:val="18"/>
    </w:rPr>
  </w:style>
  <w:style w:type="paragraph" w:styleId="1181" w:customStyle="1">
    <w:name w:val="Основной текст с отступом1"/>
    <w:basedOn w:val="1012"/>
    <w:uiPriority w:val="99"/>
    <w:pPr>
      <w:ind w:firstLine="851"/>
      <w:spacing w:before="60" w:after="0"/>
    </w:pPr>
  </w:style>
  <w:style w:type="paragraph" w:styleId="1182">
    <w:name w:val="Body Text Indent"/>
    <w:basedOn w:val="1012"/>
    <w:link w:val="1183"/>
    <w:uiPriority w:val="99"/>
    <w:pPr>
      <w:numPr>
        <w:ilvl w:val="1"/>
        <w:numId w:val="4"/>
      </w:numPr>
    </w:pPr>
  </w:style>
  <w:style w:type="character" w:styleId="1183" w:customStyle="1">
    <w:name w:val="Основной текст с отступом Знак"/>
    <w:link w:val="1182"/>
    <w:uiPriority w:val="99"/>
    <w:rPr>
      <w:sz w:val="24"/>
      <w:szCs w:val="24"/>
    </w:rPr>
  </w:style>
  <w:style w:type="paragraph" w:styleId="1184">
    <w:name w:val="List Bullet"/>
    <w:basedOn w:val="1012"/>
    <w:uiPriority w:val="99"/>
    <w:pPr>
      <w:widowControl w:val="off"/>
    </w:pPr>
  </w:style>
  <w:style w:type="paragraph" w:styleId="1185">
    <w:name w:val="List Bullet 2"/>
    <w:basedOn w:val="1012"/>
    <w:uiPriority w:val="99"/>
    <w:pPr>
      <w:ind w:left="643" w:hanging="360"/>
      <w:tabs>
        <w:tab w:val="num" w:pos="643" w:leader="none"/>
      </w:tabs>
    </w:pPr>
  </w:style>
  <w:style w:type="paragraph" w:styleId="1186">
    <w:name w:val="List Bullet 3"/>
    <w:basedOn w:val="1012"/>
    <w:uiPriority w:val="99"/>
    <w:pPr>
      <w:ind w:left="926" w:hanging="360"/>
      <w:tabs>
        <w:tab w:val="num" w:pos="643" w:leader="none"/>
        <w:tab w:val="num" w:pos="926" w:leader="none"/>
      </w:tabs>
    </w:pPr>
  </w:style>
  <w:style w:type="paragraph" w:styleId="1187">
    <w:name w:val="List Bullet 4"/>
    <w:basedOn w:val="1012"/>
    <w:uiPriority w:val="99"/>
    <w:pPr>
      <w:ind w:left="1209" w:hanging="360"/>
      <w:tabs>
        <w:tab w:val="num" w:pos="926" w:leader="none"/>
        <w:tab w:val="num" w:pos="1209" w:leader="none"/>
      </w:tabs>
    </w:pPr>
  </w:style>
  <w:style w:type="paragraph" w:styleId="1188">
    <w:name w:val="List Bullet 5"/>
    <w:basedOn w:val="1012"/>
    <w:uiPriority w:val="99"/>
    <w:pPr>
      <w:ind w:left="1492" w:hanging="360"/>
      <w:tabs>
        <w:tab w:val="num" w:pos="1209" w:leader="none"/>
        <w:tab w:val="num" w:pos="1492" w:leader="none"/>
      </w:tabs>
    </w:pPr>
  </w:style>
  <w:style w:type="paragraph" w:styleId="1189">
    <w:name w:val="List Number"/>
    <w:basedOn w:val="1012"/>
    <w:uiPriority w:val="99"/>
    <w:pPr>
      <w:ind w:left="360" w:hanging="360"/>
      <w:tabs>
        <w:tab w:val="num" w:pos="1492" w:leader="none"/>
      </w:tabs>
    </w:pPr>
  </w:style>
  <w:style w:type="paragraph" w:styleId="1190">
    <w:name w:val="List Number 2"/>
    <w:basedOn w:val="1012"/>
    <w:uiPriority w:val="99"/>
    <w:pPr>
      <w:ind w:left="643" w:hanging="360"/>
      <w:tabs>
        <w:tab w:val="num" w:pos="643" w:leader="none"/>
      </w:tabs>
    </w:pPr>
  </w:style>
  <w:style w:type="paragraph" w:styleId="1191">
    <w:name w:val="List Number 3"/>
    <w:basedOn w:val="1012"/>
    <w:uiPriority w:val="99"/>
    <w:pPr>
      <w:ind w:left="926" w:hanging="360"/>
      <w:tabs>
        <w:tab w:val="num" w:pos="643" w:leader="none"/>
        <w:tab w:val="num" w:pos="926" w:leader="none"/>
      </w:tabs>
    </w:pPr>
  </w:style>
  <w:style w:type="paragraph" w:styleId="1192">
    <w:name w:val="List Number 4"/>
    <w:basedOn w:val="1012"/>
    <w:uiPriority w:val="99"/>
    <w:pPr>
      <w:ind w:left="1209" w:hanging="360"/>
      <w:tabs>
        <w:tab w:val="num" w:pos="926" w:leader="none"/>
        <w:tab w:val="num" w:pos="1209" w:leader="none"/>
      </w:tabs>
    </w:pPr>
  </w:style>
  <w:style w:type="paragraph" w:styleId="1193">
    <w:name w:val="List Number 5"/>
    <w:basedOn w:val="1012"/>
    <w:uiPriority w:val="99"/>
    <w:pPr>
      <w:ind w:left="1492" w:hanging="360"/>
      <w:tabs>
        <w:tab w:val="num" w:pos="1209" w:leader="none"/>
        <w:tab w:val="num" w:pos="1492" w:leader="none"/>
      </w:tabs>
    </w:pPr>
  </w:style>
  <w:style w:type="paragraph" w:styleId="1194" w:customStyle="1">
    <w:name w:val="Раздел"/>
    <w:basedOn w:val="1012"/>
    <w:uiPriority w:val="99"/>
    <w:semiHidden/>
    <w:pPr>
      <w:numPr>
        <w:ilvl w:val="1"/>
        <w:numId w:val="2"/>
      </w:numPr>
      <w:jc w:val="center"/>
      <w:spacing w:before="120" w:after="120"/>
    </w:pPr>
    <w:rPr>
      <w:rFonts w:ascii="Arial Narrow" w:hAnsi="Arial Narrow" w:cs="Arial Narrow"/>
      <w:b/>
      <w:bCs/>
      <w:sz w:val="28"/>
      <w:szCs w:val="28"/>
    </w:rPr>
  </w:style>
  <w:style w:type="paragraph" w:styleId="1195" w:customStyle="1">
    <w:name w:val="Часть"/>
    <w:basedOn w:val="1012"/>
    <w:uiPriority w:val="99"/>
    <w:semiHidden/>
    <w:pPr>
      <w:jc w:val="center"/>
    </w:pPr>
    <w:rPr>
      <w:rFonts w:ascii="Arial" w:hAnsi="Arial" w:cs="Arial"/>
      <w:b/>
      <w:bCs/>
      <w:caps/>
      <w:sz w:val="32"/>
      <w:szCs w:val="32"/>
    </w:rPr>
  </w:style>
  <w:style w:type="paragraph" w:styleId="1196" w:customStyle="1">
    <w:name w:val="Раздел 3"/>
    <w:basedOn w:val="1012"/>
    <w:uiPriority w:val="99"/>
    <w:semiHidden/>
    <w:pPr>
      <w:numPr>
        <w:ilvl w:val="0"/>
        <w:numId w:val="3"/>
      </w:numPr>
      <w:jc w:val="center"/>
      <w:spacing w:before="120" w:after="120"/>
    </w:pPr>
    <w:rPr>
      <w:b/>
      <w:bCs/>
    </w:rPr>
  </w:style>
  <w:style w:type="paragraph" w:styleId="1197" w:customStyle="1">
    <w:name w:val="Условия контракта"/>
    <w:basedOn w:val="1012"/>
    <w:uiPriority w:val="99"/>
    <w:semiHidden/>
    <w:pPr>
      <w:numPr>
        <w:ilvl w:val="0"/>
        <w:numId w:val="4"/>
      </w:numPr>
      <w:spacing w:before="240" w:after="120"/>
    </w:pPr>
    <w:rPr>
      <w:b/>
      <w:bCs/>
    </w:rPr>
  </w:style>
  <w:style w:type="paragraph" w:styleId="1198" w:customStyle="1">
    <w:name w:val="Instruction"/>
    <w:basedOn w:val="1182"/>
    <w:uiPriority w:val="99"/>
    <w:semiHidden/>
    <w:pPr>
      <w:numPr>
        <w:ilvl w:val="0"/>
        <w:numId w:val="0"/>
      </w:numPr>
      <w:ind w:left="360" w:hanging="360"/>
      <w:spacing w:before="180"/>
      <w:tabs>
        <w:tab w:val="num" w:pos="360" w:leader="none"/>
      </w:tabs>
    </w:pPr>
    <w:rPr>
      <w:b/>
      <w:bCs/>
    </w:rPr>
  </w:style>
  <w:style w:type="paragraph" w:styleId="1199">
    <w:name w:val="Title"/>
    <w:basedOn w:val="1012"/>
    <w:link w:val="1200"/>
    <w:uiPriority w:val="99"/>
    <w:qFormat/>
    <w:pPr>
      <w:jc w:val="center"/>
      <w:spacing w:before="240"/>
      <w:outlineLvl w:val="0"/>
    </w:pPr>
    <w:rPr>
      <w:rFonts w:ascii="Cambria" w:hAnsi="Cambria" w:cs="Cambria"/>
      <w:b/>
      <w:bCs/>
      <w:sz w:val="32"/>
      <w:szCs w:val="32"/>
    </w:rPr>
  </w:style>
  <w:style w:type="character" w:styleId="1200" w:customStyle="1">
    <w:name w:val="Заголовок Знак"/>
    <w:link w:val="1199"/>
    <w:uiPriority w:val="99"/>
    <w:rPr>
      <w:rFonts w:ascii="Cambria" w:hAnsi="Cambria" w:cs="Cambria"/>
      <w:b/>
      <w:bCs/>
      <w:sz w:val="32"/>
      <w:szCs w:val="32"/>
    </w:rPr>
  </w:style>
  <w:style w:type="paragraph" w:styleId="1201">
    <w:name w:val="Subtitle"/>
    <w:basedOn w:val="1012"/>
    <w:link w:val="1202"/>
    <w:uiPriority w:val="99"/>
    <w:qFormat/>
    <w:pPr>
      <w:jc w:val="center"/>
      <w:outlineLvl w:val="1"/>
    </w:pPr>
    <w:rPr>
      <w:rFonts w:ascii="Cambria" w:hAnsi="Cambria" w:cs="Cambria"/>
    </w:rPr>
  </w:style>
  <w:style w:type="character" w:styleId="1202" w:customStyle="1">
    <w:name w:val="Подзаголовок Знак"/>
    <w:link w:val="1201"/>
    <w:uiPriority w:val="99"/>
    <w:rPr>
      <w:rFonts w:ascii="Cambria" w:hAnsi="Cambria" w:cs="Cambria"/>
      <w:sz w:val="24"/>
      <w:szCs w:val="24"/>
    </w:rPr>
  </w:style>
  <w:style w:type="paragraph" w:styleId="1203" w:customStyle="1">
    <w:name w:val="Тендерные данные"/>
    <w:basedOn w:val="1012"/>
    <w:uiPriority w:val="99"/>
    <w:semiHidden/>
    <w:pPr>
      <w:spacing w:before="120"/>
      <w:tabs>
        <w:tab w:val="left" w:pos="1985" w:leader="none"/>
      </w:tabs>
    </w:pPr>
    <w:rPr>
      <w:b/>
      <w:bCs/>
    </w:rPr>
  </w:style>
  <w:style w:type="paragraph" w:styleId="1204">
    <w:name w:val="toc 3"/>
    <w:basedOn w:val="1012"/>
    <w:next w:val="1012"/>
    <w:uiPriority w:val="39"/>
    <w:pPr>
      <w:ind w:left="480"/>
      <w:jc w:val="left"/>
      <w:spacing w:after="0"/>
    </w:pPr>
    <w:rPr>
      <w:i/>
      <w:iCs/>
      <w:sz w:val="20"/>
      <w:szCs w:val="20"/>
    </w:rPr>
  </w:style>
  <w:style w:type="paragraph" w:styleId="1205">
    <w:name w:val="toc 1"/>
    <w:basedOn w:val="1012"/>
    <w:next w:val="1012"/>
    <w:uiPriority w:val="39"/>
    <w:pPr>
      <w:jc w:val="left"/>
      <w:spacing w:before="120" w:after="120"/>
      <w:tabs>
        <w:tab w:val="left" w:pos="426" w:leader="none"/>
        <w:tab w:val="right" w:pos="9629" w:leader="dot"/>
      </w:tabs>
    </w:pPr>
    <w:rPr>
      <w:b/>
      <w:bCs/>
      <w:caps/>
      <w:sz w:val="20"/>
      <w:szCs w:val="20"/>
    </w:rPr>
  </w:style>
  <w:style w:type="paragraph" w:styleId="1206">
    <w:name w:val="toc 2"/>
    <w:basedOn w:val="1012"/>
    <w:next w:val="1012"/>
    <w:uiPriority w:val="39"/>
    <w:pPr>
      <w:ind w:left="240"/>
      <w:jc w:val="left"/>
      <w:spacing w:after="0"/>
      <w:tabs>
        <w:tab w:val="left" w:pos="960" w:leader="none"/>
        <w:tab w:val="right" w:pos="9771" w:leader="dot"/>
      </w:tabs>
    </w:pPr>
    <w:rPr>
      <w:i/>
      <w:smallCaps/>
      <w:sz w:val="20"/>
      <w:szCs w:val="20"/>
    </w:rPr>
  </w:style>
  <w:style w:type="paragraph" w:styleId="1207">
    <w:name w:val="Date"/>
    <w:basedOn w:val="1012"/>
    <w:next w:val="1012"/>
    <w:link w:val="1208"/>
    <w:uiPriority w:val="99"/>
  </w:style>
  <w:style w:type="character" w:styleId="1208" w:customStyle="1">
    <w:name w:val="Дата Знак"/>
    <w:link w:val="1207"/>
    <w:uiPriority w:val="99"/>
    <w:semiHidden/>
    <w:rPr>
      <w:sz w:val="24"/>
      <w:szCs w:val="24"/>
    </w:rPr>
  </w:style>
  <w:style w:type="paragraph" w:styleId="1209" w:customStyle="1">
    <w:name w:val="Îáû÷íûé"/>
    <w:uiPriority w:val="99"/>
    <w:semiHidden/>
  </w:style>
  <w:style w:type="paragraph" w:styleId="1210" w:customStyle="1">
    <w:name w:val="Íîðìàëüíûé"/>
    <w:uiPriority w:val="99"/>
    <w:semiHidden/>
    <w:rPr>
      <w:rFonts w:ascii="Courier" w:hAnsi="Courier" w:cs="Courier"/>
      <w:sz w:val="24"/>
      <w:szCs w:val="24"/>
      <w:lang w:val="en-GB"/>
    </w:rPr>
  </w:style>
  <w:style w:type="paragraph" w:styleId="1211">
    <w:name w:val="Body Text"/>
    <w:basedOn w:val="1012"/>
    <w:link w:val="1212"/>
    <w:uiPriority w:val="99"/>
    <w:pPr>
      <w:spacing w:after="120"/>
    </w:pPr>
  </w:style>
  <w:style w:type="character" w:styleId="1212" w:customStyle="1">
    <w:name w:val="Основной текст Знак"/>
    <w:link w:val="1211"/>
    <w:uiPriority w:val="99"/>
    <w:rPr>
      <w:sz w:val="24"/>
      <w:szCs w:val="24"/>
    </w:rPr>
  </w:style>
  <w:style w:type="paragraph" w:styleId="1213" w:customStyle="1">
    <w:name w:val="Подраздел"/>
    <w:basedOn w:val="1012"/>
    <w:uiPriority w:val="99"/>
    <w:semiHidden/>
    <w:pPr>
      <w:jc w:val="center"/>
      <w:spacing w:before="240" w:after="120"/>
    </w:pPr>
    <w:rPr>
      <w:rFonts w:ascii="TimesDL" w:hAnsi="TimesDL" w:cs="TimesDL"/>
      <w:b/>
      <w:bCs/>
      <w:smallCaps/>
      <w:spacing w:val="-2"/>
    </w:rPr>
  </w:style>
  <w:style w:type="paragraph" w:styleId="1214">
    <w:name w:val="Body Text Indent 2"/>
    <w:basedOn w:val="1012"/>
    <w:link w:val="1215"/>
    <w:uiPriority w:val="99"/>
    <w:pPr>
      <w:ind w:left="283"/>
      <w:spacing w:after="120" w:line="480" w:lineRule="auto"/>
    </w:pPr>
  </w:style>
  <w:style w:type="character" w:styleId="1215" w:customStyle="1">
    <w:name w:val="Основной текст с отступом 2 Знак"/>
    <w:link w:val="1214"/>
    <w:uiPriority w:val="99"/>
    <w:semiHidden/>
    <w:rPr>
      <w:sz w:val="24"/>
      <w:szCs w:val="24"/>
    </w:rPr>
  </w:style>
  <w:style w:type="paragraph" w:styleId="1216">
    <w:name w:val="Body Text Indent 3"/>
    <w:basedOn w:val="1012"/>
    <w:link w:val="1217"/>
    <w:uiPriority w:val="99"/>
    <w:pPr>
      <w:ind w:left="283"/>
      <w:spacing w:after="120"/>
    </w:pPr>
    <w:rPr>
      <w:sz w:val="16"/>
      <w:szCs w:val="16"/>
    </w:rPr>
  </w:style>
  <w:style w:type="character" w:styleId="1217" w:customStyle="1">
    <w:name w:val="Основной текст с отступом 3 Знак"/>
    <w:link w:val="1216"/>
    <w:uiPriority w:val="99"/>
    <w:semiHidden/>
    <w:rPr>
      <w:sz w:val="16"/>
      <w:szCs w:val="16"/>
    </w:rPr>
  </w:style>
  <w:style w:type="paragraph" w:styleId="1218">
    <w:name w:val="Header"/>
    <w:basedOn w:val="1012"/>
    <w:link w:val="1219"/>
    <w:uiPriority w:val="99"/>
    <w:pPr>
      <w:spacing w:before="120" w:after="120"/>
      <w:tabs>
        <w:tab w:val="center" w:pos="4153" w:leader="none"/>
        <w:tab w:val="right" w:pos="8306" w:leader="none"/>
      </w:tabs>
    </w:pPr>
  </w:style>
  <w:style w:type="character" w:styleId="1219" w:customStyle="1">
    <w:name w:val="Верхний колонтитул Знак"/>
    <w:link w:val="1218"/>
    <w:uiPriority w:val="99"/>
    <w:semiHidden/>
    <w:rPr>
      <w:sz w:val="24"/>
      <w:szCs w:val="24"/>
    </w:rPr>
  </w:style>
  <w:style w:type="paragraph" w:styleId="1220">
    <w:name w:val="Block Text"/>
    <w:basedOn w:val="1012"/>
    <w:uiPriority w:val="99"/>
    <w:pPr>
      <w:ind w:left="1440" w:right="1440"/>
      <w:spacing w:after="120"/>
    </w:pPr>
  </w:style>
  <w:style w:type="character" w:styleId="1221">
    <w:name w:val="footnote reference"/>
    <w:rPr>
      <w:rFonts w:ascii="Times New Roman" w:hAnsi="Times New Roman" w:cs="Times New Roman"/>
      <w:vertAlign w:val="superscript"/>
    </w:rPr>
  </w:style>
  <w:style w:type="paragraph" w:styleId="1222">
    <w:name w:val="footnote text"/>
    <w:basedOn w:val="1012"/>
    <w:link w:val="1223"/>
    <w:rPr>
      <w:sz w:val="20"/>
      <w:szCs w:val="20"/>
    </w:rPr>
  </w:style>
  <w:style w:type="character" w:styleId="1223" w:customStyle="1">
    <w:name w:val="Текст сноски Знак"/>
    <w:link w:val="1222"/>
    <w:rPr>
      <w:sz w:val="20"/>
      <w:szCs w:val="20"/>
    </w:rPr>
  </w:style>
  <w:style w:type="character" w:styleId="1224">
    <w:name w:val="page number"/>
    <w:uiPriority w:val="99"/>
    <w:rPr>
      <w:rFonts w:ascii="Times New Roman" w:hAnsi="Times New Roman" w:cs="Times New Roman"/>
    </w:rPr>
  </w:style>
  <w:style w:type="paragraph" w:styleId="1225">
    <w:name w:val="Footer"/>
    <w:basedOn w:val="1012"/>
    <w:link w:val="1226"/>
    <w:uiPriority w:val="99"/>
    <w:pPr>
      <w:tabs>
        <w:tab w:val="center" w:pos="4153" w:leader="none"/>
        <w:tab w:val="right" w:pos="8306" w:leader="none"/>
      </w:tabs>
    </w:pPr>
  </w:style>
  <w:style w:type="character" w:styleId="1226" w:customStyle="1">
    <w:name w:val="Нижний колонтитул Знак"/>
    <w:link w:val="1225"/>
    <w:uiPriority w:val="99"/>
    <w:rPr>
      <w:sz w:val="24"/>
      <w:szCs w:val="24"/>
    </w:rPr>
  </w:style>
  <w:style w:type="paragraph" w:styleId="1227">
    <w:name w:val="Body Text 3"/>
    <w:basedOn w:val="1012"/>
    <w:link w:val="1228"/>
    <w:uiPriority w:val="99"/>
    <w:pPr>
      <w:keepLines/>
      <w:keepNext/>
      <w:spacing w:before="148" w:after="112"/>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uppressLineNumbers/>
    </w:pPr>
    <w:rPr>
      <w:sz w:val="16"/>
      <w:szCs w:val="16"/>
    </w:rPr>
  </w:style>
  <w:style w:type="character" w:styleId="1228" w:customStyle="1">
    <w:name w:val="Основной текст 3 Знак"/>
    <w:link w:val="1227"/>
    <w:uiPriority w:val="99"/>
    <w:semiHidden/>
    <w:rPr>
      <w:sz w:val="16"/>
      <w:szCs w:val="16"/>
    </w:rPr>
  </w:style>
  <w:style w:type="paragraph" w:styleId="1229">
    <w:name w:val="Plain Text"/>
    <w:basedOn w:val="1012"/>
    <w:link w:val="1230"/>
    <w:pPr>
      <w:jc w:val="left"/>
      <w:spacing w:after="0"/>
    </w:pPr>
    <w:rPr>
      <w:rFonts w:ascii="Courier New" w:hAnsi="Courier New" w:cs="Courier New"/>
      <w:sz w:val="20"/>
      <w:szCs w:val="20"/>
    </w:rPr>
  </w:style>
  <w:style w:type="character" w:styleId="1230" w:customStyle="1">
    <w:name w:val="Текст Знак"/>
    <w:link w:val="1229"/>
    <w:rPr>
      <w:rFonts w:ascii="Courier New" w:hAnsi="Courier New" w:cs="Courier New"/>
      <w:sz w:val="20"/>
      <w:szCs w:val="20"/>
    </w:rPr>
  </w:style>
  <w:style w:type="paragraph" w:styleId="1231" w:customStyle="1">
    <w:name w:val="ConsNormal"/>
    <w:pPr>
      <w:ind w:right="19772" w:firstLine="720"/>
      <w:widowControl w:val="off"/>
    </w:pPr>
    <w:rPr>
      <w:rFonts w:ascii="Arial" w:hAnsi="Arial" w:cs="Arial"/>
    </w:rPr>
  </w:style>
  <w:style w:type="character" w:styleId="1232" w:customStyle="1">
    <w:name w:val="Знак Знак"/>
    <w:uiPriority w:val="99"/>
    <w:semiHidden/>
    <w:rPr>
      <w:rFonts w:ascii="Arial" w:hAnsi="Arial" w:cs="Arial"/>
      <w:sz w:val="24"/>
      <w:szCs w:val="24"/>
      <w:lang w:val="ru-RU" w:eastAsia="ru-RU"/>
    </w:rPr>
  </w:style>
  <w:style w:type="paragraph" w:styleId="1233">
    <w:name w:val="Normal (Web)"/>
    <w:basedOn w:val="1012"/>
    <w:uiPriority w:val="99"/>
    <w:pPr>
      <w:jc w:val="left"/>
      <w:spacing w:before="100" w:beforeAutospacing="1" w:after="100" w:afterAutospacing="1"/>
    </w:pPr>
  </w:style>
  <w:style w:type="paragraph" w:styleId="1234" w:customStyle="1">
    <w:name w:val="ConsNonformat"/>
    <w:uiPriority w:val="99"/>
    <w:semiHidden/>
    <w:pPr>
      <w:ind w:right="19772"/>
      <w:widowControl w:val="off"/>
    </w:pPr>
    <w:rPr>
      <w:rFonts w:ascii="Courier New" w:hAnsi="Courier New" w:cs="Courier New"/>
    </w:rPr>
  </w:style>
  <w:style w:type="character" w:styleId="1235" w:customStyle="1">
    <w:name w:val="Основной шрифт"/>
    <w:uiPriority w:val="99"/>
    <w:semiHidden/>
  </w:style>
  <w:style w:type="paragraph" w:styleId="1236">
    <w:name w:val="HTML Address"/>
    <w:basedOn w:val="1012"/>
    <w:link w:val="1237"/>
    <w:uiPriority w:val="99"/>
    <w:rPr>
      <w:i/>
      <w:iCs/>
    </w:rPr>
  </w:style>
  <w:style w:type="character" w:styleId="1237" w:customStyle="1">
    <w:name w:val="Адрес HTML Знак"/>
    <w:link w:val="1236"/>
    <w:uiPriority w:val="99"/>
    <w:semiHidden/>
    <w:rPr>
      <w:i/>
      <w:iCs/>
      <w:sz w:val="24"/>
      <w:szCs w:val="24"/>
    </w:rPr>
  </w:style>
  <w:style w:type="paragraph" w:styleId="1238">
    <w:name w:val="envelope address"/>
    <w:basedOn w:val="1012"/>
    <w:uiPriority w:val="99"/>
    <w:pPr>
      <w:ind w:left="2880"/>
      <w:framePr w:w="7920" w:h="1980" w:hSpace="180" w:wrap="auto" w:hAnchor="page" w:xAlign="center" w:yAlign="bottom" w:hRule="exact"/>
    </w:pPr>
    <w:rPr>
      <w:rFonts w:ascii="Arial" w:hAnsi="Arial" w:cs="Arial"/>
    </w:rPr>
  </w:style>
  <w:style w:type="character" w:styleId="1239">
    <w:name w:val="HTML Acronym"/>
    <w:basedOn w:val="1022"/>
    <w:uiPriority w:val="99"/>
  </w:style>
  <w:style w:type="character" w:styleId="1240">
    <w:name w:val="Emphasis"/>
    <w:uiPriority w:val="99"/>
    <w:qFormat/>
    <w:rPr>
      <w:i/>
      <w:iCs/>
    </w:rPr>
  </w:style>
  <w:style w:type="character" w:styleId="1241">
    <w:name w:val="Hyperlink"/>
    <w:uiPriority w:val="99"/>
    <w:rPr>
      <w:color w:val="0000ff"/>
      <w:u w:val="single"/>
    </w:rPr>
  </w:style>
  <w:style w:type="paragraph" w:styleId="1242">
    <w:name w:val="Note Heading"/>
    <w:basedOn w:val="1012"/>
    <w:next w:val="1012"/>
    <w:link w:val="1243"/>
    <w:uiPriority w:val="99"/>
  </w:style>
  <w:style w:type="character" w:styleId="1243" w:customStyle="1">
    <w:name w:val="Заголовок записки Знак"/>
    <w:link w:val="1242"/>
    <w:uiPriority w:val="99"/>
    <w:semiHidden/>
    <w:rPr>
      <w:sz w:val="24"/>
      <w:szCs w:val="24"/>
    </w:rPr>
  </w:style>
  <w:style w:type="character" w:styleId="1244">
    <w:name w:val="HTML Keyboard"/>
    <w:uiPriority w:val="99"/>
    <w:rPr>
      <w:rFonts w:ascii="Courier New" w:hAnsi="Courier New" w:cs="Courier New"/>
      <w:sz w:val="20"/>
      <w:szCs w:val="20"/>
    </w:rPr>
  </w:style>
  <w:style w:type="character" w:styleId="1245">
    <w:name w:val="HTML Code"/>
    <w:uiPriority w:val="99"/>
    <w:rPr>
      <w:rFonts w:ascii="Courier New" w:hAnsi="Courier New" w:cs="Courier New"/>
      <w:sz w:val="20"/>
      <w:szCs w:val="20"/>
    </w:rPr>
  </w:style>
  <w:style w:type="paragraph" w:styleId="1246">
    <w:name w:val="Body Text First Indent"/>
    <w:basedOn w:val="1211"/>
    <w:link w:val="1247"/>
    <w:uiPriority w:val="99"/>
    <w:pPr>
      <w:ind w:firstLine="210"/>
    </w:pPr>
  </w:style>
  <w:style w:type="character" w:styleId="1247" w:customStyle="1">
    <w:name w:val="Красная строка Знак"/>
    <w:basedOn w:val="1212"/>
    <w:link w:val="1246"/>
    <w:uiPriority w:val="99"/>
    <w:semiHidden/>
    <w:rPr>
      <w:sz w:val="24"/>
      <w:szCs w:val="24"/>
    </w:rPr>
  </w:style>
  <w:style w:type="paragraph" w:styleId="1248">
    <w:name w:val="Body Text First Indent 2"/>
    <w:basedOn w:val="1181"/>
    <w:link w:val="1249"/>
    <w:uiPriority w:val="99"/>
    <w:pPr>
      <w:ind w:left="283" w:firstLine="210"/>
      <w:spacing w:before="0" w:after="120"/>
    </w:pPr>
  </w:style>
  <w:style w:type="character" w:styleId="1249" w:customStyle="1">
    <w:name w:val="Красная строка 2 Знак"/>
    <w:basedOn w:val="1183"/>
    <w:link w:val="1248"/>
    <w:uiPriority w:val="99"/>
    <w:semiHidden/>
    <w:rPr>
      <w:sz w:val="24"/>
      <w:szCs w:val="24"/>
    </w:rPr>
  </w:style>
  <w:style w:type="character" w:styleId="1250">
    <w:name w:val="line number"/>
    <w:basedOn w:val="1022"/>
    <w:uiPriority w:val="99"/>
  </w:style>
  <w:style w:type="character" w:styleId="1251">
    <w:name w:val="HTML Sample"/>
    <w:uiPriority w:val="99"/>
    <w:rPr>
      <w:rFonts w:ascii="Courier New" w:hAnsi="Courier New" w:cs="Courier New"/>
    </w:rPr>
  </w:style>
  <w:style w:type="paragraph" w:styleId="1252">
    <w:name w:val="envelope return"/>
    <w:basedOn w:val="1012"/>
    <w:uiPriority w:val="99"/>
    <w:rPr>
      <w:rFonts w:ascii="Arial" w:hAnsi="Arial" w:cs="Arial"/>
      <w:sz w:val="20"/>
      <w:szCs w:val="20"/>
    </w:rPr>
  </w:style>
  <w:style w:type="paragraph" w:styleId="1253">
    <w:name w:val="Normal Indent"/>
    <w:basedOn w:val="1012"/>
    <w:uiPriority w:val="99"/>
    <w:pPr>
      <w:ind w:left="708"/>
    </w:pPr>
  </w:style>
  <w:style w:type="character" w:styleId="1254">
    <w:name w:val="HTML Definition"/>
    <w:uiPriority w:val="99"/>
    <w:rPr>
      <w:i/>
      <w:iCs/>
    </w:rPr>
  </w:style>
  <w:style w:type="character" w:styleId="1255">
    <w:name w:val="HTML Variable"/>
    <w:uiPriority w:val="99"/>
    <w:rPr>
      <w:i/>
      <w:iCs/>
    </w:rPr>
  </w:style>
  <w:style w:type="character" w:styleId="1256">
    <w:name w:val="HTML Typewriter"/>
    <w:uiPriority w:val="99"/>
    <w:rPr>
      <w:rFonts w:ascii="Courier New" w:hAnsi="Courier New" w:cs="Courier New"/>
      <w:sz w:val="20"/>
      <w:szCs w:val="20"/>
    </w:rPr>
  </w:style>
  <w:style w:type="paragraph" w:styleId="1257">
    <w:name w:val="Signature"/>
    <w:basedOn w:val="1012"/>
    <w:link w:val="1258"/>
    <w:uiPriority w:val="99"/>
    <w:pPr>
      <w:ind w:left="4252"/>
    </w:pPr>
  </w:style>
  <w:style w:type="character" w:styleId="1258" w:customStyle="1">
    <w:name w:val="Подпись Знак"/>
    <w:link w:val="1257"/>
    <w:uiPriority w:val="99"/>
    <w:semiHidden/>
    <w:rPr>
      <w:sz w:val="24"/>
      <w:szCs w:val="24"/>
    </w:rPr>
  </w:style>
  <w:style w:type="paragraph" w:styleId="1259">
    <w:name w:val="Salutation"/>
    <w:basedOn w:val="1012"/>
    <w:next w:val="1012"/>
    <w:link w:val="1260"/>
    <w:uiPriority w:val="99"/>
  </w:style>
  <w:style w:type="character" w:styleId="1260" w:customStyle="1">
    <w:name w:val="Приветствие Знак"/>
    <w:link w:val="1259"/>
    <w:uiPriority w:val="99"/>
    <w:semiHidden/>
    <w:rPr>
      <w:sz w:val="24"/>
      <w:szCs w:val="24"/>
    </w:rPr>
  </w:style>
  <w:style w:type="paragraph" w:styleId="1261">
    <w:name w:val="List Continue"/>
    <w:basedOn w:val="1012"/>
    <w:uiPriority w:val="99"/>
    <w:pPr>
      <w:ind w:left="283"/>
      <w:spacing w:after="120"/>
    </w:pPr>
  </w:style>
  <w:style w:type="paragraph" w:styleId="1262">
    <w:name w:val="List Continue 2"/>
    <w:basedOn w:val="1012"/>
    <w:uiPriority w:val="99"/>
    <w:pPr>
      <w:ind w:left="566"/>
      <w:spacing w:after="120"/>
    </w:pPr>
  </w:style>
  <w:style w:type="paragraph" w:styleId="1263">
    <w:name w:val="List Continue 3"/>
    <w:basedOn w:val="1012"/>
    <w:uiPriority w:val="99"/>
    <w:pPr>
      <w:ind w:left="849"/>
      <w:spacing w:after="120"/>
    </w:pPr>
  </w:style>
  <w:style w:type="paragraph" w:styleId="1264">
    <w:name w:val="List Continue 4"/>
    <w:basedOn w:val="1012"/>
    <w:uiPriority w:val="99"/>
    <w:pPr>
      <w:ind w:left="1132"/>
      <w:spacing w:after="120"/>
    </w:pPr>
  </w:style>
  <w:style w:type="paragraph" w:styleId="1265">
    <w:name w:val="List Continue 5"/>
    <w:basedOn w:val="1012"/>
    <w:uiPriority w:val="99"/>
    <w:pPr>
      <w:ind w:left="1415"/>
      <w:spacing w:after="120"/>
    </w:pPr>
  </w:style>
  <w:style w:type="character" w:styleId="1266">
    <w:name w:val="FollowedHyperlink"/>
    <w:uiPriority w:val="99"/>
    <w:rPr>
      <w:color w:val="800080"/>
      <w:u w:val="single"/>
    </w:rPr>
  </w:style>
  <w:style w:type="paragraph" w:styleId="1267">
    <w:name w:val="Closing"/>
    <w:basedOn w:val="1012"/>
    <w:link w:val="1268"/>
    <w:uiPriority w:val="99"/>
    <w:pPr>
      <w:ind w:left="4252"/>
    </w:pPr>
  </w:style>
  <w:style w:type="character" w:styleId="1268" w:customStyle="1">
    <w:name w:val="Прощание Знак"/>
    <w:link w:val="1267"/>
    <w:uiPriority w:val="99"/>
    <w:semiHidden/>
    <w:rPr>
      <w:sz w:val="24"/>
      <w:szCs w:val="24"/>
    </w:rPr>
  </w:style>
  <w:style w:type="paragraph" w:styleId="1269">
    <w:name w:val="List"/>
    <w:basedOn w:val="1012"/>
    <w:uiPriority w:val="99"/>
    <w:pPr>
      <w:ind w:left="283" w:hanging="283"/>
    </w:pPr>
  </w:style>
  <w:style w:type="paragraph" w:styleId="1270">
    <w:name w:val="List 2"/>
    <w:basedOn w:val="1012"/>
    <w:uiPriority w:val="99"/>
    <w:pPr>
      <w:ind w:left="566" w:hanging="283"/>
    </w:pPr>
  </w:style>
  <w:style w:type="paragraph" w:styleId="1271">
    <w:name w:val="List 3"/>
    <w:basedOn w:val="1012"/>
    <w:uiPriority w:val="99"/>
    <w:pPr>
      <w:ind w:left="849" w:hanging="283"/>
    </w:pPr>
  </w:style>
  <w:style w:type="paragraph" w:styleId="1272">
    <w:name w:val="List 4"/>
    <w:basedOn w:val="1012"/>
    <w:uiPriority w:val="99"/>
    <w:pPr>
      <w:ind w:left="1132" w:hanging="283"/>
    </w:pPr>
  </w:style>
  <w:style w:type="paragraph" w:styleId="1273">
    <w:name w:val="List 5"/>
    <w:basedOn w:val="1012"/>
    <w:uiPriority w:val="99"/>
    <w:pPr>
      <w:ind w:left="1415" w:hanging="283"/>
    </w:pPr>
  </w:style>
  <w:style w:type="paragraph" w:styleId="1274">
    <w:name w:val="HTML Preformatted"/>
    <w:basedOn w:val="1012"/>
    <w:link w:val="1275"/>
    <w:uiPriority w:val="99"/>
    <w:rPr>
      <w:rFonts w:ascii="Courier New" w:hAnsi="Courier New" w:cs="Courier New"/>
      <w:sz w:val="20"/>
      <w:szCs w:val="20"/>
    </w:rPr>
  </w:style>
  <w:style w:type="character" w:styleId="1275" w:customStyle="1">
    <w:name w:val="Стандартный HTML Знак"/>
    <w:link w:val="1274"/>
    <w:uiPriority w:val="99"/>
    <w:semiHidden/>
    <w:rPr>
      <w:rFonts w:ascii="Courier New" w:hAnsi="Courier New" w:cs="Courier New"/>
      <w:sz w:val="20"/>
      <w:szCs w:val="20"/>
    </w:rPr>
  </w:style>
  <w:style w:type="character" w:styleId="1276">
    <w:name w:val="Strong"/>
    <w:uiPriority w:val="99"/>
    <w:qFormat/>
    <w:rPr>
      <w:b/>
      <w:bCs/>
    </w:rPr>
  </w:style>
  <w:style w:type="character" w:styleId="1277">
    <w:name w:val="HTML Cite"/>
    <w:uiPriority w:val="99"/>
    <w:rPr>
      <w:i/>
      <w:iCs/>
    </w:rPr>
  </w:style>
  <w:style w:type="paragraph" w:styleId="1278">
    <w:name w:val="Message Header"/>
    <w:basedOn w:val="1012"/>
    <w:link w:val="1279"/>
    <w:uiPriority w:val="99"/>
    <w:pPr>
      <w:ind w:left="1134" w:hanging="1134"/>
      <w:shd w:val="pct20" w:color="auto" w:fill="auto"/>
      <w:pBdr>
        <w:top w:val="single" w:color="000000" w:sz="6" w:space="1"/>
        <w:left w:val="single" w:color="000000" w:sz="6" w:space="1"/>
        <w:bottom w:val="single" w:color="000000" w:sz="6" w:space="1"/>
        <w:right w:val="single" w:color="000000" w:sz="6" w:space="1"/>
      </w:pBdr>
    </w:pPr>
    <w:rPr>
      <w:rFonts w:ascii="Cambria" w:hAnsi="Cambria" w:cs="Cambria"/>
    </w:rPr>
  </w:style>
  <w:style w:type="character" w:styleId="1279" w:customStyle="1">
    <w:name w:val="Шапка Знак"/>
    <w:link w:val="1278"/>
    <w:uiPriority w:val="99"/>
    <w:semiHidden/>
    <w:rPr>
      <w:rFonts w:ascii="Cambria" w:hAnsi="Cambria" w:cs="Cambria"/>
      <w:sz w:val="24"/>
      <w:szCs w:val="24"/>
      <w:shd w:val="pct20" w:color="auto" w:fill="auto"/>
    </w:rPr>
  </w:style>
  <w:style w:type="paragraph" w:styleId="1280">
    <w:name w:val="E-mail Signature"/>
    <w:basedOn w:val="1012"/>
    <w:link w:val="1281"/>
    <w:uiPriority w:val="99"/>
  </w:style>
  <w:style w:type="character" w:styleId="1281" w:customStyle="1">
    <w:name w:val="Электронная подпись Знак"/>
    <w:link w:val="1280"/>
    <w:uiPriority w:val="99"/>
    <w:semiHidden/>
    <w:rPr>
      <w:sz w:val="24"/>
      <w:szCs w:val="24"/>
    </w:rPr>
  </w:style>
  <w:style w:type="paragraph" w:styleId="1282">
    <w:name w:val="toc 4"/>
    <w:basedOn w:val="1012"/>
    <w:next w:val="1012"/>
    <w:uiPriority w:val="39"/>
    <w:pPr>
      <w:ind w:left="720"/>
      <w:jc w:val="left"/>
      <w:spacing w:after="0"/>
    </w:pPr>
    <w:rPr>
      <w:sz w:val="18"/>
      <w:szCs w:val="18"/>
    </w:rPr>
  </w:style>
  <w:style w:type="paragraph" w:styleId="1283">
    <w:name w:val="toc 5"/>
    <w:basedOn w:val="1012"/>
    <w:next w:val="1012"/>
    <w:uiPriority w:val="39"/>
    <w:pPr>
      <w:ind w:left="960"/>
      <w:jc w:val="left"/>
      <w:spacing w:after="0"/>
    </w:pPr>
    <w:rPr>
      <w:sz w:val="18"/>
      <w:szCs w:val="18"/>
    </w:rPr>
  </w:style>
  <w:style w:type="paragraph" w:styleId="1284">
    <w:name w:val="toc 6"/>
    <w:basedOn w:val="1012"/>
    <w:next w:val="1012"/>
    <w:uiPriority w:val="39"/>
    <w:pPr>
      <w:ind w:left="1200"/>
      <w:jc w:val="left"/>
      <w:spacing w:after="0"/>
    </w:pPr>
    <w:rPr>
      <w:sz w:val="18"/>
      <w:szCs w:val="18"/>
    </w:rPr>
  </w:style>
  <w:style w:type="paragraph" w:styleId="1285">
    <w:name w:val="toc 7"/>
    <w:basedOn w:val="1012"/>
    <w:next w:val="1012"/>
    <w:uiPriority w:val="39"/>
    <w:pPr>
      <w:ind w:left="1440"/>
      <w:jc w:val="left"/>
      <w:spacing w:after="0"/>
    </w:pPr>
    <w:rPr>
      <w:sz w:val="18"/>
      <w:szCs w:val="18"/>
    </w:rPr>
  </w:style>
  <w:style w:type="paragraph" w:styleId="1286">
    <w:name w:val="toc 8"/>
    <w:basedOn w:val="1012"/>
    <w:next w:val="1012"/>
    <w:uiPriority w:val="39"/>
    <w:pPr>
      <w:ind w:left="1680"/>
      <w:jc w:val="left"/>
      <w:spacing w:after="0"/>
    </w:pPr>
    <w:rPr>
      <w:sz w:val="18"/>
      <w:szCs w:val="18"/>
    </w:rPr>
  </w:style>
  <w:style w:type="paragraph" w:styleId="1287">
    <w:name w:val="toc 9"/>
    <w:basedOn w:val="1012"/>
    <w:next w:val="1012"/>
    <w:uiPriority w:val="39"/>
    <w:pPr>
      <w:ind w:left="1920"/>
      <w:jc w:val="left"/>
      <w:spacing w:after="0"/>
    </w:pPr>
    <w:rPr>
      <w:sz w:val="18"/>
      <w:szCs w:val="18"/>
    </w:rPr>
  </w:style>
  <w:style w:type="paragraph" w:styleId="1288" w:customStyle="1">
    <w:name w:val="Стиль1"/>
    <w:basedOn w:val="1012"/>
    <w:pPr>
      <w:numPr>
        <w:ilvl w:val="0"/>
        <w:numId w:val="5"/>
      </w:numPr>
      <w:jc w:val="left"/>
      <w:keepLines/>
      <w:keepNext/>
      <w:widowControl w:val="off"/>
      <w:suppressLineNumbers/>
    </w:pPr>
    <w:rPr>
      <w:b/>
      <w:bCs/>
      <w:sz w:val="28"/>
      <w:szCs w:val="28"/>
    </w:rPr>
  </w:style>
  <w:style w:type="paragraph" w:styleId="1289" w:customStyle="1">
    <w:name w:val="содержание2-1"/>
    <w:basedOn w:val="1015"/>
    <w:next w:val="1012"/>
    <w:uiPriority w:val="99"/>
  </w:style>
  <w:style w:type="paragraph" w:styleId="1290" w:customStyle="1">
    <w:name w:val="Заголовок 2.1"/>
    <w:basedOn w:val="1013"/>
    <w:uiPriority w:val="99"/>
    <w:pPr>
      <w:keepLines/>
      <w:widowControl w:val="off"/>
      <w:suppressLineNumbers/>
    </w:pPr>
    <w:rPr>
      <w:caps/>
    </w:rPr>
  </w:style>
  <w:style w:type="paragraph" w:styleId="1291" w:customStyle="1">
    <w:name w:val="Стиль2"/>
    <w:basedOn w:val="1190"/>
    <w:uiPriority w:val="99"/>
    <w:pPr>
      <w:numPr>
        <w:ilvl w:val="1"/>
        <w:numId w:val="5"/>
      </w:numPr>
      <w:keepLines/>
      <w:keepNext/>
      <w:widowControl w:val="off"/>
      <w:tabs>
        <w:tab w:val="num" w:pos="1492" w:leader="none"/>
      </w:tabs>
      <w:suppressLineNumbers/>
    </w:pPr>
    <w:rPr>
      <w:b/>
      <w:bCs/>
    </w:rPr>
  </w:style>
  <w:style w:type="paragraph" w:styleId="1292" w:customStyle="1">
    <w:name w:val="Стиль3"/>
    <w:basedOn w:val="1214"/>
    <w:uiPriority w:val="99"/>
    <w:pPr>
      <w:numPr>
        <w:ilvl w:val="2"/>
        <w:numId w:val="5"/>
      </w:numPr>
      <w:spacing w:after="0" w:line="240" w:lineRule="auto"/>
      <w:widowControl w:val="off"/>
    </w:pPr>
  </w:style>
  <w:style w:type="paragraph" w:styleId="1293" w:customStyle="1">
    <w:name w:val="содержание2-11"/>
    <w:basedOn w:val="1012"/>
    <w:uiPriority w:val="99"/>
  </w:style>
  <w:style w:type="character" w:styleId="1294" w:customStyle="1">
    <w:name w:val="Знак Знак1"/>
    <w:uiPriority w:val="99"/>
    <w:rPr>
      <w:sz w:val="24"/>
      <w:szCs w:val="24"/>
      <w:lang w:val="ru-RU" w:eastAsia="ru-RU"/>
    </w:rPr>
  </w:style>
  <w:style w:type="character" w:styleId="1295" w:customStyle="1">
    <w:name w:val="Стиль3 Знак"/>
    <w:uiPriority w:val="99"/>
    <w:rPr>
      <w:sz w:val="24"/>
      <w:szCs w:val="24"/>
      <w:lang w:val="ru-RU" w:eastAsia="ru-RU"/>
    </w:rPr>
  </w:style>
  <w:style w:type="paragraph" w:styleId="1296" w:customStyle="1">
    <w:name w:val="Стиль4"/>
    <w:basedOn w:val="1014"/>
    <w:next w:val="1012"/>
    <w:uiPriority w:val="99"/>
    <w:pPr>
      <w:ind w:firstLine="567"/>
      <w:keepLines/>
      <w:widowControl w:val="off"/>
      <w:suppressLineNumbers/>
    </w:pPr>
  </w:style>
  <w:style w:type="paragraph" w:styleId="1297" w:customStyle="1">
    <w:name w:val="Таблица заголовок"/>
    <w:basedOn w:val="1012"/>
    <w:uiPriority w:val="99"/>
    <w:pPr>
      <w:jc w:val="right"/>
      <w:spacing w:before="120" w:after="120" w:line="360" w:lineRule="auto"/>
    </w:pPr>
    <w:rPr>
      <w:b/>
      <w:bCs/>
      <w:sz w:val="28"/>
      <w:szCs w:val="28"/>
    </w:rPr>
  </w:style>
  <w:style w:type="paragraph" w:styleId="1298" w:customStyle="1">
    <w:name w:val="текст таблицы"/>
    <w:basedOn w:val="1012"/>
    <w:uiPriority w:val="99"/>
    <w:pPr>
      <w:ind w:right="-102"/>
      <w:jc w:val="left"/>
      <w:spacing w:before="120" w:after="0"/>
    </w:pPr>
  </w:style>
  <w:style w:type="paragraph" w:styleId="1299" w:customStyle="1">
    <w:name w:val="Пункт Знак"/>
    <w:basedOn w:val="1012"/>
    <w:uiPriority w:val="99"/>
    <w:pPr>
      <w:ind w:left="1134" w:hanging="567"/>
      <w:spacing w:after="0" w:line="360" w:lineRule="auto"/>
      <w:tabs>
        <w:tab w:val="num" w:pos="1134" w:leader="none"/>
        <w:tab w:val="left" w:pos="1701" w:leader="none"/>
      </w:tabs>
    </w:pPr>
    <w:rPr>
      <w:sz w:val="28"/>
      <w:szCs w:val="28"/>
    </w:rPr>
  </w:style>
  <w:style w:type="paragraph" w:styleId="1300" w:customStyle="1">
    <w:name w:val="a"/>
    <w:basedOn w:val="1012"/>
    <w:uiPriority w:val="99"/>
    <w:pPr>
      <w:ind w:left="1134" w:hanging="567"/>
      <w:spacing w:after="0" w:line="360" w:lineRule="auto"/>
    </w:pPr>
    <w:rPr>
      <w:sz w:val="28"/>
      <w:szCs w:val="28"/>
    </w:rPr>
  </w:style>
  <w:style w:type="paragraph" w:styleId="1301" w:customStyle="1">
    <w:name w:val="Словарная статья"/>
    <w:basedOn w:val="1012"/>
    <w:next w:val="1012"/>
    <w:uiPriority w:val="99"/>
    <w:pPr>
      <w:ind w:right="118"/>
      <w:spacing w:after="0"/>
    </w:pPr>
    <w:rPr>
      <w:rFonts w:ascii="Arial" w:hAnsi="Arial" w:cs="Arial"/>
      <w:sz w:val="20"/>
      <w:szCs w:val="20"/>
    </w:rPr>
  </w:style>
  <w:style w:type="paragraph" w:styleId="1302" w:customStyle="1">
    <w:name w:val="Комментарий пользователя"/>
    <w:basedOn w:val="1012"/>
    <w:next w:val="1012"/>
    <w:uiPriority w:val="99"/>
    <w:pPr>
      <w:ind w:left="170"/>
      <w:jc w:val="left"/>
      <w:spacing w:after="0"/>
    </w:pPr>
    <w:rPr>
      <w:rFonts w:ascii="Arial" w:hAnsi="Arial" w:cs="Arial"/>
      <w:i/>
      <w:iCs/>
      <w:color w:val="000080"/>
      <w:sz w:val="20"/>
      <w:szCs w:val="20"/>
    </w:rPr>
  </w:style>
  <w:style w:type="character" w:styleId="1303" w:customStyle="1">
    <w:name w:val="Стиль3 Знак Знак"/>
    <w:uiPriority w:val="99"/>
    <w:rPr>
      <w:sz w:val="24"/>
      <w:szCs w:val="24"/>
      <w:lang w:val="ru-RU" w:eastAsia="ru-RU"/>
    </w:rPr>
  </w:style>
  <w:style w:type="paragraph" w:styleId="1304">
    <w:name w:val="Balloon Text"/>
    <w:basedOn w:val="1012"/>
    <w:link w:val="1305"/>
    <w:uiPriority w:val="99"/>
    <w:semiHidden/>
    <w:rPr>
      <w:sz w:val="20"/>
      <w:szCs w:val="2"/>
    </w:rPr>
  </w:style>
  <w:style w:type="character" w:styleId="1305" w:customStyle="1">
    <w:name w:val="Текст выноски Знак"/>
    <w:link w:val="1304"/>
    <w:uiPriority w:val="99"/>
    <w:semiHidden/>
    <w:rPr>
      <w:szCs w:val="2"/>
    </w:rPr>
  </w:style>
  <w:style w:type="character" w:styleId="1306" w:customStyle="1">
    <w:name w:val="label_body_text_1"/>
    <w:uiPriority w:val="99"/>
  </w:style>
  <w:style w:type="paragraph" w:styleId="1307" w:customStyle="1">
    <w:name w:val="Заголовок 1.Document Header1"/>
    <w:basedOn w:val="1012"/>
    <w:next w:val="1012"/>
    <w:uiPriority w:val="99"/>
    <w:pPr>
      <w:jc w:val="center"/>
      <w:keepNext/>
      <w:spacing w:before="240"/>
      <w:outlineLvl w:val="0"/>
    </w:pPr>
    <w:rPr>
      <w:sz w:val="36"/>
      <w:szCs w:val="36"/>
    </w:rPr>
  </w:style>
  <w:style w:type="paragraph" w:styleId="1308" w:customStyle="1">
    <w:name w:val="ConsPlusNormal"/>
    <w:pPr>
      <w:ind w:firstLine="720"/>
      <w:widowControl w:val="off"/>
    </w:pPr>
    <w:rPr>
      <w:rFonts w:ascii="Arial" w:hAnsi="Arial" w:cs="Arial"/>
    </w:rPr>
  </w:style>
  <w:style w:type="character" w:styleId="1309" w:customStyle="1">
    <w:name w:val="Знак Знак11"/>
    <w:uiPriority w:val="99"/>
    <w:rPr>
      <w:sz w:val="24"/>
      <w:szCs w:val="24"/>
      <w:lang w:val="ru-RU" w:eastAsia="ru-RU"/>
    </w:rPr>
  </w:style>
  <w:style w:type="character" w:styleId="1310">
    <w:name w:val="annotation reference"/>
    <w:uiPriority w:val="99"/>
    <w:semiHidden/>
    <w:rPr>
      <w:sz w:val="16"/>
      <w:szCs w:val="16"/>
    </w:rPr>
  </w:style>
  <w:style w:type="paragraph" w:styleId="1311">
    <w:name w:val="annotation text"/>
    <w:basedOn w:val="1012"/>
    <w:link w:val="1312"/>
    <w:uiPriority w:val="99"/>
    <w:semiHidden/>
    <w:rPr>
      <w:sz w:val="20"/>
      <w:szCs w:val="20"/>
    </w:rPr>
  </w:style>
  <w:style w:type="character" w:styleId="1312" w:customStyle="1">
    <w:name w:val="Текст примечания Знак"/>
    <w:link w:val="1311"/>
    <w:uiPriority w:val="99"/>
    <w:semiHidden/>
  </w:style>
  <w:style w:type="paragraph" w:styleId="1313">
    <w:name w:val="annotation subject"/>
    <w:basedOn w:val="1311"/>
    <w:next w:val="1311"/>
    <w:link w:val="1314"/>
    <w:uiPriority w:val="99"/>
    <w:semiHidden/>
    <w:rPr>
      <w:b/>
      <w:bCs/>
    </w:rPr>
  </w:style>
  <w:style w:type="character" w:styleId="1314" w:customStyle="1">
    <w:name w:val="Тема примечания Знак"/>
    <w:link w:val="1313"/>
    <w:uiPriority w:val="99"/>
    <w:semiHidden/>
    <w:rPr>
      <w:b/>
      <w:bCs/>
      <w:sz w:val="20"/>
      <w:szCs w:val="20"/>
    </w:rPr>
  </w:style>
  <w:style w:type="paragraph" w:styleId="1315" w:customStyle="1">
    <w:name w:val="20"/>
    <w:basedOn w:val="1012"/>
    <w:uiPriority w:val="99"/>
    <w:pPr>
      <w:ind w:left="104" w:right="104"/>
      <w:jc w:val="left"/>
      <w:spacing w:before="104" w:after="104"/>
    </w:pPr>
  </w:style>
  <w:style w:type="character" w:styleId="1316" w:customStyle="1">
    <w:name w:val="Заголовок 1 Знак"/>
    <w:rPr>
      <w:b/>
      <w:bCs/>
      <w:sz w:val="36"/>
      <w:szCs w:val="36"/>
      <w:lang w:val="ru-RU" w:eastAsia="ru-RU"/>
    </w:rPr>
  </w:style>
  <w:style w:type="paragraph" w:styleId="1317" w:customStyle="1">
    <w:name w:val="Пункт"/>
    <w:basedOn w:val="1012"/>
    <w:link w:val="1344"/>
    <w:pPr>
      <w:ind w:left="1404" w:hanging="504"/>
      <w:spacing w:after="0"/>
      <w:tabs>
        <w:tab w:val="num" w:pos="1980" w:leader="none"/>
      </w:tabs>
    </w:pPr>
  </w:style>
  <w:style w:type="paragraph" w:styleId="1318" w:customStyle="1">
    <w:name w:val="Подпункт"/>
    <w:basedOn w:val="1317"/>
    <w:link w:val="1369"/>
    <w:pPr>
      <w:ind w:left="1728" w:hanging="648"/>
      <w:tabs>
        <w:tab w:val="clear" w:pos="1980" w:leader="none"/>
        <w:tab w:val="num" w:pos="2520" w:leader="none"/>
      </w:tabs>
    </w:pPr>
  </w:style>
  <w:style w:type="paragraph" w:styleId="1319">
    <w:name w:val="Document Map"/>
    <w:basedOn w:val="1012"/>
    <w:link w:val="1320"/>
    <w:uiPriority w:val="99"/>
    <w:semiHidden/>
    <w:pPr>
      <w:shd w:val="clear" w:color="auto" w:fill="000080"/>
    </w:pPr>
    <w:rPr>
      <w:sz w:val="2"/>
      <w:szCs w:val="2"/>
    </w:rPr>
  </w:style>
  <w:style w:type="character" w:styleId="1320" w:customStyle="1">
    <w:name w:val="Схема документа Знак"/>
    <w:link w:val="1319"/>
    <w:uiPriority w:val="99"/>
    <w:semiHidden/>
    <w:rPr>
      <w:sz w:val="2"/>
      <w:szCs w:val="2"/>
    </w:rPr>
  </w:style>
  <w:style w:type="paragraph" w:styleId="1321" w:customStyle="1">
    <w:name w:val="Таблица шапка"/>
    <w:basedOn w:val="1012"/>
    <w:pPr>
      <w:ind w:left="57" w:right="57"/>
      <w:jc w:val="left"/>
      <w:keepNext/>
      <w:spacing w:before="40" w:after="40"/>
    </w:pPr>
    <w:rPr>
      <w:sz w:val="18"/>
      <w:szCs w:val="18"/>
    </w:rPr>
  </w:style>
  <w:style w:type="paragraph" w:styleId="1322" w:customStyle="1">
    <w:name w:val="Таблица текст"/>
    <w:basedOn w:val="1012"/>
    <w:pPr>
      <w:ind w:left="57" w:right="57"/>
      <w:jc w:val="left"/>
      <w:spacing w:before="40" w:after="40"/>
    </w:pPr>
    <w:rPr>
      <w:sz w:val="22"/>
      <w:szCs w:val="22"/>
    </w:rPr>
  </w:style>
  <w:style w:type="paragraph" w:styleId="1323" w:customStyle="1">
    <w:name w:val="пункт"/>
    <w:basedOn w:val="1012"/>
    <w:uiPriority w:val="99"/>
    <w:pPr>
      <w:numPr>
        <w:ilvl w:val="2"/>
        <w:numId w:val="8"/>
      </w:numPr>
      <w:jc w:val="left"/>
      <w:spacing w:before="60"/>
    </w:pPr>
  </w:style>
  <w:style w:type="character" w:styleId="1324" w:customStyle="1">
    <w:name w:val="Гипертекстовая ссылка"/>
    <w:uiPriority w:val="99"/>
    <w:rPr>
      <w:b/>
      <w:bCs/>
      <w:color w:val="008000"/>
      <w:sz w:val="20"/>
      <w:szCs w:val="20"/>
      <w:u w:val="single"/>
    </w:rPr>
  </w:style>
  <w:style w:type="paragraph" w:styleId="1325">
    <w:name w:val="index 1"/>
    <w:basedOn w:val="1012"/>
    <w:next w:val="1012"/>
    <w:uiPriority w:val="99"/>
    <w:semiHidden/>
    <w:pPr>
      <w:ind w:left="240" w:hanging="240"/>
    </w:pPr>
  </w:style>
  <w:style w:type="paragraph" w:styleId="1326" w:customStyle="1">
    <w:name w:val="Обычный1"/>
    <w:uiPriority w:val="99"/>
    <w:rPr>
      <w:sz w:val="24"/>
      <w:szCs w:val="24"/>
    </w:rPr>
  </w:style>
  <w:style w:type="paragraph" w:styleId="1327" w:customStyle="1">
    <w:name w:val="ConsPlusNonformat"/>
    <w:uiPriority w:val="99"/>
    <w:pPr>
      <w:widowControl w:val="off"/>
    </w:pPr>
    <w:rPr>
      <w:rFonts w:ascii="Courier New" w:hAnsi="Courier New" w:cs="Courier New"/>
    </w:rPr>
  </w:style>
  <w:style w:type="paragraph" w:styleId="1328">
    <w:name w:val="No Spacing"/>
    <w:uiPriority w:val="1"/>
    <w:qFormat/>
    <w:rPr>
      <w:sz w:val="24"/>
      <w:szCs w:val="24"/>
    </w:rPr>
  </w:style>
  <w:style w:type="paragraph" w:styleId="1329">
    <w:name w:val="endnote text"/>
    <w:basedOn w:val="1012"/>
    <w:link w:val="1330"/>
    <w:uiPriority w:val="99"/>
    <w:semiHidden/>
    <w:rPr>
      <w:sz w:val="20"/>
      <w:szCs w:val="20"/>
    </w:rPr>
  </w:style>
  <w:style w:type="character" w:styleId="1330" w:customStyle="1">
    <w:name w:val="Текст концевой сноски Знак"/>
    <w:basedOn w:val="1022"/>
    <w:link w:val="1329"/>
    <w:uiPriority w:val="99"/>
  </w:style>
  <w:style w:type="character" w:styleId="1331">
    <w:name w:val="endnote reference"/>
    <w:uiPriority w:val="99"/>
    <w:semiHidden/>
    <w:rPr>
      <w:vertAlign w:val="superscript"/>
    </w:rPr>
  </w:style>
  <w:style w:type="paragraph" w:styleId="1332" w:customStyle="1">
    <w:name w:val="Основной текст с отступом11"/>
    <w:basedOn w:val="1012"/>
    <w:uiPriority w:val="99"/>
    <w:pPr>
      <w:ind w:firstLine="851"/>
      <w:spacing w:before="60" w:after="0"/>
    </w:pPr>
  </w:style>
  <w:style w:type="character" w:styleId="1333" w:customStyle="1">
    <w:name w:val="Font Style30"/>
    <w:uiPriority w:val="99"/>
    <w:rPr>
      <w:rFonts w:ascii="Times New Roman" w:hAnsi="Times New Roman" w:cs="Times New Roman"/>
      <w:sz w:val="18"/>
      <w:szCs w:val="18"/>
    </w:rPr>
  </w:style>
  <w:style w:type="paragraph" w:styleId="1334">
    <w:name w:val="List Paragraph"/>
    <w:basedOn w:val="1012"/>
    <w:link w:val="1351"/>
    <w:uiPriority w:val="34"/>
    <w:qFormat/>
    <w:pPr>
      <w:ind w:left="720"/>
      <w:jc w:val="left"/>
      <w:spacing w:after="0"/>
    </w:pPr>
  </w:style>
  <w:style w:type="character" w:styleId="1335">
    <w:name w:val="Placeholder Text"/>
    <w:basedOn w:val="1022"/>
    <w:uiPriority w:val="99"/>
    <w:semiHidden/>
    <w:rPr>
      <w:color w:val="808080"/>
    </w:rPr>
  </w:style>
  <w:style w:type="character" w:styleId="1336" w:customStyle="1">
    <w:name w:val="f"/>
    <w:basedOn w:val="1022"/>
  </w:style>
  <w:style w:type="character" w:styleId="1337" w:customStyle="1">
    <w:name w:val="r"/>
    <w:basedOn w:val="1022"/>
  </w:style>
  <w:style w:type="paragraph" w:styleId="1338">
    <w:name w:val="Body Text 2"/>
    <w:basedOn w:val="1012"/>
    <w:link w:val="1339"/>
    <w:pPr>
      <w:spacing w:after="120" w:line="480" w:lineRule="auto"/>
    </w:pPr>
  </w:style>
  <w:style w:type="character" w:styleId="1339" w:customStyle="1">
    <w:name w:val="Основной текст 2 Знак"/>
    <w:basedOn w:val="1022"/>
    <w:link w:val="1338"/>
    <w:rPr>
      <w:sz w:val="24"/>
      <w:szCs w:val="24"/>
    </w:rPr>
  </w:style>
  <w:style w:type="table" w:styleId="1340">
    <w:name w:val="Table Grid"/>
    <w:basedOn w:val="1023"/>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341" w:customStyle="1">
    <w:name w:val="Iniiaiie oaeno"/>
    <w:basedOn w:val="1012"/>
    <w:uiPriority w:val="99"/>
    <w:pPr>
      <w:jc w:val="center"/>
      <w:spacing w:after="0"/>
    </w:pPr>
    <w:rPr>
      <w:rFonts w:ascii="Arial" w:hAnsi="Arial" w:cs="Arial"/>
    </w:rPr>
  </w:style>
  <w:style w:type="paragraph" w:styleId="1342" w:customStyle="1">
    <w:name w:val="Абзац списка1"/>
    <w:basedOn w:val="1012"/>
    <w:pPr>
      <w:contextualSpacing/>
      <w:ind w:left="720"/>
      <w:jc w:val="left"/>
      <w:spacing w:after="0"/>
    </w:pPr>
    <w:rPr>
      <w:rFonts w:ascii="Cambria" w:hAnsi="Cambria" w:eastAsia="MS Mincho"/>
    </w:rPr>
  </w:style>
  <w:style w:type="paragraph" w:styleId="1343" w:customStyle="1">
    <w:name w:val="Таблицы (моноширинный)"/>
    <w:basedOn w:val="1012"/>
    <w:next w:val="1012"/>
    <w:uiPriority w:val="99"/>
    <w:pPr>
      <w:jc w:val="left"/>
      <w:spacing w:after="0"/>
    </w:pPr>
    <w:rPr>
      <w:rFonts w:ascii="Courier New" w:hAnsi="Courier New" w:cs="Courier New" w:eastAsiaTheme="minorHAnsi"/>
      <w:lang w:eastAsia="en-US"/>
    </w:rPr>
  </w:style>
  <w:style w:type="character" w:styleId="1344" w:customStyle="1">
    <w:name w:val="Пункт Знак1"/>
    <w:link w:val="1317"/>
    <w:rPr>
      <w:sz w:val="24"/>
      <w:szCs w:val="24"/>
    </w:rPr>
  </w:style>
  <w:style w:type="paragraph" w:styleId="1345" w:customStyle="1">
    <w:name w:val="Подподпункт"/>
    <w:basedOn w:val="1318"/>
    <w:pPr>
      <w:ind w:left="567" w:hanging="567"/>
      <w:spacing w:line="360" w:lineRule="auto"/>
      <w:tabs>
        <w:tab w:val="num" w:pos="360" w:leader="none"/>
        <w:tab w:val="clear" w:pos="2520" w:leader="none"/>
      </w:tabs>
    </w:pPr>
    <w:rPr>
      <w:sz w:val="28"/>
      <w:szCs w:val="20"/>
    </w:rPr>
  </w:style>
  <w:style w:type="paragraph" w:styleId="1346" w:customStyle="1">
    <w:name w:val="Пункт-3"/>
    <w:basedOn w:val="1012"/>
    <w:link w:val="1347"/>
    <w:pPr>
      <w:spacing w:after="0"/>
      <w:tabs>
        <w:tab w:val="num" w:pos="1418" w:leader="none"/>
      </w:tabs>
    </w:pPr>
    <w:rPr>
      <w:sz w:val="28"/>
      <w:szCs w:val="20"/>
    </w:rPr>
  </w:style>
  <w:style w:type="character" w:styleId="1347" w:customStyle="1">
    <w:name w:val="Пункт-3 Знак"/>
    <w:link w:val="1346"/>
    <w:rPr>
      <w:sz w:val="28"/>
    </w:rPr>
  </w:style>
  <w:style w:type="character" w:styleId="1348" w:customStyle="1">
    <w:name w:val="Основной текст (3)_"/>
    <w:basedOn w:val="1022"/>
    <w:link w:val="1349"/>
    <w:rPr>
      <w:b/>
      <w:bCs/>
      <w:shd w:val="clear" w:color="auto" w:fill="ffffff"/>
    </w:rPr>
  </w:style>
  <w:style w:type="paragraph" w:styleId="1349" w:customStyle="1">
    <w:name w:val="Основной текст (3)"/>
    <w:basedOn w:val="1012"/>
    <w:link w:val="1348"/>
    <w:pPr>
      <w:ind w:firstLine="709"/>
      <w:jc w:val="center"/>
      <w:spacing w:after="0" w:line="274" w:lineRule="exact"/>
      <w:shd w:val="clear" w:color="auto" w:fill="ffffff"/>
      <w:widowControl w:val="off"/>
    </w:pPr>
    <w:rPr>
      <w:b/>
      <w:bCs/>
      <w:sz w:val="20"/>
      <w:szCs w:val="20"/>
    </w:rPr>
  </w:style>
  <w:style w:type="paragraph" w:styleId="1350" w:customStyle="1">
    <w:name w:val="Default"/>
    <w:rPr>
      <w:color w:val="000000"/>
      <w:sz w:val="24"/>
      <w:szCs w:val="24"/>
      <w:lang w:eastAsia="en-US"/>
    </w:rPr>
  </w:style>
  <w:style w:type="character" w:styleId="1351" w:customStyle="1">
    <w:name w:val="Абзац списка Знак"/>
    <w:basedOn w:val="1022"/>
    <w:link w:val="1334"/>
    <w:uiPriority w:val="34"/>
    <w:qFormat/>
    <w:rPr>
      <w:sz w:val="24"/>
      <w:szCs w:val="24"/>
    </w:rPr>
  </w:style>
  <w:style w:type="paragraph" w:styleId="1352" w:customStyle="1">
    <w:name w:val="Пункт-4"/>
    <w:basedOn w:val="1012"/>
    <w:pPr>
      <w:ind w:left="643" w:hanging="360"/>
      <w:spacing w:after="0"/>
      <w:tabs>
        <w:tab w:val="num" w:pos="643" w:leader="none"/>
      </w:tabs>
    </w:pPr>
    <w:rPr>
      <w:sz w:val="28"/>
      <w:szCs w:val="20"/>
    </w:rPr>
  </w:style>
  <w:style w:type="character" w:styleId="1353" w:customStyle="1">
    <w:name w:val="комментарий"/>
    <w:uiPriority w:val="99"/>
    <w:rPr>
      <w:i/>
      <w:u w:val="none"/>
      <w:shd w:val="clear" w:color="auto" w:fill="ffff99"/>
    </w:rPr>
  </w:style>
  <w:style w:type="paragraph" w:styleId="1354">
    <w:name w:val="Revision"/>
    <w:hidden/>
    <w:uiPriority w:val="99"/>
    <w:semiHidden/>
    <w:rPr>
      <w:sz w:val="24"/>
      <w:szCs w:val="24"/>
    </w:rPr>
  </w:style>
  <w:style w:type="paragraph" w:styleId="1355" w:customStyle="1">
    <w:name w:val="Ариал"/>
    <w:basedOn w:val="1012"/>
    <w:link w:val="1356"/>
    <w:pPr>
      <w:ind w:firstLine="851"/>
      <w:spacing w:before="120" w:after="120" w:line="360" w:lineRule="auto"/>
    </w:pPr>
    <w:rPr>
      <w:rFonts w:ascii="Arial" w:hAnsi="Arial"/>
      <w:szCs w:val="20"/>
    </w:rPr>
  </w:style>
  <w:style w:type="character" w:styleId="1356" w:customStyle="1">
    <w:name w:val="Ариал Знак1"/>
    <w:link w:val="1355"/>
    <w:rPr>
      <w:rFonts w:ascii="Arial" w:hAnsi="Arial"/>
      <w:sz w:val="24"/>
    </w:rPr>
  </w:style>
  <w:style w:type="paragraph" w:styleId="1357" w:customStyle="1">
    <w:name w:val="Цитата1"/>
    <w:basedOn w:val="1012"/>
    <w:uiPriority w:val="99"/>
    <w:pPr>
      <w:ind w:left="34" w:right="32" w:firstLine="595"/>
      <w:spacing w:after="0" w:line="360" w:lineRule="auto"/>
      <w:shd w:val="clear" w:color="auto" w:fill="ffffff"/>
    </w:pPr>
    <w:rPr>
      <w:rFonts w:ascii="Arial" w:hAnsi="Arial"/>
      <w:color w:val="000000"/>
      <w:sz w:val="22"/>
      <w:szCs w:val="20"/>
    </w:rPr>
  </w:style>
  <w:style w:type="paragraph" w:styleId="1358" w:customStyle="1">
    <w:name w:val="Заголовок_1"/>
    <w:basedOn w:val="1012"/>
    <w:uiPriority w:val="99"/>
    <w:pPr>
      <w:numPr>
        <w:ilvl w:val="0"/>
        <w:numId w:val="12"/>
      </w:numPr>
      <w:jc w:val="center"/>
      <w:keepLines/>
      <w:keepNext/>
      <w:spacing w:before="360" w:after="120"/>
      <w:outlineLvl w:val="0"/>
    </w:pPr>
    <w:rPr>
      <w:rFonts w:ascii="Arial" w:hAnsi="Arial" w:cs="Arial"/>
      <w:b/>
      <w:bCs/>
      <w:caps/>
      <w:sz w:val="36"/>
      <w:szCs w:val="28"/>
    </w:rPr>
  </w:style>
  <w:style w:type="paragraph" w:styleId="1359" w:customStyle="1">
    <w:name w:val="Пункт_3"/>
    <w:basedOn w:val="1012"/>
    <w:uiPriority w:val="99"/>
    <w:pPr>
      <w:numPr>
        <w:ilvl w:val="2"/>
        <w:numId w:val="12"/>
      </w:numPr>
      <w:spacing w:after="0"/>
    </w:pPr>
    <w:rPr>
      <w:sz w:val="28"/>
      <w:szCs w:val="28"/>
    </w:rPr>
  </w:style>
  <w:style w:type="paragraph" w:styleId="1360" w:customStyle="1">
    <w:name w:val="Пункт_2"/>
    <w:basedOn w:val="1012"/>
    <w:uiPriority w:val="99"/>
    <w:pPr>
      <w:numPr>
        <w:ilvl w:val="1"/>
        <w:numId w:val="12"/>
      </w:numPr>
      <w:spacing w:after="0"/>
    </w:pPr>
    <w:rPr>
      <w:sz w:val="28"/>
      <w:szCs w:val="20"/>
    </w:rPr>
  </w:style>
  <w:style w:type="paragraph" w:styleId="1361" w:customStyle="1">
    <w:name w:val="Пункт_5"/>
    <w:basedOn w:val="1359"/>
    <w:uiPriority w:val="99"/>
    <w:pPr>
      <w:numPr>
        <w:ilvl w:val="4"/>
      </w:numPr>
    </w:pPr>
  </w:style>
  <w:style w:type="paragraph" w:styleId="1362">
    <w:name w:val="Caption"/>
    <w:basedOn w:val="1012"/>
    <w:next w:val="1012"/>
    <w:link w:val="1042"/>
    <w:uiPriority w:val="35"/>
    <w:unhideWhenUsed/>
    <w:qFormat/>
    <w:pPr>
      <w:jc w:val="left"/>
      <w:spacing w:after="200"/>
    </w:pPr>
    <w:rPr>
      <w:rFonts w:asciiTheme="minorHAnsi" w:hAnsiTheme="minorHAnsi" w:eastAsiaTheme="minorHAnsi" w:cstheme="minorBidi"/>
      <w:b/>
      <w:bCs/>
      <w:color w:val="4f81bd" w:themeColor="accent1"/>
      <w:sz w:val="18"/>
      <w:szCs w:val="18"/>
      <w:lang w:eastAsia="en-US"/>
    </w:rPr>
  </w:style>
  <w:style w:type="paragraph" w:styleId="1363" w:customStyle="1">
    <w:name w:val="Times 12"/>
    <w:basedOn w:val="1012"/>
    <w:pPr>
      <w:ind w:firstLine="567"/>
      <w:spacing w:after="0"/>
    </w:pPr>
    <w:rPr>
      <w:bCs/>
      <w:szCs w:val="22"/>
    </w:rPr>
  </w:style>
  <w:style w:type="paragraph" w:styleId="1364" w:customStyle="1">
    <w:name w:val="FTN_txt"/>
    <w:basedOn w:val="1012"/>
    <w:pPr>
      <w:numPr>
        <w:ilvl w:val="1"/>
        <w:numId w:val="16"/>
      </w:numPr>
      <w:spacing w:after="0" w:line="288" w:lineRule="auto"/>
      <w:widowControl w:val="off"/>
      <w:tabs>
        <w:tab w:val="left" w:pos="1080" w:leader="none"/>
      </w:tabs>
    </w:pPr>
    <w:rPr>
      <w:rFonts w:eastAsia="Arial Unicode MS"/>
    </w:rPr>
  </w:style>
  <w:style w:type="paragraph" w:styleId="1365" w:customStyle="1">
    <w:name w:val="FTN_таб"/>
    <w:basedOn w:val="1012"/>
    <w:pPr>
      <w:spacing w:after="0"/>
      <w:widowControl w:val="off"/>
      <w:tabs>
        <w:tab w:val="left" w:pos="709" w:leader="none"/>
      </w:tabs>
    </w:pPr>
    <w:rPr>
      <w:rFonts w:eastAsia="Arial Unicode MS"/>
      <w:sz w:val="22"/>
    </w:rPr>
  </w:style>
  <w:style w:type="paragraph" w:styleId="1366" w:customStyle="1">
    <w:name w:val="заголовок 11"/>
    <w:basedOn w:val="1012"/>
    <w:next w:val="1012"/>
    <w:pPr>
      <w:jc w:val="center"/>
      <w:keepNext/>
      <w:spacing w:after="0"/>
    </w:pPr>
    <w:rPr>
      <w:sz w:val="20"/>
      <w:lang w:eastAsia="ar-SA"/>
    </w:rPr>
  </w:style>
  <w:style w:type="character" w:styleId="1367" w:customStyle="1">
    <w:name w:val="FTN _коммСтиль полужирный курсив Узор: Нет (Светло-желтый)"/>
    <w:rPr>
      <w:rFonts w:ascii="Times New Roman" w:hAnsi="Times New Roman"/>
      <w:b/>
      <w:bCs/>
      <w:i/>
      <w:iCs/>
      <w:sz w:val="22"/>
      <w:shd w:val="clear" w:color="auto" w:fill="ffff99"/>
    </w:rPr>
  </w:style>
  <w:style w:type="character" w:styleId="1368" w:customStyle="1">
    <w:name w:val="Font Style17"/>
    <w:uiPriority w:val="99"/>
    <w:rPr>
      <w:rFonts w:ascii="Times New Roman" w:hAnsi="Times New Roman" w:cs="Times New Roman"/>
      <w:sz w:val="24"/>
      <w:szCs w:val="24"/>
    </w:rPr>
  </w:style>
  <w:style w:type="character" w:styleId="1369" w:customStyle="1">
    <w:name w:val="Подпункт Знак1"/>
    <w:link w:val="1318"/>
    <w:rPr>
      <w:sz w:val="24"/>
      <w:szCs w:val="24"/>
    </w:rPr>
  </w:style>
  <w:style w:type="paragraph" w:styleId="1370" w:customStyle="1">
    <w:name w:val="_Маркер (номер) - с заголовком"/>
    <w:basedOn w:val="1012"/>
    <w:pPr>
      <w:jc w:val="left"/>
      <w:spacing w:before="240" w:line="360" w:lineRule="auto"/>
    </w:pPr>
    <w:rPr>
      <w:b/>
      <w:bCs/>
      <w:szCs w:val="20"/>
    </w:rPr>
  </w:style>
  <w:style w:type="character" w:styleId="1371" w:customStyle="1">
    <w:name w:val="Нет"/>
  </w:style>
  <w:style w:type="character" w:styleId="1372" w:customStyle="1">
    <w:name w:val="Hyperlink.0"/>
    <w:basedOn w:val="1371"/>
  </w:style>
  <w:style w:type="numbering" w:styleId="1373" w:customStyle="1">
    <w:name w:val="Импортированный стиль 31"/>
    <w:pPr>
      <w:numPr>
        <w:ilvl w:val="0"/>
        <w:numId w:val="37"/>
      </w:numPr>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footer" Target="footer3.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customXml" Target="../customXml/item1.xml" /><Relationship Id="rId21" Type="http://schemas.openxmlformats.org/officeDocument/2006/relationships/hyperlink" Target="consultantplus://offline/ref=B7E04B8F5BC345C22463EADCAE81D93CF0C11310A0643D58FEE589F49Ff2C9L" TargetMode="External"/><Relationship Id="rId22" Type="http://schemas.openxmlformats.org/officeDocument/2006/relationships/hyperlink" Target="consultantplus://offline/ref=B7E04B8F5BC345C22463EADCAE81D93CF0C11310A0643D58FEE589F49Ff2C9L" TargetMode="External"/><Relationship Id="rId23" Type="http://schemas.openxmlformats.org/officeDocument/2006/relationships/hyperlink" Target="consultantplus://offline/ref=B7E04B8F5BC345C22463EADCAE81D93CF4CA1215A36F6052F6BC85F6f9C8L"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 Id="rId1" Type="http://schemas.openxmlformats.org/officeDocument/2006/relationships/hyperlink" Target="http://cbr.ru/banking_sector/credit/" TargetMode="External"/></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D5A93B-5484-4FA7-A8EC-AFE82ED91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Р7-Офис/2025.3.1.923</Application>
  <Company>Институт госзакупок РАГС</Company>
  <DocSecurity>0</DocSecurity>
  <HyperlinksChanged>false</HyperlinksChanged>
  <LinksUpToDate>false</LinksUpToDate>
  <Manager>Храмкин А.А.</Manager>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Институт госзакупок</dc:creator>
  <cp:lastModifiedBy>BarmikovaEV</cp:lastModifiedBy>
  <cp:revision>148</cp:revision>
  <dcterms:created xsi:type="dcterms:W3CDTF">2025-05-19T07:53:00Z</dcterms:created>
  <dcterms:modified xsi:type="dcterms:W3CDTF">2026-10-14T07:02:58Z</dcterms:modified>
</cp:coreProperties>
</file>