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spacing w:line="343" w:lineRule="atLeast"/>
        <w:shd w:val="clear" w:color="auto" w:fill="ffffff"/>
        <w:rPr>
          <w:rFonts w:eastAsia="Times New Roman" w:cs="Times New Roman"/>
          <w:szCs w:val="28"/>
          <w:lang w:eastAsia="ru-RU"/>
        </w:rPr>
        <w:pBdr>
          <w:bottom w:val="single" w:color="000000" w:sz="12" w:space="1"/>
        </w:pBdr>
        <w:outlineLvl w:val="1"/>
      </w:pPr>
      <w:r>
        <w:rPr>
          <w:rFonts w:eastAsia="Times New Roman" w:cs="Times New Roman"/>
          <w:szCs w:val="28"/>
          <w:lang w:eastAsia="ru-RU"/>
        </w:rPr>
        <w:t xml:space="preserve">Обоснование начальной (максимальной) цены договора  </w:t>
      </w:r>
      <w:r>
        <w:rPr>
          <w:rFonts w:eastAsia="Times New Roman" w:cs="Times New Roman"/>
          <w:szCs w:val="28"/>
          <w:lang w:eastAsia="ru-RU"/>
        </w:rPr>
      </w:r>
      <w:r>
        <w:rPr>
          <w:rFonts w:eastAsia="Times New Roman" w:cs="Times New Roman"/>
          <w:szCs w:val="28"/>
          <w:lang w:eastAsia="ru-RU"/>
        </w:rPr>
      </w:r>
    </w:p>
    <w:p>
      <w:pPr>
        <w:ind w:firstLine="0"/>
        <w:jc w:val="center"/>
        <w:spacing w:line="343" w:lineRule="atLeast"/>
        <w:shd w:val="clear" w:color="auto" w:fill="ffffff"/>
        <w:rPr>
          <w:sz w:val="28"/>
          <w:szCs w:val="28"/>
        </w:rPr>
        <w:pBdr>
          <w:bottom w:val="single" w:color="000000" w:sz="12" w:space="1"/>
        </w:pBdr>
        <w:outlineLvl w:val="1"/>
      </w:pPr>
      <w:r>
        <w:rPr>
          <w:rFonts w:eastAsia="Times New Roman" w:cs="Times New Roman"/>
          <w:szCs w:val="28"/>
          <w:lang w:eastAsia="ru-RU"/>
        </w:rPr>
      </w:r>
      <w:r>
        <w:rPr>
          <w:sz w:val="28"/>
          <w:szCs w:val="20"/>
        </w:rPr>
        <w:t xml:space="preserve">на выполнение работ по миграции АРМ пользователей и подключение к системе совместной работы пользователей с учетом импортозамещения офисного программного обеспечения</w:t>
      </w:r>
      <w:r>
        <w:rPr>
          <w:sz w:val="28"/>
          <w:szCs w:val="20"/>
        </w:rPr>
        <w:t xml:space="preserve"> в филиале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center"/>
        <w:spacing w:line="343" w:lineRule="atLeast"/>
        <w:shd w:val="clear" w:color="auto" w:fill="ffffff"/>
        <w:pBdr>
          <w:bottom w:val="single" w:color="000000" w:sz="12" w:space="0"/>
        </w:pBdr>
        <w:outlineLvl w:val="1"/>
      </w:pPr>
      <w:r>
        <w:rPr>
          <w:sz w:val="28"/>
          <w:szCs w:val="20"/>
        </w:rPr>
        <w:t xml:space="preserve">ПАО «Россети Юг» - «Кубаньэнерго»</w:t>
      </w:r>
      <w:r>
        <w:rPr>
          <w:szCs w:val="28"/>
        </w:rPr>
      </w:r>
      <w:r/>
    </w:p>
    <w:tbl>
      <w:tblPr>
        <w:tblW w:w="5000" w:type="pct"/>
        <w:jc w:val="center"/>
        <w:tblBorders>
          <w:top w:val="single" w:color="DADADA" w:sz="6" w:space="0"/>
          <w:left w:val="single" w:color="DADADA" w:sz="6" w:space="0"/>
          <w:bottom w:val="single" w:color="DADADA" w:sz="6" w:space="0"/>
          <w:right w:val="single" w:color="DADADA" w:sz="6" w:space="0"/>
        </w:tblBorders>
        <w:tblLook w:val="04A0" w:firstRow="1" w:lastRow="0" w:firstColumn="1" w:lastColumn="0" w:noHBand="0" w:noVBand="1"/>
      </w:tblPr>
      <w:tblGrid>
        <w:gridCol w:w="4528"/>
        <w:gridCol w:w="4811"/>
      </w:tblGrid>
      <w:tr>
        <w:tblPrEx/>
        <w:trPr>
          <w:jc w:val="center"/>
        </w:trPr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424" w:type="pct"/>
            <w:textDirection w:val="lrTb"/>
            <w:noWrap w:val="false"/>
          </w:tcPr>
          <w:p>
            <w:pPr>
              <w:ind w:firstLine="0"/>
              <w:jc w:val="left"/>
              <w:spacing w:after="300"/>
              <w:rPr>
                <w:rFonts w:eastAsia="Times New Roman" w:cs="Times New Roman"/>
                <w:szCs w:val="28"/>
                <w:lang w:eastAsia="ru-RU"/>
              </w:rPr>
            </w:pPr>
            <w:r/>
            <w:bookmarkStart w:id="0" w:name="l55"/>
            <w:r/>
            <w:bookmarkEnd w:id="0"/>
            <w:r>
              <w:rPr>
                <w:rFonts w:eastAsia="Times New Roman" w:cs="Times New Roman"/>
                <w:sz w:val="22"/>
                <w:lang w:eastAsia="ru-RU"/>
              </w:rPr>
              <w:t xml:space="preserve">Начальная (максимальная) цена договора</w:t>
            </w:r>
            <w:r>
              <w:rPr>
                <w:rFonts w:eastAsia="Times New Roman" w:cs="Times New Roman"/>
                <w:szCs w:val="28"/>
                <w:lang w:eastAsia="ru-RU"/>
              </w:rPr>
            </w:r>
            <w:r>
              <w:rPr>
                <w:rFonts w:eastAsia="Times New Roman" w:cs="Times New Roman"/>
                <w:szCs w:val="28"/>
                <w:lang w:eastAsia="ru-RU"/>
              </w:rPr>
            </w:r>
          </w:p>
        </w:tc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576" w:type="pct"/>
            <w:textDirection w:val="lrTb"/>
            <w:noWrap w:val="false"/>
          </w:tcPr>
          <w:p>
            <w:pPr>
              <w:ind w:firstLine="0"/>
              <w:jc w:val="left"/>
              <w:rPr>
                <w:rFonts w:eastAsia="Times New Roman" w:cs="Times New Roman"/>
                <w:b w:val="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10</w:t>
            </w: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 </w:t>
            </w: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500</w:t>
            </w: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 </w:t>
            </w: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000</w:t>
            </w: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,</w:t>
            </w: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00</w:t>
            </w: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руб. без учета НДС </w:t>
            </w:r>
            <w:r>
              <w:rPr>
                <w:rFonts w:eastAsia="Times New Roman" w:cs="Times New Roman"/>
                <w:b w:val="0"/>
                <w:lang w:eastAsia="ru-RU"/>
                <w14:ligatures w14:val="none"/>
              </w:rPr>
            </w:r>
            <w:r>
              <w:rPr>
                <w:rFonts w:eastAsia="Times New Roman" w:cs="Times New Roman"/>
                <w:b w:val="0"/>
                <w:lang w:eastAsia="ru-RU"/>
                <w14:ligatures w14:val="none"/>
              </w:rPr>
            </w:r>
          </w:p>
          <w:p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szCs w:val="26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(12 81</w:t>
            </w: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0 000,00</w:t>
            </w: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 руб. с учетом НДС 22%)</w:t>
            </w:r>
            <w:r>
              <w:rPr>
                <w:rFonts w:eastAsia="Times New Roman" w:cs="Times New Roman"/>
                <w:color w:val="000000" w:themeColor="text1"/>
                <w:szCs w:val="26"/>
                <w:lang w:eastAsia="ru-RU"/>
                <w14:ligatures w14:val="none"/>
              </w:rPr>
            </w:r>
            <w:r>
              <w:rPr>
                <w:rFonts w:eastAsia="Times New Roman" w:cs="Times New Roman"/>
                <w:color w:val="000000" w:themeColor="text1"/>
                <w:szCs w:val="26"/>
                <w:lang w:eastAsia="ru-RU"/>
                <w14:ligatures w14:val="none"/>
              </w:rPr>
            </w:r>
          </w:p>
          <w:p>
            <w:pPr>
              <w:ind w:firstLine="0"/>
              <w:jc w:val="left"/>
              <w:rPr>
                <w:rFonts w:eastAsia="Times New Roman" w:cs="Times New Roman"/>
                <w:i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sz w:val="22"/>
                <w:lang w:eastAsia="ru-RU"/>
              </w:rPr>
            </w:r>
            <w:r>
              <w:rPr>
                <w:rFonts w:eastAsia="Times New Roman" w:cs="Times New Roman"/>
                <w:i/>
                <w:sz w:val="22"/>
                <w:lang w:eastAsia="ru-RU"/>
              </w:rPr>
            </w:r>
            <w:r>
              <w:rPr>
                <w:rFonts w:eastAsia="Times New Roman" w:cs="Times New Roman"/>
                <w:i/>
                <w:sz w:val="22"/>
                <w:lang w:eastAsia="ru-RU"/>
              </w:rPr>
            </w:r>
          </w:p>
          <w:p>
            <w:pPr>
              <w:ind w:firstLine="0"/>
              <w:jc w:val="left"/>
              <w:rPr>
                <w:rFonts w:eastAsia="Times New Roman" w:cs="Times New Roman"/>
                <w:bCs/>
                <w:i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Cs/>
                <w:i/>
                <w:sz w:val="22"/>
                <w:szCs w:val="22"/>
                <w:lang w:eastAsia="ru-RU"/>
              </w:rPr>
            </w:r>
            <w:r>
              <w:rPr>
                <w:rFonts w:eastAsia="Times New Roman" w:cs="Times New Roman"/>
                <w:bCs/>
                <w:i/>
                <w:sz w:val="22"/>
                <w:szCs w:val="22"/>
                <w:lang w:eastAsia="ru-RU"/>
              </w:rPr>
            </w:r>
            <w:r>
              <w:rPr>
                <w:rFonts w:eastAsia="Times New Roman" w:cs="Times New Roman"/>
                <w:bCs/>
                <w:i/>
                <w:sz w:val="22"/>
                <w:szCs w:val="22"/>
                <w:lang w:eastAsia="ru-RU"/>
              </w:rPr>
            </w:r>
          </w:p>
          <w:p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szCs w:val="26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Стоимость выполнения работ по миграции одного АРМ является единичной расценкой и не должна превышать </w:t>
            </w: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9 500,00 </w:t>
            </w: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руб. без учета НДС </w:t>
            </w: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 (11 590,00</w:t>
            </w:r>
            <w:r>
              <w:rPr>
                <w:rFonts w:eastAsia="Times New Roman" w:cs="Times New Roman"/>
                <w:i/>
                <w:iCs/>
                <w:sz w:val="22"/>
                <w:szCs w:val="22"/>
                <w:lang w:eastAsia="ru-RU"/>
              </w:rPr>
              <w:t xml:space="preserve"> руб. с учетом НДС 22%)</w:t>
            </w:r>
            <w:r>
              <w:rPr>
                <w:rFonts w:eastAsia="Times New Roman" w:cs="Times New Roman"/>
                <w:color w:val="000000" w:themeColor="text1"/>
                <w:szCs w:val="26"/>
                <w:lang w:eastAsia="ru-RU"/>
                <w14:ligatures w14:val="none"/>
              </w:rPr>
            </w:r>
            <w:r>
              <w:rPr>
                <w:rFonts w:eastAsia="Times New Roman" w:cs="Times New Roman"/>
                <w:color w:val="000000" w:themeColor="text1"/>
                <w:szCs w:val="26"/>
                <w:lang w:eastAsia="ru-RU"/>
                <w14:ligatures w14:val="none"/>
              </w:rPr>
            </w:r>
          </w:p>
          <w:p>
            <w:pPr>
              <w:ind w:firstLine="0"/>
              <w:jc w:val="left"/>
              <w:rPr>
                <w:rFonts w:eastAsia="Times New Roman" w:cs="Times New Roman"/>
                <w:bCs/>
                <w:i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/>
                <w:sz w:val="22"/>
                <w:highlight w:val="none"/>
                <w:lang w:eastAsia="ru-RU"/>
              </w:rPr>
            </w:r>
            <w:r>
              <w:rPr>
                <w:rFonts w:eastAsia="Times New Roman" w:cs="Times New Roman"/>
                <w:bCs/>
                <w:i/>
                <w:sz w:val="22"/>
                <w:szCs w:val="22"/>
                <w:lang w:eastAsia="ru-RU"/>
              </w:rPr>
            </w:r>
            <w:r>
              <w:rPr>
                <w:rFonts w:eastAsia="Times New Roman" w:cs="Times New Roman"/>
                <w:bCs/>
                <w:i/>
                <w:sz w:val="22"/>
                <w:szCs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424" w:type="pct"/>
            <w:textDirection w:val="lrTb"/>
            <w:noWrap w:val="false"/>
          </w:tcPr>
          <w:p>
            <w:pPr>
              <w:ind w:firstLine="0"/>
              <w:jc w:val="left"/>
              <w:spacing w:after="30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Используемый метод определения начальной (максимальной) цены договора  с обоснованием</w:t>
            </w:r>
            <w:r>
              <w:rPr>
                <w:rFonts w:eastAsia="Times New Roman" w:cs="Times New Roman"/>
                <w:sz w:val="22"/>
                <w:lang w:eastAsia="ru-RU"/>
              </w:rPr>
            </w:r>
            <w:r>
              <w:rPr>
                <w:rFonts w:eastAsia="Times New Roman" w:cs="Times New Roman"/>
                <w:sz w:val="22"/>
                <w:lang w:eastAsia="ru-RU"/>
              </w:rPr>
            </w:r>
          </w:p>
        </w:tc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576" w:type="pct"/>
            <w:textDirection w:val="lrTb"/>
            <w:noWrap w:val="false"/>
          </w:tcPr>
          <w:p>
            <w:pPr>
              <w:ind w:firstLine="0"/>
              <w:jc w:val="left"/>
              <w:rPr>
                <w:rFonts w:eastAsia="Times New Roman" w:cs="Times New Roman"/>
                <w:i/>
                <w:lang w:eastAsia="ru-RU"/>
              </w:rPr>
            </w:pPr>
            <w:r>
              <w:rPr>
                <w:rFonts w:eastAsia="Times New Roman" w:cs="Times New Roman"/>
                <w:i/>
                <w:sz w:val="22"/>
                <w:lang w:eastAsia="ru-RU"/>
              </w:rPr>
              <w:t xml:space="preserve">       Расчет начальной (максимальной) суммы произведен метод сопоставимых рыночных цен (анализа рынка) на основании минимального ценового предложения зарегистрированных цен поставщиков услуг, полученного по итогам соответствующего запроса информации</w:t>
            </w:r>
            <w:r>
              <w:rPr>
                <w:rFonts w:eastAsia="Times New Roman" w:cs="Times New Roman"/>
                <w:i/>
                <w:lang w:eastAsia="ru-RU"/>
              </w:rPr>
            </w:r>
            <w:r>
              <w:rPr>
                <w:rFonts w:eastAsia="Times New Roman" w:cs="Times New Roman"/>
                <w:i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424" w:type="pct"/>
            <w:textDirection w:val="lrTb"/>
            <w:noWrap w:val="false"/>
          </w:tcPr>
          <w:p>
            <w:pPr>
              <w:ind w:firstLine="0"/>
              <w:jc w:val="left"/>
              <w:spacing w:after="30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Орга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низационно-распорядительный документ Заказчика, требования которого применялись при формировании начальной (максимальной) цены договора (при наличии)</w:t>
            </w:r>
            <w:r>
              <w:rPr>
                <w:rFonts w:eastAsia="Times New Roman" w:cs="Times New Roman"/>
                <w:sz w:val="22"/>
                <w:lang w:eastAsia="ru-RU"/>
              </w:rPr>
            </w:r>
            <w:r>
              <w:rPr>
                <w:rFonts w:eastAsia="Times New Roman" w:cs="Times New Roman"/>
                <w:sz w:val="22"/>
                <w:lang w:eastAsia="ru-RU"/>
              </w:rPr>
            </w:r>
          </w:p>
          <w:p>
            <w:pPr>
              <w:ind w:firstLine="0"/>
              <w:jc w:val="left"/>
              <w:spacing w:after="30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</w:r>
            <w:r>
              <w:rPr>
                <w:rFonts w:eastAsia="Times New Roman" w:cs="Times New Roman"/>
                <w:sz w:val="22"/>
                <w:lang w:eastAsia="ru-RU"/>
              </w:rPr>
            </w:r>
            <w:r>
              <w:rPr>
                <w:rFonts w:eastAsia="Times New Roman" w:cs="Times New Roman"/>
                <w:sz w:val="22"/>
                <w:lang w:eastAsia="ru-RU"/>
              </w:rPr>
            </w:r>
          </w:p>
        </w:tc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576" w:type="pct"/>
            <w:textDirection w:val="lrTb"/>
            <w:noWrap w:val="false"/>
          </w:tcPr>
          <w:p>
            <w:pPr>
              <w:ind w:firstLine="0"/>
              <w:jc w:val="left"/>
              <w:rPr>
                <w:rFonts w:eastAsia="Times New Roman" w:cs="Times New Roman"/>
                <w:i/>
                <w:iCs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sz w:val="22"/>
                <w:lang w:eastAsia="ru-RU"/>
              </w:rPr>
              <w:t xml:space="preserve">"Методика по определению и обоснованию цены единицы товара, работы, услуги, определению максимального зна</w:t>
            </w:r>
            <w:r>
              <w:rPr>
                <w:rFonts w:eastAsia="Times New Roman" w:cs="Times New Roman"/>
                <w:i/>
                <w:iCs/>
                <w:sz w:val="22"/>
                <w:lang w:eastAsia="ru-RU"/>
              </w:rPr>
              <w:t xml:space="preserve">чения цены договора при выборе поставщиков/ подрядчиков по закупочным процедурам в области информационных технологий ПАО «Россети Юг»" утвержденная Приказом от 04.03.2026г. №189.</w:t>
            </w:r>
            <w:r>
              <w:rPr>
                <w:rFonts w:eastAsia="Times New Roman" w:cs="Times New Roman"/>
                <w:i/>
                <w:iCs/>
                <w:sz w:val="22"/>
                <w:lang w:eastAsia="ru-RU"/>
              </w:rPr>
            </w:r>
            <w:r>
              <w:rPr>
                <w:rFonts w:eastAsia="Times New Roman" w:cs="Times New Roman"/>
                <w:i/>
                <w:iCs/>
                <w:sz w:val="22"/>
                <w:lang w:eastAsia="ru-RU"/>
              </w:rPr>
            </w:r>
          </w:p>
          <w:p>
            <w:pPr>
              <w:ind w:firstLine="0"/>
              <w:jc w:val="left"/>
              <w:rPr>
                <w:rFonts w:eastAsia="Times New Roman" w:cs="Times New Roman"/>
                <w:bCs/>
                <w:i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i/>
                <w:sz w:val="22"/>
                <w:lang w:eastAsia="ru-RU"/>
              </w:rPr>
            </w:r>
            <w:r>
              <w:rPr>
                <w:rFonts w:eastAsia="Times New Roman" w:cs="Times New Roman"/>
                <w:bCs/>
                <w:i/>
                <w:sz w:val="22"/>
                <w:lang w:eastAsia="ru-RU"/>
              </w:rPr>
            </w:r>
            <w:r>
              <w:rPr>
                <w:rFonts w:eastAsia="Times New Roman" w:cs="Times New Roman"/>
                <w:bCs/>
                <w:i/>
                <w:sz w:val="22"/>
                <w:lang w:eastAsia="ru-RU"/>
              </w:rPr>
            </w:r>
          </w:p>
          <w:p>
            <w:pPr>
              <w:ind w:firstLine="0"/>
              <w:jc w:val="left"/>
              <w:rPr>
                <w:rFonts w:eastAsia="Times New Roman" w:cs="Times New Roman"/>
                <w:bCs/>
                <w:i/>
                <w:sz w:val="22"/>
                <w:lang w:eastAsia="ru-RU"/>
              </w:rPr>
            </w:pPr>
            <w:r/>
            <w:hyperlink r:id="rId9" w:tooltip="https://rosseti-yug.ru/zakupki/dokumenty-reglamentiruyushchie-zakupochnuyu-deyatelnost/" w:history="1">
              <w:r>
                <w:rPr>
                  <w:rFonts w:eastAsia="Times New Roman" w:cs="Times New Roman"/>
                  <w:i/>
                  <w:iCs/>
                  <w:sz w:val="22"/>
                  <w:lang w:eastAsia="ru-RU"/>
                </w:rPr>
                <w:t xml:space="preserve">https://rosseti-yug.ru/zakupki/dokumenty-reglamentiruyushchie</w:t>
              </w:r>
              <w:r>
                <w:rPr>
                  <w:rFonts w:eastAsia="Times New Roman" w:cs="Times New Roman"/>
                  <w:i/>
                  <w:iCs/>
                  <w:sz w:val="22"/>
                  <w:lang w:eastAsia="ru-RU"/>
                </w:rPr>
                <w:t xml:space="preserve">-zakupochnuyu-deyatelnost/</w:t>
              </w:r>
            </w:hyperlink>
            <w:r>
              <w:rPr>
                <w:rFonts w:eastAsia="Times New Roman" w:cs="Times New Roman"/>
                <w:bCs/>
                <w:i/>
                <w:sz w:val="22"/>
                <w:lang w:eastAsia="ru-RU"/>
              </w:rPr>
            </w:r>
            <w:r>
              <w:rPr>
                <w:rFonts w:eastAsia="Times New Roman" w:cs="Times New Roman"/>
                <w:bCs/>
                <w:i/>
                <w:sz w:val="22"/>
                <w:lang w:eastAsia="ru-RU"/>
              </w:rPr>
            </w:r>
          </w:p>
          <w:p>
            <w:pPr>
              <w:ind w:firstLine="0"/>
              <w:jc w:val="left"/>
              <w:rPr>
                <w:rFonts w:eastAsia="Times New Roman" w:cs="Times New Roman"/>
                <w:i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sz w:val="22"/>
                <w:lang w:eastAsia="ru-RU"/>
              </w:rPr>
            </w:r>
            <w:r>
              <w:rPr>
                <w:rFonts w:eastAsia="Times New Roman" w:cs="Times New Roman"/>
                <w:i/>
                <w:sz w:val="22"/>
                <w:lang w:eastAsia="ru-RU"/>
              </w:rPr>
            </w:r>
            <w:r>
              <w:rPr>
                <w:rFonts w:eastAsia="Times New Roman" w:cs="Times New Roman"/>
                <w:i/>
                <w:sz w:val="22"/>
                <w:lang w:eastAsia="ru-RU"/>
              </w:rPr>
            </w:r>
          </w:p>
          <w:p>
            <w:pPr>
              <w:ind w:firstLine="0"/>
              <w:jc w:val="left"/>
              <w:rPr>
                <w:rFonts w:eastAsia="Times New Roman" w:cs="Times New Roman"/>
                <w:i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sz w:val="22"/>
                <w:lang w:eastAsia="ru-RU"/>
              </w:rPr>
            </w:r>
            <w:r>
              <w:rPr>
                <w:rFonts w:eastAsia="Times New Roman" w:cs="Times New Roman"/>
                <w:i/>
                <w:sz w:val="22"/>
                <w:lang w:eastAsia="ru-RU"/>
              </w:rPr>
            </w:r>
            <w:r>
              <w:rPr>
                <w:rFonts w:eastAsia="Times New Roman" w:cs="Times New Roman"/>
                <w:i/>
                <w:sz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424" w:type="pct"/>
            <w:textDirection w:val="lrTb"/>
            <w:noWrap w:val="false"/>
          </w:tcPr>
          <w:p>
            <w:pPr>
              <w:ind w:firstLine="0"/>
              <w:jc w:val="left"/>
              <w:spacing w:after="30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Расчет начальной (максимальной) цены договора </w:t>
            </w:r>
            <w:r>
              <w:rPr>
                <w:rFonts w:eastAsia="Times New Roman" w:cs="Times New Roman"/>
                <w:sz w:val="22"/>
                <w:lang w:eastAsia="ru-RU"/>
              </w:rPr>
            </w:r>
            <w:r>
              <w:rPr>
                <w:rFonts w:eastAsia="Times New Roman" w:cs="Times New Roman"/>
                <w:sz w:val="22"/>
                <w:lang w:eastAsia="ru-RU"/>
              </w:rPr>
            </w:r>
          </w:p>
        </w:tc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576" w:type="pct"/>
            <w:textDirection w:val="lrTb"/>
            <w:noWrap w:val="false"/>
          </w:tcPr>
          <w:p>
            <w:pPr>
              <w:ind w:firstLine="0"/>
              <w:jc w:val="left"/>
              <w:rPr>
                <w:rFonts w:eastAsia="Times New Roman" w:cs="Times New Roman"/>
                <w:i/>
                <w:lang w:eastAsia="ru-RU"/>
              </w:rPr>
            </w:pPr>
            <w:r>
              <w:rPr>
                <w:rFonts w:eastAsia="Times New Roman" w:cs="Times New Roman"/>
                <w:i/>
                <w:sz w:val="22"/>
                <w:lang w:eastAsia="ru-RU"/>
              </w:rPr>
              <w:t xml:space="preserve">Приложение  к  обоснованию начальной (максимальной) цены</w:t>
            </w:r>
            <w:r>
              <w:rPr>
                <w:rFonts w:eastAsia="Times New Roman" w:cs="Times New Roman"/>
                <w:i/>
                <w:lang w:eastAsia="ru-RU"/>
              </w:rPr>
            </w:r>
            <w:r>
              <w:rPr>
                <w:rFonts w:eastAsia="Times New Roman" w:cs="Times New Roman"/>
                <w:i/>
                <w:lang w:eastAsia="ru-RU"/>
              </w:rPr>
            </w:r>
          </w:p>
        </w:tc>
      </w:tr>
    </w:tbl>
    <w:p>
      <w:pPr>
        <w:ind w:firstLine="851"/>
        <w:shd w:val="clear" w:color="auto" w:fill="ffffff"/>
        <w:rPr>
          <w:rFonts w:cs="Times New Roman"/>
          <w:szCs w:val="28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cs="Times New Roman"/>
          <w:szCs w:val="28"/>
        </w:rPr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jc w:val="righ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 xml:space="preserve">Приложение к</w:t>
      </w:r>
      <w:r>
        <w:rPr>
          <w:rFonts w:eastAsia="Times New Roman" w:cs="Times New Roman"/>
          <w:sz w:val="22"/>
          <w:lang w:eastAsia="ru-RU"/>
        </w:rPr>
      </w:r>
      <w:r>
        <w:rPr>
          <w:rFonts w:eastAsia="Times New Roman" w:cs="Times New Roman"/>
          <w:sz w:val="22"/>
          <w:lang w:eastAsia="ru-RU"/>
        </w:rPr>
      </w:r>
    </w:p>
    <w:p>
      <w:pPr>
        <w:ind w:firstLine="0"/>
        <w:jc w:val="right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 xml:space="preserve">обоснованию начальной (максимальной) цены</w:t>
      </w:r>
      <w:r>
        <w:rPr>
          <w:rFonts w:cs="Times New Roman"/>
          <w:sz w:val="22"/>
        </w:rPr>
        <w:t xml:space="preserve"> </w:t>
      </w:r>
      <w:r>
        <w:rPr>
          <w:rFonts w:cs="Times New Roman"/>
          <w:sz w:val="22"/>
        </w:rPr>
      </w:r>
      <w:r>
        <w:rPr>
          <w:rFonts w:cs="Times New Roman"/>
          <w:sz w:val="22"/>
        </w:rPr>
      </w:r>
    </w:p>
    <w:p>
      <w:pPr>
        <w:ind w:firstLine="0"/>
        <w:jc w:val="center"/>
        <w:rPr>
          <w:rFonts w:cs="Times New Roman"/>
          <w:sz w:val="22"/>
        </w:rPr>
      </w:pPr>
      <w:r>
        <w:rPr>
          <w:rFonts w:cs="Times New Roman"/>
          <w:sz w:val="22"/>
        </w:rPr>
      </w:r>
      <w:r>
        <w:rPr>
          <w:rFonts w:cs="Times New Roman"/>
          <w:sz w:val="22"/>
        </w:rPr>
      </w:r>
      <w:r>
        <w:rPr>
          <w:rFonts w:cs="Times New Roman"/>
          <w:sz w:val="22"/>
        </w:rPr>
      </w:r>
    </w:p>
    <w:p>
      <w:pPr>
        <w:ind w:firstLine="0"/>
        <w:jc w:val="center"/>
        <w:spacing w:after="200" w:line="276" w:lineRule="auto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 xml:space="preserve">Расчет начальной (максимальной) цены </w:t>
      </w:r>
      <w:r>
        <w:rPr>
          <w:rFonts w:eastAsia="Times New Roman" w:cs="Times New Roman"/>
          <w:sz w:val="22"/>
          <w:lang w:eastAsia="ru-RU"/>
        </w:rPr>
      </w:r>
      <w:r>
        <w:rPr>
          <w:rFonts w:eastAsia="Times New Roman" w:cs="Times New Roman"/>
          <w:sz w:val="22"/>
          <w:lang w:eastAsia="ru-RU"/>
        </w:rPr>
      </w:r>
    </w:p>
    <w:tbl>
      <w:tblPr>
        <w:tblW w:w="13555" w:type="dxa"/>
        <w:tblInd w:w="616" w:type="dxa"/>
        <w:tblLook w:val="04A0" w:firstRow="1" w:lastRow="0" w:firstColumn="1" w:lastColumn="0" w:noHBand="0" w:noVBand="1"/>
      </w:tblPr>
      <w:tblGrid>
        <w:gridCol w:w="531"/>
        <w:gridCol w:w="3580"/>
        <w:gridCol w:w="2506"/>
        <w:gridCol w:w="2410"/>
        <w:gridCol w:w="2410"/>
      </w:tblGrid>
      <w:tr>
        <w:tblPrEx/>
        <w:trPr>
          <w:trHeight w:val="435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№ п/п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0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Наименование 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0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Поставщик 1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Поставщик 2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Поставщик 3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</w:p>
        </w:tc>
      </w:tr>
      <w:tr>
        <w:tblPrEx/>
        <w:trPr>
          <w:trHeight w:val="915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0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0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Цена, руб.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</w:p>
          <w:p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с НДС / без НДС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Цена, руб.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</w:p>
          <w:p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с НДС / без НДС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Цена, руб.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</w:p>
          <w:p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с НДС / без НДС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r>
          </w:p>
        </w:tc>
      </w:tr>
      <w:tr>
        <w:tblPrEx/>
        <w:trPr>
          <w:trHeight w:val="133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53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0" w:type="dxa"/>
            <w:vAlign w:val="center"/>
            <w:textDirection w:val="lrTb"/>
            <w:noWrap w:val="false"/>
          </w:tcPr>
          <w:p>
            <w:pPr>
              <w:ind w:left="65" w:right="39" w:firstLine="0"/>
              <w:jc w:val="left"/>
              <w:tabs>
                <w:tab w:val="left" w:pos="65" w:leader="none"/>
              </w:tabs>
              <w:rPr>
                <w:rFonts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</w:r>
            <w:r>
              <w:rPr>
                <w:rFonts w:cs="Times New Roman"/>
                <w:color w:val="000000"/>
                <w:sz w:val="22"/>
                <w:szCs w:val="22"/>
                <w:lang w:eastAsia="ru-RU"/>
              </w:rPr>
              <w:t xml:space="preserve">Стоимость выполнения работ по миграции одного АРМ</w:t>
            </w:r>
            <w:r>
              <w:rPr>
                <w:rFonts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50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200" w:line="276" w:lineRule="auto"/>
              <w:rPr>
                <w:rFonts w:cs="Times New Roman"/>
                <w:b/>
                <w:color w:val="000000"/>
                <w:sz w:val="22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 xml:space="preserve">11 590,00 / 9 500,00</w:t>
            </w:r>
            <w:r>
              <w:rPr>
                <w:rFonts w:cs="Times New Roman"/>
                <w:b/>
                <w:color w:val="000000"/>
                <w:sz w:val="22"/>
              </w:rPr>
            </w:r>
            <w:r>
              <w:rPr>
                <w:rFonts w:cs="Times New Roman"/>
                <w:b/>
                <w:color w:val="000000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200" w:line="276" w:lineRule="auto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14 640,00 /12 000,00</w:t>
            </w:r>
            <w:r>
              <w:rPr>
                <w:rFonts w:cs="Times New Roman"/>
                <w:color w:val="000000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200" w:line="276" w:lineRule="auto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11 956,00 /9 800,00</w:t>
            </w:r>
            <w:r>
              <w:rPr>
                <w:rFonts w:cs="Times New Roman"/>
                <w:color w:val="000000"/>
                <w:sz w:val="22"/>
              </w:rPr>
            </w:r>
            <w:r>
              <w:rPr>
                <w:rFonts w:cs="Times New Roman"/>
                <w:color w:val="000000"/>
                <w:sz w:val="22"/>
              </w:rPr>
            </w:r>
          </w:p>
        </w:tc>
      </w:tr>
    </w:tbl>
    <w:p>
      <w:pPr>
        <w:ind w:firstLine="0"/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</w:r>
      <w:r>
        <w:rPr>
          <w:rFonts w:eastAsia="Times New Roman" w:cs="Times New Roman"/>
          <w:sz w:val="22"/>
          <w:lang w:eastAsia="ru-RU"/>
        </w:rPr>
      </w:r>
      <w:r>
        <w:rPr>
          <w:rFonts w:eastAsia="Times New Roman" w:cs="Times New Roman"/>
          <w:sz w:val="22"/>
          <w:lang w:eastAsia="ru-RU"/>
        </w:rPr>
      </w:r>
    </w:p>
    <w:p>
      <w:pPr>
        <w:ind w:firstLine="0"/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</w:r>
      <w:r>
        <w:rPr>
          <w:rFonts w:eastAsia="Times New Roman" w:cs="Times New Roman"/>
          <w:sz w:val="22"/>
          <w:lang w:eastAsia="ru-RU"/>
        </w:rPr>
      </w:r>
      <w:r>
        <w:rPr>
          <w:rFonts w:eastAsia="Times New Roman" w:cs="Times New Roman"/>
          <w:sz w:val="22"/>
          <w:lang w:eastAsia="ru-RU"/>
        </w:rPr>
      </w:r>
    </w:p>
    <w:p>
      <w:pPr>
        <w:ind w:firstLine="0"/>
        <w:jc w:val="left"/>
        <w:rPr>
          <w:rFonts w:eastAsia="Times New Roman" w:cs="Times New Roman"/>
          <w:b/>
          <w:sz w:val="22"/>
          <w:lang w:eastAsia="ru-RU"/>
        </w:rPr>
      </w:pPr>
      <w:r>
        <w:rPr>
          <w:rFonts w:eastAsia="Times New Roman" w:cs="Times New Roman"/>
          <w:b/>
          <w:sz w:val="22"/>
          <w:lang w:eastAsia="ru-RU"/>
        </w:rPr>
        <w:t xml:space="preserve">ИТОГО:</w:t>
      </w:r>
      <w:r>
        <w:rPr>
          <w:rFonts w:eastAsia="Times New Roman" w:cs="Times New Roman"/>
          <w:b/>
          <w:sz w:val="22"/>
          <w:lang w:eastAsia="ru-RU"/>
        </w:rPr>
      </w:r>
      <w:r>
        <w:rPr>
          <w:rFonts w:eastAsia="Times New Roman" w:cs="Times New Roman"/>
          <w:b/>
          <w:sz w:val="22"/>
          <w:lang w:eastAsia="ru-RU"/>
        </w:rPr>
      </w:r>
    </w:p>
    <w:p>
      <w:pPr>
        <w:pStyle w:val="859"/>
        <w:ind w:left="426" w:firstLine="0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</w:r>
      <w:r>
        <w:rPr>
          <w:rFonts w:eastAsia="Times New Roman" w:cs="Times New Roman"/>
          <w:sz w:val="22"/>
          <w:lang w:eastAsia="ru-RU"/>
        </w:rPr>
      </w:r>
      <w:r>
        <w:rPr>
          <w:rFonts w:eastAsia="Times New Roman" w:cs="Times New Roman"/>
          <w:sz w:val="22"/>
          <w:lang w:eastAsia="ru-RU"/>
        </w:rPr>
      </w:r>
    </w:p>
    <w:p>
      <w:pPr>
        <w:ind w:left="65" w:right="39" w:firstLine="644"/>
        <w:jc w:val="both"/>
        <w:tabs>
          <w:tab w:val="left" w:pos="65" w:leader="none"/>
        </w:tabs>
        <w:rPr>
          <w:color w:val="000000" w:themeColor="text1"/>
          <w:sz w:val="22"/>
          <w:szCs w:val="22"/>
          <w14:ligatures w14:val="none"/>
        </w:rPr>
      </w:pP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  <w:lang w:eastAsia="ru-RU"/>
        </w:rPr>
        <w:t xml:space="preserve">Стоимость выполнения работ по миграции одного АРМ</w:t>
      </w:r>
      <w:r>
        <w:rPr>
          <w:color w:val="000000" w:themeColor="text1"/>
          <w:sz w:val="22"/>
        </w:rPr>
        <w:t xml:space="preserve"> является единичной расценкой и </w:t>
      </w:r>
      <w:r>
        <w:rPr>
          <w:color w:val="000000" w:themeColor="text1"/>
          <w:sz w:val="22"/>
        </w:rPr>
        <w:t xml:space="preserve">не должна превышать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  <w:lang w:eastAsia="ru-RU"/>
        </w:rPr>
        <w:t xml:space="preserve">9 500,00 </w:t>
      </w:r>
      <w:r>
        <w:rPr>
          <w:color w:val="000000" w:themeColor="text1"/>
          <w:sz w:val="22"/>
          <w:szCs w:val="22"/>
          <w:lang w:eastAsia="ru-RU"/>
        </w:rPr>
        <w:t xml:space="preserve">руб. без учета НДС </w:t>
      </w:r>
      <w:r>
        <w:rPr>
          <w:color w:val="000000" w:themeColor="text1"/>
          <w:sz w:val="22"/>
          <w:szCs w:val="22"/>
          <w:lang w:eastAsia="ru-RU"/>
        </w:rPr>
        <w:t xml:space="preserve"> (11 590,00</w:t>
      </w:r>
      <w:r>
        <w:rPr>
          <w:color w:val="000000" w:themeColor="text1"/>
          <w:sz w:val="22"/>
          <w:szCs w:val="22"/>
          <w:lang w:eastAsia="ru-RU"/>
        </w:rPr>
        <w:t xml:space="preserve"> руб. с учетом НДС 22%)</w:t>
      </w:r>
      <w:r>
        <w:rPr>
          <w:color w:val="000000" w:themeColor="text1"/>
          <w:sz w:val="22"/>
          <w:szCs w:val="22"/>
          <w:lang w:eastAsia="ru-RU"/>
        </w:rPr>
        <w:t xml:space="preserve">.</w:t>
      </w:r>
      <w:r>
        <w:rPr>
          <w:color w:val="000000" w:themeColor="text1"/>
          <w:sz w:val="22"/>
          <w:szCs w:val="22"/>
          <w14:ligatures w14:val="none"/>
        </w:rPr>
      </w:r>
      <w:r>
        <w:rPr>
          <w:color w:val="000000" w:themeColor="text1"/>
          <w:sz w:val="22"/>
          <w:szCs w:val="22"/>
          <w14:ligatures w14:val="none"/>
        </w:rPr>
      </w:r>
    </w:p>
    <w:p>
      <w:pPr>
        <w:ind w:left="65" w:right="39" w:firstLine="644"/>
        <w:jc w:val="both"/>
        <w:rPr>
          <w:rFonts w:eastAsia="Times New Roman" w:cs="Times New Roman"/>
          <w:i/>
          <w:iCs/>
          <w:sz w:val="22"/>
          <w:szCs w:val="22"/>
          <w:lang w:eastAsia="ru-RU"/>
          <w14:ligatures w14:val="none"/>
        </w:rPr>
      </w:pPr>
      <w:r>
        <w:rPr>
          <w:color w:val="000000" w:themeColor="text1"/>
          <w:sz w:val="22"/>
        </w:rPr>
        <w:t xml:space="preserve">Стоимость работ по договору за весь период составляет </w:t>
      </w:r>
      <w:r>
        <w:rPr>
          <w:color w:val="000000" w:themeColor="text1"/>
          <w:sz w:val="22"/>
          <w:szCs w:val="22"/>
          <w:lang w:eastAsia="ru-RU"/>
        </w:rPr>
        <w:t xml:space="preserve">10</w:t>
      </w:r>
      <w:r>
        <w:rPr>
          <w:color w:val="000000" w:themeColor="text1"/>
          <w:sz w:val="22"/>
          <w:szCs w:val="22"/>
          <w:lang w:eastAsia="ru-RU"/>
        </w:rPr>
        <w:t xml:space="preserve"> </w:t>
      </w:r>
      <w:r>
        <w:rPr>
          <w:color w:val="000000" w:themeColor="text1"/>
          <w:sz w:val="22"/>
          <w:szCs w:val="22"/>
          <w:lang w:eastAsia="ru-RU"/>
        </w:rPr>
        <w:t xml:space="preserve">500</w:t>
      </w:r>
      <w:r>
        <w:rPr>
          <w:color w:val="000000" w:themeColor="text1"/>
          <w:sz w:val="22"/>
          <w:szCs w:val="22"/>
          <w:lang w:eastAsia="ru-RU"/>
        </w:rPr>
        <w:t xml:space="preserve"> </w:t>
      </w:r>
      <w:r>
        <w:rPr>
          <w:color w:val="000000" w:themeColor="text1"/>
          <w:sz w:val="22"/>
          <w:szCs w:val="22"/>
          <w:lang w:eastAsia="ru-RU"/>
        </w:rPr>
        <w:t xml:space="preserve">000</w:t>
      </w:r>
      <w:r>
        <w:rPr>
          <w:color w:val="000000" w:themeColor="text1"/>
          <w:sz w:val="22"/>
          <w:szCs w:val="22"/>
          <w:lang w:eastAsia="ru-RU"/>
        </w:rPr>
        <w:t xml:space="preserve">,</w:t>
      </w:r>
      <w:r>
        <w:rPr>
          <w:color w:val="000000" w:themeColor="text1"/>
          <w:sz w:val="22"/>
          <w:szCs w:val="22"/>
          <w:lang w:eastAsia="ru-RU"/>
        </w:rPr>
        <w:t xml:space="preserve">00</w:t>
      </w:r>
      <w:r>
        <w:rPr>
          <w:color w:val="000000" w:themeColor="text1"/>
          <w:sz w:val="22"/>
          <w:szCs w:val="22"/>
          <w:lang w:eastAsia="ru-RU"/>
        </w:rPr>
        <w:t xml:space="preserve"> </w:t>
      </w:r>
      <w:r>
        <w:rPr>
          <w:color w:val="000000" w:themeColor="text1"/>
          <w:sz w:val="22"/>
          <w:szCs w:val="22"/>
          <w:lang w:eastAsia="ru-RU"/>
        </w:rPr>
        <w:t xml:space="preserve">руб. без учета НДС </w:t>
      </w:r>
      <w:r>
        <w:rPr>
          <w:color w:val="000000" w:themeColor="text1"/>
          <w:sz w:val="22"/>
          <w:szCs w:val="22"/>
          <w:lang w:eastAsia="ru-RU"/>
        </w:rPr>
        <w:t xml:space="preserve">(12 81</w:t>
      </w:r>
      <w:r>
        <w:rPr>
          <w:color w:val="000000" w:themeColor="text1"/>
          <w:sz w:val="22"/>
          <w:szCs w:val="22"/>
          <w:lang w:eastAsia="ru-RU"/>
        </w:rPr>
        <w:t xml:space="preserve">0 000,00</w:t>
      </w:r>
      <w:r>
        <w:rPr>
          <w:color w:val="000000" w:themeColor="text1"/>
          <w:sz w:val="22"/>
          <w:szCs w:val="22"/>
          <w:lang w:eastAsia="ru-RU"/>
        </w:rPr>
        <w:t xml:space="preserve"> руб. с учетом НДС 22%)</w:t>
      </w:r>
      <w:r>
        <w:rPr>
          <w:color w:val="000000" w:themeColor="text1"/>
          <w:sz w:val="22"/>
          <w:szCs w:val="22"/>
        </w:rPr>
        <w:t xml:space="preserve">, </w:t>
      </w:r>
      <w:r>
        <w:rPr>
          <w:color w:val="000000" w:themeColor="text1"/>
          <w:sz w:val="22"/>
        </w:rPr>
        <w:t xml:space="preserve">стоимость является предельной и изменению в процессе про</w:t>
      </w:r>
      <w:r>
        <w:rPr>
          <w:color w:val="000000" w:themeColor="text1"/>
          <w:sz w:val="22"/>
        </w:rPr>
        <w:t xml:space="preserve">ведения закупочной процедуры не подлежит. Изменение предельной стоимости договора (цены лота) в процессе проведения закупочной процедуры является основанием для отклонения заявки участника по решению комиссии.</w:t>
      </w:r>
      <w:r>
        <w:rPr>
          <w:rFonts w:eastAsia="Times New Roman" w:cs="Times New Roman"/>
          <w:i/>
          <w:iCs/>
          <w:sz w:val="22"/>
          <w:szCs w:val="22"/>
          <w:lang w:eastAsia="ru-RU"/>
          <w14:ligatures w14:val="none"/>
        </w:rPr>
      </w:r>
      <w:r>
        <w:rPr>
          <w:rFonts w:eastAsia="Times New Roman" w:cs="Times New Roman"/>
          <w:i/>
          <w:iCs/>
          <w:sz w:val="22"/>
          <w:szCs w:val="22"/>
          <w:lang w:eastAsia="ru-RU"/>
          <w14:ligatures w14:val="none"/>
        </w:rPr>
      </w:r>
    </w:p>
    <w:p>
      <w:pPr>
        <w:pStyle w:val="859"/>
        <w:ind w:left="65" w:right="39" w:firstLine="644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</w:r>
      <w:r>
        <w:rPr>
          <w:color w:val="000000" w:themeColor="text1"/>
          <w:sz w:val="22"/>
        </w:rPr>
      </w:r>
      <w:r>
        <w:rPr>
          <w:color w:val="000000" w:themeColor="text1"/>
          <w:sz w:val="22"/>
        </w:rPr>
      </w:r>
    </w:p>
    <w:p>
      <w:pPr>
        <w:pStyle w:val="859"/>
        <w:ind w:left="426" w:firstLine="56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</w:rPr>
        <w:t xml:space="preserve">Начальник управления эксплуатации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pStyle w:val="859"/>
        <w:ind w:left="426" w:firstLine="56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</w:rPr>
        <w:t xml:space="preserve">ИТ-инфраструктуры</w:t>
        <w:tab/>
        <w:tab/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</w:r>
      <w:r>
        <w:rPr>
          <w:color w:val="000000" w:themeColor="text1"/>
          <w:sz w:val="22"/>
        </w:rPr>
        <w:tab/>
        <w:t xml:space="preserve">Е.А. Аладин</w:t>
      </w:r>
      <w:r>
        <w:rPr>
          <w:color w:val="000000" w:themeColor="text1"/>
          <w:sz w:val="22"/>
          <w:szCs w:val="22"/>
        </w:rPr>
      </w:r>
    </w:p>
    <w:sectPr>
      <w:footnotePr/>
      <w:endnotePr/>
      <w:type w:val="nextPage"/>
      <w:pgSz w:w="16838" w:h="11906" w:orient="landscape"/>
      <w:pgMar w:top="1701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Heading 1 Char"/>
    <w:basedOn w:val="686"/>
    <w:link w:val="67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59">
    <w:name w:val="Heading 2 Char"/>
    <w:basedOn w:val="686"/>
    <w:link w:val="678"/>
    <w:uiPriority w:val="9"/>
    <w:rPr>
      <w:rFonts w:ascii="Liberation Sans" w:hAnsi="Liberation Sans" w:eastAsia="Liberation Sans" w:cs="Liberation Sans"/>
      <w:sz w:val="34"/>
    </w:rPr>
  </w:style>
  <w:style w:type="character" w:styleId="660">
    <w:name w:val="Heading 3 Char"/>
    <w:basedOn w:val="686"/>
    <w:link w:val="67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61">
    <w:name w:val="Heading 4 Char"/>
    <w:basedOn w:val="686"/>
    <w:link w:val="68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5 Char"/>
    <w:basedOn w:val="686"/>
    <w:link w:val="68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3">
    <w:name w:val="Heading 6 Char"/>
    <w:basedOn w:val="686"/>
    <w:link w:val="68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4">
    <w:name w:val="Heading 7 Char"/>
    <w:basedOn w:val="686"/>
    <w:link w:val="68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5">
    <w:name w:val="Heading 8 Char"/>
    <w:basedOn w:val="686"/>
    <w:link w:val="68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6">
    <w:name w:val="Heading 9 Char"/>
    <w:basedOn w:val="686"/>
    <w:link w:val="68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7">
    <w:name w:val="Title Char"/>
    <w:basedOn w:val="686"/>
    <w:link w:val="699"/>
    <w:uiPriority w:val="10"/>
    <w:rPr>
      <w:sz w:val="48"/>
      <w:szCs w:val="48"/>
    </w:rPr>
  </w:style>
  <w:style w:type="character" w:styleId="668">
    <w:name w:val="Subtitle Char"/>
    <w:basedOn w:val="686"/>
    <w:link w:val="701"/>
    <w:uiPriority w:val="11"/>
    <w:rPr>
      <w:sz w:val="24"/>
      <w:szCs w:val="24"/>
    </w:rPr>
  </w:style>
  <w:style w:type="character" w:styleId="669">
    <w:name w:val="Quote Char"/>
    <w:link w:val="703"/>
    <w:uiPriority w:val="29"/>
    <w:rPr>
      <w:i/>
    </w:rPr>
  </w:style>
  <w:style w:type="character" w:styleId="670">
    <w:name w:val="Intense Quote Char"/>
    <w:link w:val="705"/>
    <w:uiPriority w:val="30"/>
    <w:rPr>
      <w:i/>
    </w:rPr>
  </w:style>
  <w:style w:type="character" w:styleId="671">
    <w:name w:val="Header Char"/>
    <w:basedOn w:val="686"/>
    <w:link w:val="707"/>
    <w:uiPriority w:val="99"/>
  </w:style>
  <w:style w:type="character" w:styleId="672">
    <w:name w:val="Footer Char"/>
    <w:basedOn w:val="686"/>
    <w:link w:val="709"/>
    <w:uiPriority w:val="99"/>
  </w:style>
  <w:style w:type="character" w:styleId="673">
    <w:name w:val="Caption Char"/>
    <w:basedOn w:val="686"/>
    <w:link w:val="711"/>
    <w:uiPriority w:val="35"/>
    <w:rPr>
      <w:b/>
      <w:bCs/>
      <w:color w:val="4f81bd" w:themeColor="accent1"/>
      <w:sz w:val="18"/>
      <w:szCs w:val="18"/>
    </w:rPr>
  </w:style>
  <w:style w:type="character" w:styleId="674">
    <w:name w:val="Footnote Text Char"/>
    <w:link w:val="839"/>
    <w:uiPriority w:val="99"/>
    <w:rPr>
      <w:sz w:val="18"/>
    </w:rPr>
  </w:style>
  <w:style w:type="character" w:styleId="675">
    <w:name w:val="Endnote Text Char"/>
    <w:link w:val="842"/>
    <w:uiPriority w:val="99"/>
    <w:rPr>
      <w:sz w:val="20"/>
    </w:rPr>
  </w:style>
  <w:style w:type="paragraph" w:styleId="676" w:default="1">
    <w:name w:val="Normal"/>
    <w:qFormat/>
    <w:pPr>
      <w:ind w:firstLine="709"/>
      <w:jc w:val="both"/>
      <w:spacing w:after="0" w:line="240" w:lineRule="auto"/>
    </w:pPr>
    <w:rPr>
      <w:rFonts w:ascii="Times New Roman" w:hAnsi="Times New Roman"/>
      <w:sz w:val="28"/>
    </w:rPr>
  </w:style>
  <w:style w:type="paragraph" w:styleId="677">
    <w:name w:val="Heading 1"/>
    <w:basedOn w:val="676"/>
    <w:next w:val="676"/>
    <w:link w:val="689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78">
    <w:name w:val="Heading 2"/>
    <w:basedOn w:val="676"/>
    <w:next w:val="676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679">
    <w:name w:val="Heading 3"/>
    <w:basedOn w:val="676"/>
    <w:next w:val="676"/>
    <w:link w:val="691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80">
    <w:name w:val="Heading 4"/>
    <w:basedOn w:val="676"/>
    <w:next w:val="676"/>
    <w:link w:val="69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1">
    <w:name w:val="Heading 5"/>
    <w:basedOn w:val="676"/>
    <w:next w:val="676"/>
    <w:link w:val="69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2">
    <w:name w:val="Heading 6"/>
    <w:basedOn w:val="676"/>
    <w:next w:val="676"/>
    <w:link w:val="69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</w:rPr>
  </w:style>
  <w:style w:type="paragraph" w:styleId="683">
    <w:name w:val="Heading 7"/>
    <w:basedOn w:val="676"/>
    <w:next w:val="676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</w:rPr>
  </w:style>
  <w:style w:type="paragraph" w:styleId="684">
    <w:name w:val="Heading 8"/>
    <w:basedOn w:val="676"/>
    <w:next w:val="676"/>
    <w:link w:val="69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</w:rPr>
  </w:style>
  <w:style w:type="paragraph" w:styleId="685">
    <w:name w:val="Heading 9"/>
    <w:basedOn w:val="676"/>
    <w:next w:val="676"/>
    <w:link w:val="69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6" w:default="1">
    <w:name w:val="Default Paragraph Font"/>
    <w:uiPriority w:val="1"/>
    <w:semiHidden/>
    <w:unhideWhenUsed/>
  </w:style>
  <w:style w:type="table" w:styleId="6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8" w:default="1">
    <w:name w:val="No List"/>
    <w:uiPriority w:val="99"/>
    <w:semiHidden/>
    <w:unhideWhenUsed/>
  </w:style>
  <w:style w:type="character" w:styleId="689" w:customStyle="1">
    <w:name w:val="Заголовок 1 Знак"/>
    <w:basedOn w:val="686"/>
    <w:link w:val="67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0" w:customStyle="1">
    <w:name w:val="Заголовок 2 Знак"/>
    <w:basedOn w:val="686"/>
    <w:link w:val="678"/>
    <w:uiPriority w:val="9"/>
    <w:rPr>
      <w:rFonts w:ascii="Liberation Sans" w:hAnsi="Liberation Sans" w:eastAsia="Liberation Sans" w:cs="Liberation Sans"/>
      <w:sz w:val="34"/>
    </w:rPr>
  </w:style>
  <w:style w:type="character" w:styleId="691" w:customStyle="1">
    <w:name w:val="Заголовок 3 Знак"/>
    <w:basedOn w:val="686"/>
    <w:link w:val="67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2" w:customStyle="1">
    <w:name w:val="Заголовок 4 Знак"/>
    <w:basedOn w:val="686"/>
    <w:link w:val="68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3" w:customStyle="1">
    <w:name w:val="Заголовок 5 Знак"/>
    <w:basedOn w:val="686"/>
    <w:link w:val="68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4" w:customStyle="1">
    <w:name w:val="Заголовок 6 Знак"/>
    <w:basedOn w:val="686"/>
    <w:link w:val="68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5" w:customStyle="1">
    <w:name w:val="Заголовок 7 Знак"/>
    <w:basedOn w:val="686"/>
    <w:link w:val="68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6" w:customStyle="1">
    <w:name w:val="Заголовок 8 Знак"/>
    <w:basedOn w:val="686"/>
    <w:link w:val="68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7" w:customStyle="1">
    <w:name w:val="Заголовок 9 Знак"/>
    <w:basedOn w:val="686"/>
    <w:link w:val="68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8">
    <w:name w:val="No Spacing"/>
    <w:uiPriority w:val="1"/>
    <w:qFormat/>
    <w:pPr>
      <w:spacing w:after="0" w:line="240" w:lineRule="auto"/>
    </w:pPr>
  </w:style>
  <w:style w:type="paragraph" w:styleId="699">
    <w:name w:val="Title"/>
    <w:basedOn w:val="676"/>
    <w:next w:val="676"/>
    <w:link w:val="7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0" w:customStyle="1">
    <w:name w:val="Заголовок Знак"/>
    <w:basedOn w:val="686"/>
    <w:link w:val="699"/>
    <w:uiPriority w:val="10"/>
    <w:rPr>
      <w:sz w:val="48"/>
      <w:szCs w:val="48"/>
    </w:rPr>
  </w:style>
  <w:style w:type="paragraph" w:styleId="701">
    <w:name w:val="Subtitle"/>
    <w:basedOn w:val="676"/>
    <w:next w:val="676"/>
    <w:link w:val="702"/>
    <w:uiPriority w:val="11"/>
    <w:qFormat/>
    <w:pPr>
      <w:spacing w:before="200" w:after="200"/>
    </w:pPr>
    <w:rPr>
      <w:sz w:val="24"/>
      <w:szCs w:val="24"/>
    </w:rPr>
  </w:style>
  <w:style w:type="character" w:styleId="702" w:customStyle="1">
    <w:name w:val="Подзаголовок Знак"/>
    <w:basedOn w:val="686"/>
    <w:link w:val="701"/>
    <w:uiPriority w:val="11"/>
    <w:rPr>
      <w:sz w:val="24"/>
      <w:szCs w:val="24"/>
    </w:rPr>
  </w:style>
  <w:style w:type="paragraph" w:styleId="703">
    <w:name w:val="Quote"/>
    <w:basedOn w:val="676"/>
    <w:next w:val="676"/>
    <w:link w:val="704"/>
    <w:uiPriority w:val="29"/>
    <w:qFormat/>
    <w:pPr>
      <w:ind w:left="720" w:right="720"/>
    </w:pPr>
    <w:rPr>
      <w:i/>
    </w:rPr>
  </w:style>
  <w:style w:type="character" w:styleId="704" w:customStyle="1">
    <w:name w:val="Цитата 2 Знак"/>
    <w:link w:val="703"/>
    <w:uiPriority w:val="29"/>
    <w:rPr>
      <w:i/>
    </w:rPr>
  </w:style>
  <w:style w:type="paragraph" w:styleId="705">
    <w:name w:val="Intense Quote"/>
    <w:basedOn w:val="676"/>
    <w:next w:val="676"/>
    <w:link w:val="7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 w:customStyle="1">
    <w:name w:val="Выделенная цитата Знак"/>
    <w:link w:val="705"/>
    <w:uiPriority w:val="30"/>
    <w:rPr>
      <w:i/>
    </w:rPr>
  </w:style>
  <w:style w:type="paragraph" w:styleId="707">
    <w:name w:val="Header"/>
    <w:basedOn w:val="676"/>
    <w:link w:val="708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8" w:customStyle="1">
    <w:name w:val="Верхний колонтитул Знак"/>
    <w:basedOn w:val="686"/>
    <w:link w:val="707"/>
    <w:uiPriority w:val="99"/>
  </w:style>
  <w:style w:type="paragraph" w:styleId="709">
    <w:name w:val="Footer"/>
    <w:basedOn w:val="676"/>
    <w:link w:val="710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10" w:customStyle="1">
    <w:name w:val="Нижний колонтитул Знак"/>
    <w:basedOn w:val="686"/>
    <w:link w:val="709"/>
    <w:uiPriority w:val="99"/>
  </w:style>
  <w:style w:type="paragraph" w:styleId="711">
    <w:name w:val="Caption"/>
    <w:basedOn w:val="676"/>
    <w:next w:val="676"/>
    <w:link w:val="71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12" w:customStyle="1">
    <w:name w:val="Название объекта Знак"/>
    <w:basedOn w:val="686"/>
    <w:link w:val="711"/>
    <w:uiPriority w:val="35"/>
    <w:rPr>
      <w:b/>
      <w:bCs/>
      <w:color w:val="5b9bd5" w:themeColor="accent1"/>
      <w:sz w:val="18"/>
      <w:szCs w:val="18"/>
    </w:rPr>
  </w:style>
  <w:style w:type="table" w:styleId="713">
    <w:name w:val="Table Grid"/>
    <w:basedOn w:val="68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4" w:customStyle="1">
    <w:name w:val="Table Grid Light"/>
    <w:basedOn w:val="68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5">
    <w:name w:val="Plain Table 1"/>
    <w:basedOn w:val="68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6">
    <w:name w:val="Plain Table 2"/>
    <w:basedOn w:val="68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7">
    <w:name w:val="Plain Table 3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8">
    <w:name w:val="Plain Table 4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Plain Table 5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0">
    <w:name w:val="Grid Table 1 Light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4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2" w:customStyle="1">
    <w:name w:val="Grid Table 4 - Accent 1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3" w:customStyle="1">
    <w:name w:val="Grid Table 4 - Accent 2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4" w:customStyle="1">
    <w:name w:val="Grid Table 4 - Accent 3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5" w:customStyle="1">
    <w:name w:val="Grid Table 4 - Accent 4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6" w:customStyle="1">
    <w:name w:val="Grid Table 4 - Accent 5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7" w:customStyle="1">
    <w:name w:val="Grid Table 4 - Accent 6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8">
    <w:name w:val="Grid Table 5 Dark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5">
    <w:name w:val="Grid Table 6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6" w:customStyle="1">
    <w:name w:val="Grid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7" w:customStyle="1">
    <w:name w:val="Grid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8" w:customStyle="1">
    <w:name w:val="Grid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9" w:customStyle="1">
    <w:name w:val="Grid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0" w:customStyle="1">
    <w:name w:val="Grid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1" w:customStyle="1">
    <w:name w:val="Grid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2">
    <w:name w:val="Grid Table 7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1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2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3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4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5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6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3">
    <w:name w:val="List Table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5 Dark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8" w:customStyle="1">
    <w:name w:val="List Table 5 Dark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9" w:customStyle="1">
    <w:name w:val="List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0" w:customStyle="1">
    <w:name w:val="List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1" w:customStyle="1">
    <w:name w:val="List Table 5 Dark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2" w:customStyle="1">
    <w:name w:val="List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3" w:customStyle="1">
    <w:name w:val="List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4">
    <w:name w:val="List Table 6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5" w:customStyle="1">
    <w:name w:val="List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6" w:customStyle="1">
    <w:name w:val="List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7" w:customStyle="1">
    <w:name w:val="List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8" w:customStyle="1">
    <w:name w:val="List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9" w:customStyle="1">
    <w:name w:val="List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0" w:customStyle="1">
    <w:name w:val="List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1">
    <w:name w:val="List Table 7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ned - Accent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9" w:customStyle="1">
    <w:name w:val="Lined - Accent 1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0" w:customStyle="1">
    <w:name w:val="Lined - Accent 2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1" w:customStyle="1">
    <w:name w:val="Lined - Accent 3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2" w:customStyle="1">
    <w:name w:val="Lined - Accent 4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3" w:customStyle="1">
    <w:name w:val="Lined - Accent 5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4" w:customStyle="1">
    <w:name w:val="Lined - Accent 6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5" w:customStyle="1">
    <w:name w:val="Bordered &amp; Lined - Accent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6" w:customStyle="1">
    <w:name w:val="Bordered &amp; Lined - Accent 1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7" w:customStyle="1">
    <w:name w:val="Bordered &amp; Lined - Accent 2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8" w:customStyle="1">
    <w:name w:val="Bordered &amp; Lined - Accent 3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9" w:customStyle="1">
    <w:name w:val="Bordered &amp; Lined - Accent 4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0" w:customStyle="1">
    <w:name w:val="Bordered &amp; Lined - Accent 5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1" w:customStyle="1">
    <w:name w:val="Bordered &amp; Lined - Accent 6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2" w:customStyle="1">
    <w:name w:val="Bordered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3" w:customStyle="1">
    <w:name w:val="Bordered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4" w:customStyle="1">
    <w:name w:val="Bordered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5" w:customStyle="1">
    <w:name w:val="Bordered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6" w:customStyle="1">
    <w:name w:val="Bordered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7" w:customStyle="1">
    <w:name w:val="Bordered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8" w:customStyle="1">
    <w:name w:val="Bordered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39">
    <w:name w:val="footnote text"/>
    <w:basedOn w:val="676"/>
    <w:link w:val="840"/>
    <w:uiPriority w:val="99"/>
    <w:semiHidden/>
    <w:unhideWhenUsed/>
    <w:pPr>
      <w:spacing w:after="40"/>
    </w:pPr>
    <w:rPr>
      <w:sz w:val="18"/>
    </w:rPr>
  </w:style>
  <w:style w:type="character" w:styleId="840" w:customStyle="1">
    <w:name w:val="Текст сноски Знак"/>
    <w:link w:val="839"/>
    <w:uiPriority w:val="99"/>
    <w:rPr>
      <w:sz w:val="18"/>
    </w:rPr>
  </w:style>
  <w:style w:type="character" w:styleId="841">
    <w:name w:val="footnote reference"/>
    <w:basedOn w:val="686"/>
    <w:uiPriority w:val="99"/>
    <w:unhideWhenUsed/>
    <w:rPr>
      <w:vertAlign w:val="superscript"/>
    </w:rPr>
  </w:style>
  <w:style w:type="paragraph" w:styleId="842">
    <w:name w:val="endnote text"/>
    <w:basedOn w:val="676"/>
    <w:link w:val="843"/>
    <w:uiPriority w:val="99"/>
    <w:semiHidden/>
    <w:unhideWhenUsed/>
    <w:rPr>
      <w:sz w:val="20"/>
    </w:rPr>
  </w:style>
  <w:style w:type="character" w:styleId="843" w:customStyle="1">
    <w:name w:val="Текст концевой сноски Знак"/>
    <w:link w:val="842"/>
    <w:uiPriority w:val="99"/>
    <w:rPr>
      <w:sz w:val="20"/>
    </w:rPr>
  </w:style>
  <w:style w:type="character" w:styleId="844">
    <w:name w:val="endnote reference"/>
    <w:basedOn w:val="686"/>
    <w:uiPriority w:val="99"/>
    <w:semiHidden/>
    <w:unhideWhenUsed/>
    <w:rPr>
      <w:vertAlign w:val="superscript"/>
    </w:rPr>
  </w:style>
  <w:style w:type="paragraph" w:styleId="845">
    <w:name w:val="toc 1"/>
    <w:basedOn w:val="676"/>
    <w:next w:val="676"/>
    <w:uiPriority w:val="39"/>
    <w:unhideWhenUsed/>
    <w:pPr>
      <w:ind w:firstLine="0"/>
      <w:spacing w:after="57"/>
    </w:pPr>
  </w:style>
  <w:style w:type="paragraph" w:styleId="846">
    <w:name w:val="toc 2"/>
    <w:basedOn w:val="676"/>
    <w:next w:val="676"/>
    <w:uiPriority w:val="39"/>
    <w:unhideWhenUsed/>
    <w:pPr>
      <w:ind w:left="283" w:firstLine="0"/>
      <w:spacing w:after="57"/>
    </w:pPr>
  </w:style>
  <w:style w:type="paragraph" w:styleId="847">
    <w:name w:val="toc 3"/>
    <w:basedOn w:val="676"/>
    <w:next w:val="676"/>
    <w:uiPriority w:val="39"/>
    <w:unhideWhenUsed/>
    <w:pPr>
      <w:ind w:left="567" w:firstLine="0"/>
      <w:spacing w:after="57"/>
    </w:pPr>
  </w:style>
  <w:style w:type="paragraph" w:styleId="848">
    <w:name w:val="toc 4"/>
    <w:basedOn w:val="676"/>
    <w:next w:val="676"/>
    <w:uiPriority w:val="39"/>
    <w:unhideWhenUsed/>
    <w:pPr>
      <w:ind w:left="850" w:firstLine="0"/>
      <w:spacing w:after="57"/>
    </w:pPr>
  </w:style>
  <w:style w:type="paragraph" w:styleId="849">
    <w:name w:val="toc 5"/>
    <w:basedOn w:val="676"/>
    <w:next w:val="676"/>
    <w:uiPriority w:val="39"/>
    <w:unhideWhenUsed/>
    <w:pPr>
      <w:ind w:left="1134" w:firstLine="0"/>
      <w:spacing w:after="57"/>
    </w:pPr>
  </w:style>
  <w:style w:type="paragraph" w:styleId="850">
    <w:name w:val="toc 6"/>
    <w:basedOn w:val="676"/>
    <w:next w:val="676"/>
    <w:uiPriority w:val="39"/>
    <w:unhideWhenUsed/>
    <w:pPr>
      <w:ind w:left="1417" w:firstLine="0"/>
      <w:spacing w:after="57"/>
    </w:pPr>
  </w:style>
  <w:style w:type="paragraph" w:styleId="851">
    <w:name w:val="toc 7"/>
    <w:basedOn w:val="676"/>
    <w:next w:val="676"/>
    <w:uiPriority w:val="39"/>
    <w:unhideWhenUsed/>
    <w:pPr>
      <w:ind w:left="1701" w:firstLine="0"/>
      <w:spacing w:after="57"/>
    </w:pPr>
  </w:style>
  <w:style w:type="paragraph" w:styleId="852">
    <w:name w:val="toc 8"/>
    <w:basedOn w:val="676"/>
    <w:next w:val="676"/>
    <w:uiPriority w:val="39"/>
    <w:unhideWhenUsed/>
    <w:pPr>
      <w:ind w:left="1984" w:firstLine="0"/>
      <w:spacing w:after="57"/>
    </w:pPr>
  </w:style>
  <w:style w:type="paragraph" w:styleId="853">
    <w:name w:val="toc 9"/>
    <w:basedOn w:val="676"/>
    <w:next w:val="676"/>
    <w:uiPriority w:val="39"/>
    <w:unhideWhenUsed/>
    <w:pPr>
      <w:ind w:left="2268" w:firstLine="0"/>
      <w:spacing w:after="57"/>
    </w:pPr>
  </w:style>
  <w:style w:type="paragraph" w:styleId="854">
    <w:name w:val="TOC Heading"/>
    <w:uiPriority w:val="39"/>
    <w:unhideWhenUsed/>
  </w:style>
  <w:style w:type="paragraph" w:styleId="855">
    <w:name w:val="table of figures"/>
    <w:basedOn w:val="676"/>
    <w:next w:val="676"/>
    <w:uiPriority w:val="99"/>
    <w:unhideWhenUsed/>
  </w:style>
  <w:style w:type="character" w:styleId="856">
    <w:name w:val="Hyperlink"/>
    <w:basedOn w:val="686"/>
    <w:uiPriority w:val="99"/>
    <w:unhideWhenUsed/>
    <w:rPr>
      <w:color w:val="0563c1" w:themeColor="hyperlink"/>
      <w:u w:val="single"/>
    </w:rPr>
  </w:style>
  <w:style w:type="paragraph" w:styleId="857">
    <w:name w:val="Balloon Text"/>
    <w:basedOn w:val="676"/>
    <w:link w:val="858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58" w:customStyle="1">
    <w:name w:val="Текст выноски Знак"/>
    <w:basedOn w:val="686"/>
    <w:link w:val="857"/>
    <w:uiPriority w:val="99"/>
    <w:semiHidden/>
    <w:rPr>
      <w:rFonts w:ascii="Segoe UI" w:hAnsi="Segoe UI" w:cs="Segoe UI"/>
      <w:sz w:val="18"/>
      <w:szCs w:val="18"/>
    </w:rPr>
  </w:style>
  <w:style w:type="paragraph" w:styleId="859">
    <w:name w:val="List Paragraph"/>
    <w:basedOn w:val="676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rosseti-yug.ru/zakupki/dokumenty-reglamentiruyushchie-zakupochnuyu-deyatelnost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Р7-Офис/2026.1.3.2139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Карина Эдуардовна</dc:creator>
  <cp:keywords/>
  <dc:description/>
  <cp:lastModifiedBy>markovake</cp:lastModifiedBy>
  <cp:revision>46</cp:revision>
  <dcterms:created xsi:type="dcterms:W3CDTF">2024-06-17T10:36:00Z</dcterms:created>
  <dcterms:modified xsi:type="dcterms:W3CDTF">2026-09-28T09:02:53Z</dcterms:modified>
</cp:coreProperties>
</file>