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4"/>
        <w:jc w:val="right"/>
        <w:spacing w:after="0" w:afterAutospacing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к договору №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 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«___»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____20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г.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Техническое задание по проведению обследования объекта информатизации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br/>
        <w:t xml:space="preserve">(АО «Газпром диагностика») в целях реализации проекта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br/>
        <w:t xml:space="preserve">«Концентратор цифровых данных»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Style w:val="969"/>
        <w:numPr>
          <w:ilvl w:val="0"/>
          <w:numId w:val="4"/>
        </w:numPr>
        <w:ind w:firstLine="709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Общие сведения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Сведения о Заказчике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1"/>
        <w:ind w:firstLine="709"/>
        <w:spacing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Заказчик – АО «Газпром диагностика».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Сроки проведения работ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1"/>
        <w:ind w:firstLine="709"/>
        <w:spacing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С даты подписания Договора по 30.12.2026.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Место проведения работ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1"/>
        <w:ind w:firstLine="709"/>
        <w:spacing w:line="240" w:lineRule="auto"/>
        <w:shd w:val="clear" w:color="auto" w:fill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Местом оказания услуг является офис Заказчика по адресу: Российская Федерация, </w:t>
      </w:r>
      <w:r>
        <w:rPr>
          <w:sz w:val="24"/>
          <w:szCs w:val="24"/>
        </w:rPr>
        <w:br/>
        <w:t xml:space="preserve">г. Санкт-Петербург, улица Гренадерская, дом 7 литера 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9"/>
        <w:numPr>
          <w:ilvl w:val="0"/>
          <w:numId w:val="4"/>
        </w:numPr>
        <w:ind w:firstLine="709"/>
        <w:keepLines/>
        <w:keepNext/>
        <w:spacing w:line="240" w:lineRule="auto"/>
        <w:shd w:val="clear" w:color="auto" w:fill="auto"/>
        <w:tabs>
          <w:tab w:val="left" w:pos="426" w:leader="none"/>
        </w:tabs>
        <w:rPr>
          <w:sz w:val="20"/>
          <w:szCs w:val="20"/>
        </w:rPr>
      </w:pPr>
      <w:r>
        <w:rPr>
          <w:sz w:val="24"/>
          <w:szCs w:val="24"/>
        </w:rPr>
        <w:t xml:space="preserve">Цель, результаты проводимых работ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Цель: </w:t>
      </w:r>
      <w:r>
        <w:rPr>
          <w:b w:val="0"/>
          <w:bCs w:val="0"/>
          <w:sz w:val="24"/>
          <w:szCs w:val="24"/>
        </w:rPr>
        <w:t xml:space="preserve">формирование концепции </w:t>
      </w:r>
      <w:r>
        <w:rPr>
          <w:b w:val="0"/>
          <w:bCs w:val="0"/>
          <w:sz w:val="24"/>
          <w:szCs w:val="24"/>
        </w:rPr>
        <w:t xml:space="preserve">программно-аппаратного комплекса «Концентратор цифровых данных»</w:t>
      </w:r>
      <w:r>
        <w:rPr>
          <w:b w:val="0"/>
          <w:bCs w:val="0"/>
          <w:sz w:val="24"/>
          <w:szCs w:val="24"/>
        </w:rPr>
        <w:t xml:space="preserve"> и ее составляющих.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Результаты: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0"/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Пакет документации, подготовленный в соответствии с настоящим Техническим заданием, соответствующий требованиям и стандартам ПАО «Газпром» при обосновании цифровых инициатив.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0"/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Гарантийное обслуживание, включающее корректировку документации и проекта со стороны Исполнителя на период согласования проекта в структурах ПАО «Газпром» (в том числе более 12 месяцев).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1"/>
          <w:numId w:val="4"/>
        </w:numPr>
        <w:ind w:firstLine="709"/>
        <w:spacing w:after="0" w:line="240" w:lineRule="auto"/>
        <w:shd w:val="clear" w:color="auto" w:fill="auto"/>
        <w:tabs>
          <w:tab w:val="left" w:pos="426" w:leader="none"/>
        </w:tabs>
      </w:pPr>
      <w:r>
        <w:rPr>
          <w:sz w:val="24"/>
          <w:szCs w:val="24"/>
        </w:rPr>
        <w:t xml:space="preserve">Требования к Исполнителю</w:t>
      </w:r>
      <w:r/>
    </w:p>
    <w:p>
      <w:pPr>
        <w:pStyle w:val="970"/>
        <w:ind w:left="0" w:firstLine="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</w:rPr>
      </w:pPr>
      <w:r>
        <w:rPr>
          <w:sz w:val="24"/>
          <w:szCs w:val="24"/>
          <w:highlight w:val="none"/>
        </w:rPr>
        <w:tab/>
        <w:tab/>
      </w:r>
      <w:r>
        <w:rPr>
          <w:b w:val="0"/>
          <w:bCs w:val="0"/>
          <w:sz w:val="24"/>
          <w:szCs w:val="24"/>
        </w:rPr>
        <w:t xml:space="preserve">Наличие у Исполнителя компетенций, достаточных для успешного осуществления работ по обследованию и проектированию безопасной серверной и сетевой инфраструктуры: 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70"/>
        <w:numPr>
          <w:ilvl w:val="0"/>
          <w:numId w:val="7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в проектной команде не менее 3-х специалистов, имеющих опыт создания и/или обслуживания Центров обработки данных государственных корпораций, органов власти или государственных предприятий (в связи с политикой импортозамещения);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7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в проектной команде не менее 1-го специалиста, обладающего правом на ведение профессиональной деятельности в сфере Технической защиты информации (сертификация или профессиональная переподготовка);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7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в проектной команде не менее 1-го специалиста, имеющего опыт работы не менее 3-х лет с программно-аппаратными автоматизированными комплексами;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7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  <w:t xml:space="preserve">Исполнитель не может быть компанией, аффилированной с инностранными юридическими лицами, или иметь в руководстве сотрудников, аффилированных с иностранными гражданами.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ind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  <w14:ligatures w14:val="none"/>
        </w:rPr>
      </w:pPr>
      <w:r>
        <w:rPr>
          <w:b w:val="0"/>
          <w:bCs w:val="0"/>
          <w:sz w:val="24"/>
          <w:szCs w:val="24"/>
        </w:rPr>
        <w:t xml:space="preserve">Наличие у Исполнителя компетенций, достаточных для успешного осуществления работ по обследованию и проектированию инфраструктуры в области информационных систем, процессов, приборного сбора данных:</w:t>
      </w:r>
      <w:r>
        <w:rPr>
          <w:b w:val="0"/>
          <w:bCs w:val="0"/>
          <w:sz w:val="24"/>
          <w:szCs w:val="24"/>
          <w14:ligatures w14:val="none"/>
        </w:rPr>
      </w:r>
      <w:r>
        <w:rPr>
          <w:b w:val="0"/>
          <w:bCs w:val="0"/>
          <w:sz w:val="24"/>
          <w:szCs w:val="24"/>
          <w14:ligatures w14:val="none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не менее 3-х реализованных проектов по автоматизации с предприятиями нефтегазовой отрасли (в том числе с компаниями группы «Газпром»);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Наличие не менее 1-го реализованного проекта по сбору и обработке данных;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</w:rPr>
        <w:t xml:space="preserve">Наличие в проектной</w:t>
      </w:r>
      <w:r>
        <w:rPr>
          <w:b w:val="0"/>
          <w:bCs w:val="0"/>
          <w:color w:val="000000"/>
          <w:sz w:val="24"/>
        </w:rPr>
        <w:t xml:space="preserve"> команде не менее 1-го сертифицированного специалиста в области оптимизации быстродействия высоконагруженных систем (например, на технологической платформе «1С: Предприятие 8» с присвоенной квалификацией «1С: Эксперт по технологическим вопросам» или иные);</w:t>
      </w: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</w:rPr>
        <w:t xml:space="preserve">Наличие в проектной команде не менее 1-го сертифицированного специалиста на роль Руководителя проекта с опытом проектного управления не менее 10 лет, с опытом внедрения проектов в области </w:t>
      </w:r>
      <w:r>
        <w:rPr>
          <w:b w:val="0"/>
          <w:bCs w:val="0"/>
          <w:sz w:val="24"/>
          <w:szCs w:val="24"/>
        </w:rPr>
        <w:t xml:space="preserve">автоматизации управления (примеры подтверждающих сертификатов: Управление проектами на основе стандарта ANSI PMI (PMBOK Guide v.7); 1С:Руководитель проектов в области оказания услуг по консалтингу и </w:t>
      </w:r>
      <w:r>
        <w:rPr>
          <w:b w:val="0"/>
          <w:bCs w:val="0"/>
          <w:sz w:val="24"/>
          <w:szCs w:val="24"/>
        </w:rPr>
        <w:t xml:space="preserve">автоматизации управления и учета на базе системы программ «1С:Предприятие»; 1С:Руководитель корпоративных проектов в области оказания комплексных услуг по построению системы управления предприятием на базе программ «1С:Предприятие 8»);</w:t>
      </w: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</w:p>
    <w:p>
      <w:pPr>
        <w:pStyle w:val="970"/>
        <w:numPr>
          <w:ilvl w:val="0"/>
          <w:numId w:val="8"/>
        </w:numPr>
        <w:ind w:left="0" w:firstLine="709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</w:rPr>
        <w:t xml:space="preserve">Наличие в проектной команде не менее 2-х сертифицированных специалистов в области различных видов неразрушающего контроля (в соответствии с ГОСТ Р ИСО 9712-2023, I уровень сертификации «Дефектоскопист», атте</w:t>
      </w:r>
      <w:r>
        <w:rPr>
          <w:b w:val="0"/>
          <w:bCs w:val="0"/>
          <w:color w:val="000000"/>
          <w:sz w:val="24"/>
        </w:rPr>
        <w:t xml:space="preserve">стация по правилам Ростехнадзора (СНК ОПО РОНКТД) для объектов повышенной опасности или в системе СДСПНК РОНКТД (добровольная сертификация)) в целях корректного сбора первичных измерительных данных (примеры: специалисты в области следующих видов контроля: </w:t>
      </w:r>
      <w:r>
        <w:rPr>
          <w:b w:val="0"/>
          <w:bCs w:val="0"/>
          <w:color w:val="000000"/>
          <w:sz w:val="24"/>
        </w:rPr>
        <w:t xml:space="preserve">вихретоковый</w:t>
      </w:r>
      <w:r>
        <w:rPr>
          <w:b w:val="0"/>
          <w:bCs w:val="0"/>
          <w:color w:val="000000"/>
          <w:sz w:val="24"/>
        </w:rPr>
        <w:t xml:space="preserve">, магнитный, капиллярный, радиографический, ультразвуковой, визуальный и измерительный, </w:t>
      </w:r>
      <w:r>
        <w:rPr>
          <w:b w:val="0"/>
          <w:bCs w:val="0"/>
          <w:color w:val="000000"/>
          <w:sz w:val="24"/>
        </w:rPr>
        <w:t xml:space="preserve">вибродиагностический</w:t>
      </w:r>
      <w:r>
        <w:rPr>
          <w:b w:val="0"/>
          <w:bCs w:val="0"/>
          <w:color w:val="000000"/>
          <w:sz w:val="24"/>
        </w:rPr>
        <w:t xml:space="preserve">).</w:t>
      </w: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</w:p>
    <w:p>
      <w:pPr>
        <w:pStyle w:val="97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  <w:r>
        <w:rPr>
          <w:b w:val="0"/>
          <w:bCs w:val="0"/>
          <w:color w:val="000000"/>
          <w:sz w:val="24"/>
          <w:szCs w:val="24"/>
        </w:rPr>
      </w:r>
    </w:p>
    <w:p>
      <w:pPr>
        <w:pStyle w:val="970"/>
        <w:ind w:firstLine="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Допускается наличие у одного специалиста нескольких сертификатов.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ind w:firstLine="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Заказчик оставляет за собой право провести проверку представленных Исполнителем сведений о квалификации (исполненные контракты, проекты) путем направления запросов к заказчикам указанных контрактов/проектов.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0"/>
        <w:spacing w:after="0" w:line="240" w:lineRule="auto"/>
        <w:shd w:val="clear" w:color="auto" w:fill="auto"/>
        <w:tabs>
          <w:tab w:val="left" w:pos="426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Требования к проводимым работам и отчетной документации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Формирование концепции программно-аппаратного комплекса «Концентратор цифровых данных»  (далее – программно-аппаратный комплекс, Система) и ее составляющих включает следующие этапы работ: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стоящих перед АО «Газпром диагностика» задач по автоматизации деятельности в области обработки сырых диагностических данных (а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нализ существующего порядка сбора, хранения, обработки и использования первичных диагностических данных по всем методам неразрушающего контроля (27 наименований) и видам диагностических обследований (148 наименований), а также проектирование будущих задач)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Подготовка целевого видения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 «Концентратор цифровых данных» и его целевых показателей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текущей инфраструктуры АО «Газпром диагностика» (о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бследование существующей технической инфраструктуры, вычислительных ресурсов и систем хранения данных с учетом филиальной структуры АО «Газпром диагностика» на территории Российской Федерации (с оценкой возможности переиспользования)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текущих каналов связи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АО «Газпром диагностика» и инженерной инфраструктуры помещений;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программных продуктов, связанных с обработкой сырых данных;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Анализ возможностей импортозамещения;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решений в области безопасности, связанных с обработкой сырых данных;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Формирование описания концептуальной идеи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создания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«Концентратор цифровых данных»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 учетом проведенной работы;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и подготовка проектных решений по целевой архитектуре с учетом решений в области защиты информации;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Детализация целевой архитектуры программно-аппаратного комплекса с учетом переиспользования существующих мощностей и оборудования;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и подготовка проектных решений по этапам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создания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Разработка и подготовка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плана перехода от существующей децентрализованной схемы к централизованному хранению и обработке данных;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Предварительный расчёт требований к вычислительным ресурсам и мощностям с учетом приборного парка измерительных устройств и его обследования;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Предварительный расчёт стоимости владения соответствующими ресурсами;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Обоснование неделимости программно-аппаратного комплекса с учетом особенностей обработки сырых данных;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общего сметного расчета затрат;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Разработка переченей номенклатурных позиций к закупке в области серверных мощностей, сетей связи, услуг по переоборудованию помещений, работ в области создания информационных систем с учетом импортозамещения;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ценки экономических эффектов от цифровой инициативы, включая влияние на бюджетные показатели,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в соответствии с методологиями ПАО «Газпром»;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numPr>
          <w:ilvl w:val="0"/>
          <w:numId w:val="17"/>
        </w:num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Разработка 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ехнического задания на создание программно-аппаратного комплекса «Концентратор цифровых данных»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первой очереди (или его части – по согласованию с Заказчиком).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pStyle w:val="967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Перечень отчетных документов: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67"/>
        <w:numPr>
          <w:ilvl w:val="0"/>
          <w:numId w:val="36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Концепция программно-аппаратного комплекса «Концентратор цифровых данных»;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36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Техническое задание на создание программно-аппаратного комплекса «Концентратор цифровых данных»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первой очереди.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Концепция программно-аппаратного комплекса «Концентратор цифровых данных» должна включать следующие разделы: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1. Описание концептуальной идеи создания программно-аппаратного комплекса «Концентратор цифровых данных»;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1, 8;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2. Проектные решения по целевой архитектуре программно-аппаратного комплекса «Концентратор цифровых данных»;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1-7, 9-10;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3. Проектные решения по этапам создания программно-аппаратного комплекса «Концентратор цифровых данных»;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11-12, 14;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4. Общий сметный расчет затрат;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15-17;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 5. Оценка экономических эффектов от цифровой инициативы;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18.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Техническое задание на создание программно-аппаратного комплекса «Концентратор цифровых данных» первой очереди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должно включать следующие разделы: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 соответствии с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включает описание результатов работ следующих этапов: 19.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0" w:firstLine="708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Более подробные требования к этапам работ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стоящих перед АО «Газпром диагностика» задач по автоматизации деятельности в области обработки сырых диагностических данных (а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нализ существующего порядка сбора, хранения, обработки и использования первичных диагностических данных по всем методам неразрушающего контроля (27 наименований) и видам диагностических обследований (148 наименований), а также проектирование будущих задач)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изучение действующих регламентов, методик и инструкций, определяющих порядок выполнения диагностических обследований, обработки и хранения первичных данных;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проведение интервью с руководителями и специалистами, ответственными за организацию и выполнение диагностических работ;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анализ фактических данных: структуры папок, форматов файлов, номенклатуры имён, состава метаданных, способов передачи и хранения;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выборочную проверку доступности и полноты первичных данных по отдельным проектам и пропускам (в части магнитограмм);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формирование структурированного описания текущего состояния по каждому из 27 методов неразрушающего контроля с привязкой к 148 видов работ диагностического обследования;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выявление проблем, ограничений и узких мест текущего порядка (утрата данных, отсутствие каталогизации, невозможность повторного использования и др.).</w:t>
      </w:r>
      <w:r/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Охват анализа — полный перечень методов неразрушающего контроля (27 методов) и диагностических приборов/систем (148 позиций), переданный Заказчиком в составе исходных данных.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Подготовка целевого видения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 «Концентратор цифровых данных» и его целевых показателей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разработку целевых показателей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программно-аппаратного комплекса «Концентратор цифровых данных»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соответствующих признакам измеримости и достижимости;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обоснование потребности внедрения соответствующего комплекса.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Комплекс этапов: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текущей инфраструктуры АО «Газпром диагностика» (о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бследование существующей технической инфраструктуры, вычислительных ресурсов и систем хранения данных с учетом филиальной структуры АО «Газпром диагностика» на территории Российской Федерации (с оценкой возможности переиспользования)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текущих каналов связи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АО «Газпром диагностика» и инженерной инфраструктуры помещений;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программных продуктов, связанных с обработкой сырых данных;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Анализ возможностей импортозамещения;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Изучение решений в области безопасности, связанных с обработкой сырых данных.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инвентаризацию серверного оборудования, систем хранения данных (СХД), сетевого оборудования, системного и прикладного программного обеспечения, размещённых в офисах Заказчика;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инвентаризацию хранилища документов и внутренних информационных систем для анализа их технических характеристик и архитектуры;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оценку текущей загрузки вычислительных ресурсов (процессоры, оперативная память, дисковые подсистемы, сетевые каналы) с использованием данных систем мониторинга (при их наличии);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анализ пригодности существующих мощностей для переиспользования в составе нового программно-аппаратного комплекса «Концентратор цифровых данных», включая оценку оставшегося ресурса, совместимости, возможности модернизации;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подготовку заключения о целесообразности и объёмах переиспользования существующих серверов, СХД и сетевой инфраструктуры;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осмотр помещений офисов Заказчика, в которых размещается ИТ-оборудование, на предмет наличия и состояния систем охлаждения, электропитания, пожарной сигнализации, контроля доступа;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анализ соответствия указанных систем верхнеуровневым требованиям законодательства Российской Федерации, ГОСТ, ТУ и иных нормативных правовых актов;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– выявление ограничений, которые могут повлиять на размещение Системы (недостаточная мощность охлаждения, ограничения по энергоснабжению, отсутствие резервирования и др.).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Уровень обследования — верхнеуровневый; разработка проектных решений по инженерной инфраструктуре не входит в состав работ.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анализ Единого реестра российских программ для электронных вычислительных машин и баз данных и единого реестра российской радиоэлектронной продукции на предмет доступных решений, применимых Системы;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расширенный анализ перспективных отечественных решений, не включённых в реестры, но потенциально пригодных для использования;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сравнение отечественных решений с используемыми зарубежными аналогами по функциональным характеристикам, производительности, совместимости, стоимости владения;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оценку применимости и рисков использования импортозамещённых компонентов в составе Системы;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подготовку предварительной таблицы сравнения и рекомендаций по выбору решений.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Приоритет при анализе отдаётся решениям, включённым в указанные реестры.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изучение программных интерфейсов, форматов обмена данными, протоколов и регламентов взаимодействия, используемых у Заказчика, в том числе АСУ ПП (на базе «1С:Предприятие 8.3»), 1С:ERP, проектируемой ЕЦП ДТОиР и комплексов работы с искуственным интеллектом;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анализ готовности указанных систем к интеграции с Системой, включая оценку ограничений по производительности, безопасности и архитектурным особенностям;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взаимодействие с владельцами и администраторами смежных систем для уточнения технических деталей;</w:t>
      </w:r>
      <w:r/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– разработку предварительных интеграционных сценариев для каждой системы, включая состав передаваемых данных, направления обмена, частоту и способы передачи.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Комплекс этапов: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Формирование описания концептуальной идеи создания программно-аппаратного комплекса «Концентратор цифровых данных» с учетом проведенной работы;</w:t>
      </w:r>
      <w:r/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Разработка и подготовка проектных решений по целевой архитектуре с учетом решений в области защиты информации;</w:t>
      </w:r>
      <w:r/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Детализация целевой архитектуры программно-аппаратного комплекса с учетом переиспользования существующих мощностей и оборудования;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 w:firstLine="0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Разработка и подготовка проектных решений по этапам создания программно-аппаратного комплекса;</w:t>
      </w:r>
      <w:r/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Разработка и подготовка плана перехода от существующей децентрализованной схемы к централизованному хранению и обработке данных.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целевую архитектуру комплекса (принципы построения, компоненты, функциональные подсистемы);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модель данных и подходы к хранению первичных диагностических данных;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состав и взаимосвязи функциональных подсистем (приём и верификация данных, архивное хранение, обработка и анализ, администрирование и аудит, интеграционные интерфейсы);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принципы обеспечения масштабируемости, надёжности и информационной безопасности;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обоснованные варианты архитектурных и технических решений для создания Системы;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рекомендации по выбору программных и аппаратных компонентов с учётом импортозамещения;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предложения по составу и этапности последующих работ (2027–2029 годы) с учётом результатов текущих работ;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план перехода от существующей децентрализованной схемы к централизованному хранению и обработке данных.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</w:p>
    <w:p>
      <w:pPr>
        <w:ind w:left="709"/>
        <w:jc w:val="both"/>
        <w:spacing w:after="0" w:line="240" w:lineRule="auto"/>
        <w:rPr>
          <w:highlight w:val="none"/>
          <w:lang w:val="ru-RU"/>
        </w:rPr>
      </w:pPr>
      <w:r>
        <w:rPr>
          <w:highlight w:val="none"/>
          <w:lang w:val="ru-RU"/>
        </w:rPr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Комплекс этапов: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697" w:firstLine="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Предварительный расчёт требований к вычислительным ресурсам и мощностям с учетом приборного парка измерительных устройств и его обследования;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</w:p>
    <w:p>
      <w:pPr>
        <w:ind w:left="697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Предварительный расчёт стоимости владения соответствующими ресурсами.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14:ligatures w14:val="none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оценку суммарных объёмов первичных диагностических данных по всем 27 методам неразрушающего контроля, подлежащих хранению, с учётом прогноза накопления;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определение требований к дисковой подсистеме (ёмкость, производительность, резервирование);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оценку вычислительной нагрузки для обработки данных, включая ресурсоёмкие алгоритмы искусственного интеллекта;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определение требований к процессорам (CPU) и графическим ускорителям (GPU), оперативной памяти;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оценку пропускной способности сетевой инфраструктуры;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  <w14:ligatures w14:val="none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подготовку предварительного расчёта мощностей с учётом переиспользования существующих ресурсов;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предварительный расчёт стоимости владения соответствующими ресурсами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</w:r>
    </w:p>
    <w:p>
      <w:pPr>
        <w:ind w:left="709"/>
        <w:jc w:val="both"/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67"/>
        <w:numPr>
          <w:ilvl w:val="0"/>
          <w:numId w:val="40"/>
        </w:numPr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Разработка оценки экономических эффектов от цифровой инициативы, включая влияние на бюджетные показатели, в соответствии с методологиями </w:t>
        <w:br/>
        <w:t xml:space="preserve">ПАО «Газпром».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left="709" w:firstLine="0"/>
        <w:jc w:val="both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Работы включают: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– 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бор и обработку исходных данных для формирования финансово-экономической модели экономической эффективности реализации инвестиционного проекта;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азработку перечня факторов, влияющих на эффективность автоматизируемых бизнес-процессов и технологических процессов;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азработку финансово-экономической модели в формате электронных таблиц;</w:t>
      </w:r>
      <w:r/>
    </w:p>
    <w:p>
      <w:pPr>
        <w:ind w:left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ценку экономической эффективности реализации инвестиционного проекта, в том числе с определением размера капитальных вложений, внутренней нормы доходности, индекса окупаемости инвестиций, накопленного чистого дисконтированного дохода (интегральный эфф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ект), периода окупаемости инвестиций;</w:t>
      </w:r>
      <w:r/>
    </w:p>
    <w:p>
      <w:pPr>
        <w:ind w:left="709"/>
        <w:jc w:val="both"/>
        <w:spacing w:after="0" w:line="240" w:lineRule="auto"/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– 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  <w:t xml:space="preserve">редставление экономического обоснования инвестиционного проекта вместе с обосновывающими материалами (графическими и расчётно-аналитическими материалами, оценкой эффективности реализации инвестиционного проекта).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 к оформлению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Отчётные документы разрабатываются на русском языке.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Электронные версии документов передаются Заказчику в следующих форматах: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72"/>
        <w:ind w:left="709"/>
        <w:spacing w:line="240" w:lineRule="auto"/>
        <w:rPr>
          <w:rFonts w:eastAsia="Times New Roman"/>
          <w:sz w:val="24"/>
          <w:szCs w:val="24"/>
          <w:lang w:val="ru-RU"/>
          <w14:ligatures w14:val="none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текстовые документы — </w:t>
      </w:r>
      <w:r>
        <w:rPr>
          <w:rFonts w:eastAsia="Times New Roman"/>
          <w:sz w:val="24"/>
          <w:szCs w:val="24"/>
          <w:lang w:val="ru-RU"/>
        </w:rPr>
        <w:t xml:space="preserve">DOCX</w:t>
      </w:r>
      <w:r>
        <w:rPr>
          <w:rFonts w:eastAsia="Times New Roman"/>
          <w:sz w:val="24"/>
          <w:szCs w:val="24"/>
          <w:lang w:val="ru-RU"/>
        </w:rPr>
        <w:t xml:space="preserve"> (редактируемый формат) и </w:t>
      </w:r>
      <w:r>
        <w:rPr>
          <w:rFonts w:eastAsia="Times New Roman"/>
          <w:sz w:val="24"/>
          <w:szCs w:val="24"/>
          <w:lang w:val="ru-RU"/>
        </w:rPr>
        <w:t xml:space="preserve">PDF</w:t>
      </w:r>
      <w:r>
        <w:rPr>
          <w:rFonts w:eastAsia="Times New Roman"/>
          <w:sz w:val="24"/>
          <w:szCs w:val="24"/>
          <w:lang w:val="ru-RU"/>
        </w:rPr>
        <w:t xml:space="preserve"> (для фиксации, в том числе </w:t>
      </w:r>
      <w:r>
        <w:rPr>
          <w:rFonts w:eastAsia="Times New Roman"/>
          <w:sz w:val="24"/>
          <w:szCs w:val="24"/>
          <w:lang w:val="ru-RU"/>
        </w:rPr>
        <w:t xml:space="preserve">несканированные</w:t>
      </w:r>
      <w:r>
        <w:rPr>
          <w:rFonts w:eastAsia="Times New Roman"/>
          <w:sz w:val="24"/>
          <w:szCs w:val="24"/>
          <w:lang w:val="ru-RU"/>
        </w:rPr>
        <w:t xml:space="preserve">, сформированные из исходных файлов);</w:t>
      </w:r>
      <w:r>
        <w:rPr>
          <w:rFonts w:eastAsia="Times New Roman"/>
          <w:sz w:val="24"/>
          <w:szCs w:val="24"/>
          <w:lang w:val="ru-RU"/>
          <w14:ligatures w14:val="none"/>
        </w:rPr>
      </w:r>
      <w:r>
        <w:rPr>
          <w:rFonts w:eastAsia="Times New Roman"/>
          <w:sz w:val="24"/>
          <w:szCs w:val="24"/>
          <w:lang w:val="ru-RU"/>
          <w14:ligatures w14:val="none"/>
        </w:rPr>
      </w:r>
    </w:p>
    <w:p>
      <w:pPr>
        <w:pStyle w:val="972"/>
        <w:ind w:left="709"/>
        <w:spacing w:line="240" w:lineRule="auto"/>
        <w:rPr>
          <w:rFonts w:eastAsia="Times New Roman"/>
          <w:sz w:val="24"/>
          <w:szCs w:val="24"/>
          <w:lang w:val="ru-RU"/>
          <w14:ligatures w14:val="none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табличные документы — </w:t>
      </w:r>
      <w:r>
        <w:rPr>
          <w:rFonts w:eastAsia="Times New Roman"/>
          <w:sz w:val="24"/>
          <w:szCs w:val="24"/>
          <w:lang w:val="ru-RU"/>
        </w:rPr>
        <w:t xml:space="preserve">XLSX</w:t>
      </w:r>
      <w:r>
        <w:rPr>
          <w:rFonts w:eastAsia="Times New Roman"/>
          <w:sz w:val="24"/>
          <w:szCs w:val="24"/>
          <w:lang w:val="ru-RU"/>
        </w:rPr>
        <w:t xml:space="preserve"> (редактируемый формат) и </w:t>
      </w:r>
      <w:r>
        <w:rPr>
          <w:rFonts w:eastAsia="Times New Roman"/>
          <w:sz w:val="24"/>
          <w:szCs w:val="24"/>
          <w:lang w:val="ru-RU"/>
        </w:rPr>
        <w:t xml:space="preserve">PDF</w:t>
      </w:r>
      <w:r>
        <w:rPr>
          <w:rFonts w:eastAsia="Times New Roman"/>
          <w:sz w:val="24"/>
          <w:szCs w:val="24"/>
          <w:lang w:val="ru-RU"/>
        </w:rPr>
        <w:t xml:space="preserve"> (для фиксации, в том числе </w:t>
      </w:r>
      <w:r>
        <w:rPr>
          <w:rFonts w:eastAsia="Times New Roman"/>
          <w:sz w:val="24"/>
          <w:szCs w:val="24"/>
          <w:lang w:val="ru-RU"/>
        </w:rPr>
        <w:t xml:space="preserve">несканированные</w:t>
      </w:r>
      <w:r>
        <w:rPr>
          <w:rFonts w:eastAsia="Times New Roman"/>
          <w:sz w:val="24"/>
          <w:szCs w:val="24"/>
          <w:lang w:val="ru-RU"/>
        </w:rPr>
        <w:t xml:space="preserve">, сформированные из исходных файлов);</w:t>
      </w:r>
      <w:r>
        <w:rPr>
          <w:rFonts w:eastAsia="Times New Roman"/>
          <w:sz w:val="24"/>
          <w:szCs w:val="24"/>
          <w:lang w:val="ru-RU"/>
          <w14:ligatures w14:val="none"/>
        </w:rPr>
      </w:r>
      <w:r>
        <w:rPr>
          <w:rFonts w:eastAsia="Times New Roman"/>
          <w:sz w:val="24"/>
          <w:szCs w:val="24"/>
          <w:lang w:val="ru-RU"/>
          <w14:ligatures w14:val="none"/>
        </w:rPr>
      </w:r>
    </w:p>
    <w:p>
      <w:pPr>
        <w:pStyle w:val="972"/>
        <w:ind w:left="709"/>
        <w:spacing w:line="240" w:lineRule="auto"/>
        <w:rPr>
          <w:rFonts w:eastAsia="Times New Roman"/>
          <w:sz w:val="24"/>
          <w:szCs w:val="24"/>
          <w:lang w:val="ru-RU"/>
          <w14:ligatures w14:val="none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презентации (при наличии) — </w:t>
      </w:r>
      <w:r>
        <w:rPr>
          <w:rFonts w:eastAsia="Times New Roman"/>
          <w:sz w:val="24"/>
          <w:szCs w:val="24"/>
          <w:lang w:val="ru-RU"/>
        </w:rPr>
        <w:t xml:space="preserve">PPTX</w:t>
      </w:r>
      <w:r>
        <w:rPr>
          <w:rFonts w:eastAsia="Times New Roman"/>
          <w:sz w:val="24"/>
          <w:szCs w:val="24"/>
          <w:lang w:val="ru-RU"/>
        </w:rPr>
        <w:t xml:space="preserve">;</w:t>
      </w:r>
      <w:r>
        <w:rPr>
          <w:rFonts w:eastAsia="Times New Roman"/>
          <w:sz w:val="24"/>
          <w:szCs w:val="24"/>
          <w:lang w:val="ru-RU"/>
          <w14:ligatures w14:val="none"/>
        </w:rPr>
      </w:r>
      <w:r>
        <w:rPr>
          <w:rFonts w:eastAsia="Times New Roman"/>
          <w:sz w:val="24"/>
          <w:szCs w:val="24"/>
          <w:lang w:val="ru-RU"/>
          <w14:ligatures w14:val="none"/>
        </w:rPr>
      </w:r>
    </w:p>
    <w:p>
      <w:pPr>
        <w:pStyle w:val="972"/>
        <w:ind w:left="709"/>
        <w:spacing w:line="240" w:lineRule="auto"/>
        <w:rPr>
          <w:rFonts w:eastAsia="Times New Roman"/>
          <w:sz w:val="24"/>
          <w:szCs w:val="24"/>
          <w:lang w:val="ru-RU"/>
          <w14:ligatures w14:val="none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скан-копии бумажных экземпляров — </w:t>
      </w:r>
      <w:r>
        <w:rPr>
          <w:rFonts w:eastAsia="Times New Roman"/>
          <w:sz w:val="24"/>
          <w:szCs w:val="24"/>
          <w:lang w:val="ru-RU"/>
        </w:rPr>
        <w:t xml:space="preserve">PDF</w:t>
      </w:r>
      <w:r>
        <w:rPr>
          <w:rFonts w:eastAsia="Times New Roman"/>
          <w:sz w:val="24"/>
          <w:szCs w:val="24"/>
          <w:lang w:val="ru-RU"/>
        </w:rPr>
        <w:t xml:space="preserve"> (с разрешением не менее 300 </w:t>
      </w:r>
      <w:r>
        <w:rPr>
          <w:rFonts w:eastAsia="Times New Roman"/>
          <w:sz w:val="24"/>
          <w:szCs w:val="24"/>
          <w:lang w:val="ru-RU"/>
        </w:rPr>
        <w:t xml:space="preserve">dpi</w:t>
      </w:r>
      <w:r>
        <w:rPr>
          <w:rFonts w:eastAsia="Times New Roman"/>
          <w:sz w:val="24"/>
          <w:szCs w:val="24"/>
          <w:lang w:val="ru-RU"/>
        </w:rPr>
        <w:t xml:space="preserve">).</w:t>
      </w:r>
      <w:r>
        <w:rPr>
          <w:rFonts w:eastAsia="Times New Roman"/>
          <w:sz w:val="24"/>
          <w:szCs w:val="24"/>
          <w:lang w:val="ru-RU"/>
          <w14:ligatures w14:val="none"/>
        </w:rPr>
      </w:r>
      <w:r>
        <w:rPr>
          <w:rFonts w:eastAsia="Times New Roman"/>
          <w:sz w:val="24"/>
          <w:szCs w:val="24"/>
          <w:lang w:val="ru-RU"/>
          <w14:ligatures w14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Вместе с электронными версиями передаются исходные файлы документов без ограничений на редактирование.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Бумажные версии документов передаются в двух экземплярах, сброшюрованными, заверенными подписью уполномоченного лица Исполнителя и печатью организации.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 к качеству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Отчётные документы должны: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быть полными и соответствовать составу, определённому настоящим Техническим заданием;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содержать достоверную и обоснованную информацию, подтверждённую материалами работ;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не содержать внутренних противоречий;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соответствовать требованиям настоящего Технического задания и исходным данным;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ind w:left="709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обеспечивать возможность проверки сделанных выводов и рекомендаций.</w:t>
      </w:r>
      <w:r>
        <w:rPr>
          <w:lang w:val="ru-RU"/>
        </w:rPr>
      </w:r>
      <w:r>
        <w:rPr>
          <w:lang w:val="ru-RU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Порядок выполнения работ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 начала работ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сполнитель согласовывает с Заказчиком план-график проведения работ, включающий перечень запрашиваемых документов, состав опросных листов, перечень ролей и подразделений Заказчика для интервью, а также порядок доступа к информационным системам и помещениям.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Проекты отчётных документов (разделов Концепции и проекта Технического задания) подлежат рассмотрению и согласованию с Заказчиком.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7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 к безопасности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 выполнении работ обязательно выполнение всех требований следующих локальных нормативно-правовых актов: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Политика информационной безопасности АО «Газпром диагностика», утвержденная Приказом № 235 от 06.12.2022 (с учетом всех изменений);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Политика информационной безопасности локальной вычислительной сети АО «Газпром диагностика», утвержденная Приказом № 68 от 18.05.2021 (с учетом всех изменений);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Положение о режиме коммерческой тайны в АО «Газпром диагностика», утвержденное Приказом № 9 от 14.08.2020 (с учетом всех изменений);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Положение об обработке персональных данных в АО «Газпром диагностика», утвержденное Приказом № 131 от 31.08.2021 (с учетом всех изменений);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 технические решения в части информационной безопасности должны быть согласованы со Службой корпоративной защиты АО «Газпром диагностика».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Все выявленные Заказчиком уязвимости и несоответствия требованиям информационной безопасности, возникшие по вине Исполнителя в период исполнения Договора и в течение 12 месяцев после периода Договора, должны быть устранены Исполнителем за свой счет.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Согласование промежуточных результатов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Проекты отчётных документов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передаются Исполнителем Заказчику на согласование по мере их готовности. Заказчик рассматривает представленные документы в течение 10 (десяти) рабочих дней с даты получения и направляет Исполнителю решение о согласовании либо перечень замечаний.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8"/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Приёмочные мероприятия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завершении работ Исполнитель передаёт Заказчику итоговый комплект отчётных документов,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Заказчик организует приёмочную экспертизу, включающую: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проверку комплектности представленных документов;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проверку соответствия содержания документов требованиям </w:t>
      </w:r>
      <w:r>
        <w:rPr>
          <w:rFonts w:eastAsia="Times New Roman"/>
          <w:sz w:val="24"/>
          <w:szCs w:val="24"/>
          <w:lang w:val="ru-RU"/>
        </w:rPr>
        <w:t xml:space="preserve">настоящего Технического задания;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оценку соответствия разработанной Концепции Системы и Технического задания исходным данными требованиям ГОСТ 34;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экспертизу обоснованности архитектурных решений, выводов и рекомендаций;</w:t>
      </w:r>
      <w:r>
        <w:rPr>
          <w:lang w:val="ru-RU"/>
        </w:rPr>
      </w:r>
      <w:r>
        <w:rPr>
          <w:lang w:val="ru-RU"/>
        </w:rPr>
      </w:r>
    </w:p>
    <w:p>
      <w:pPr>
        <w:pStyle w:val="972"/>
        <w:spacing w:line="240" w:lineRule="auto"/>
        <w:rPr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–</w:t>
      </w:r>
      <w:r>
        <w:rPr>
          <w:rFonts w:eastAsia="Times New Roman"/>
          <w:sz w:val="24"/>
          <w:szCs w:val="24"/>
          <w:lang w:val="ru-RU"/>
        </w:rPr>
        <w:tab/>
        <w:t xml:space="preserve">проверку наличия согласованных проектов отчётных документов (промежуточных результатов).</w:t>
      </w:r>
      <w:r>
        <w:rPr>
          <w:lang w:val="ru-RU"/>
        </w:rPr>
      </w:r>
      <w:r>
        <w:rPr>
          <w:lang w:val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Рекомендуемая форма предварительного расчёта мощностей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8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Требования к вычислительным ресурсам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22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>
        <w:tblPrEx/>
        <w:trPr>
          <w:tblHeader/>
        </w:trPr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Компонент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Текущая потребность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Рекомендуемое 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Обоснование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CPU (ядра, тактовая частота)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GPU (тип, количество, объём памяти)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Оперативная память (ГБ)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Дисковая подсистема: ёмкость (ТБ)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Дисковая подсистема: IOPS / пропускная 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Сетевая инфраструктура (Гбит/с)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8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Переиспользование существующих мощностей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22"/>
        <w:tblW w:w="5000" w:type="pct"/>
        <w:tblLook w:val="04A0" w:firstRow="1" w:lastRow="0" w:firstColumn="1" w:lastColumn="0" w:noHBand="0" w:noVBand="1"/>
      </w:tblPr>
      <w:tblGrid>
        <w:gridCol w:w="2289"/>
        <w:gridCol w:w="2289"/>
        <w:gridCol w:w="2478"/>
        <w:gridCol w:w="2289"/>
      </w:tblGrid>
      <w:tr>
        <w:tblPrEx/>
        <w:trPr>
          <w:tblHeader/>
        </w:trPr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Характеристики существующего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Возможность переиспользования (да/нет/частично)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Обоснование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Серверы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СХД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Сетевое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789"/>
        <w:jc w:val="both"/>
        <w:spacing w:after="0" w:line="240" w:lineRule="auto"/>
        <w:rPr>
          <w:rFonts w:ascii="Times New Roman" w:hAnsi="Times New Roman" w:cs="Times New Roman"/>
        </w:rPr>
      </w:pPr>
      <w:r/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  <w:t xml:space="preserve">Оценка совокупной стоимости владения (ТСО)</w:t>
      </w:r>
      <w:bookmarkEnd w:id="0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22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>
        <w:tblPrEx/>
        <w:trPr>
          <w:tblHeader/>
        </w:trPr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Статья затрат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CAPEX (капитальные затраты),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OPEX (операционные затраты), руб./год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Обоснование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Серверное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СХД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Сетевое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Программное обеспечение (лицензии)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Инженерная инфраструктура (дооборудование)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Внедрение и интеграция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Обучение персонала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Техническая поддержка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Электроэнергия и охлаждение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Прочее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Примечание: предварительная оценка ТСО выполняется на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основе данных, полученных в ходе работ, и используется для формирования концепции и предложений по этапности. Точный расчёт ТСО осуществляется на последующих этапах (при подготовке Технического задание на создание Системы и проектировании).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Формы могут быть изменены по согласованию с Заказчиком.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8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81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hint="default"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9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57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12"/>
  </w:num>
  <w:num w:numId="5">
    <w:abstractNumId w:val="7"/>
  </w:num>
  <w:num w:numId="6">
    <w:abstractNumId w:val="4"/>
  </w:num>
  <w:num w:numId="7">
    <w:abstractNumId w:val="9"/>
  </w:num>
  <w:num w:numId="8">
    <w:abstractNumId w:val="11"/>
  </w:num>
  <w:num w:numId="9">
    <w:abstractNumId w:val="6"/>
  </w:num>
  <w:num w:numId="10">
    <w:abstractNumId w:val="2"/>
  </w:num>
  <w:num w:numId="11">
    <w:abstractNumId w:val="5"/>
  </w:num>
  <w:num w:numId="12">
    <w:abstractNumId w:val="0"/>
  </w:num>
  <w:num w:numId="13">
    <w:abstractNumId w:val="1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8">
    <w:name w:val="Heading 1 Char"/>
    <w:basedOn w:val="796"/>
    <w:link w:val="787"/>
    <w:uiPriority w:val="9"/>
    <w:rPr>
      <w:rFonts w:ascii="Arial" w:hAnsi="Arial" w:eastAsia="Arial" w:cs="Arial"/>
      <w:sz w:val="40"/>
      <w:szCs w:val="40"/>
    </w:rPr>
  </w:style>
  <w:style w:type="character" w:styleId="769">
    <w:name w:val="Heading 2 Char"/>
    <w:basedOn w:val="796"/>
    <w:link w:val="788"/>
    <w:uiPriority w:val="9"/>
    <w:rPr>
      <w:rFonts w:ascii="Arial" w:hAnsi="Arial" w:eastAsia="Arial" w:cs="Arial"/>
      <w:sz w:val="34"/>
    </w:rPr>
  </w:style>
  <w:style w:type="character" w:styleId="770">
    <w:name w:val="Heading 3 Char"/>
    <w:basedOn w:val="796"/>
    <w:link w:val="789"/>
    <w:uiPriority w:val="9"/>
    <w:rPr>
      <w:rFonts w:ascii="Arial" w:hAnsi="Arial" w:eastAsia="Arial" w:cs="Arial"/>
      <w:sz w:val="30"/>
      <w:szCs w:val="30"/>
    </w:rPr>
  </w:style>
  <w:style w:type="character" w:styleId="771">
    <w:name w:val="Heading 4 Char"/>
    <w:basedOn w:val="796"/>
    <w:link w:val="790"/>
    <w:uiPriority w:val="9"/>
    <w:rPr>
      <w:rFonts w:ascii="Arial" w:hAnsi="Arial" w:eastAsia="Arial" w:cs="Arial"/>
      <w:b/>
      <w:bCs/>
      <w:sz w:val="26"/>
      <w:szCs w:val="26"/>
    </w:rPr>
  </w:style>
  <w:style w:type="character" w:styleId="772">
    <w:name w:val="Heading 5 Char"/>
    <w:basedOn w:val="796"/>
    <w:link w:val="791"/>
    <w:uiPriority w:val="9"/>
    <w:rPr>
      <w:rFonts w:ascii="Arial" w:hAnsi="Arial" w:eastAsia="Arial" w:cs="Arial"/>
      <w:b/>
      <w:bCs/>
      <w:sz w:val="24"/>
      <w:szCs w:val="24"/>
    </w:rPr>
  </w:style>
  <w:style w:type="character" w:styleId="773">
    <w:name w:val="Heading 6 Char"/>
    <w:basedOn w:val="796"/>
    <w:link w:val="792"/>
    <w:uiPriority w:val="9"/>
    <w:rPr>
      <w:rFonts w:ascii="Arial" w:hAnsi="Arial" w:eastAsia="Arial" w:cs="Arial"/>
      <w:b/>
      <w:bCs/>
      <w:sz w:val="22"/>
      <w:szCs w:val="22"/>
    </w:rPr>
  </w:style>
  <w:style w:type="character" w:styleId="774">
    <w:name w:val="Heading 7 Char"/>
    <w:basedOn w:val="796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5">
    <w:name w:val="Heading 8 Char"/>
    <w:basedOn w:val="796"/>
    <w:link w:val="794"/>
    <w:uiPriority w:val="9"/>
    <w:rPr>
      <w:rFonts w:ascii="Arial" w:hAnsi="Arial" w:eastAsia="Arial" w:cs="Arial"/>
      <w:i/>
      <w:iCs/>
      <w:sz w:val="22"/>
      <w:szCs w:val="22"/>
    </w:rPr>
  </w:style>
  <w:style w:type="character" w:styleId="776">
    <w:name w:val="Heading 9 Char"/>
    <w:basedOn w:val="796"/>
    <w:link w:val="795"/>
    <w:uiPriority w:val="9"/>
    <w:rPr>
      <w:rFonts w:ascii="Arial" w:hAnsi="Arial" w:eastAsia="Arial" w:cs="Arial"/>
      <w:i/>
      <w:iCs/>
      <w:sz w:val="21"/>
      <w:szCs w:val="21"/>
    </w:rPr>
  </w:style>
  <w:style w:type="character" w:styleId="777">
    <w:name w:val="Title Char"/>
    <w:basedOn w:val="796"/>
    <w:link w:val="808"/>
    <w:uiPriority w:val="10"/>
    <w:rPr>
      <w:sz w:val="48"/>
      <w:szCs w:val="48"/>
    </w:rPr>
  </w:style>
  <w:style w:type="character" w:styleId="778">
    <w:name w:val="Subtitle Char"/>
    <w:basedOn w:val="796"/>
    <w:link w:val="810"/>
    <w:uiPriority w:val="11"/>
    <w:rPr>
      <w:sz w:val="24"/>
      <w:szCs w:val="24"/>
    </w:rPr>
  </w:style>
  <w:style w:type="character" w:styleId="779">
    <w:name w:val="Quote Char"/>
    <w:link w:val="812"/>
    <w:uiPriority w:val="29"/>
    <w:rPr>
      <w:i/>
    </w:rPr>
  </w:style>
  <w:style w:type="character" w:styleId="780">
    <w:name w:val="Intense Quote Char"/>
    <w:link w:val="814"/>
    <w:uiPriority w:val="30"/>
    <w:rPr>
      <w:i/>
    </w:rPr>
  </w:style>
  <w:style w:type="character" w:styleId="781">
    <w:name w:val="Header Char"/>
    <w:basedOn w:val="796"/>
    <w:link w:val="816"/>
    <w:uiPriority w:val="99"/>
  </w:style>
  <w:style w:type="character" w:styleId="782">
    <w:name w:val="Footer Char"/>
    <w:basedOn w:val="796"/>
    <w:link w:val="818"/>
    <w:uiPriority w:val="99"/>
  </w:style>
  <w:style w:type="character" w:styleId="783">
    <w:name w:val="Caption Char"/>
    <w:basedOn w:val="796"/>
    <w:link w:val="820"/>
    <w:uiPriority w:val="35"/>
    <w:rPr>
      <w:b/>
      <w:bCs/>
      <w:color w:val="4f81bd" w:themeColor="accent1"/>
      <w:sz w:val="18"/>
      <w:szCs w:val="18"/>
    </w:rPr>
  </w:style>
  <w:style w:type="character" w:styleId="784">
    <w:name w:val="Footnote Text Char"/>
    <w:link w:val="949"/>
    <w:uiPriority w:val="99"/>
    <w:rPr>
      <w:sz w:val="18"/>
    </w:rPr>
  </w:style>
  <w:style w:type="character" w:styleId="785">
    <w:name w:val="Endnote Text Char"/>
    <w:link w:val="952"/>
    <w:uiPriority w:val="99"/>
    <w:rPr>
      <w:sz w:val="20"/>
    </w:rPr>
  </w:style>
  <w:style w:type="paragraph" w:styleId="786" w:default="1">
    <w:name w:val="Normal"/>
    <w:qFormat/>
  </w:style>
  <w:style w:type="paragraph" w:styleId="787">
    <w:name w:val="Heading 1"/>
    <w:basedOn w:val="786"/>
    <w:next w:val="786"/>
    <w:link w:val="79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88">
    <w:name w:val="Heading 2"/>
    <w:basedOn w:val="786"/>
    <w:next w:val="786"/>
    <w:link w:val="80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89">
    <w:name w:val="Heading 3"/>
    <w:basedOn w:val="786"/>
    <w:next w:val="786"/>
    <w:link w:val="80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90">
    <w:name w:val="Heading 4"/>
    <w:basedOn w:val="786"/>
    <w:next w:val="786"/>
    <w:link w:val="80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1">
    <w:name w:val="Heading 5"/>
    <w:basedOn w:val="786"/>
    <w:next w:val="786"/>
    <w:link w:val="80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92">
    <w:name w:val="Heading 6"/>
    <w:basedOn w:val="786"/>
    <w:next w:val="786"/>
    <w:link w:val="80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93">
    <w:name w:val="Heading 7"/>
    <w:basedOn w:val="786"/>
    <w:next w:val="786"/>
    <w:link w:val="80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94">
    <w:name w:val="Heading 8"/>
    <w:basedOn w:val="786"/>
    <w:next w:val="786"/>
    <w:link w:val="80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95">
    <w:name w:val="Heading 9"/>
    <w:basedOn w:val="786"/>
    <w:next w:val="786"/>
    <w:link w:val="80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6" w:default="1">
    <w:name w:val="Default Paragraph Font"/>
    <w:uiPriority w:val="1"/>
    <w:semiHidden/>
    <w:unhideWhenUsed/>
  </w:style>
  <w:style w:type="table" w:styleId="7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8" w:default="1">
    <w:name w:val="No List"/>
    <w:uiPriority w:val="99"/>
    <w:semiHidden/>
    <w:unhideWhenUsed/>
  </w:style>
  <w:style w:type="character" w:styleId="799" w:customStyle="1">
    <w:name w:val="Заголовок 1 Знак"/>
    <w:link w:val="787"/>
    <w:uiPriority w:val="9"/>
    <w:rPr>
      <w:rFonts w:ascii="Arial" w:hAnsi="Arial" w:eastAsia="Arial" w:cs="Arial"/>
      <w:sz w:val="40"/>
      <w:szCs w:val="40"/>
    </w:rPr>
  </w:style>
  <w:style w:type="character" w:styleId="800" w:customStyle="1">
    <w:name w:val="Заголовок 2 Знак"/>
    <w:link w:val="788"/>
    <w:uiPriority w:val="9"/>
    <w:rPr>
      <w:rFonts w:ascii="Arial" w:hAnsi="Arial" w:eastAsia="Arial" w:cs="Arial"/>
      <w:sz w:val="34"/>
    </w:rPr>
  </w:style>
  <w:style w:type="character" w:styleId="801" w:customStyle="1">
    <w:name w:val="Заголовок 3 Знак"/>
    <w:link w:val="789"/>
    <w:uiPriority w:val="9"/>
    <w:rPr>
      <w:rFonts w:ascii="Arial" w:hAnsi="Arial" w:eastAsia="Arial" w:cs="Arial"/>
      <w:sz w:val="30"/>
      <w:szCs w:val="30"/>
    </w:rPr>
  </w:style>
  <w:style w:type="character" w:styleId="802" w:customStyle="1">
    <w:name w:val="Заголовок 4 Знак"/>
    <w:link w:val="790"/>
    <w:uiPriority w:val="9"/>
    <w:rPr>
      <w:rFonts w:ascii="Arial" w:hAnsi="Arial" w:eastAsia="Arial" w:cs="Arial"/>
      <w:b/>
      <w:bCs/>
      <w:sz w:val="26"/>
      <w:szCs w:val="26"/>
    </w:rPr>
  </w:style>
  <w:style w:type="character" w:styleId="803" w:customStyle="1">
    <w:name w:val="Заголовок 5 Знак"/>
    <w:link w:val="791"/>
    <w:uiPriority w:val="9"/>
    <w:rPr>
      <w:rFonts w:ascii="Arial" w:hAnsi="Arial" w:eastAsia="Arial" w:cs="Arial"/>
      <w:b/>
      <w:bCs/>
      <w:sz w:val="24"/>
      <w:szCs w:val="24"/>
    </w:rPr>
  </w:style>
  <w:style w:type="character" w:styleId="804" w:customStyle="1">
    <w:name w:val="Заголовок 6 Знак"/>
    <w:link w:val="792"/>
    <w:uiPriority w:val="9"/>
    <w:rPr>
      <w:rFonts w:ascii="Arial" w:hAnsi="Arial" w:eastAsia="Arial" w:cs="Arial"/>
      <w:b/>
      <w:bCs/>
      <w:sz w:val="22"/>
      <w:szCs w:val="22"/>
    </w:rPr>
  </w:style>
  <w:style w:type="character" w:styleId="805" w:customStyle="1">
    <w:name w:val="Заголовок 7 Знак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6" w:customStyle="1">
    <w:name w:val="Заголовок 8 Знак"/>
    <w:link w:val="794"/>
    <w:uiPriority w:val="9"/>
    <w:rPr>
      <w:rFonts w:ascii="Arial" w:hAnsi="Arial" w:eastAsia="Arial" w:cs="Arial"/>
      <w:i/>
      <w:iCs/>
      <w:sz w:val="22"/>
      <w:szCs w:val="22"/>
    </w:rPr>
  </w:style>
  <w:style w:type="character" w:styleId="807" w:customStyle="1">
    <w:name w:val="Заголовок 9 Знак"/>
    <w:link w:val="795"/>
    <w:uiPriority w:val="9"/>
    <w:rPr>
      <w:rFonts w:ascii="Arial" w:hAnsi="Arial" w:eastAsia="Arial" w:cs="Arial"/>
      <w:i/>
      <w:iCs/>
      <w:sz w:val="21"/>
      <w:szCs w:val="21"/>
    </w:rPr>
  </w:style>
  <w:style w:type="paragraph" w:styleId="808">
    <w:name w:val="Title"/>
    <w:basedOn w:val="786"/>
    <w:next w:val="786"/>
    <w:link w:val="809"/>
    <w:uiPriority w:val="10"/>
    <w:qFormat/>
    <w:pPr>
      <w:contextualSpacing/>
      <w:spacing w:before="300"/>
    </w:pPr>
    <w:rPr>
      <w:sz w:val="48"/>
      <w:szCs w:val="48"/>
    </w:rPr>
  </w:style>
  <w:style w:type="character" w:styleId="809" w:customStyle="1">
    <w:name w:val="Заголовок Знак"/>
    <w:link w:val="808"/>
    <w:uiPriority w:val="10"/>
    <w:rPr>
      <w:sz w:val="48"/>
      <w:szCs w:val="48"/>
    </w:rPr>
  </w:style>
  <w:style w:type="paragraph" w:styleId="810">
    <w:name w:val="Subtitle"/>
    <w:basedOn w:val="786"/>
    <w:next w:val="786"/>
    <w:link w:val="811"/>
    <w:uiPriority w:val="11"/>
    <w:qFormat/>
    <w:pPr>
      <w:spacing w:before="200"/>
    </w:pPr>
    <w:rPr>
      <w:sz w:val="24"/>
      <w:szCs w:val="24"/>
    </w:rPr>
  </w:style>
  <w:style w:type="character" w:styleId="811" w:customStyle="1">
    <w:name w:val="Подзаголовок Знак"/>
    <w:link w:val="810"/>
    <w:uiPriority w:val="11"/>
    <w:rPr>
      <w:sz w:val="24"/>
      <w:szCs w:val="24"/>
    </w:rPr>
  </w:style>
  <w:style w:type="paragraph" w:styleId="812">
    <w:name w:val="Quote"/>
    <w:basedOn w:val="786"/>
    <w:next w:val="786"/>
    <w:link w:val="813"/>
    <w:uiPriority w:val="29"/>
    <w:qFormat/>
    <w:pPr>
      <w:ind w:left="720" w:right="720"/>
    </w:pPr>
    <w:rPr>
      <w:i/>
    </w:rPr>
  </w:style>
  <w:style w:type="character" w:styleId="813" w:customStyle="1">
    <w:name w:val="Цитата 2 Знак"/>
    <w:link w:val="812"/>
    <w:uiPriority w:val="29"/>
    <w:rPr>
      <w:i/>
    </w:rPr>
  </w:style>
  <w:style w:type="paragraph" w:styleId="814">
    <w:name w:val="Intense Quote"/>
    <w:basedOn w:val="786"/>
    <w:next w:val="786"/>
    <w:link w:val="81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5" w:customStyle="1">
    <w:name w:val="Выделенная цитата Знак"/>
    <w:link w:val="814"/>
    <w:uiPriority w:val="30"/>
    <w:rPr>
      <w:i/>
    </w:rPr>
  </w:style>
  <w:style w:type="paragraph" w:styleId="816">
    <w:name w:val="Header"/>
    <w:basedOn w:val="786"/>
    <w:link w:val="8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17" w:customStyle="1">
    <w:name w:val="Верхний колонтитул Знак"/>
    <w:link w:val="816"/>
    <w:uiPriority w:val="99"/>
  </w:style>
  <w:style w:type="paragraph" w:styleId="818">
    <w:name w:val="Footer"/>
    <w:basedOn w:val="786"/>
    <w:link w:val="8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19" w:customStyle="1">
    <w:name w:val="Нижний колонтитул Знак"/>
    <w:link w:val="818"/>
    <w:uiPriority w:val="99"/>
  </w:style>
  <w:style w:type="paragraph" w:styleId="820">
    <w:name w:val="Caption"/>
    <w:basedOn w:val="786"/>
    <w:next w:val="786"/>
    <w:link w:val="821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821" w:customStyle="1">
    <w:name w:val="Название объекта Знак"/>
    <w:link w:val="820"/>
    <w:uiPriority w:val="35"/>
    <w:rPr>
      <w:b/>
      <w:bCs/>
      <w:color w:val="5b9bd5" w:themeColor="accent1"/>
      <w:sz w:val="18"/>
      <w:szCs w:val="18"/>
    </w:rPr>
  </w:style>
  <w:style w:type="table" w:styleId="822">
    <w:name w:val="Table Grid"/>
    <w:basedOn w:val="79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3" w:customStyle="1">
    <w:name w:val="Table Grid Light"/>
    <w:basedOn w:val="79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4">
    <w:name w:val="Plain Table 1"/>
    <w:basedOn w:val="79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5">
    <w:name w:val="Plain Table 2"/>
    <w:basedOn w:val="79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6">
    <w:name w:val="Plain Table 3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7">
    <w:name w:val="Plain Table 4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Plain Table 5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9">
    <w:name w:val="Grid Table 1 Light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Grid Table 1 Light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1 Light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2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3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4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1" w:customStyle="1">
    <w:name w:val="Grid Table 4 - Accent 1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52" w:customStyle="1">
    <w:name w:val="Grid Table 4 - Accent 2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3" w:customStyle="1">
    <w:name w:val="Grid Table 4 - Accent 3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54" w:customStyle="1">
    <w:name w:val="Grid Table 4 - Accent 4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55" w:customStyle="1">
    <w:name w:val="Grid Table 4 - Accent 5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56" w:customStyle="1">
    <w:name w:val="Grid Table 4 - Accent 6"/>
    <w:basedOn w:val="7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57">
    <w:name w:val="Grid Table 5 Dark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5 Dark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64">
    <w:name w:val="Grid Table 6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5" w:customStyle="1">
    <w:name w:val="Grid Table 6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66" w:customStyle="1">
    <w:name w:val="Grid Table 6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67" w:customStyle="1">
    <w:name w:val="Grid Table 6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68" w:customStyle="1">
    <w:name w:val="Grid Table 6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69" w:customStyle="1">
    <w:name w:val="Grid Table 6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0" w:customStyle="1">
    <w:name w:val="Grid Table 6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1">
    <w:name w:val="Grid Table 7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7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7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1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2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3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4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5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1 Light - Accent 6"/>
    <w:basedOn w:val="7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89" w:customStyle="1">
    <w:name w:val="List Table 2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91" w:customStyle="1">
    <w:name w:val="List Table 2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92">
    <w:name w:val="List Table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3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3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4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5 Dark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 w:customStyle="1">
    <w:name w:val="List Table 5 Dark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1" w:customStyle="1">
    <w:name w:val="List Table 5 Dark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2" w:customStyle="1">
    <w:name w:val="List Table 5 Dark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>
    <w:name w:val="List Table 6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4" w:customStyle="1">
    <w:name w:val="List Table 6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15" w:customStyle="1">
    <w:name w:val="List Table 6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16" w:customStyle="1">
    <w:name w:val="List Table 6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17" w:customStyle="1">
    <w:name w:val="List Table 6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18" w:customStyle="1">
    <w:name w:val="List Table 6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19" w:customStyle="1">
    <w:name w:val="List Table 6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20">
    <w:name w:val="List Table 7 Colorful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7 Colorful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7 Colorful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ned - Accent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8" w:customStyle="1">
    <w:name w:val="Lined - Accent 1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29" w:customStyle="1">
    <w:name w:val="Lined - Accent 2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0" w:customStyle="1">
    <w:name w:val="Lined - Accent 3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1" w:customStyle="1">
    <w:name w:val="Lined - Accent 4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2" w:customStyle="1">
    <w:name w:val="Lined - Accent 5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3" w:customStyle="1">
    <w:name w:val="Lined - Accent 6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34" w:customStyle="1">
    <w:name w:val="Bordered &amp; Lined - Accent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5" w:customStyle="1">
    <w:name w:val="Bordered &amp; Lined - Accent 1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6" w:customStyle="1">
    <w:name w:val="Bordered &amp; Lined - Accent 2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7" w:customStyle="1">
    <w:name w:val="Bordered &amp; Lined - Accent 3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8" w:customStyle="1">
    <w:name w:val="Bordered &amp; Lined - Accent 4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9" w:customStyle="1">
    <w:name w:val="Bordered &amp; Lined - Accent 5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40" w:customStyle="1">
    <w:name w:val="Bordered &amp; Lined - Accent 6"/>
    <w:basedOn w:val="79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1" w:customStyle="1">
    <w:name w:val="Bordered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2" w:customStyle="1">
    <w:name w:val="Bordered - Accent 1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3" w:customStyle="1">
    <w:name w:val="Bordered - Accent 2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44" w:customStyle="1">
    <w:name w:val="Bordered - Accent 3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45" w:customStyle="1">
    <w:name w:val="Bordered - Accent 4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46" w:customStyle="1">
    <w:name w:val="Bordered - Accent 5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47" w:customStyle="1">
    <w:name w:val="Bordered - Accent 6"/>
    <w:basedOn w:val="7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48">
    <w:name w:val="Hyperlink"/>
    <w:uiPriority w:val="99"/>
    <w:unhideWhenUsed/>
    <w:rPr>
      <w:color w:val="0563c1" w:themeColor="hyperlink"/>
      <w:u w:val="single"/>
    </w:rPr>
  </w:style>
  <w:style w:type="paragraph" w:styleId="949">
    <w:name w:val="footnote text"/>
    <w:basedOn w:val="786"/>
    <w:link w:val="950"/>
    <w:uiPriority w:val="99"/>
    <w:semiHidden/>
    <w:unhideWhenUsed/>
    <w:pPr>
      <w:spacing w:after="40" w:line="240" w:lineRule="auto"/>
    </w:pPr>
    <w:rPr>
      <w:sz w:val="18"/>
    </w:rPr>
  </w:style>
  <w:style w:type="character" w:styleId="950" w:customStyle="1">
    <w:name w:val="Текст сноски Знак"/>
    <w:link w:val="949"/>
    <w:uiPriority w:val="99"/>
    <w:rPr>
      <w:sz w:val="18"/>
    </w:rPr>
  </w:style>
  <w:style w:type="character" w:styleId="951">
    <w:name w:val="footnote reference"/>
    <w:uiPriority w:val="99"/>
    <w:unhideWhenUsed/>
    <w:rPr>
      <w:vertAlign w:val="superscript"/>
    </w:rPr>
  </w:style>
  <w:style w:type="paragraph" w:styleId="952">
    <w:name w:val="endnote text"/>
    <w:basedOn w:val="786"/>
    <w:link w:val="953"/>
    <w:uiPriority w:val="99"/>
    <w:semiHidden/>
    <w:unhideWhenUsed/>
    <w:pPr>
      <w:spacing w:after="0" w:line="240" w:lineRule="auto"/>
    </w:pPr>
    <w:rPr>
      <w:sz w:val="20"/>
    </w:rPr>
  </w:style>
  <w:style w:type="character" w:styleId="953" w:customStyle="1">
    <w:name w:val="Текст концевой сноски Знак"/>
    <w:link w:val="952"/>
    <w:uiPriority w:val="99"/>
    <w:rPr>
      <w:sz w:val="20"/>
    </w:rPr>
  </w:style>
  <w:style w:type="character" w:styleId="954">
    <w:name w:val="endnote reference"/>
    <w:uiPriority w:val="99"/>
    <w:semiHidden/>
    <w:unhideWhenUsed/>
    <w:rPr>
      <w:vertAlign w:val="superscript"/>
    </w:rPr>
  </w:style>
  <w:style w:type="paragraph" w:styleId="955">
    <w:name w:val="toc 1"/>
    <w:basedOn w:val="786"/>
    <w:next w:val="786"/>
    <w:uiPriority w:val="39"/>
    <w:unhideWhenUsed/>
    <w:pPr>
      <w:spacing w:after="57"/>
    </w:pPr>
  </w:style>
  <w:style w:type="paragraph" w:styleId="956">
    <w:name w:val="toc 2"/>
    <w:basedOn w:val="786"/>
    <w:next w:val="786"/>
    <w:uiPriority w:val="39"/>
    <w:unhideWhenUsed/>
    <w:pPr>
      <w:ind w:left="283"/>
      <w:spacing w:after="57"/>
    </w:pPr>
  </w:style>
  <w:style w:type="paragraph" w:styleId="957">
    <w:name w:val="toc 3"/>
    <w:basedOn w:val="786"/>
    <w:next w:val="786"/>
    <w:uiPriority w:val="39"/>
    <w:unhideWhenUsed/>
    <w:pPr>
      <w:ind w:left="567"/>
      <w:spacing w:after="57"/>
    </w:pPr>
  </w:style>
  <w:style w:type="paragraph" w:styleId="958">
    <w:name w:val="toc 4"/>
    <w:basedOn w:val="786"/>
    <w:next w:val="786"/>
    <w:uiPriority w:val="39"/>
    <w:unhideWhenUsed/>
    <w:pPr>
      <w:ind w:left="850"/>
      <w:spacing w:after="57"/>
    </w:pPr>
  </w:style>
  <w:style w:type="paragraph" w:styleId="959">
    <w:name w:val="toc 5"/>
    <w:basedOn w:val="786"/>
    <w:next w:val="786"/>
    <w:uiPriority w:val="39"/>
    <w:unhideWhenUsed/>
    <w:pPr>
      <w:ind w:left="1134"/>
      <w:spacing w:after="57"/>
    </w:pPr>
  </w:style>
  <w:style w:type="paragraph" w:styleId="960">
    <w:name w:val="toc 6"/>
    <w:basedOn w:val="786"/>
    <w:next w:val="786"/>
    <w:uiPriority w:val="39"/>
    <w:unhideWhenUsed/>
    <w:pPr>
      <w:ind w:left="1417"/>
      <w:spacing w:after="57"/>
    </w:pPr>
  </w:style>
  <w:style w:type="paragraph" w:styleId="961">
    <w:name w:val="toc 7"/>
    <w:basedOn w:val="786"/>
    <w:next w:val="786"/>
    <w:uiPriority w:val="39"/>
    <w:unhideWhenUsed/>
    <w:pPr>
      <w:ind w:left="1701"/>
      <w:spacing w:after="57"/>
    </w:pPr>
  </w:style>
  <w:style w:type="paragraph" w:styleId="962">
    <w:name w:val="toc 8"/>
    <w:basedOn w:val="786"/>
    <w:next w:val="786"/>
    <w:uiPriority w:val="39"/>
    <w:unhideWhenUsed/>
    <w:pPr>
      <w:ind w:left="1984"/>
      <w:spacing w:after="57"/>
    </w:pPr>
  </w:style>
  <w:style w:type="paragraph" w:styleId="963">
    <w:name w:val="toc 9"/>
    <w:basedOn w:val="786"/>
    <w:next w:val="786"/>
    <w:uiPriority w:val="39"/>
    <w:unhideWhenUsed/>
    <w:pPr>
      <w:ind w:left="2268"/>
      <w:spacing w:after="57"/>
    </w:pPr>
  </w:style>
  <w:style w:type="paragraph" w:styleId="964">
    <w:name w:val="TOC Heading"/>
    <w:uiPriority w:val="39"/>
    <w:unhideWhenUsed/>
  </w:style>
  <w:style w:type="paragraph" w:styleId="965">
    <w:name w:val="table of figures"/>
    <w:basedOn w:val="786"/>
    <w:next w:val="786"/>
    <w:uiPriority w:val="99"/>
    <w:unhideWhenUsed/>
    <w:pPr>
      <w:spacing w:after="0"/>
    </w:pPr>
  </w:style>
  <w:style w:type="paragraph" w:styleId="966">
    <w:name w:val="No Spacing"/>
    <w:basedOn w:val="786"/>
    <w:uiPriority w:val="1"/>
    <w:qFormat/>
    <w:pPr>
      <w:spacing w:after="0" w:line="240" w:lineRule="auto"/>
    </w:pPr>
  </w:style>
  <w:style w:type="paragraph" w:styleId="967">
    <w:name w:val="List Paragraph"/>
    <w:basedOn w:val="786"/>
    <w:uiPriority w:val="34"/>
    <w:qFormat/>
    <w:pPr>
      <w:contextualSpacing/>
      <w:ind w:left="720"/>
    </w:pPr>
  </w:style>
  <w:style w:type="character" w:styleId="968" w:customStyle="1">
    <w:name w:val="Выделение1"/>
    <w:uiPriority w:val="20"/>
    <w:qFormat/>
    <w:rPr>
      <w:i/>
      <w:iCs/>
    </w:rPr>
  </w:style>
  <w:style w:type="paragraph" w:styleId="969" w:customStyle="1">
    <w:name w:val="Заголовок №2"/>
    <w:qFormat/>
    <w:pPr>
      <w:ind w:hanging="360"/>
      <w:jc w:val="both"/>
      <w:spacing w:after="0" w:line="37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paragraph" w:styleId="970" w:customStyle="1">
    <w:name w:val="Основной текст (3)"/>
    <w:qFormat/>
    <w:pPr>
      <w:ind w:hanging="720"/>
      <w:jc w:val="both"/>
      <w:spacing w:after="6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paragraph" w:styleId="971" w:customStyle="1">
    <w:name w:val="Основной текст4"/>
    <w:qFormat/>
    <w:pPr>
      <w:ind w:hanging="440"/>
      <w:jc w:val="both"/>
      <w:spacing w:after="0" w:line="37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paragraph" w:styleId="972" w:customStyle="1">
    <w:name w:val="CustomListDash"/>
    <w:pPr>
      <w:ind w:left="567" w:hanging="425"/>
      <w:jc w:val="both"/>
      <w:spacing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cs="Times New Roman" w:eastAsiaTheme="minorEastAsia"/>
      <w:sz w:val="28"/>
      <w:lang w:val="en-US"/>
    </w:rPr>
  </w:style>
  <w:style w:type="paragraph" w:styleId="973" w:customStyle="1">
    <w:name w:val="Основной текст1"/>
    <w:uiPriority w:val="99"/>
    <w:pPr>
      <w:ind w:left="709" w:hanging="709"/>
      <w:jc w:val="both"/>
      <w:spacing w:before="240" w:after="12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74" w:customStyle="1">
    <w:name w:val="Body Text"/>
    <w:uiPriority w:val="99"/>
    <w:pPr>
      <w:contextualSpacing w:val="0"/>
      <w:ind w:left="709" w:right="0" w:hanging="709"/>
      <w:jc w:val="both"/>
      <w:keepLines w:val="0"/>
      <w:keepNext w:val="0"/>
      <w:pageBreakBefore w:val="0"/>
      <w:spacing w:before="24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BigCat</dc:creator>
  <cp:lastModifiedBy>o.patrievskaya</cp:lastModifiedBy>
  <cp:revision>8</cp:revision>
  <dcterms:created xsi:type="dcterms:W3CDTF">2026-10-04T18:50:00Z</dcterms:created>
  <dcterms:modified xsi:type="dcterms:W3CDTF">2026-10-06T13:42:48Z</dcterms:modified>
</cp:coreProperties>
</file>