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</w:r>
      <w:r>
        <w:rPr>
          <w:rFonts w:ascii="Times New Roman" w:hAnsi="Times New Roman"/>
          <w:i/>
          <w:sz w:val="20"/>
          <w:szCs w:val="20"/>
        </w:rPr>
      </w:r>
    </w:p>
    <w:p>
      <w:pPr>
        <w:jc w:val="center"/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Методика анализа и оценки заявок участников </w:t>
      </w:r>
      <w:r>
        <w:rPr>
          <w:rFonts w:ascii="Times New Roman" w:hAnsi="Times New Roman"/>
          <w:b/>
          <w:sz w:val="20"/>
          <w:szCs w:val="20"/>
        </w:rPr>
        <w:t xml:space="preserve">конкурентного отбора</w:t>
      </w:r>
      <w:r>
        <w:rPr>
          <w:rFonts w:ascii="Times New Roman" w:hAnsi="Times New Roman"/>
          <w:b/>
          <w:sz w:val="20"/>
          <w:szCs w:val="20"/>
        </w:rPr>
        <w:t xml:space="preserve">.</w:t>
      </w:r>
      <w:r>
        <w:rPr>
          <w:rFonts w:ascii="Times New Roman" w:hAnsi="Times New Roman"/>
          <w:b/>
          <w:sz w:val="20"/>
          <w:szCs w:val="20"/>
        </w:rPr>
      </w:r>
    </w:p>
    <w:p>
      <w:pPr>
        <w:jc w:val="center"/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Раздел 1.  Анализ заявок на предмет соответствия Участника и состава заявок требованиям Документации*</w:t>
      </w:r>
      <w:r>
        <w:rPr>
          <w:rFonts w:ascii="Times New Roman" w:hAnsi="Times New Roman"/>
          <w:b/>
          <w:sz w:val="20"/>
          <w:szCs w:val="20"/>
        </w:rPr>
      </w: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6"/>
        <w:gridCol w:w="3319"/>
        <w:gridCol w:w="4831"/>
        <w:gridCol w:w="3213"/>
        <w:gridCol w:w="3386"/>
      </w:tblGrid>
      <w:tr>
        <w:tblPrEx/>
        <w:trPr>
          <w:cantSplit/>
          <w:trHeight w:val="429"/>
          <w:tblHeader/>
        </w:trPr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Суть требования</w:t>
            </w: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Документ, представляемый Участником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Проверяемые сведения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Перечень оснований для отклонения заявок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1.1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предмета Заявки предмету конкурентного отбора (лота), указанному в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Приложении 2 «Техническая часть»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к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Документации, в том числе по количественным показателям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(Форма 1), Ценовое предложение (Форма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1.1) и Техническое предложение (Форма 1.2)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предмета Заявки предмету конкурентного отбора (лота), указанному в Документации.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предмета Заявки предмету конкурентного отбора (лота), указанному в Документации (несоответствие количества поставляемого товара, объема выполняемых работ, оказываемых услуг требованиям Документации)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1.2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предложения Участника тре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бованиям, указанным в пункте 1.3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в Приложении 1 «Проект договора» и Приложении 2 «Техническая часть»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(Форма 1), Ценовое предложение (Форма 1.1) и Техническое предложение (Форма 1.2)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Сведения, указанные в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Письме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о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подаче Заявки (Форма 1), Ценовом предложении (Форма 1.1) и Техническом предложении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(Форма 1.2)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с документальным подтверждением (согласно пункту 4.3.3 Документации)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тре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бованиям, указанным в пункте 1.3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в Приложении 1 «Проект договора» и Приложении 2 «Техническая часть».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1.3</w:t>
            </w:r>
            <w:r>
              <w:rPr>
                <w:rStyle w:val="731"/>
                <w:rFonts w:ascii="Times New Roman" w:hAnsi="Times New Roman"/>
                <w:sz w:val="16"/>
                <w:szCs w:val="16"/>
              </w:rPr>
              <w:footnoteReference w:id="2"/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документов, определенных Документацией, и отсутствие в таких документах недостоверных сведений об Участнике (привлекаемых субподрядчиках (соисполнителях)) или о закупаемых товарах (работах, услугах).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Документы, указанные в пунктах 4.1- 4.2, 4.5,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- 4.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6.7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6.11.2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6.12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6.8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4.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7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пунктах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5.3.1 - 5.3.3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 (за исключением документов, в отношении которых указано «при наличии», а также Справки о кадровых ресурсах, Справки о материально-технических ресурсах, представляемых субподрядчиком (соисполнителем))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Полнота состава заявки, правильность оформления документов и достоверность представленных сведений.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Отсутствие документов или несоблюдение требований к таким документам, установленных в Документации. Наличие в представленных документах недостоверных сведений.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</w:t>
            </w:r>
            <w:r>
              <w:rPr>
                <w:rFonts w:ascii="Times New Roman" w:hAnsi="Times New Roman"/>
                <w:sz w:val="16"/>
              </w:rPr>
              <w:t xml:space="preserve">.4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обеспечения Заявки, если в Документации установлено данное требование.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Обеспечение Заявки 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представленного Участником обеспечения Заявки требованиям, указанным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в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Непредставление обеспечения Заявки.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Представление обеспечения Заявки не в соответствии с требованиями, установленными в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1.5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Согласие Участника с условиями проекта договора (Приложение №1), содержащегося в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на участие в закупке (Форма 1).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Иные документы, входящие в состав Заявки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Заявки условиям проекта договора (Приложение №1)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Несогласие Участника с условиями проекта Договора (Приложение № 1)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1.6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предложения о цене договора (цене лота) (товаров, работ, услуг, являющихся предметом конкурентного отбора), не превышающего установленную начальную (максимальную) цену договора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Отсутствие расхождений в данных, указанных в Ценовом предложении (Форме 1.1) и форме «Заявка на участие в процедуре» на ЭТП.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Ценовое предложение (Форма 1.1).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Сведения, внесенные Участником в форму «Заявка на участие в процедуре» на ЭТП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Сведения в Ценовом предложении (Форма 1.1.) и сведения, внесенные Участником в форму «Заявка на участие в процедуре» на ЭТП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предложения о цене договора (цене лота) (товаров, работ, услуг, являющихся предметом конкурентного отбора), превышающего установленную начальную (максимальную) цену договора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расхождений в данных, указанных в Ценовом предложении (Форме 1.1) и форме «Заявка на участие в процедуре» на ЭТП.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1.7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Отсутствие сведений об Участнике в реестрах недобросовестных поставщиков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Не представляется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Реестр недобросовестных поставщиков (подрядчиков, исполнителей) (44-ФЗ) Реестр недобросовестных поставщиков (223-ФЗ)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Наличие Участника в Реестре недобросовестных поставщиков (подрядчиков, исполнителей) 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 xml:space="preserve">(44-ФЗ) и (или) в Реестре недобросовестных поставщиков (подрядчиков, исполнителей) </w:t>
            </w:r>
            <w:r>
              <w:rPr>
                <w:rFonts w:ascii="Times New Roman" w:hAnsi="Times New Roman"/>
                <w:sz w:val="16"/>
                <w:szCs w:val="16"/>
              </w:rPr>
              <w:br/>
              <w:t xml:space="preserve">(223-ФЗ), размещенных на сайте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zakupki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gov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срока действия Заявки Участника установленному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1.5.2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Письмо о подаче Заявки (Форма 1).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Срок действия Заявки, указанный в письме о подаче Заявки на участие в закупке (Форма 1).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Срок действия Заявки, указанный в письме о подаче Заявки на участие в закупке (Форма 1), менее срока, установленного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1.5.2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9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Участника требованиям, предъявляемым к Участникам в пунктах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) Документации, в пунктах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2.4, 5.3.1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Документы, подтверждающие соответствие требованиям, указанным пунктах 4.5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Документации, а также в пунктах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5.2.1, 5.2.4, 5.3.1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требованиям, предъявляемым к Участникам в пунктах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) Документации, пунктах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2.4, 5.3.1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требованиям, предъявляемым к Участникам в пунктах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-1.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) Документации, пунктах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2.4, 5.3.1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</w:t>
            </w:r>
            <w:r>
              <w:rPr>
                <w:rFonts w:ascii="Times New Roman" w:hAnsi="Times New Roman"/>
                <w:sz w:val="16"/>
              </w:rPr>
              <w:t xml:space="preserve"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0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привлекаемых Участником субподрядчиков (соисполнителей) требованиям, указанным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1.4.4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Документы, подтверждающие соответствие тре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бованиям, указанные в пункте 4.7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 и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3.3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 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Соответствие привлекаемых участником субподрядчиков (соисполнителей) требованиям, указанным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1.4.4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 Документации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Несоответствие привлекаемых Участником субподрядчиков (соисполнителей) требованиям, указанным в пункте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1.4.4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Документации, а также в пункте 5.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2.2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информационной карты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cantSplit/>
          <w:trHeight w:val="20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1.11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Подача Участником одной Заявки в отношении каждого предмета конкурентного отбора (лота). Участие лиц, выступающих на стороне Участника (Группа лиц), только на стороне такого Участника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Заявки Участников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 Заявок, поданных Участником в отношении каждого предмета конкурентного отбора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Участие лица, выступающего на стороне Участника (Группы лиц) самостоятельно или на стороне другого Участника (Группы лиц)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Подача Участником более одной Заявки в отношении каждого предмета конкурентного отбора (лота).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Участие лица, выступающего на стороне одного Участника (Группа лиц), самостоятельно или на стороне другого Участника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  <w:r>
        <w:rPr>
          <w:rFonts w:ascii="Times New Roman" w:hAnsi="Times New Roman"/>
          <w:b/>
          <w:sz w:val="20"/>
          <w:szCs w:val="20"/>
        </w:rPr>
      </w:r>
    </w:p>
    <w:p>
      <w:pPr>
        <w:ind w:hanging="284"/>
        <w:jc w:val="both"/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-  В данн</w:t>
      </w:r>
      <w:r>
        <w:rPr>
          <w:rFonts w:ascii="Times New Roman" w:hAnsi="Times New Roman"/>
          <w:sz w:val="20"/>
          <w:szCs w:val="20"/>
        </w:rPr>
        <w:t xml:space="preserve">ом Разделе Методики перечислены основания, по которым Комиссия имеет право отклонить Заявку Участника. Если Заявка одного из Участников по какому-либо основанию не была отклонена Комиссией, Заявки других Участников по такому основанию также не отклоняются.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rPr>
          <w:rFonts w:asciiTheme="minorHAnsi" w:hAnsiTheme="minorHAnsi"/>
          <w:sz w:val="20"/>
          <w:szCs w:val="20"/>
        </w:rPr>
      </w:pPr>
      <w:r/>
      <w:bookmarkStart w:id="0" w:name="_GoBack"/>
      <w:r/>
      <w:bookmarkEnd w:id="0"/>
      <w:r/>
      <w:r>
        <w:rPr>
          <w:rFonts w:asciiTheme="minorHAnsi" w:hAnsiTheme="minorHAnsi"/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w="16838" w:h="11906" w:orient="landscape"/>
      <w:pgMar w:top="709" w:right="964" w:bottom="851" w:left="1021" w:header="709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00603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72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729"/>
        <w:jc w:val="both"/>
        <w:rPr>
          <w:rFonts w:ascii="Times New Roman" w:hAnsi="Times New Roman"/>
        </w:rPr>
      </w:pPr>
      <w:r>
        <w:rPr>
          <w:rStyle w:val="73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Здесь и далее в настоящем разделе согласно положениям пункта 4.</w:t>
      </w:r>
      <w:r>
        <w:rPr>
          <w:rFonts w:ascii="Times New Roman" w:hAnsi="Times New Roman"/>
          <w:i/>
        </w:rPr>
        <w:t xml:space="preserve">5.11</w:t>
      </w:r>
      <w:r>
        <w:rPr>
          <w:rFonts w:ascii="Times New Roman" w:hAnsi="Times New Roman"/>
          <w:i/>
        </w:rPr>
        <w:t xml:space="preserve"> Документации взамен документа, представляемого Участником (за исключением документов, представляемых по предусмотренным Документацией формам, в составе Заявки может быть представлена Справка с учетом требований пунктов 4.</w:t>
      </w:r>
      <w:r>
        <w:rPr>
          <w:rFonts w:ascii="Times New Roman" w:hAnsi="Times New Roman"/>
          <w:i/>
        </w:rPr>
        <w:t xml:space="preserve">5.11</w:t>
      </w:r>
      <w:r>
        <w:rPr>
          <w:rFonts w:ascii="Times New Roman" w:hAnsi="Times New Roman"/>
          <w:i/>
        </w:rPr>
        <w:t xml:space="preserve"> и 4.</w:t>
      </w:r>
      <w:r>
        <w:rPr>
          <w:rFonts w:ascii="Times New Roman" w:hAnsi="Times New Roman"/>
          <w:i/>
        </w:rPr>
        <w:t xml:space="preserve">5.12</w:t>
      </w:r>
      <w:r>
        <w:rPr>
          <w:rFonts w:ascii="Times New Roman" w:hAnsi="Times New Roman"/>
          <w:i/>
        </w:rPr>
        <w:t xml:space="preserve"> Документации, которая используется для анализа заявок на предмет соответствия Участника и состава его Заявки требованиям Документации наряду с другими документами</w:t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2"/>
      <w:jc w:val="right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i/>
        <w:sz w:val="20"/>
        <w:szCs w:val="20"/>
      </w:rPr>
      <w:t xml:space="preserve">Приложение 3</w:t>
    </w:r>
    <w:r>
      <w:rPr>
        <w:rFonts w:ascii="Times New Roman" w:hAnsi="Times New Roman"/>
        <w:i/>
        <w:sz w:val="20"/>
        <w:szCs w:val="20"/>
      </w:rPr>
    </w:r>
  </w:p>
  <w:p>
    <w:pPr>
      <w:pStyle w:val="722"/>
      <w:jc w:val="right"/>
    </w:pPr>
    <w:r>
      <w:rPr>
        <w:rFonts w:ascii="Times New Roman" w:hAnsi="Times New Roman"/>
        <w:i/>
        <w:sz w:val="20"/>
        <w:szCs w:val="20"/>
      </w:rPr>
      <w:t xml:space="preserve">к Документации </w:t>
    </w:r>
    <w:r>
      <w:rPr>
        <w:rFonts w:ascii="Times New Roman" w:hAnsi="Times New Roman"/>
        <w:i/>
        <w:sz w:val="20"/>
        <w:szCs w:val="20"/>
      </w:rPr>
      <w:t xml:space="preserve">о конкурентном отборе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13"/>
    <w:next w:val="71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1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13"/>
    <w:next w:val="71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1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13"/>
    <w:next w:val="71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1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4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4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4"/>
    <w:link w:val="722"/>
    <w:uiPriority w:val="99"/>
  </w:style>
  <w:style w:type="character" w:styleId="45">
    <w:name w:val="Footer Char"/>
    <w:basedOn w:val="714"/>
    <w:link w:val="724"/>
    <w:uiPriority w:val="99"/>
  </w:style>
  <w:style w:type="paragraph" w:styleId="46">
    <w:name w:val="Caption"/>
    <w:basedOn w:val="713"/>
    <w:next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24"/>
    <w:uiPriority w:val="99"/>
  </w:style>
  <w:style w:type="table" w:styleId="49">
    <w:name w:val="Table Grid Light"/>
    <w:basedOn w:val="7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729"/>
    <w:uiPriority w:val="99"/>
    <w:rPr>
      <w:sz w:val="18"/>
    </w:rPr>
  </w:style>
  <w:style w:type="character" w:styleId="179">
    <w:name w:val="Endnote Text Char"/>
    <w:link w:val="726"/>
    <w:uiPriority w:val="99"/>
    <w:rPr>
      <w:sz w:val="20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714" w:default="1">
    <w:name w:val="Default Paragraph Font"/>
    <w:uiPriority w:val="1"/>
    <w:semiHidden/>
    <w:unhideWhenUsed/>
  </w:style>
  <w:style w:type="table" w:styleId="7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6" w:default="1">
    <w:name w:val="No List"/>
    <w:uiPriority w:val="99"/>
    <w:semiHidden/>
    <w:unhideWhenUsed/>
  </w:style>
  <w:style w:type="table" w:styleId="717">
    <w:name w:val="Table Grid"/>
    <w:basedOn w:val="71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8">
    <w:name w:val="Balloon Text"/>
    <w:basedOn w:val="713"/>
    <w:link w:val="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19" w:customStyle="1">
    <w:name w:val="Текст выноски Знак"/>
    <w:link w:val="718"/>
    <w:rPr>
      <w:rFonts w:ascii="Tahoma" w:hAnsi="Tahoma" w:cs="Tahoma"/>
      <w:sz w:val="16"/>
      <w:szCs w:val="16"/>
    </w:rPr>
  </w:style>
  <w:style w:type="paragraph" w:styleId="720">
    <w:name w:val="List Paragraph"/>
    <w:basedOn w:val="713"/>
    <w:qFormat/>
    <w:pPr>
      <w:contextualSpacing/>
      <w:ind w:left="720"/>
    </w:pPr>
  </w:style>
  <w:style w:type="character" w:styleId="721">
    <w:name w:val="Placeholder Text"/>
    <w:rPr>
      <w:color w:val="808080"/>
    </w:rPr>
  </w:style>
  <w:style w:type="paragraph" w:styleId="722">
    <w:name w:val="Header"/>
    <w:basedOn w:val="713"/>
    <w:link w:val="723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3" w:customStyle="1">
    <w:name w:val="Верхний колонтитул Знак"/>
    <w:basedOn w:val="714"/>
    <w:link w:val="722"/>
  </w:style>
  <w:style w:type="paragraph" w:styleId="724">
    <w:name w:val="Footer"/>
    <w:basedOn w:val="713"/>
    <w:link w:val="725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5" w:customStyle="1">
    <w:name w:val="Нижний колонтитул Знак"/>
    <w:basedOn w:val="714"/>
    <w:link w:val="724"/>
  </w:style>
  <w:style w:type="paragraph" w:styleId="726">
    <w:name w:val="endnote text"/>
    <w:basedOn w:val="713"/>
    <w:link w:val="727"/>
    <w:pPr>
      <w:spacing w:after="0" w:line="240" w:lineRule="auto"/>
    </w:pPr>
    <w:rPr>
      <w:sz w:val="20"/>
      <w:szCs w:val="20"/>
    </w:rPr>
  </w:style>
  <w:style w:type="character" w:styleId="727" w:customStyle="1">
    <w:name w:val="Текст концевой сноски Знак"/>
    <w:link w:val="726"/>
    <w:rPr>
      <w:sz w:val="20"/>
      <w:szCs w:val="20"/>
    </w:rPr>
  </w:style>
  <w:style w:type="character" w:styleId="728">
    <w:name w:val="endnote reference"/>
    <w:rPr>
      <w:vertAlign w:val="superscript"/>
    </w:rPr>
  </w:style>
  <w:style w:type="paragraph" w:styleId="729">
    <w:name w:val="footnote text"/>
    <w:basedOn w:val="713"/>
    <w:link w:val="730"/>
    <w:pPr>
      <w:spacing w:after="0" w:line="240" w:lineRule="auto"/>
    </w:pPr>
    <w:rPr>
      <w:sz w:val="20"/>
      <w:szCs w:val="20"/>
    </w:rPr>
  </w:style>
  <w:style w:type="character" w:styleId="730" w:customStyle="1">
    <w:name w:val="Текст сноски Знак"/>
    <w:link w:val="729"/>
    <w:rPr>
      <w:sz w:val="20"/>
      <w:szCs w:val="20"/>
    </w:rPr>
  </w:style>
  <w:style w:type="character" w:styleId="731">
    <w:name w:val="footnote reference"/>
    <w:uiPriority w:val="99"/>
    <w:rPr>
      <w:vertAlign w:val="superscript"/>
    </w:rPr>
  </w:style>
  <w:style w:type="character" w:styleId="732">
    <w:name w:val="annotation reference"/>
    <w:rPr>
      <w:sz w:val="16"/>
      <w:szCs w:val="16"/>
    </w:rPr>
  </w:style>
  <w:style w:type="paragraph" w:styleId="733">
    <w:name w:val="annotation text"/>
    <w:basedOn w:val="713"/>
    <w:link w:val="734"/>
    <w:pPr>
      <w:spacing w:line="240" w:lineRule="auto"/>
    </w:pPr>
    <w:rPr>
      <w:sz w:val="20"/>
      <w:szCs w:val="20"/>
    </w:rPr>
  </w:style>
  <w:style w:type="character" w:styleId="734" w:customStyle="1">
    <w:name w:val="Текст примечания Знак"/>
    <w:link w:val="733"/>
    <w:rPr>
      <w:sz w:val="20"/>
      <w:szCs w:val="20"/>
    </w:rPr>
  </w:style>
  <w:style w:type="paragraph" w:styleId="735">
    <w:name w:val="annotation subject"/>
    <w:basedOn w:val="733"/>
    <w:next w:val="733"/>
    <w:link w:val="736"/>
    <w:rPr>
      <w:b/>
      <w:bCs/>
    </w:rPr>
  </w:style>
  <w:style w:type="character" w:styleId="736" w:customStyle="1">
    <w:name w:val="Тема примечания Знак"/>
    <w:link w:val="735"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Gazprom JSC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SM.Zemskov</dc:creator>
  <cp:revision>33</cp:revision>
  <dcterms:created xsi:type="dcterms:W3CDTF">2019-03-29T08:59:00Z</dcterms:created>
  <dcterms:modified xsi:type="dcterms:W3CDTF">2025-02-28T13:57:59Z</dcterms:modified>
</cp:coreProperties>
</file>